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Securities Exchange Act of 1934 (Amendment No. 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o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 xml:space="preserve">o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 xml:space="preserve">o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 xml:space="preserve">o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 xml:space="preserve">o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ICU MEDICAL, INC.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of Registrant as Specified in Its Charter)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of Person(s) Filing Proxy Statement, if other than the Registrant)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the boxes that apply):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03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285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894080</wp:posOffset>
            </wp:positionH>
            <wp:positionV relativeFrom="page">
              <wp:posOffset>766445</wp:posOffset>
            </wp:positionV>
            <wp:extent cx="5760720" cy="7003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00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894080</wp:posOffset>
            </wp:positionH>
            <wp:positionV relativeFrom="page">
              <wp:posOffset>765810</wp:posOffset>
            </wp:positionV>
            <wp:extent cx="5760720" cy="70719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071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☒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2026-04-02T15:15:49Z</dcterms:created>
  <dcterms:modified xsi:type="dcterms:W3CDTF">2026-04-02T15:15:49Z</dcterms:modified>
</cp:coreProperties>
</file>