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120"/>
        <w:jc w:val="center"/>
        <w:rPr/>
      </w:pPr>
      <w:r>
        <w:rPr>
          <w:color w:val="000000"/>
        </w:rPr>
        <w:t> </w:t>
      </w:r>
      <w:r>
        <w:rPr>
          <w:rFonts w:ascii="Times New Roman;sans-serif" w:hAnsi="Times New Roman;sans-serif"/>
          <w:b/>
          <w:color w:val="000000"/>
          <w:sz w:val="18"/>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ind w:left="0" w:right="0" w:firstLine="360"/>
        <w:jc w:val="center"/>
        <w:rPr/>
      </w:pPr>
      <w:r>
        <w:rPr>
          <w:color w:val="000000"/>
        </w:rPr>
        <w:t> </w:t>
      </w:r>
      <w:r>
        <w:rPr>
          <w:rFonts w:ascii="Times New Roman;sans-serif" w:hAnsi="Times New Roman;sans-serif"/>
          <w:b/>
          <w:color w:val="000000"/>
          <w:sz w:val="18"/>
        </w:rPr>
        <w:t xml:space="preserve">For the quarterly period ended: June 30, 2023 </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001-34634 </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 xml:space="preserve">ICU MEDICAL, INC. </w:t>
      </w:r>
    </w:p>
    <w:p>
      <w:pPr>
        <w:pStyle w:val="TextBody"/>
        <w:bidi w:val="0"/>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120"/>
        <w:jc w:val="center"/>
        <w:rPr>
          <w:color w:val="000000"/>
        </w:rPr>
      </w:pPr>
      <w:r>
        <w:rPr>
          <w:color w:val="000000"/>
        </w:rPr>
        <w:t> </w:t>
      </w:r>
    </w:p>
    <w:tbl>
      <w:tblPr>
        <w:tblW w:w="4015"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33-0022692</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tbl>
      <w:tblPr>
        <w:tblW w:w="5614" w:type="dxa"/>
        <w:jc w:val="center"/>
        <w:tblInd w:w="0" w:type="dxa"/>
        <w:tblLayout w:type="fixed"/>
        <w:tblCellMar>
          <w:top w:w="28" w:type="dxa"/>
          <w:left w:w="28" w:type="dxa"/>
          <w:bottom w:w="28" w:type="dxa"/>
          <w:right w:w="28" w:type="dxa"/>
        </w:tblCellMar>
      </w:tblPr>
      <w:tblGrid>
        <w:gridCol w:w="597"/>
        <w:gridCol w:w="525"/>
        <w:gridCol w:w="527"/>
        <w:gridCol w:w="109"/>
        <w:gridCol w:w="109"/>
        <w:gridCol w:w="109"/>
        <w:gridCol w:w="389"/>
        <w:gridCol w:w="389"/>
        <w:gridCol w:w="391"/>
        <w:gridCol w:w="109"/>
        <w:gridCol w:w="109"/>
        <w:gridCol w:w="109"/>
        <w:gridCol w:w="295"/>
        <w:gridCol w:w="295"/>
        <w:gridCol w:w="296"/>
        <w:gridCol w:w="109"/>
        <w:gridCol w:w="109"/>
        <w:gridCol w:w="109"/>
        <w:gridCol w:w="272"/>
        <w:gridCol w:w="272"/>
        <w:gridCol w:w="38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92673</w:t>
            </w:r>
          </w:p>
        </w:tc>
      </w:tr>
      <w:tr>
        <w:trPr/>
        <w:tc>
          <w:tcPr>
            <w:tcW w:w="4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18"/>
        </w:rPr>
        <w:t xml:space="preserve">(949) 366-2183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12"/>
        <w:gridCol w:w="978"/>
        <w:gridCol w:w="985"/>
        <w:gridCol w:w="454"/>
        <w:gridCol w:w="454"/>
        <w:gridCol w:w="456"/>
        <w:gridCol w:w="1019"/>
        <w:gridCol w:w="1019"/>
        <w:gridCol w:w="1441"/>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$0.10 per share</w:t>
            </w:r>
          </w:p>
        </w:tc>
        <w:tc>
          <w:tcPr>
            <w:tcW w:w="13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ICUI</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(Global Select Market)</w:t>
            </w:r>
          </w:p>
        </w:tc>
      </w:tr>
    </w:tbl>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before="100" w:after="283"/>
        <w:ind w:left="0" w:right="0" w:firstLine="36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p>
      <w:pPr>
        <w:pStyle w:val="TextBody"/>
        <w:bidi w:val="0"/>
        <w:spacing w:lineRule="auto" w:line="288" w:before="0" w:after="6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477" w:type="dxa"/>
        <w:jc w:val="center"/>
        <w:tblInd w:w="0" w:type="dxa"/>
        <w:tblLayout w:type="fixed"/>
        <w:tblCellMar>
          <w:top w:w="28" w:type="dxa"/>
          <w:left w:w="28" w:type="dxa"/>
          <w:bottom w:w="28" w:type="dxa"/>
          <w:right w:w="28" w:type="dxa"/>
        </w:tblCellMar>
      </w:tblPr>
      <w:tblGrid>
        <w:gridCol w:w="282"/>
        <w:gridCol w:w="248"/>
        <w:gridCol w:w="251"/>
        <w:gridCol w:w="109"/>
        <w:gridCol w:w="109"/>
        <w:gridCol w:w="109"/>
        <w:gridCol w:w="694"/>
        <w:gridCol w:w="694"/>
        <w:gridCol w:w="981"/>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at July 31, 2023</w:t>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24,135,869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0"/>
        <w:gridCol w:w="267"/>
        <w:gridCol w:w="258"/>
        <w:gridCol w:w="2748"/>
        <w:gridCol w:w="2580"/>
        <w:gridCol w:w="2560"/>
        <w:gridCol w:w="109"/>
        <w:gridCol w:w="109"/>
        <w:gridCol w:w="109"/>
        <w:gridCol w:w="334"/>
        <w:gridCol w:w="334"/>
        <w:gridCol w:w="477"/>
      </w:tblGrid>
      <w:tr>
        <w:trPr/>
        <w:tc>
          <w:tcPr>
            <w:tcW w:w="3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Number</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0">
              <w:r>
                <w:rPr>
                  <w:rStyle w:val="InternetLink"/>
                  <w:rFonts w:ascii="Times New Roman;sans-serif" w:hAnsi="Times New Roman;sans-serif"/>
                  <w:b w:val="false"/>
                  <w:color w:val="0000FF"/>
                  <w:sz w:val="20"/>
                  <w:u w:val="single"/>
                </w:rPr>
                <w:t>Forward 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0">
              <w:r>
                <w:rPr>
                  <w:rStyle w:val="InternetLink"/>
                  <w:rFonts w:ascii="Times New Roman;sans-serif" w:hAnsi="Times New Roman;sans-serif"/>
                  <w:b w:val="false"/>
                  <w:color w:val="0000FF"/>
                  <w:sz w:val="20"/>
                  <w:u w:val="single"/>
                </w:rPr>
                <w:t>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3">
              <w:r>
                <w:rPr>
                  <w:rStyle w:val="InternetLink"/>
                  <w:rFonts w:ascii="Times New Roman;sans-serif" w:hAnsi="Times New Roman;sans-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6">
              <w:r>
                <w:rPr>
                  <w:rStyle w:val="InternetLink"/>
                  <w:rFonts w:ascii="Times New Roman;sans-serif" w:hAnsi="Times New Roman;sans-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9">
              <w:r>
                <w:rPr>
                  <w:rStyle w:val="InternetLink"/>
                  <w:rFonts w:ascii="Times New Roman;sans-serif" w:hAnsi="Times New Roman;sans-serif"/>
                  <w:b w:val="false"/>
                  <w:color w:val="000080"/>
                  <w:sz w:val="20"/>
                  <w:u w:val="single"/>
                </w:rPr>
                <w:t xml:space="preserve">Condensed Consolidated Balance Sheets at </w:t>
              </w:r>
            </w:hyperlink>
            <w:hyperlink w:anchor="i7ea62424d39c4b0ba30f17ae4299dbad_19">
              <w:r>
                <w:rPr>
                  <w:rStyle w:val="InternetLink"/>
                  <w:rFonts w:ascii="Times New Roman;sans-serif" w:hAnsi="Times New Roman;sans-serif"/>
                  <w:b w:val="false"/>
                  <w:color w:val="000080"/>
                  <w:sz w:val="20"/>
                  <w:u w:val="single"/>
                </w:rPr>
                <w:t>June 30</w:t>
              </w:r>
            </w:hyperlink>
            <w:hyperlink w:anchor="i7ea62424d39c4b0ba30f17ae4299dbad_19">
              <w:r>
                <w:rPr>
                  <w:rStyle w:val="InternetLink"/>
                  <w:rFonts w:ascii="Times New Roman;sans-serif" w:hAnsi="Times New Roman;sans-serif"/>
                  <w:b w:val="false"/>
                  <w:color w:val="000080"/>
                  <w:sz w:val="20"/>
                  <w:u w:val="single"/>
                </w:rPr>
                <w:t>, 2023 and December 31, 2022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9">
              <w:r>
                <w:rPr>
                  <w:rStyle w:val="InternetLink"/>
                  <w:rFonts w:ascii="Times New Roman;sans-serif" w:hAnsi="Times New Roman;sans-serif"/>
                  <w:b w:val="false"/>
                  <w:color w:val="0000FF"/>
                  <w:sz w:val="20"/>
                  <w:u w:val="single"/>
                </w:rPr>
                <w:t>6</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22">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7ea62424d39c4b0ba30f17ae4299dbad_22">
              <w:r>
                <w:rPr>
                  <w:rStyle w:val="InternetLink"/>
                  <w:rFonts w:ascii="Times New Roman;sans-serif" w:hAnsi="Times New Roman;sans-serif"/>
                  <w:b w:val="false"/>
                  <w:color w:val="000080"/>
                  <w:sz w:val="20"/>
                  <w:u w:val="single"/>
                </w:rPr>
                <w:t xml:space="preserve">and Six </w:t>
              </w:r>
            </w:hyperlink>
            <w:hyperlink w:anchor="i7ea62424d39c4b0ba30f17ae4299dbad_22">
              <w:r>
                <w:rPr>
                  <w:rStyle w:val="InternetLink"/>
                  <w:rFonts w:ascii="Times New Roman;sans-serif" w:hAnsi="Times New Roman;sans-serif"/>
                  <w:b w:val="false"/>
                  <w:color w:val="000080"/>
                  <w:sz w:val="20"/>
                  <w:u w:val="single"/>
                </w:rPr>
                <w:t xml:space="preserve">Months Ended </w:t>
              </w:r>
            </w:hyperlink>
            <w:hyperlink w:anchor="i7ea62424d39c4b0ba30f17ae4299dbad_22">
              <w:r>
                <w:rPr>
                  <w:rStyle w:val="InternetLink"/>
                  <w:rFonts w:ascii="Times New Roman;sans-serif" w:hAnsi="Times New Roman;sans-serif"/>
                  <w:b w:val="false"/>
                  <w:color w:val="000080"/>
                  <w:sz w:val="20"/>
                  <w:u w:val="single"/>
                </w:rPr>
                <w:t>June 30</w:t>
              </w:r>
            </w:hyperlink>
            <w:hyperlink w:anchor="i7ea62424d39c4b0ba30f17ae4299dbad_22">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22">
              <w:r>
                <w:rPr>
                  <w:rStyle w:val="InternetLink"/>
                  <w:rFonts w:ascii="Times New Roman;sans-serif" w:hAnsi="Times New Roman;sans-serif"/>
                  <w:b w:val="false"/>
                  <w:color w:val="0000FF"/>
                  <w:sz w:val="20"/>
                  <w:u w:val="single"/>
                </w:rPr>
                <w:t>7</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25">
              <w:r>
                <w:rPr>
                  <w:rStyle w:val="InternetLink"/>
                  <w:rFonts w:ascii="Times New Roman;sans-serif" w:hAnsi="Times New Roman;sans-serif"/>
                  <w:b w:val="false"/>
                  <w:color w:val="000080"/>
                  <w:sz w:val="20"/>
                  <w:u w:val="single"/>
                </w:rPr>
                <w:t>Condensed Consolidated Statements of Comprehensive Income (Loss) for the Three</w:t>
              </w:r>
            </w:hyperlink>
            <w:hyperlink w:anchor="i7ea62424d39c4b0ba30f17ae4299dbad_25">
              <w:r>
                <w:rPr>
                  <w:rStyle w:val="InternetLink"/>
                  <w:rFonts w:ascii="Times New Roman;sans-serif" w:hAnsi="Times New Roman;sans-serif"/>
                  <w:b w:val="false"/>
                  <w:color w:val="000080"/>
                  <w:sz w:val="20"/>
                  <w:u w:val="single"/>
                </w:rPr>
                <w:t xml:space="preserve"> and Six</w:t>
              </w:r>
            </w:hyperlink>
            <w:hyperlink w:anchor="i7ea62424d39c4b0ba30f17ae4299dbad_25">
              <w:r>
                <w:rPr>
                  <w:rStyle w:val="InternetLink"/>
                  <w:rFonts w:ascii="Times New Roman;sans-serif" w:hAnsi="Times New Roman;sans-serif"/>
                  <w:b w:val="false"/>
                  <w:color w:val="000080"/>
                  <w:sz w:val="20"/>
                  <w:u w:val="single"/>
                </w:rPr>
                <w:t xml:space="preserve"> Months Ended </w:t>
              </w:r>
            </w:hyperlink>
            <w:hyperlink w:anchor="i7ea62424d39c4b0ba30f17ae4299dbad_25">
              <w:r>
                <w:rPr>
                  <w:rStyle w:val="InternetLink"/>
                  <w:rFonts w:ascii="Times New Roman;sans-serif" w:hAnsi="Times New Roman;sans-serif"/>
                  <w:b w:val="false"/>
                  <w:color w:val="000080"/>
                  <w:sz w:val="20"/>
                  <w:u w:val="single"/>
                </w:rPr>
                <w:t>June 30</w:t>
              </w:r>
            </w:hyperlink>
            <w:hyperlink w:anchor="i7ea62424d39c4b0ba30f17ae4299dbad_25">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25">
              <w:r>
                <w:rPr>
                  <w:rStyle w:val="InternetLink"/>
                  <w:rFonts w:ascii="Times New Roman;sans-serif" w:hAnsi="Times New Roman;sans-serif"/>
                  <w:b w:val="false"/>
                  <w:color w:val="0000FF"/>
                  <w:sz w:val="20"/>
                  <w:u w:val="single"/>
                </w:rPr>
                <w:t>8</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28">
              <w:r>
                <w:rPr>
                  <w:rStyle w:val="InternetLink"/>
                  <w:rFonts w:ascii="Times New Roman;sans-serif" w:hAnsi="Times New Roman;sans-serif"/>
                  <w:b w:val="false"/>
                  <w:color w:val="000080"/>
                  <w:sz w:val="20"/>
                  <w:u w:val="single"/>
                </w:rPr>
                <w:t>Condensed Consolidated Statements of Stockholders' Equity for the Three</w:t>
              </w:r>
            </w:hyperlink>
            <w:hyperlink w:anchor="i7ea62424d39c4b0ba30f17ae4299dbad_28">
              <w:r>
                <w:rPr>
                  <w:rStyle w:val="InternetLink"/>
                  <w:rFonts w:ascii="Times New Roman;sans-serif" w:hAnsi="Times New Roman;sans-serif"/>
                  <w:b w:val="false"/>
                  <w:color w:val="000080"/>
                  <w:sz w:val="20"/>
                  <w:u w:val="single"/>
                </w:rPr>
                <w:t xml:space="preserve"> and Six</w:t>
              </w:r>
            </w:hyperlink>
            <w:hyperlink w:anchor="i7ea62424d39c4b0ba30f17ae4299dbad_28">
              <w:r>
                <w:rPr>
                  <w:rStyle w:val="InternetLink"/>
                  <w:rFonts w:ascii="Times New Roman;sans-serif" w:hAnsi="Times New Roman;sans-serif"/>
                  <w:b w:val="false"/>
                  <w:color w:val="000080"/>
                  <w:sz w:val="20"/>
                  <w:u w:val="single"/>
                </w:rPr>
                <w:t xml:space="preserve"> Months Ended </w:t>
              </w:r>
            </w:hyperlink>
            <w:hyperlink w:anchor="i7ea62424d39c4b0ba30f17ae4299dbad_28">
              <w:r>
                <w:rPr>
                  <w:rStyle w:val="InternetLink"/>
                  <w:rFonts w:ascii="Times New Roman;sans-serif" w:hAnsi="Times New Roman;sans-serif"/>
                  <w:b w:val="false"/>
                  <w:color w:val="000080"/>
                  <w:sz w:val="20"/>
                  <w:u w:val="single"/>
                </w:rPr>
                <w:t>June 30</w:t>
              </w:r>
            </w:hyperlink>
            <w:hyperlink w:anchor="i7ea62424d39c4b0ba30f17ae4299dbad_28">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28">
              <w:r>
                <w:rPr>
                  <w:rStyle w:val="InternetLink"/>
                  <w:rFonts w:ascii="Times New Roman;sans-serif" w:hAnsi="Times New Roman;sans-serif"/>
                  <w:b w:val="false"/>
                  <w:color w:val="0000FF"/>
                  <w:sz w:val="20"/>
                  <w:u w:val="single"/>
                </w:rPr>
                <w:t>9</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31">
              <w:r>
                <w:rPr>
                  <w:rStyle w:val="InternetLink"/>
                  <w:rFonts w:ascii="Times New Roman;sans-serif" w:hAnsi="Times New Roman;sans-serif"/>
                  <w:b w:val="false"/>
                  <w:color w:val="000080"/>
                  <w:sz w:val="20"/>
                  <w:u w:val="single"/>
                </w:rPr>
                <w:t xml:space="preserve">Condensed Consolidated Statements of Cash Flows for the Three </w:t>
              </w:r>
            </w:hyperlink>
            <w:hyperlink w:anchor="i7ea62424d39c4b0ba30f17ae4299dbad_31">
              <w:r>
                <w:rPr>
                  <w:rStyle w:val="InternetLink"/>
                  <w:rFonts w:ascii="Times New Roman;sans-serif" w:hAnsi="Times New Roman;sans-serif"/>
                  <w:b w:val="false"/>
                  <w:color w:val="000080"/>
                  <w:sz w:val="20"/>
                  <w:u w:val="single"/>
                </w:rPr>
                <w:t xml:space="preserve">and Six </w:t>
              </w:r>
            </w:hyperlink>
            <w:hyperlink w:anchor="i7ea62424d39c4b0ba30f17ae4299dbad_31">
              <w:r>
                <w:rPr>
                  <w:rStyle w:val="InternetLink"/>
                  <w:rFonts w:ascii="Times New Roman;sans-serif" w:hAnsi="Times New Roman;sans-serif"/>
                  <w:b w:val="false"/>
                  <w:color w:val="000080"/>
                  <w:sz w:val="20"/>
                  <w:u w:val="single"/>
                </w:rPr>
                <w:t xml:space="preserve">Months Ended </w:t>
              </w:r>
            </w:hyperlink>
            <w:hyperlink w:anchor="i7ea62424d39c4b0ba30f17ae4299dbad_31">
              <w:r>
                <w:rPr>
                  <w:rStyle w:val="InternetLink"/>
                  <w:rFonts w:ascii="Times New Roman;sans-serif" w:hAnsi="Times New Roman;sans-serif"/>
                  <w:b w:val="false"/>
                  <w:color w:val="000080"/>
                  <w:sz w:val="20"/>
                  <w:u w:val="single"/>
                </w:rPr>
                <w:t>June 30</w:t>
              </w:r>
            </w:hyperlink>
            <w:hyperlink w:anchor="i7ea62424d39c4b0ba30f17ae4299dbad_31">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31">
              <w:r>
                <w:rPr>
                  <w:rStyle w:val="InternetLink"/>
                  <w:rFonts w:ascii="Times New Roman;sans-serif" w:hAnsi="Times New Roman;sans-serif"/>
                  <w:b w:val="false"/>
                  <w:color w:val="0000FF"/>
                  <w:sz w:val="20"/>
                  <w:u w:val="single"/>
                </w:rPr>
                <w:t>10</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34">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34">
              <w:r>
                <w:rPr>
                  <w:rStyle w:val="InternetLink"/>
                  <w:rFonts w:ascii="Times New Roman;sans-serif" w:hAnsi="Times New Roman;sans-serif"/>
                  <w:b w:val="false"/>
                  <w:color w:val="0000FF"/>
                  <w:sz w:val="20"/>
                  <w:u w:val="single"/>
                </w:rPr>
                <w:t>12</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00">
              <w:r>
                <w:rPr>
                  <w:rStyle w:val="InternetLink"/>
                  <w:rFonts w:ascii="Times New Roman;sans-serif" w:hAnsi="Times New Roman;sans-serif"/>
                  <w:b w:val="false"/>
                  <w:color w:val="0000FF"/>
                  <w:sz w:val="20"/>
                  <w:u w:val="single"/>
                </w:rPr>
                <w:t>41</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12">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12">
              <w:r>
                <w:rPr>
                  <w:rStyle w:val="InternetLink"/>
                  <w:rFonts w:ascii="Times New Roman;sans-serif" w:hAnsi="Times New Roman;sans-serif"/>
                  <w:b w:val="false"/>
                  <w:color w:val="0000FF"/>
                  <w:sz w:val="20"/>
                  <w:u w:val="single"/>
                </w:rPr>
                <w:t>53</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15">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15">
              <w:r>
                <w:rPr>
                  <w:rStyle w:val="InternetLink"/>
                  <w:rFonts w:ascii="Times New Roman;sans-serif" w:hAnsi="Times New Roman;sans-serif"/>
                  <w:b w:val="false"/>
                  <w:color w:val="0000FF"/>
                  <w:sz w:val="20"/>
                  <w:u w:val="single"/>
                </w:rPr>
                <w:t>54</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18">
              <w:r>
                <w:rPr>
                  <w:rStyle w:val="InternetLink"/>
                  <w:rFonts w:ascii="Times New Roman;sans-serif" w:hAnsi="Times New Roman;sans-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21">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21">
              <w:r>
                <w:rPr>
                  <w:rStyle w:val="InternetLink"/>
                  <w:rFonts w:ascii="Times New Roman;sans-serif" w:hAnsi="Times New Roman;sans-serif"/>
                  <w:b w:val="false"/>
                  <w:color w:val="0000FF"/>
                  <w:sz w:val="20"/>
                  <w:u w:val="single"/>
                </w:rPr>
                <w:t>54</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Item1A.</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24">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24">
              <w:r>
                <w:rPr>
                  <w:rStyle w:val="InternetLink"/>
                  <w:rFonts w:ascii="Times New Roman;sans-serif" w:hAnsi="Times New Roman;sans-serif"/>
                  <w:b w:val="false"/>
                  <w:color w:val="0000FF"/>
                  <w:sz w:val="20"/>
                  <w:u w:val="single"/>
                </w:rPr>
                <w:t>55</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27">
              <w:r>
                <w:rPr>
                  <w:rStyle w:val="InternetLink"/>
                  <w:rFonts w:ascii="Times New Roman;sans-serif" w:hAnsi="Times New Roman;sans-serif"/>
                  <w:b w:val="false"/>
                  <w:color w:val="000080"/>
                  <w:sz w:val="20"/>
                  <w:u w:val="single"/>
                </w:rPr>
                <w:t>Unregistered Sales of Equity Securities</w:t>
              </w:r>
            </w:hyperlink>
            <w:hyperlink w:anchor="i7ea62424d39c4b0ba30f17ae4299dbad_127">
              <w:r>
                <w:rPr>
                  <w:rStyle w:val="InternetLink"/>
                  <w:rFonts w:ascii="Times New Roman;sans-serif" w:hAnsi="Times New Roman;sans-serif"/>
                  <w:b w:val="false"/>
                  <w:color w:val="000080"/>
                  <w:sz w:val="20"/>
                  <w:u w:val="single"/>
                </w:rPr>
                <w:t>,</w:t>
              </w:r>
            </w:hyperlink>
            <w:hyperlink w:anchor="i7ea62424d39c4b0ba30f17ae4299dbad_127">
              <w:r>
                <w:rPr>
                  <w:rStyle w:val="InternetLink"/>
                  <w:rFonts w:ascii="Times New Roman;sans-serif" w:hAnsi="Times New Roman;sans-serif"/>
                  <w:b w:val="false"/>
                  <w:color w:val="000080"/>
                  <w:sz w:val="20"/>
                  <w:u w:val="single"/>
                </w:rPr>
                <w:t xml:space="preserve"> Use of Proceeds</w:t>
              </w:r>
            </w:hyperlink>
            <w:hyperlink w:anchor="i7ea62424d39c4b0ba30f17ae4299dbad_127">
              <w:r>
                <w:rPr>
                  <w:rStyle w:val="InternetLink"/>
                  <w:rFonts w:ascii="Times New Roman;sans-serif" w:hAnsi="Times New Roman;sans-serif"/>
                  <w:b w:val="false"/>
                  <w:color w:val="000080"/>
                  <w:sz w:val="20"/>
                  <w:u w:val="single"/>
                </w:rPr>
                <w:t xml:space="preserve">, </w:t>
              </w:r>
            </w:hyperlink>
            <w:hyperlink w:anchor="i7ea62424d39c4b0ba30f17ae4299dbad_127">
              <w:r>
                <w:rPr>
                  <w:rStyle w:val="InternetLink"/>
                  <w:rFonts w:ascii="Times New Roman;sans-serif" w:hAnsi="Times New Roman;sans-serif"/>
                  <w:b w:val="false"/>
                  <w:color w:val="000080"/>
                  <w:sz w:val="20"/>
                  <w:u w:val="single"/>
                </w:rPr>
                <w:t>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27">
              <w:r>
                <w:rPr>
                  <w:rStyle w:val="InternetLink"/>
                  <w:rFonts w:ascii="Times New Roman;sans-serif" w:hAnsi="Times New Roman;sans-serif"/>
                  <w:b w:val="false"/>
                  <w:color w:val="0000FF"/>
                  <w:sz w:val="20"/>
                  <w:u w:val="single"/>
                </w:rPr>
                <w:t>55</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159">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30">
              <w:r>
                <w:rPr>
                  <w:rStyle w:val="InternetLink"/>
                  <w:rFonts w:ascii="Times New Roman;sans-serif" w:hAnsi="Times New Roman;sans-serif"/>
                  <w:b w:val="false"/>
                  <w:color w:val="0000FF"/>
                  <w:sz w:val="20"/>
                  <w:u w:val="single"/>
                </w:rPr>
                <w:t>55</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30">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30">
              <w:r>
                <w:rPr>
                  <w:rStyle w:val="InternetLink"/>
                  <w:rFonts w:ascii="Times New Roman;sans-serif" w:hAnsi="Times New Roman;sans-serif"/>
                  <w:b w:val="false"/>
                  <w:color w:val="0000FF"/>
                  <w:sz w:val="20"/>
                  <w:u w:val="single"/>
                </w:rPr>
                <w:t>55</w:t>
              </w:r>
            </w:hyperlink>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ea62424d39c4b0ba30f17ae4299dbad_133">
              <w:r>
                <w:rPr>
                  <w:rStyle w:val="InternetLink"/>
                  <w:rFonts w:ascii="Times New Roman;sans-serif" w:hAnsi="Times New Roman;sans-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ea62424d39c4b0ba30f17ae4299dbad_133">
              <w:r>
                <w:rPr>
                  <w:rStyle w:val="InternetLink"/>
                  <w:rFonts w:ascii="Times New Roman;sans-serif" w:hAnsi="Times New Roman;sans-serif"/>
                  <w:b w:val="false"/>
                  <w:color w:val="0000FF"/>
                  <w:sz w:val="20"/>
                  <w:u w:val="singl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Various portions of this Quarterly Report on Form 10-Q, including Part 1. Item 2 </w:t>
      </w:r>
      <w:r>
        <w:rPr>
          <w:color w:val="000000"/>
          <w:shd w:fill="FFFFFF" w:val="clear"/>
        </w:rPr>
        <w:t>“</w:t>
      </w:r>
      <w:r>
        <w:rPr>
          <w:rFonts w:ascii="Times New Roman;sans-serif" w:hAnsi="Times New Roman;sans-serif"/>
          <w:b w:val="false"/>
          <w:color w:val="000000"/>
          <w:sz w:val="20"/>
        </w:rPr>
        <w:t xml:space="preserve">Management’s Discussion and Analysis of Financial Condition and Results of Operations,”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w:t>
      </w:r>
      <w:r>
        <w:rPr>
          <w:color w:val="000000"/>
          <w:shd w:fill="FFFFFF" w:val="clear"/>
        </w:rPr>
        <w:t>“</w:t>
      </w:r>
      <w:r>
        <w:rPr>
          <w:rFonts w:ascii="Times New Roman;sans-serif" w:hAnsi="Times New Roman;sans-serif"/>
          <w:b w:val="false"/>
          <w:color w:val="000000"/>
          <w:sz w:val="20"/>
        </w:rPr>
        <w:t xml:space="preserve">anticipate,” </w:t>
      </w:r>
      <w:r>
        <w:rPr>
          <w:color w:val="000000"/>
          <w:shd w:fill="FFFFFF" w:val="clear"/>
        </w:rPr>
        <w:t>“</w:t>
      </w:r>
      <w:r>
        <w:rPr>
          <w:rFonts w:ascii="Times New Roman;sans-serif" w:hAnsi="Times New Roman;sans-serif"/>
          <w:b w:val="false"/>
          <w:color w:val="000000"/>
          <w:sz w:val="20"/>
        </w:rPr>
        <w:t xml:space="preserve">believe,” </w:t>
      </w:r>
      <w:r>
        <w:rPr>
          <w:color w:val="000000"/>
          <w:shd w:fill="FFFFFF" w:val="clear"/>
        </w:rPr>
        <w:t>“</w:t>
      </w:r>
      <w:r>
        <w:rPr>
          <w:rFonts w:ascii="Times New Roman;sans-serif" w:hAnsi="Times New Roman;sans-serif"/>
          <w:b w:val="false"/>
          <w:color w:val="000000"/>
          <w:sz w:val="20"/>
        </w:rPr>
        <w:t xml:space="preserve">expect,” </w:t>
      </w:r>
      <w:r>
        <w:rPr>
          <w:color w:val="000000"/>
          <w:shd w:fill="FFFFFF" w:val="clear"/>
        </w:rPr>
        <w:t>“</w:t>
      </w:r>
      <w:r>
        <w:rPr>
          <w:rFonts w:ascii="Times New Roman;sans-serif" w:hAnsi="Times New Roman;sans-serif"/>
          <w:b w:val="false"/>
          <w:color w:val="000000"/>
          <w:sz w:val="20"/>
        </w:rPr>
        <w:t xml:space="preserve">estimate,” </w:t>
      </w:r>
      <w:r>
        <w:rPr>
          <w:color w:val="000000"/>
          <w:shd w:fill="FFFFFF" w:val="clear"/>
        </w:rPr>
        <w:t>“</w:t>
      </w:r>
      <w:r>
        <w:rPr>
          <w:rFonts w:ascii="Times New Roman;sans-serif" w:hAnsi="Times New Roman;sans-serif"/>
          <w:b w:val="false"/>
          <w:color w:val="000000"/>
          <w:sz w:val="20"/>
        </w:rPr>
        <w:t xml:space="preserve">intend,” </w:t>
      </w:r>
      <w:r>
        <w:rPr>
          <w:color w:val="000000"/>
          <w:shd w:fill="FFFFFF" w:val="clear"/>
        </w:rPr>
        <w:t>“</w:t>
      </w:r>
      <w:r>
        <w:rPr>
          <w:rFonts w:ascii="Times New Roman;sans-serif" w:hAnsi="Times New Roman;sans-serif"/>
          <w:b w:val="false"/>
          <w:color w:val="000000"/>
          <w:sz w:val="20"/>
        </w:rPr>
        <w:t xml:space="preserve">plan,” </w:t>
      </w:r>
      <w:r>
        <w:rPr>
          <w:color w:val="000000"/>
          <w:shd w:fill="FFFFFF" w:val="clear"/>
        </w:rPr>
        <w:t>“</w:t>
      </w:r>
      <w:r>
        <w:rPr>
          <w:rFonts w:ascii="Times New Roman;sans-serif" w:hAnsi="Times New Roman;sans-serif"/>
          <w:b w:val="false"/>
          <w:color w:val="000000"/>
          <w:sz w:val="20"/>
        </w:rPr>
        <w:t xml:space="preserve">will,” </w:t>
      </w:r>
      <w:r>
        <w:rPr>
          <w:color w:val="000000"/>
          <w:shd w:fill="FFFFFF" w:val="clear"/>
        </w:rPr>
        <w:t>“</w:t>
      </w:r>
      <w:r>
        <w:rPr>
          <w:rFonts w:ascii="Times New Roman;sans-serif" w:hAnsi="Times New Roman;sans-serif"/>
          <w:b w:val="false"/>
          <w:color w:val="000000"/>
          <w:sz w:val="20"/>
        </w:rPr>
        <w:t xml:space="preserve">continue,” </w:t>
      </w:r>
      <w:r>
        <w:rPr>
          <w:color w:val="000000"/>
          <w:shd w:fill="FFFFFF" w:val="clear"/>
        </w:rPr>
        <w:t>“</w:t>
      </w:r>
      <w:r>
        <w:rPr>
          <w:rFonts w:ascii="Times New Roman;sans-serif" w:hAnsi="Times New Roman;sans-serif"/>
          <w:b w:val="false"/>
          <w:color w:val="000000"/>
          <w:sz w:val="20"/>
        </w:rPr>
        <w:t xml:space="preserve">could,” </w:t>
      </w:r>
      <w:r>
        <w:rPr>
          <w:color w:val="000000"/>
          <w:shd w:fill="FFFFFF" w:val="clear"/>
        </w:rPr>
        <w:t>“</w:t>
      </w:r>
      <w:r>
        <w:rPr>
          <w:rFonts w:ascii="Times New Roman;sans-serif" w:hAnsi="Times New Roman;sans-serif"/>
          <w:b w:val="false"/>
          <w:color w:val="000000"/>
          <w:sz w:val="20"/>
        </w:rPr>
        <w:t>may,” and by similar expressions and statements about aims, goals and plans. The forward-looking statements are based on the information currently available to us and assumptions that we believe are reasonable, but we do not intend the statements to be representations as to future results. They include, without limitation, statements about: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future operating results and</w:t>
      </w:r>
      <w:r>
        <w:rPr>
          <w:color w:val="000000"/>
          <w:shd w:fill="FFFFFF" w:val="clear"/>
        </w:rPr>
        <w:t xml:space="preserve"> </w:t>
      </w:r>
      <w:r>
        <w:rPr>
          <w:rFonts w:ascii="Times New Roman;sans-serif" w:hAnsi="Times New Roman;sans-serif"/>
          <w:b w:val="false"/>
          <w:color w:val="000000"/>
          <w:sz w:val="20"/>
          <w:shd w:fill="FFFFFF" w:val="clear"/>
        </w:rPr>
        <w:t>financial condition (including, among other things, anticipated sales; accruals for restructuring charges, production costs; gross margins; litigation expense; future SG&amp;A and R&amp;D expenses; manufacturing expenses; our expectations regarding liquidity and capital resources over the next twelve months; capital expenditures;</w:t>
      </w:r>
      <w:r>
        <w:rPr>
          <w:color w:val="000000"/>
        </w:rPr>
        <w:t xml:space="preserve"> </w:t>
      </w:r>
      <w:r>
        <w:rPr>
          <w:rFonts w:ascii="Times New Roman;sans-serif" w:hAnsi="Times New Roman;sans-serif"/>
          <w:b w:val="false"/>
          <w:color w:val="000000"/>
          <w:sz w:val="20"/>
        </w:rPr>
        <w:t>source of funds for capital purchases and operations; future tax rates; alternative sources of capital or financing; changes in working capital items such as receivables and inventory; use of treasury stock; realizable value of our investment securities; future investment alternatives; foreign currency denominated financial instruments; and income taxes;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factors affecting operating results, such as </w:t>
      </w:r>
      <w:r>
        <w:rPr>
          <w:rFonts w:ascii="Times New Roman;sans-serif" w:hAnsi="Times New Roman;sans-serif"/>
          <w:b w:val="false"/>
          <w:color w:val="000000"/>
          <w:sz w:val="20"/>
          <w:shd w:fill="FFFFFF" w:val="clear"/>
        </w:rPr>
        <w:t xml:space="preserve">the impact of an increase in shipping costs; </w:t>
      </w:r>
      <w:r>
        <w:rPr>
          <w:rFonts w:ascii="Times New Roman;sans-serif" w:hAnsi="Times New Roman;sans-serif"/>
          <w:b w:val="false"/>
          <w:color w:val="000000"/>
          <w:sz w:val="20"/>
        </w:rPr>
        <w:t>loss of a strategic relationship; change in demand for our products; domestic and international sales; expansion in international markets,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new or extended contracts with manufacturers and buying organizations; dependence on a small number of customers; loss of larger distributors and the ability to locate other distributors; the outcome of our strategic initiatives; regulatory approvals and compliance; including the work necessary to achieve regulatory compliance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foreign exchange risk; commodity price risk; plans to convert existing space; acquisitions of other businesses or product lines,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acquisitions and the integration of acquired businesses and product lines (including the Smiths Medical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including without limitation,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damage to any of our manufacturing facilities or disruption to our supply chain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prolonged periods of inflation, rising interest rates and the impact of foreign currency exchange rates as a result of the current global macroeconomic and geopolitical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COVID-19 pandemic on the way we, our suppliers and our customers operate and the duration, and the extent to which this will impact our business, future results of operations, liquidity and overall financial 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sales through our distributors;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achieve expected operating efficiencies or expense reductions associated with cost reduction and restructuring efforts;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compete successfully with our competitors and maintain market share;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inability to fund substantial investment in product development and recover such investment through commercial product sales;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decline in demand for our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continuing pressures to reduce healthcare costs and inadequate coverage and reimbursement;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at the FDA, other government agencies or notified bodies caused by funding shortages or global health concerns;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exposure to risks related to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changes in U.S. trade, tax or other policies that restrict imports or increase import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failure to effectively manage our growth and change to our business resulting from the Smiths Medical acquisition or any other future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 more detailed discussion of these factors, see the information under the sections entitled “Summary Risk Factors,” Part I. Item 1A. “Risk Factors” and Part II. Item 7 “Management’s Discussion and Analysis of Financial Condition and Results of Operations” in our Annual Report on Form 10-K for the year ended December 31, 2022 (the “2022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Item1.Financial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2937"/>
        <w:gridCol w:w="2256"/>
        <w:gridCol w:w="2287"/>
        <w:gridCol w:w="196"/>
        <w:gridCol w:w="871"/>
        <w:gridCol w:w="109"/>
        <w:gridCol w:w="109"/>
        <w:gridCol w:w="109"/>
        <w:gridCol w:w="109"/>
        <w:gridCol w:w="196"/>
        <w:gridCol w:w="871"/>
        <w:gridCol w:w="155"/>
      </w:tblGrid>
      <w:tr>
        <w:trPr/>
        <w:tc>
          <w:tcPr>
            <w:tcW w:w="293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SHORT-TERM INVESTMENT SECURITIES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$10,028 at June 30, 2023 and $8,530 at December 31, 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4,515,641 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1,623,675 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preferred stock, $1.00 par value; Authorized — 500 shares; Issued and outstanding — none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$0.10 par value; Authorized — 80,000 shares; Issued — 24,114 shares at June 30, 2023 and 23,995 shares at December 31, 2022; and outstanding — 24,104 shares at June 30, 2023 and 23,993 shares at December 31, 2022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1,331,249 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(10,048 and 1,633 shares,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837,501 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2,089,928 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4,515,641 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 December 31, 2022 balances were derived from audited consolidated financial statements.</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154" w:type="dxa"/>
        <w:jc w:val="center"/>
        <w:tblInd w:w="0" w:type="dxa"/>
        <w:tblLayout w:type="fixed"/>
        <w:tblCellMar>
          <w:top w:w="28" w:type="dxa"/>
          <w:left w:w="28" w:type="dxa"/>
          <w:bottom w:w="28" w:type="dxa"/>
          <w:right w:w="28" w:type="dxa"/>
        </w:tblCellMar>
      </w:tblPr>
      <w:tblGrid>
        <w:gridCol w:w="1538"/>
        <w:gridCol w:w="1349"/>
        <w:gridCol w:w="135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037"/>
        <w:gridCol w:w="1518"/>
        <w:gridCol w:w="1543"/>
        <w:gridCol w:w="211"/>
        <w:gridCol w:w="643"/>
        <w:gridCol w:w="109"/>
        <w:gridCol w:w="109"/>
        <w:gridCol w:w="109"/>
        <w:gridCol w:w="109"/>
        <w:gridCol w:w="211"/>
        <w:gridCol w:w="748"/>
        <w:gridCol w:w="109"/>
        <w:gridCol w:w="109"/>
        <w:gridCol w:w="109"/>
        <w:gridCol w:w="109"/>
        <w:gridCol w:w="196"/>
        <w:gridCol w:w="673"/>
        <w:gridCol w:w="109"/>
        <w:gridCol w:w="109"/>
        <w:gridCol w:w="109"/>
        <w:gridCol w:w="109"/>
        <w:gridCol w:w="196"/>
        <w:gridCol w:w="763"/>
        <w:gridCol w:w="158"/>
      </w:tblGrid>
      <w:tr>
        <w:trPr/>
        <w:tc>
          <w:tcPr>
            <w:tcW w:w="203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50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adjustments, net of tax of $1,687 and $4,730 for the three months ended June 30, 2023 and 2022, respectively, and $(57) and $11,681 for the six months ended June 30, 2023 and 2022, respectively.</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 of $0 for all periods</w:t>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 of tax of $0 for all periods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(118,548)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 (Unaudited)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p>
      <w:pPr>
        <w:pStyle w:val="TextBody"/>
        <w:bidi w:val="0"/>
        <w:spacing w:before="0" w:after="0"/>
        <w:jc w:val="center"/>
        <w:rPr/>
      </w:pPr>
      <w:r>
        <w:rPr/>
      </w:r>
    </w:p>
    <w:p>
      <w:pPr>
        <w:pStyle w:val="TextBody"/>
        <w:bidi w:val="0"/>
        <w:spacing w:before="0" w:after="0"/>
        <w:jc w:val="center"/>
        <w:rPr/>
      </w:pPr>
      <w:r>
        <w:rPr/>
      </w:r>
    </w:p>
    <w:tbl>
      <w:tblPr>
        <w:tblW w:w="10768"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23,995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1,331,249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837,501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(80,978)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2,089,928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1,339,908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827,689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(61,603)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2,100,399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1,345,057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817,755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(48,794)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2,114,818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768" w:type="dxa"/>
        <w:jc w:val="center"/>
        <w:tblInd w:w="0" w:type="dxa"/>
        <w:tblLayout w:type="fixed"/>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21,280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911,787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(19,269)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1,616,031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23,897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1,306,264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873,719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2,178,902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23,899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1,309,598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866,245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(92,275)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2,085,866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p>
      <w:pPr>
        <w:pStyle w:val="TextBody"/>
        <w:bidi w:val="0"/>
        <w:spacing w:lineRule="auto" w:line="288" w:before="0" w:after="0"/>
        <w:jc w:val="center"/>
        <w:rPr/>
      </w:pPr>
      <w:r>
        <w:rPr>
          <w:rFonts w:ascii="Times New Roman;sans-serif" w:hAnsi="Times New Roman;sans-serif"/>
          <w:b w:val="false"/>
          <w:color w:val="000000"/>
          <w:sz w:val="18"/>
        </w:rPr>
        <w:t>(In thousands)</w:t>
      </w:r>
      <w:r>
        <w:rPr>
          <w:color w:val="000000"/>
        </w:rPr>
        <w:t> </w:t>
      </w:r>
    </w:p>
    <w:p>
      <w:pPr>
        <w:pStyle w:val="TextBody"/>
        <w:bidi w:val="0"/>
        <w:spacing w:before="0" w:after="0"/>
        <w:jc w:val="center"/>
        <w:rPr/>
      </w:pPr>
      <w:r>
        <w:rPr/>
      </w:r>
    </w:p>
    <w:tbl>
      <w:tblPr>
        <w:tblW w:w="8587" w:type="dxa"/>
        <w:jc w:val="center"/>
        <w:tblInd w:w="0" w:type="dxa"/>
        <w:tblLayout w:type="fixed"/>
        <w:tblCellMar>
          <w:top w:w="28" w:type="dxa"/>
          <w:left w:w="28" w:type="dxa"/>
          <w:bottom w:w="28" w:type="dxa"/>
          <w:right w:w="28" w:type="dxa"/>
        </w:tblCellMar>
      </w:tblPr>
      <w:tblGrid>
        <w:gridCol w:w="2216"/>
        <w:gridCol w:w="1947"/>
        <w:gridCol w:w="1957"/>
        <w:gridCol w:w="196"/>
        <w:gridCol w:w="736"/>
        <w:gridCol w:w="109"/>
        <w:gridCol w:w="109"/>
        <w:gridCol w:w="109"/>
        <w:gridCol w:w="109"/>
        <w:gridCol w:w="198"/>
        <w:gridCol w:w="747"/>
        <w:gridCol w:w="154"/>
      </w:tblGrid>
      <w:tr>
        <w:trPr/>
        <w:tc>
          <w:tcPr>
            <w:tcW w:w="221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inventory step-up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warranty, returns and field 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plant and equipment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premium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Usage of spare parts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maturities of investment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(1,872,942)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 net of lender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third-party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(297,129)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 - CONTINUED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before="0" w:after="0"/>
        <w:jc w:val="center"/>
        <w:rPr/>
      </w:pPr>
      <w:r>
        <w:rPr/>
      </w:r>
    </w:p>
    <w:tbl>
      <w:tblPr>
        <w:tblW w:w="8498" w:type="dxa"/>
        <w:jc w:val="center"/>
        <w:tblInd w:w="0" w:type="dxa"/>
        <w:tblLayout w:type="fixed"/>
        <w:tblCellMar>
          <w:top w:w="28" w:type="dxa"/>
          <w:left w:w="28" w:type="dxa"/>
          <w:bottom w:w="28" w:type="dxa"/>
          <w:right w:w="28" w:type="dxa"/>
        </w:tblCellMar>
      </w:tblPr>
      <w:tblGrid>
        <w:gridCol w:w="2207"/>
        <w:gridCol w:w="1937"/>
        <w:gridCol w:w="1945"/>
        <w:gridCol w:w="196"/>
        <w:gridCol w:w="556"/>
        <w:gridCol w:w="109"/>
        <w:gridCol w:w="109"/>
        <w:gridCol w:w="109"/>
        <w:gridCol w:w="109"/>
        <w:gridCol w:w="196"/>
        <w:gridCol w:w="871"/>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 for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Detail of assets acquired and liabilities assumed in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assets acquired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acquired/adjusted during period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assumed/Adjustments to liabilities assumed</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(621,206)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Note 1:Basis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2022.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financial statements and footnotes to conform to the presentation used in the current year. In the statements of operations we reclassified interest income to interest expense, net from other expense, net and in Note 5: Revenues, certain reclassifications were made to revenues disaggregated by product line and by geography. Also, in Note 9: Fair Value Measurements the table indicating the Level inputs for the assets and liabilities measured at fair value on a recurring basis was updated to correct the Level input identified for the hedge assets and liabilities. These reclassifications had no impact on total revenues, net loss, shareholder's equity or cash flows as previously reported.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ASU No. 2022-06, Reference Rate Reform: Deferral of the Sunset Date of Topic 848 deferred the sunset date to December 31, 2024.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100.0% of the equity interests in Smiths Medical, the holding company of Smiths Group plc's global medical device business, from Smiths Group International Holdings Limited (“Smiths”). Consistent with our strategic growth plans, the acquisition of Smiths Medical enabled us to broaden our product offerings to include syringe and ambulatory infusion devices, vascular access, and vital care products and to strengthen and expand our global market reach.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Smiths became a related party to us when we issued 2.5 million shares of our common stock as partial consideration for the acquisition of Smiths Medical. Additionally, we entered into a transition services agreement ("TSA") with certain members of Smiths Group, plc. The TSA includes certain information technology, human resource and tax support services for an initial term of twelve months with the option to extend up to 24 months. During the three and six months ended June 30, 2023, we expensed $3.9 million and $7.9 million, respectively, for services provided under the TSA. As of June 30, 2023, we have $1.0 million in open payables related to the services received under the TSA.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Final Purchase Price Allocation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purchase price and the final allocation of the purchase price related to the assets acquired and liabilities assumed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ind w:left="0" w:right="0" w:firstLine="720"/>
        <w:jc w:val="left"/>
        <w:rPr/>
      </w:pPr>
      <w:r>
        <w:rPr/>
      </w:r>
    </w:p>
    <w:tbl>
      <w:tblPr>
        <w:tblW w:w="7232" w:type="dxa"/>
        <w:jc w:val="left"/>
        <w:tblInd w:w="0" w:type="dxa"/>
        <w:tblLayout w:type="fixed"/>
        <w:tblCellMar>
          <w:top w:w="28" w:type="dxa"/>
          <w:left w:w="28" w:type="dxa"/>
          <w:bottom w:w="28" w:type="dxa"/>
          <w:right w:w="28" w:type="dxa"/>
        </w:tblCellMar>
      </w:tblPr>
      <w:tblGrid>
        <w:gridCol w:w="2016"/>
        <w:gridCol w:w="1771"/>
        <w:gridCol w:w="1777"/>
        <w:gridCol w:w="109"/>
        <w:gridCol w:w="109"/>
        <w:gridCol w:w="109"/>
        <w:gridCol w:w="211"/>
        <w:gridCol w:w="97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for acquired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payable to Smiths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ICU Medical, Inc.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(ICU's opening market price on the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ICU shares issued to Smiths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Intangible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not tax 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Identifiable intangible assets include $510.0 million of customer relationships, $400.0 million of developed technology, $30.0 million of internally developed software, and $5.0 million of trademark.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trademark. </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    </w:t>
      </w:r>
      <w:r>
        <w:rPr>
          <w:rFonts w:ascii="Times New Roman;sans-serif" w:hAnsi="Times New Roman;sans-serif"/>
          <w:b w:val="false"/>
          <w:color w:val="000000"/>
          <w:sz w:val="18"/>
        </w:rPr>
        <w:t>Accrued liabilities includes, among other things, accrued warranty reserves, accrued restructuring initiatives, accrued salaries and related benefits, deferred revenue and accrued sales and use taxes.</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and other long-lived assets acquired have been valued utilizing Level 3 inputs as defined in Note 9: Fair Value Measurements. The fair value of identifiable intangible assets was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Smiths Medical is included in our consolidated results beginning on January 7, 2022. Total revenues and net loss attributable to Smiths Medical for the period from January 7, 2022 to June 30, 2022 were estimated to be $437.8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$65.5 million, respectively, and for the three months ended June 30, 2022 were estimated to be $222.9 million and $26.0 million, respectively. The following unaudited pro forma financial information presents the combined results of operations of ICU and Smiths Medical as if the acquisition had occurred on January 1, 2022. The pro forma financial information is presented for informational purposes only and is not indicative of the results of operations that would have been achieved if the acquisition had taken place on the date indicated or of results that may occur in the future. </w:t>
      </w:r>
    </w:p>
    <w:tbl>
      <w:tblPr>
        <w:tblW w:w="7015" w:type="dxa"/>
        <w:jc w:val="left"/>
        <w:tblInd w:w="0" w:type="dxa"/>
        <w:tblLayout w:type="fixed"/>
        <w:tblCellMar>
          <w:top w:w="28" w:type="dxa"/>
          <w:left w:w="28" w:type="dxa"/>
          <w:bottom w:w="28" w:type="dxa"/>
          <w:right w:w="28" w:type="dxa"/>
        </w:tblCellMar>
      </w:tblPr>
      <w:tblGrid>
        <w:gridCol w:w="461"/>
        <w:gridCol w:w="405"/>
        <w:gridCol w:w="408"/>
        <w:gridCol w:w="513"/>
        <w:gridCol w:w="2011"/>
        <w:gridCol w:w="265"/>
        <w:gridCol w:w="109"/>
        <w:gridCol w:w="109"/>
        <w:gridCol w:w="109"/>
        <w:gridCol w:w="413"/>
        <w:gridCol w:w="1911"/>
        <w:gridCol w:w="301"/>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561,004 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results presented above include the impact of the following adjustments: incremental amortization expense on intangible assets acquired of $1.3 million and $55.5 million for the three and six months ended June 30, 2022, incremental interest expense, including amortization of debt discount and debt issuance costs on the Senior Secured Credit Facilities (as defined in Note 17: Long-Term Debt) of $0.8 million and $25.4 million for the three and six months ended June 30, 2022. The unaudited pro forma results include IFRS to U.S. GAAP adjustments for Smiths Medical's historical results and adjustments for accounting policy alignment, which were materially similar to the Company. Any differences in accounting policies were adjusted to reflect the accounting policies of the Company in the unaudited pro forma results presented.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Restructuring, Strategic Transaction and Integration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Restructuring, strategic transaction and integration expenses were $12.4 million and $13.5 million for the three months ended June 30, 2023 and 2022, respectively and $23.4 million and $47.4 million for the six months ended June 30, 2023 and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During the three and six months ended June 30, 2023, restructuring charges were $1.3 million and $4.0 million, respectively, as compared to $1.7 million and $4.9 million, respectively, for the three and six months ended June 30, 2022 and were primarily related to severance costs for all periods.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restructuring-related accrual by major type of cost (in thousands):</w:t>
      </w:r>
    </w:p>
    <w:tbl>
      <w:tblPr>
        <w:tblW w:w="10205" w:type="dxa"/>
        <w:jc w:val="left"/>
        <w:tblInd w:w="0" w:type="dxa"/>
        <w:tblLayout w:type="fixed"/>
        <w:tblCellMar>
          <w:top w:w="28" w:type="dxa"/>
          <w:left w:w="28" w:type="dxa"/>
          <w:bottom w:w="28" w:type="dxa"/>
          <w:right w:w="28" w:type="dxa"/>
        </w:tblCellMar>
      </w:tblPr>
      <w:tblGrid>
        <w:gridCol w:w="1073"/>
        <w:gridCol w:w="941"/>
        <w:gridCol w:w="945"/>
        <w:gridCol w:w="109"/>
        <w:gridCol w:w="109"/>
        <w:gridCol w:w="109"/>
        <w:gridCol w:w="491"/>
        <w:gridCol w:w="1434"/>
        <w:gridCol w:w="253"/>
        <w:gridCol w:w="109"/>
        <w:gridCol w:w="109"/>
        <w:gridCol w:w="109"/>
        <w:gridCol w:w="109"/>
        <w:gridCol w:w="109"/>
        <w:gridCol w:w="650"/>
        <w:gridCol w:w="1899"/>
        <w:gridCol w:w="335"/>
        <w:gridCol w:w="109"/>
        <w:gridCol w:w="109"/>
        <w:gridCol w:w="109"/>
        <w:gridCol w:w="211"/>
        <w:gridCol w:w="616"/>
        <w:gridCol w:w="158"/>
      </w:tblGrid>
      <w:tr>
        <w:trPr/>
        <w:tc>
          <w:tcPr>
            <w:tcW w:w="107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Pay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Retention and Facility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__________________________</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Other, primarily relates to prior year accrued restructuring charges for estimated facility closure costs that were reversed during the three months ended March 31, 2023. </w: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incurred and expensed $11.1 million and $11.8 million in strategic transaction and integration expenses during the three months ended June 30, 2023 and 2022, respectively, and we incurred and expensed $19.4 million and $42.5 million in strategic transaction and integration expenses during the six months ended June 30, 2023 and 2022, respectively,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restructuring, strategic transaction and integration expenses in our condensed consolidated statements of operations. The strategic transaction and integration expenses during the three and six months ended June 30, 2023 were primarily related to consulting expenses and employee costs incurred to integrate our Smiths Medical business acquired in 2022. The strategic transaction and integration expenses for the three and six months ended June 30, 2022 were primarily related to transaction and integration expenses associated with our acquisition of Smiths Medical on January 6, 2022 (see Note 3: Acquisitions) which primarily included legal expenses, bank fees, and employee costs. The six months ended June 30, 2022 also included a United Kingdom stamp tax.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As part of the integration of our acquisition of Smiths Medical, we have now migrated to our new business unit structure of Consumables, Infusion Systems and Vital Care. The vast majority of our sales of products within these business units are made on a stand-alone basis to hospitals and distributors. Our revenues are recorded at the net sales price, which includes an estimate for variable consideration related to rebates, chargebacks and product returns.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stand-alone selling price, and recognize revenue over the period the warranty service is provided.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product line (in thousands):</w:t>
      </w:r>
    </w:p>
    <w:p>
      <w:pPr>
        <w:pStyle w:val="TextBody"/>
        <w:bidi w:val="0"/>
        <w:spacing w:before="0" w:after="0"/>
        <w:ind w:left="0" w:right="0" w:firstLine="720"/>
        <w:jc w:val="left"/>
        <w:rPr/>
      </w:pPr>
      <w:r>
        <w:rPr/>
      </w:r>
    </w:p>
    <w:tbl>
      <w:tblPr>
        <w:tblW w:w="7409" w:type="dxa"/>
        <w:jc w:val="left"/>
        <w:tblInd w:w="0" w:type="dxa"/>
        <w:tblLayout w:type="fixed"/>
        <w:tblCellMar>
          <w:top w:w="28" w:type="dxa"/>
          <w:left w:w="28" w:type="dxa"/>
          <w:bottom w:w="28" w:type="dxa"/>
          <w:right w:w="28" w:type="dxa"/>
        </w:tblCellMar>
      </w:tblPr>
      <w:tblGrid>
        <w:gridCol w:w="541"/>
        <w:gridCol w:w="476"/>
        <w:gridCol w:w="48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net sales to Medline made up approximately 15% of 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geography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8879" w:type="dxa"/>
        <w:jc w:val="center"/>
        <w:tblInd w:w="0" w:type="dxa"/>
        <w:tblLayout w:type="fixed"/>
        <w:tblCellMar>
          <w:top w:w="28" w:type="dxa"/>
          <w:left w:w="28" w:type="dxa"/>
          <w:bottom w:w="28" w:type="dxa"/>
          <w:right w:w="28" w:type="dxa"/>
        </w:tblCellMar>
      </w:tblPr>
      <w:tblGrid>
        <w:gridCol w:w="1074"/>
        <w:gridCol w:w="945"/>
        <w:gridCol w:w="95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Geography</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presents the changes in our contract balances for the six months ended June 30, 2023 and 2022 (in thousands):</w:t>
      </w:r>
    </w:p>
    <w:tbl>
      <w:tblPr>
        <w:tblW w:w="5100" w:type="dxa"/>
        <w:jc w:val="center"/>
        <w:tblInd w:w="0" w:type="dxa"/>
        <w:tblLayout w:type="fixed"/>
        <w:tblCellMar>
          <w:top w:w="28" w:type="dxa"/>
          <w:left w:w="28" w:type="dxa"/>
          <w:bottom w:w="28" w:type="dxa"/>
          <w:right w:w="28" w:type="dxa"/>
        </w:tblCellMar>
      </w:tblPr>
      <w:tblGrid>
        <w:gridCol w:w="1190"/>
        <w:gridCol w:w="1044"/>
        <w:gridCol w:w="1051"/>
        <w:gridCol w:w="330"/>
        <w:gridCol w:w="1245"/>
        <w:gridCol w:w="240"/>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2023</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income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June 30, 2023</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(43,003)</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2022</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deferred revenue</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income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June 30, 2022</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(53,066)</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 grant deferred income is amortized over the life of the related depreciable asset as a reduction to depreciation expense.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are included in accrued liabilities or other long-term liabilities in our condensed consolidated balance sheet based on the expected timing of payments.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revenue from remaining performance obligations is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5696" w:type="dxa"/>
        <w:jc w:val="left"/>
        <w:tblInd w:w="0" w:type="dxa"/>
        <w:tblLayout w:type="fixed"/>
        <w:tblCellMar>
          <w:top w:w="28" w:type="dxa"/>
          <w:left w:w="28" w:type="dxa"/>
          <w:bottom w:w="28" w:type="dxa"/>
          <w:right w:w="28" w:type="dxa"/>
        </w:tblCellMar>
      </w:tblPr>
      <w:tblGrid>
        <w:gridCol w:w="1104"/>
        <w:gridCol w:w="966"/>
        <w:gridCol w:w="975"/>
        <w:gridCol w:w="215"/>
        <w:gridCol w:w="813"/>
        <w:gridCol w:w="111"/>
        <w:gridCol w:w="109"/>
        <w:gridCol w:w="109"/>
        <w:gridCol w:w="109"/>
        <w:gridCol w:w="215"/>
        <w:gridCol w:w="813"/>
        <w:gridCol w:w="157"/>
      </w:tblGrid>
      <w:tr>
        <w:trPr/>
        <w:tc>
          <w:tcPr>
            <w:tcW w:w="11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Timing</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&lt;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 12 Months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deferred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deferred revenue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income*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government grant deferred income is amortized over the life of the related depreciable asset as a reduction to depreciation expense.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includes pump development programs, purchased training and extended warranty.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 the exercise of options to extend is not reasonably certain.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(in thousands):</w:t>
      </w:r>
    </w:p>
    <w:tbl>
      <w:tblPr>
        <w:tblW w:w="8729" w:type="dxa"/>
        <w:jc w:val="center"/>
        <w:tblInd w:w="0" w:type="dxa"/>
        <w:tblLayout w:type="fixed"/>
        <w:tblCellMar>
          <w:top w:w="28" w:type="dxa"/>
          <w:left w:w="28" w:type="dxa"/>
          <w:bottom w:w="28" w:type="dxa"/>
          <w:right w:w="28" w:type="dxa"/>
        </w:tblCellMar>
      </w:tblPr>
      <w:tblGrid>
        <w:gridCol w:w="1356"/>
        <w:gridCol w:w="1193"/>
        <w:gridCol w:w="120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reduction of ROU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our finance leases is included in interest expense, net in our condensed consolidated statements of operations. The reduction of the operating and finance ROU assets is included as noncash lease expense in selling, general and administrative expenses in our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information related to our leases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8318" w:type="dxa"/>
        <w:jc w:val="center"/>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operating leases (in thousands, except lease term and discount rate):</w:t>
      </w:r>
    </w:p>
    <w:tbl>
      <w:tblPr>
        <w:tblW w:w="6820" w:type="dxa"/>
        <w:jc w:val="center"/>
        <w:tblInd w:w="0" w:type="dxa"/>
        <w:tblLayout w:type="fixed"/>
        <w:tblCellMar>
          <w:top w:w="28" w:type="dxa"/>
          <w:left w:w="28" w:type="dxa"/>
          <w:bottom w:w="28" w:type="dxa"/>
          <w:right w:w="28" w:type="dxa"/>
        </w:tblCellMar>
      </w:tblPr>
      <w:tblGrid>
        <w:gridCol w:w="1358"/>
        <w:gridCol w:w="1192"/>
        <w:gridCol w:w="1199"/>
        <w:gridCol w:w="412"/>
        <w:gridCol w:w="213"/>
        <w:gridCol w:w="530"/>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finance leases (in thousands, except lease term and discount rate):</w:t>
      </w:r>
    </w:p>
    <w:tbl>
      <w:tblPr>
        <w:tblW w:w="6821" w:type="dxa"/>
        <w:jc w:val="center"/>
        <w:tblInd w:w="0" w:type="dxa"/>
        <w:tblLayout w:type="fixed"/>
        <w:tblCellMar>
          <w:top w:w="28" w:type="dxa"/>
          <w:left w:w="28" w:type="dxa"/>
          <w:bottom w:w="28" w:type="dxa"/>
          <w:right w:w="28" w:type="dxa"/>
        </w:tblCellMar>
      </w:tblPr>
      <w:tblGrid>
        <w:gridCol w:w="1358"/>
        <w:gridCol w:w="1192"/>
        <w:gridCol w:w="1200"/>
        <w:gridCol w:w="412"/>
        <w:gridCol w:w="213"/>
        <w:gridCol w:w="530"/>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maturities of our operating and finance lease liabilities for each of the next five years are approximately (in thousands):</w:t>
      </w:r>
    </w:p>
    <w:tbl>
      <w:tblPr>
        <w:tblW w:w="5245" w:type="dxa"/>
        <w:jc w:val="center"/>
        <w:tblInd w:w="0" w:type="dxa"/>
        <w:tblLayout w:type="fixed"/>
        <w:tblCellMar>
          <w:top w:w="28" w:type="dxa"/>
          <w:left w:w="28" w:type="dxa"/>
          <w:bottom w:w="28" w:type="dxa"/>
          <w:right w:w="28" w:type="dxa"/>
        </w:tblCellMar>
      </w:tblPr>
      <w:tblGrid>
        <w:gridCol w:w="684"/>
        <w:gridCol w:w="601"/>
        <w:gridCol w:w="605"/>
        <w:gridCol w:w="322"/>
        <w:gridCol w:w="1101"/>
        <w:gridCol w:w="166"/>
        <w:gridCol w:w="109"/>
        <w:gridCol w:w="109"/>
        <w:gridCol w:w="109"/>
        <w:gridCol w:w="309"/>
        <w:gridCol w:w="904"/>
        <w:gridCol w:w="226"/>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88,890 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Net Loss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three and six months ended June 30, 2023 and 2022, any potentially dilutive common shares were not included in the computation of diluted earnings per share as they would have had an anti-dilutive effect; therefore, basic and diluted net loss per share are equal for each of the three and six months ended June 30, 2023 and 2022.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The following table presents the calculation of net earnings per common share (“EPS”) — basic and diluted (in thousands, except per share data):  </w:t>
      </w:r>
    </w:p>
    <w:tbl>
      <w:tblPr>
        <w:tblW w:w="10205" w:type="dxa"/>
        <w:jc w:val="left"/>
        <w:tblInd w:w="0" w:type="dxa"/>
        <w:tblLayout w:type="fixed"/>
        <w:tblCellMar>
          <w:top w:w="28" w:type="dxa"/>
          <w:left w:w="28" w:type="dxa"/>
          <w:bottom w:w="28" w:type="dxa"/>
          <w:right w:w="28" w:type="dxa"/>
        </w:tblCellMar>
      </w:tblPr>
      <w:tblGrid>
        <w:gridCol w:w="1810"/>
        <w:gridCol w:w="1582"/>
        <w:gridCol w:w="1611"/>
        <w:gridCol w:w="211"/>
        <w:gridCol w:w="671"/>
        <w:gridCol w:w="109"/>
        <w:gridCol w:w="109"/>
        <w:gridCol w:w="109"/>
        <w:gridCol w:w="109"/>
        <w:gridCol w:w="211"/>
        <w:gridCol w:w="671"/>
        <w:gridCol w:w="109"/>
        <w:gridCol w:w="109"/>
        <w:gridCol w:w="109"/>
        <w:gridCol w:w="109"/>
        <w:gridCol w:w="211"/>
        <w:gridCol w:w="776"/>
        <w:gridCol w:w="109"/>
        <w:gridCol w:w="109"/>
        <w:gridCol w:w="109"/>
        <w:gridCol w:w="109"/>
        <w:gridCol w:w="211"/>
        <w:gridCol w:w="776"/>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Dilutive securities</w:t>
            </w:r>
            <w:r>
              <w:rPr>
                <w:rFonts w:ascii="Times New Roman;sans-serif" w:hAnsi="Times New Roman;sans-serif"/>
                <w:b w:val="false"/>
                <w:color w:val="000000"/>
                <w:sz w:val="13"/>
              </w:rPr>
              <w:t>(1)</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 outstanding (diluted)</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Due to the net loss for the three and six months ended June 30, 2023 and 2022, there are no potentially dilutive common shares included in the computation of diluted earnings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Swedish Krona ("SEK"), Danish Krone ("DKK"), Chinese Renminbi ("CNH"), Canadian Dollar ("CAD"), U.S. Dollar ("USD") and Australian Dollar ("AUD") and have varying maturities with an average term of approximately eleven months. The total notional amount of these outstanding derivative contracts as of June 30, 2023 was $176.7 million, which included the notional equivalent of $45.9 million in MXN, $30.4 million in Euros, $8.6 million in CZK, $18.4 million in JPY, $7.9 million in CNH, $18.0 million in CAD, $13.2 million in AUD, $30.3 million in USD and $4.1 million in other foreign currencies, with terms currently through January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Cross-currency Par Forward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June 30, 2022 was approximately 208.2 million MXN. This derivative instrument matured in equal monthly amounts at a fixed forward rate of 21.60 MXN/USD.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3-months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3-months USD SOFR or 0.35%.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entered into an additional interest rate swap that hedges both term loan A and term loan B interest payments. The total notional amount of the swap is $300 million. The hedge matures on June 30, 2028. We will pay a fixed rate of 3.88% and will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swaps effectively convert the relevant portion of the floating-rate term loans to fixed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values of our derivative instruments included within the Condensed Consolidated Balance Sheets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75"/>
        <w:gridCol w:w="1121"/>
        <w:gridCol w:w="1127"/>
        <w:gridCol w:w="109"/>
        <w:gridCol w:w="109"/>
        <w:gridCol w:w="109"/>
        <w:gridCol w:w="435"/>
        <w:gridCol w:w="1440"/>
        <w:gridCol w:w="241"/>
        <w:gridCol w:w="210"/>
        <w:gridCol w:w="210"/>
        <w:gridCol w:w="210"/>
        <w:gridCol w:w="379"/>
        <w:gridCol w:w="1251"/>
        <w:gridCol w:w="210"/>
        <w:gridCol w:w="109"/>
        <w:gridCol w:w="109"/>
        <w:gridCol w:w="109"/>
        <w:gridCol w:w="280"/>
        <w:gridCol w:w="930"/>
        <w:gridCol w:w="232"/>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Condensed 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Contracts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48,931 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55,184 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gains on our derivative instruments designated as cash flow hedges in other comprehensive income before reclassifications to net loss (in thousands):</w:t>
      </w:r>
    </w:p>
    <w:p>
      <w:pPr>
        <w:pStyle w:val="TextBody"/>
        <w:bidi w:val="0"/>
        <w:spacing w:before="0" w:after="0"/>
        <w:ind w:left="0" w:right="0" w:firstLine="720"/>
        <w:jc w:val="left"/>
        <w:rPr/>
      </w:pPr>
      <w:r>
        <w:rPr/>
      </w:r>
    </w:p>
    <w:tbl>
      <w:tblPr>
        <w:tblW w:w="9657" w:type="dxa"/>
        <w:jc w:val="left"/>
        <w:tblInd w:w="0" w:type="dxa"/>
        <w:tblLayout w:type="fixed"/>
        <w:tblCellMar>
          <w:top w:w="28" w:type="dxa"/>
          <w:left w:w="28" w:type="dxa"/>
          <w:bottom w:w="28" w:type="dxa"/>
          <w:right w:w="28" w:type="dxa"/>
        </w:tblCellMar>
      </w:tblPr>
      <w:tblGrid>
        <w:gridCol w:w="1630"/>
        <w:gridCol w:w="1433"/>
        <w:gridCol w:w="1437"/>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Recognized in Other Comprehensive Income</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effects of our derivative instruments designated as cash flow hedges on the Condensed Consolidated Statements of Operations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center"/>
        <w:tblInd w:w="0" w:type="dxa"/>
        <w:tblLayout w:type="fixed"/>
        <w:tblCellMar>
          <w:top w:w="28" w:type="dxa"/>
          <w:left w:w="28" w:type="dxa"/>
          <w:bottom w:w="28" w:type="dxa"/>
          <w:right w:w="28" w:type="dxa"/>
        </w:tblCellMar>
      </w:tblPr>
      <w:tblGrid>
        <w:gridCol w:w="878"/>
        <w:gridCol w:w="771"/>
        <w:gridCol w:w="774"/>
        <w:gridCol w:w="109"/>
        <w:gridCol w:w="109"/>
        <w:gridCol w:w="109"/>
        <w:gridCol w:w="653"/>
        <w:gridCol w:w="653"/>
        <w:gridCol w:w="656"/>
        <w:gridCol w:w="120"/>
        <w:gridCol w:w="120"/>
        <w:gridCol w:w="120"/>
        <w:gridCol w:w="216"/>
        <w:gridCol w:w="712"/>
        <w:gridCol w:w="120"/>
        <w:gridCol w:w="120"/>
        <w:gridCol w:w="120"/>
        <w:gridCol w:w="120"/>
        <w:gridCol w:w="216"/>
        <w:gridCol w:w="613"/>
        <w:gridCol w:w="120"/>
        <w:gridCol w:w="120"/>
        <w:gridCol w:w="120"/>
        <w:gridCol w:w="120"/>
        <w:gridCol w:w="216"/>
        <w:gridCol w:w="712"/>
        <w:gridCol w:w="120"/>
        <w:gridCol w:w="120"/>
        <w:gridCol w:w="120"/>
        <w:gridCol w:w="120"/>
        <w:gridCol w:w="216"/>
        <w:gridCol w:w="613"/>
        <w:gridCol w:w="179"/>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(Loss) Reclassified From Accumulated Other Comprehensive Loss into Income</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Income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location of gain reclassified from accumulated other comprehensive loss into income as a result of ineffectiveness.</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Represents location of gain reclassified from accumulated other comprehensive loss into income as a result of forecasted transactions no longer probable of occurring.</w:t>
      </w:r>
    </w:p>
    <w:p>
      <w:pPr>
        <w:pStyle w:val="TextBody"/>
        <w:bidi w:val="0"/>
        <w:spacing w:before="0" w:after="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expect an estimated $7.7 million in deferred gains on the outstanding foreign exchange contracts and an estimated $32.7 million in deferred gains on the interest rate swaps will be reclassified from accumulated other comprehensive loss to net income during the next 12 months concurrent with the underlying hedged transactions also being reported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There are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Earn-out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June 30, 2023, the estimated fair value of the contingent earn-out is $22.6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June 30, 2023, the estimated fair value for the contingent earn-out related to certain product-related regulatory certifications was estimated to be $1.5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June 30, 2023, the estimated fair value of the contingent earn-out is $4.3 million. The estimated fair value of the contingent earn-out is calculated using a probability-weighted cash flow model based on historical revenue streams and the likelihood that the revenue targets will be met.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contingent earn-out liabilities are separately stated on our condensed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a reconciliation of the Level 3 earn-out liabilities measured at estimated fair value (in thousands): </w:t>
      </w:r>
    </w:p>
    <w:tbl>
      <w:tblPr>
        <w:tblW w:w="9612" w:type="dxa"/>
        <w:jc w:val="left"/>
        <w:tblInd w:w="0" w:type="dxa"/>
        <w:tblLayout w:type="fixed"/>
        <w:tblCellMar>
          <w:top w:w="28" w:type="dxa"/>
          <w:left w:w="28" w:type="dxa"/>
          <w:bottom w:w="28" w:type="dxa"/>
          <w:right w:w="28" w:type="dxa"/>
        </w:tblCellMar>
      </w:tblPr>
      <w:tblGrid>
        <w:gridCol w:w="2802"/>
        <w:gridCol w:w="2464"/>
        <w:gridCol w:w="2474"/>
        <w:gridCol w:w="109"/>
        <w:gridCol w:w="109"/>
        <w:gridCol w:w="109"/>
        <w:gridCol w:w="300"/>
        <w:gridCol w:w="1026"/>
        <w:gridCol w:w="219"/>
      </w:tblGrid>
      <w:tr>
        <w:trPr/>
        <w:tc>
          <w:tcPr>
            <w:tcW w:w="2802"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tbl>
      <w:tblPr>
        <w:tblW w:w="9612" w:type="dxa"/>
        <w:jc w:val="center"/>
        <w:tblInd w:w="0" w:type="dxa"/>
        <w:tblLayout w:type="fixed"/>
        <w:tblCellMar>
          <w:top w:w="28" w:type="dxa"/>
          <w:left w:w="28" w:type="dxa"/>
          <w:bottom w:w="28" w:type="dxa"/>
          <w:right w:w="28" w:type="dxa"/>
        </w:tblCellMar>
      </w:tblPr>
      <w:tblGrid>
        <w:gridCol w:w="2802"/>
        <w:gridCol w:w="2463"/>
        <w:gridCol w:w="2475"/>
        <w:gridCol w:w="109"/>
        <w:gridCol w:w="109"/>
        <w:gridCol w:w="109"/>
        <w:gridCol w:w="300"/>
        <w:gridCol w:w="1026"/>
        <w:gridCol w:w="219"/>
      </w:tblGrid>
      <w:tr>
        <w:trPr/>
        <w:tc>
          <w:tcPr>
            <w:tcW w:w="2802"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date fair value estimate of earn-out</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Primarily relates to Smiths Medical.</w:t>
      </w:r>
    </w:p>
    <w:p>
      <w:pPr>
        <w:pStyle w:val="TextBody"/>
        <w:bidi w:val="0"/>
        <w:spacing w:lineRule="auto" w:line="288" w:before="0" w:after="6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$2.3 million relates to Smiths Medical and $1.7 million relates to the earn-out in connection with our acquisition of a small foreign infusions systems supplier.</w:t>
      </w:r>
    </w:p>
    <w:p>
      <w:pPr>
        <w:pStyle w:val="TextBody"/>
        <w:bidi w:val="0"/>
        <w:spacing w:lineRule="auto" w:line="288" w:before="0" w:after="6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$53.5 million relates to our acquisition of Smiths Medical and $1.6 million relates to our acquisition of a small foreign infusions systems supplier in the fourth quarter of 2021 (see Note 3: Acquisitions).</w:t>
      </w:r>
    </w:p>
    <w:p>
      <w:pPr>
        <w:pStyle w:val="TextBody"/>
        <w:bidi w:val="0"/>
        <w:spacing w:lineRule="auto" w:line="288" w:before="0" w:after="6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quantitative information about Level 3 inputs for fair value measurement of our earn-out liabilities related to Smiths Medical: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Smiths Medical Earn-out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5100" w:type="dxa"/>
        <w:jc w:val="left"/>
        <w:tblInd w:w="0" w:type="dxa"/>
        <w:tblLayout w:type="fixed"/>
        <w:tblCellMar>
          <w:top w:w="28" w:type="dxa"/>
          <w:left w:w="28" w:type="dxa"/>
          <w:bottom w:w="28" w:type="dxa"/>
          <w:right w:w="28" w:type="dxa"/>
        </w:tblCellMar>
      </w:tblPr>
      <w:tblGrid>
        <w:gridCol w:w="527"/>
        <w:gridCol w:w="463"/>
        <w:gridCol w:w="465"/>
        <w:gridCol w:w="109"/>
        <w:gridCol w:w="109"/>
        <w:gridCol w:w="109"/>
        <w:gridCol w:w="109"/>
        <w:gridCol w:w="109"/>
        <w:gridCol w:w="278"/>
        <w:gridCol w:w="278"/>
        <w:gridCol w:w="627"/>
        <w:gridCol w:w="109"/>
        <w:gridCol w:w="109"/>
        <w:gridCol w:w="109"/>
        <w:gridCol w:w="333"/>
        <w:gridCol w:w="333"/>
        <w:gridCol w:w="92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Simulation Input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December 31, 2022</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Investments, Foreign Exchange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investments consist of corporate and government bonds and U.S. treasury securities. The fair value of our corporate and government bonds is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assets and liabilities measured at fair value on a recurring basis consisted of the following Level 1, 2 and 3 inputs as defined above (in thousands):</w:t>
      </w:r>
    </w:p>
    <w:tbl>
      <w:tblPr>
        <w:tblW w:w="9814" w:type="dxa"/>
        <w:jc w:val="center"/>
        <w:tblInd w:w="0" w:type="dxa"/>
        <w:tblLayout w:type="fixed"/>
        <w:tblCellMar>
          <w:top w:w="28" w:type="dxa"/>
          <w:left w:w="28" w:type="dxa"/>
          <w:bottom w:w="28" w:type="dxa"/>
          <w:right w:w="28" w:type="dxa"/>
        </w:tblCellMar>
      </w:tblPr>
      <w:tblGrid>
        <w:gridCol w:w="1245"/>
        <w:gridCol w:w="1099"/>
        <w:gridCol w:w="1105"/>
        <w:gridCol w:w="276"/>
        <w:gridCol w:w="946"/>
        <w:gridCol w:w="144"/>
        <w:gridCol w:w="109"/>
        <w:gridCol w:w="109"/>
        <w:gridCol w:w="109"/>
        <w:gridCol w:w="378"/>
        <w:gridCol w:w="729"/>
        <w:gridCol w:w="197"/>
        <w:gridCol w:w="109"/>
        <w:gridCol w:w="109"/>
        <w:gridCol w:w="109"/>
        <w:gridCol w:w="270"/>
        <w:gridCol w:w="924"/>
        <w:gridCol w:w="141"/>
        <w:gridCol w:w="109"/>
        <w:gridCol w:w="109"/>
        <w:gridCol w:w="109"/>
        <w:gridCol w:w="267"/>
        <w:gridCol w:w="916"/>
        <w:gridCol w:w="196"/>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June 30, 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ST</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60"/>
        <w:ind w:left="0" w:right="0" w:hanging="360"/>
        <w:jc w:val="left"/>
        <w:rPr/>
      </w:pPr>
      <w:r>
        <w:rPr/>
      </w:r>
    </w:p>
    <w:p>
      <w:pPr>
        <w:pStyle w:val="TextBody"/>
        <w:bidi w:val="0"/>
        <w:spacing w:before="0" w:after="60"/>
        <w:ind w:left="0" w:right="0" w:hanging="360"/>
        <w:jc w:val="left"/>
        <w:rPr/>
      </w:pPr>
      <w:r>
        <w:rPr/>
      </w:r>
    </w:p>
    <w:tbl>
      <w:tblPr>
        <w:tblW w:w="9814" w:type="dxa"/>
        <w:jc w:val="center"/>
        <w:tblInd w:w="0" w:type="dxa"/>
        <w:tblLayout w:type="fixed"/>
        <w:tblCellMar>
          <w:top w:w="28" w:type="dxa"/>
          <w:left w:w="28" w:type="dxa"/>
          <w:bottom w:w="28" w:type="dxa"/>
          <w:right w:w="28" w:type="dxa"/>
        </w:tblCellMar>
      </w:tblPr>
      <w:tblGrid>
        <w:gridCol w:w="1245"/>
        <w:gridCol w:w="1099"/>
        <w:gridCol w:w="1105"/>
        <w:gridCol w:w="276"/>
        <w:gridCol w:w="946"/>
        <w:gridCol w:w="144"/>
        <w:gridCol w:w="109"/>
        <w:gridCol w:w="109"/>
        <w:gridCol w:w="109"/>
        <w:gridCol w:w="293"/>
        <w:gridCol w:w="858"/>
        <w:gridCol w:w="153"/>
        <w:gridCol w:w="109"/>
        <w:gridCol w:w="109"/>
        <w:gridCol w:w="109"/>
        <w:gridCol w:w="270"/>
        <w:gridCol w:w="924"/>
        <w:gridCol w:w="141"/>
        <w:gridCol w:w="109"/>
        <w:gridCol w:w="109"/>
        <w:gridCol w:w="109"/>
        <w:gridCol w:w="267"/>
        <w:gridCol w:w="916"/>
        <w:gridCol w:w="196"/>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 2022</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Investment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Available-for-sale Securities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Our available-for-sale investment securities currently consist of short-term corporate bonds and short-term government bonds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June 30, 2023 or December 31, 2022.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debt securities are adjusted for the amortization of premiums computed under the effective interest method. Such amortization is included in interest expense, net in our condensed consolidated statements of operations. Realized gains and losses are accounted for on the specific identification method. There have been no realized gains or losses on the disposal of these investments. The scheduled maturities of the outstanding debt securities are between 2023 and 2024. All short-term investment securities are callable within one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short-term and long-term investments in available-for-sale securities consist of the following (in thousands):</w:t>
      </w:r>
    </w:p>
    <w:tbl>
      <w:tblPr>
        <w:tblW w:w="7438" w:type="dxa"/>
        <w:jc w:val="left"/>
        <w:tblInd w:w="0" w:type="dxa"/>
        <w:tblLayout w:type="fixed"/>
        <w:tblCellMar>
          <w:top w:w="28" w:type="dxa"/>
          <w:left w:w="28" w:type="dxa"/>
          <w:bottom w:w="28" w:type="dxa"/>
          <w:right w:w="28" w:type="dxa"/>
        </w:tblCellMar>
      </w:tblPr>
      <w:tblGrid>
        <w:gridCol w:w="1031"/>
        <w:gridCol w:w="908"/>
        <w:gridCol w:w="910"/>
        <w:gridCol w:w="297"/>
        <w:gridCol w:w="870"/>
        <w:gridCol w:w="153"/>
        <w:gridCol w:w="109"/>
        <w:gridCol w:w="109"/>
        <w:gridCol w:w="109"/>
        <w:gridCol w:w="474"/>
        <w:gridCol w:w="913"/>
        <w:gridCol w:w="247"/>
        <w:gridCol w:w="109"/>
        <w:gridCol w:w="109"/>
        <w:gridCol w:w="109"/>
        <w:gridCol w:w="211"/>
        <w:gridCol w:w="61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Unrealized Holding </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we acquired an approximate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11: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and six months ended June 30, 2023 and 2022. We did not receive any dividend distributions from this investment during the three and six months ended June 30, 2023 and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method investment consists of the following (in thousands):</w:t>
      </w:r>
    </w:p>
    <w:p>
      <w:pPr>
        <w:pStyle w:val="TextBody"/>
        <w:bidi w:val="0"/>
        <w:spacing w:before="0" w:after="0"/>
        <w:ind w:left="0" w:right="0" w:firstLine="720"/>
        <w:jc w:val="left"/>
        <w:rPr/>
      </w:pPr>
      <w:r>
        <w:rPr/>
      </w:r>
    </w:p>
    <w:tbl>
      <w:tblPr>
        <w:tblW w:w="5678" w:type="dxa"/>
        <w:jc w:val="left"/>
        <w:tblInd w:w="0" w:type="dxa"/>
        <w:tblLayout w:type="fixed"/>
        <w:tblCellMar>
          <w:top w:w="28" w:type="dxa"/>
          <w:left w:w="28" w:type="dxa"/>
          <w:bottom w:w="28" w:type="dxa"/>
          <w:right w:w="28" w:type="dxa"/>
        </w:tblCellMar>
      </w:tblPr>
      <w:tblGrid>
        <w:gridCol w:w="826"/>
        <w:gridCol w:w="726"/>
        <w:gridCol w:w="728"/>
        <w:gridCol w:w="109"/>
        <w:gridCol w:w="109"/>
        <w:gridCol w:w="109"/>
        <w:gridCol w:w="260"/>
        <w:gridCol w:w="760"/>
        <w:gridCol w:w="134"/>
        <w:gridCol w:w="109"/>
        <w:gridCol w:w="109"/>
        <w:gridCol w:w="109"/>
        <w:gridCol w:w="342"/>
        <w:gridCol w:w="999"/>
        <w:gridCol w:w="249"/>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Prepaid Expenses and Other Current Assets and Other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 </w:t>
      </w:r>
    </w:p>
    <w:tbl>
      <w:tblPr>
        <w:tblW w:w="6714" w:type="dxa"/>
        <w:jc w:val="left"/>
        <w:tblInd w:w="0" w:type="dxa"/>
        <w:tblLayout w:type="fixed"/>
        <w:tblCellMar>
          <w:top w:w="28" w:type="dxa"/>
          <w:left w:w="28" w:type="dxa"/>
          <w:bottom w:w="28" w:type="dxa"/>
          <w:right w:w="28" w:type="dxa"/>
        </w:tblCellMar>
      </w:tblPr>
      <w:tblGrid>
        <w:gridCol w:w="1200"/>
        <w:gridCol w:w="1056"/>
        <w:gridCol w:w="1059"/>
        <w:gridCol w:w="109"/>
        <w:gridCol w:w="109"/>
        <w:gridCol w:w="109"/>
        <w:gridCol w:w="234"/>
        <w:gridCol w:w="800"/>
        <w:gridCol w:w="121"/>
        <w:gridCol w:w="109"/>
        <w:gridCol w:w="109"/>
        <w:gridCol w:w="109"/>
        <w:gridCol w:w="309"/>
        <w:gridCol w:w="1056"/>
        <w:gridCol w:w="225"/>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vendor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VAT/GST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6112"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234"/>
        <w:gridCol w:w="800"/>
        <w:gridCol w:w="121"/>
        <w:gridCol w:w="109"/>
        <w:gridCol w:w="109"/>
        <w:gridCol w:w="109"/>
        <w:gridCol w:w="281"/>
        <w:gridCol w:w="1103"/>
        <w:gridCol w:w="205"/>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lease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 </w:t>
      </w:r>
    </w:p>
    <w:tbl>
      <w:tblPr>
        <w:tblW w:w="4584" w:type="dxa"/>
        <w:jc w:val="left"/>
        <w:tblInd w:w="0" w:type="dxa"/>
        <w:tblLayout w:type="fixed"/>
        <w:tblCellMar>
          <w:top w:w="28" w:type="dxa"/>
          <w:left w:w="28" w:type="dxa"/>
          <w:bottom w:w="28" w:type="dxa"/>
          <w:right w:w="28" w:type="dxa"/>
        </w:tblCellMar>
      </w:tblPr>
      <w:tblGrid>
        <w:gridCol w:w="548"/>
        <w:gridCol w:w="481"/>
        <w:gridCol w:w="485"/>
        <w:gridCol w:w="212"/>
        <w:gridCol w:w="833"/>
        <w:gridCol w:w="109"/>
        <w:gridCol w:w="109"/>
        <w:gridCol w:w="109"/>
        <w:gridCol w:w="109"/>
        <w:gridCol w:w="281"/>
        <w:gridCol w:w="1103"/>
        <w:gridCol w:w="205"/>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Property, Plant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 </w:t>
      </w:r>
    </w:p>
    <w:tbl>
      <w:tblPr>
        <w:tblW w:w="6699" w:type="dxa"/>
        <w:jc w:val="left"/>
        <w:tblInd w:w="0" w:type="dxa"/>
        <w:tblLayout w:type="fixed"/>
        <w:tblCellMar>
          <w:top w:w="28" w:type="dxa"/>
          <w:left w:w="28" w:type="dxa"/>
          <w:bottom w:w="28" w:type="dxa"/>
          <w:right w:w="28" w:type="dxa"/>
        </w:tblCellMar>
      </w:tblPr>
      <w:tblGrid>
        <w:gridCol w:w="1313"/>
        <w:gridCol w:w="1154"/>
        <w:gridCol w:w="1162"/>
        <w:gridCol w:w="212"/>
        <w:gridCol w:w="833"/>
        <w:gridCol w:w="109"/>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 and building improvements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Molds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Instruments placed with customers</w:t>
            </w:r>
            <w:r>
              <w:rPr>
                <w:rFonts w:ascii="Times New Roman;sans-serif" w:hAnsi="Times New Roman;sans-serif"/>
                <w:b w:val="false"/>
                <w:color w:val="000000"/>
                <w:sz w:val="13"/>
              </w:rPr>
              <w:t>(1)</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cost</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1,162,557 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(526,444)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636,113 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18"/>
        </w:rPr>
        <w:t>Instruments placed with customers consist of drug-delivery and monitoring systems placed with customers under operating leases.</w:t>
      </w:r>
      <w:r>
        <w:rPr>
          <w:color w:val="000000"/>
        </w:rPr>
        <w:t xml:space="preserve">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$24.4 million and $47.8 million for the three and six months ended June 30, 2023, respectively, and $24.9 million and $46.4 million for the three and six months ended June 30, 2022,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presents the changes in the carrying amount of our goodwill (in thousands):</w:t>
      </w:r>
    </w:p>
    <w:tbl>
      <w:tblPr>
        <w:tblW w:w="4202" w:type="dxa"/>
        <w:jc w:val="left"/>
        <w:tblInd w:w="0" w:type="dxa"/>
        <w:tblLayout w:type="fixed"/>
        <w:tblCellMar>
          <w:top w:w="28" w:type="dxa"/>
          <w:left w:w="28" w:type="dxa"/>
          <w:bottom w:w="28" w:type="dxa"/>
          <w:right w:w="28" w:type="dxa"/>
        </w:tblCellMar>
      </w:tblPr>
      <w:tblGrid>
        <w:gridCol w:w="918"/>
        <w:gridCol w:w="805"/>
        <w:gridCol w:w="811"/>
        <w:gridCol w:w="109"/>
        <w:gridCol w:w="109"/>
        <w:gridCol w:w="109"/>
        <w:gridCol w:w="211"/>
        <w:gridCol w:w="97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Intangible assets, carried at cost less accumulated amortization and amortized on a straight-lined basis,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894,809 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318,915 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929,830 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251,951 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982,766 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definite lives are amortized on a straight-line basis over their estimated useful lives. Intangible asset amortization expense was $33.1 million and $65.4 million during the three and six months ended June 30, 2023, respectively, and $41.6 million and $73.3 million during the three and six months ended June 30, 2022,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estimated annual amortization for our intangible assets for each of the next five years is approximately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Accrued Liabilities and Other Long-Term Liabilities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Accrued liabilities consist of the following (in thousands): </w:t>
      </w:r>
    </w:p>
    <w:tbl>
      <w:tblPr>
        <w:tblW w:w="6565" w:type="dxa"/>
        <w:jc w:val="left"/>
        <w:tblInd w:w="0" w:type="dxa"/>
        <w:tblLayout w:type="fixed"/>
        <w:tblCellMar>
          <w:top w:w="28" w:type="dxa"/>
          <w:left w:w="28" w:type="dxa"/>
          <w:bottom w:w="28" w:type="dxa"/>
          <w:right w:w="28" w:type="dxa"/>
        </w:tblCellMar>
      </w:tblPr>
      <w:tblGrid>
        <w:gridCol w:w="1264"/>
        <w:gridCol w:w="1113"/>
        <w:gridCol w:w="1118"/>
        <w:gridCol w:w="212"/>
        <w:gridCol w:w="833"/>
        <w:gridCol w:w="109"/>
        <w:gridCol w:w="109"/>
        <w:gridCol w:w="109"/>
        <w:gridCol w:w="109"/>
        <w:gridCol w:w="281"/>
        <w:gridCol w:w="1103"/>
        <w:gridCol w:w="205"/>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liability-ST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taxes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taxes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Italy medical device payback provision</w:t>
            </w:r>
            <w:r>
              <w:rPr>
                <w:rFonts w:ascii="Times New Roman;sans-serif" w:hAnsi="Times New Roman;sans-serif"/>
                <w:b w:val="false"/>
                <w:color w:val="000000"/>
                <w:sz w:val="13"/>
              </w:rPr>
              <w:t>(2)</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fees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returns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100" w:after="283"/>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pStyle w:val="TextBody"/>
        <w:bidi w:val="0"/>
        <w:spacing w:lineRule="auto" w:line="288" w:before="100" w:after="283"/>
        <w:ind w:left="0" w:right="0" w:hanging="360"/>
        <w:jc w:val="left"/>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As of December 31, 2022, there was $12.1 million in payback provision recorded as a reduction to accounts receivable, net. The Company reclassified such amount to accrued liabilities as of June 30, 2023. This amount was not reclassified as of December 31, 2022 to conform to the current year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 </w:t>
      </w:r>
    </w:p>
    <w:tbl>
      <w:tblPr>
        <w:tblW w:w="5800" w:type="dxa"/>
        <w:jc w:val="left"/>
        <w:tblInd w:w="0" w:type="dxa"/>
        <w:tblLayout w:type="fixed"/>
        <w:tblCellMar>
          <w:top w:w="28" w:type="dxa"/>
          <w:left w:w="28" w:type="dxa"/>
          <w:bottom w:w="28" w:type="dxa"/>
          <w:right w:w="28" w:type="dxa"/>
        </w:tblCellMar>
      </w:tblPr>
      <w:tblGrid>
        <w:gridCol w:w="988"/>
        <w:gridCol w:w="869"/>
        <w:gridCol w:w="873"/>
        <w:gridCol w:w="212"/>
        <w:gridCol w:w="833"/>
        <w:gridCol w:w="109"/>
        <w:gridCol w:w="109"/>
        <w:gridCol w:w="109"/>
        <w:gridCol w:w="109"/>
        <w:gridCol w:w="281"/>
        <w:gridCol w:w="1103"/>
        <w:gridCol w:w="20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liability-LT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liability-LT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18"/>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were accrued at an estimated effective tax rate of 57% and 46% for the three and six months ended June 30, 2023, respectively, as compared to 56% and 36% for the three and six months ended June 30, 2022, respectively.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effective tax rate for the three and six months ended June 30, 2023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Net unrecognized tax benefits resulting primarily from the expiration of statute of limitations during the three and six months ended June 30, 2023 of $6.0 million and $6.0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Excess tax benefit recognized on stock option exercises and the vesting of restricted stock units during the three and six months ended June 30, 2023 of $0.9 million and $0.2 million, respectively.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revaluation of the contingent consideration during the three and six months ended June 30, 2023 of $4.0 million and $3.3 million, respectively, resulted in a tax expense of $0.0 million for both periods.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effective tax rate for the three and six months ended June 30, 2022 differs from the federal statutory rate of 21% principally because of the effect of the mix of U.S. and foreign incomes, state income taxes, section 162(m) excess compensation, FDII and tax credits. The effective tax rate during the three and six months ended June 30, 2022 included a discrete tax benefit of $0.0 million and $2.6 million, respectively, related to excess tax benefits recognized on stock option exercises and the vesting of restricted stock units during the period and the revaluation of the contingent consideration during the three and six months ended June 30, 2022 resulted in a tax expense of $0.0 million for both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closing date of the acquisition. The proceeds from any future borrowings under the Revolving Credit Facility may be used for working capital and other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funds received from the Term Loan A and the Term Loan B, after deducting debt issuance costs, were $834.2 million and $836.6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center"/>
        <w:tblInd w:w="0" w:type="dxa"/>
        <w:tblLayout w:type="fixed"/>
        <w:tblCellMar>
          <w:top w:w="28" w:type="dxa"/>
          <w:left w:w="28" w:type="dxa"/>
          <w:bottom w:w="28" w:type="dxa"/>
          <w:right w:w="28" w:type="dxa"/>
        </w:tblCellMar>
      </w:tblPr>
      <w:tblGrid>
        <w:gridCol w:w="1216"/>
        <w:gridCol w:w="1068"/>
        <w:gridCol w:w="1075"/>
        <w:gridCol w:w="871"/>
        <w:gridCol w:w="871"/>
        <w:gridCol w:w="873"/>
        <w:gridCol w:w="831"/>
        <w:gridCol w:w="831"/>
        <w:gridCol w:w="834"/>
        <w:gridCol w:w="506"/>
        <w:gridCol w:w="506"/>
        <w:gridCol w:w="723"/>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 Rate</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4.00 to 1.0</w:t>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4.00 to 1.0 but greater than 3.00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3.00 to 1.0 but greater than 2.50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2.50 to 1.0 but greater than 2.00 to 1.0</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2.00 to 1.0</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has an initial applicable margin of 1.5% per annum for Base Rate Loans and 2.5% per annum for Term SOFR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 </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on the Term Loans are due on the last day of each calendar quarter commencing on June 30, 2022.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 matures in twenty-seven consecutive quarterly installments in an amount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March 2022, we prepaid $16.0 million in principal payments on the Term Loan A principal balance. For the six months ended June 30, 2023 and 2022 total principal payments on both Term Loans were $14.8 million and $18.1 million,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Guarantors and Collateral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include the Senior Secured Leverage Ratio and the Interest Coverage Ratio, both defined below, and pertain to the Term Loan A and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covenants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2017 Credit Facility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long-term debt consist of the following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71"/>
        <w:gridCol w:w="902"/>
        <w:gridCol w:w="905"/>
        <w:gridCol w:w="390"/>
        <w:gridCol w:w="357"/>
        <w:gridCol w:w="895"/>
        <w:gridCol w:w="109"/>
        <w:gridCol w:w="109"/>
        <w:gridCol w:w="109"/>
        <w:gridCol w:w="211"/>
        <w:gridCol w:w="976"/>
        <w:gridCol w:w="109"/>
        <w:gridCol w:w="109"/>
        <w:gridCol w:w="109"/>
        <w:gridCol w:w="109"/>
        <w:gridCol w:w="390"/>
        <w:gridCol w:w="357"/>
        <w:gridCol w:w="895"/>
        <w:gridCol w:w="109"/>
        <w:gridCol w:w="109"/>
        <w:gridCol w:w="109"/>
        <w:gridCol w:w="243"/>
        <w:gridCol w:w="1127"/>
        <w:gridCol w:w="125"/>
        <w:gridCol w:w="109"/>
        <w:gridCol w:w="162"/>
      </w:tblGrid>
      <w:tr>
        <w:trPr/>
        <w:tc>
          <w:tcPr>
            <w:tcW w:w="107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 principal</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 principal</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principal</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(1)</w:t>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long-term debt</w:t>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1,623,675 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    </w:t>
      </w:r>
      <w:r>
        <w:rPr>
          <w:rFonts w:ascii="Times New Roman;sans-serif" w:hAnsi="Times New Roman;sans-serif"/>
          <w:b w:val="false"/>
          <w:color w:val="000000"/>
          <w:sz w:val="20"/>
        </w:rPr>
        <w:t>Comprised of $10.9 million and $10.8 million relating to the Term Loan A and the Term Loan B, respectively,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aggregate amount of principal repayments of our long-term debt (including any current portion) for each of the next five years is approximately (in thousands):</w:t>
      </w:r>
    </w:p>
    <w:p>
      <w:pPr>
        <w:pStyle w:val="TextBody"/>
        <w:bidi w:val="0"/>
        <w:spacing w:before="0" w:after="0"/>
        <w:ind w:left="0" w:right="0" w:firstLine="720"/>
        <w:jc w:val="left"/>
        <w:rPr/>
      </w:pPr>
      <w:r>
        <w:rPr/>
      </w:r>
    </w:p>
    <w:tbl>
      <w:tblPr>
        <w:tblW w:w="3348"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interest expense related to our long-term debt (in thousands):</w:t>
      </w:r>
    </w:p>
    <w:p>
      <w:pPr>
        <w:pStyle w:val="TextBody"/>
        <w:bidi w:val="0"/>
        <w:spacing w:before="0" w:after="0"/>
        <w:ind w:left="0" w:right="0" w:firstLine="720"/>
        <w:jc w:val="left"/>
        <w:rPr/>
      </w:pPr>
      <w:r>
        <w:rPr/>
      </w:r>
    </w:p>
    <w:tbl>
      <w:tblPr>
        <w:tblW w:w="9044" w:type="dxa"/>
        <w:jc w:val="center"/>
        <w:tblInd w:w="0" w:type="dxa"/>
        <w:tblLayout w:type="fixed"/>
        <w:tblCellMar>
          <w:top w:w="28" w:type="dxa"/>
          <w:left w:w="28" w:type="dxa"/>
          <w:bottom w:w="28" w:type="dxa"/>
          <w:right w:w="28" w:type="dxa"/>
        </w:tblCellMar>
      </w:tblPr>
      <w:tblGrid>
        <w:gridCol w:w="1394"/>
        <w:gridCol w:w="1227"/>
        <w:gridCol w:w="12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Shareholders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completion of the Smiths Medical acquisition on January 6, 2022, Smiths owned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and (ii) to certain of our competitors and certain other parties, as well as customary standstill limitations. The Shareholders Agreement also permits Smiths to designate one individual for election to our Board of Directors (the "Board") so long as Smiths beneficially owns at least 5.0% of the total outstanding shares of our common stock. On February 1, 2022, our Board appointed a new director designated by Smiths pursuant to the Shareholders Agreement who was elected to the Board at the 2022 Annual Meeting of Stockholders held in May 2022. This appointment expanded the size of our Board from eight to nine members. See our Current Report on Form 8-K filed on February 1, 2022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August 2019, our Board approved a share purchase plan to purchase up to $100.0 million of our common stock. This plan has no expiration date. During the three months ended June 30, 2023, we did not purchase any shares of our common stock under our share purchase plan. As of June 30, 2023, all of the $100.0 million available for purchase was remaining under the plan. We are currently limited on share purchases in accordance with the terms and conditions of our Credit Agreement (see Note 17: Long-Term Debt).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pPr>
      <w:r>
        <w:rPr>
          <w:color w:val="FF0000"/>
        </w:rPr>
        <w:t>    </w:t>
      </w:r>
      <w:r>
        <w:rPr>
          <w:rFonts w:ascii="Times New Roman;sans-serif" w:hAnsi="Times New Roman;sans-serif"/>
          <w:b w:val="false"/>
          <w:color w:val="000000"/>
          <w:sz w:val="20"/>
        </w:rPr>
        <w:t>For the six months ended June 30, 2023, we withheld 54,371 shares of our common stock from employee vested restricted stock units in consideration for $8.7 million in payments made on the employees' behalf for their minimum statutory income tax withholding obligations. For the six months ended June 30, 2022, we withheld 44,759 shares of our common stock from employee vested restricted stock units in consideration for $10.4 million in payments made on the employees' behalf for their minimum statutory income tax withholding obligations. Treasury stock is used to issue shares for stock option exercises and restricted stock grants.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181"/>
        <w:gridCol w:w="658"/>
        <w:gridCol w:w="656"/>
        <w:gridCol w:w="109"/>
        <w:gridCol w:w="109"/>
        <w:gridCol w:w="109"/>
        <w:gridCol w:w="347"/>
        <w:gridCol w:w="1442"/>
        <w:gridCol w:w="179"/>
        <w:gridCol w:w="109"/>
        <w:gridCol w:w="109"/>
        <w:gridCol w:w="109"/>
        <w:gridCol w:w="405"/>
        <w:gridCol w:w="1387"/>
        <w:gridCol w:w="209"/>
        <w:gridCol w:w="109"/>
        <w:gridCol w:w="109"/>
        <w:gridCol w:w="109"/>
        <w:gridCol w:w="294"/>
        <w:gridCol w:w="859"/>
        <w:gridCol w:w="153"/>
        <w:gridCol w:w="109"/>
        <w:gridCol w:w="109"/>
        <w:gridCol w:w="109"/>
        <w:gridCol w:w="211"/>
        <w:gridCol w:w="754"/>
        <w:gridCol w:w="162"/>
      </w:tblGrid>
      <w:tr>
        <w:trPr/>
        <w:tc>
          <w:tcPr>
            <w:tcW w:w="1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 Gains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13,175 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20,710 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(48,794)</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181"/>
        <w:gridCol w:w="658"/>
        <w:gridCol w:w="656"/>
        <w:gridCol w:w="109"/>
        <w:gridCol w:w="109"/>
        <w:gridCol w:w="109"/>
        <w:gridCol w:w="347"/>
        <w:gridCol w:w="1442"/>
        <w:gridCol w:w="179"/>
        <w:gridCol w:w="109"/>
        <w:gridCol w:w="109"/>
        <w:gridCol w:w="109"/>
        <w:gridCol w:w="405"/>
        <w:gridCol w:w="1387"/>
        <w:gridCol w:w="209"/>
        <w:gridCol w:w="109"/>
        <w:gridCol w:w="109"/>
        <w:gridCol w:w="109"/>
        <w:gridCol w:w="404"/>
        <w:gridCol w:w="692"/>
        <w:gridCol w:w="211"/>
        <w:gridCol w:w="109"/>
        <w:gridCol w:w="109"/>
        <w:gridCol w:w="109"/>
        <w:gridCol w:w="211"/>
        <w:gridCol w:w="754"/>
        <w:gridCol w:w="161"/>
      </w:tblGrid>
      <w:tr>
        <w:trPr/>
        <w:tc>
          <w:tcPr>
            <w:tcW w:w="118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 Gains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(99,805)</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(89,546)</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(99,805)</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can provide no assurances, we have never incurred, nor do we expect to incur, any material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June 30, 2023, the estimated fair value of the contingent earn-out is $22.6 million (see Note 9: 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June 30, 2023 is $47.4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acquired a small foreign infusion systems supplier. Total consideration for the acquisition included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June 30, 2023, the estimated fair value of the contingent earn-out related to certain product-related regulatory certification was estimated to be $1.5 million (see Note 9: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June 30, 2023, the estimated fair value of the contingent earn-out is $4.3 million (see Note 9: Fair Value Measurements).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We have non-cancelable operating lease agreements where we are contractually obligated to pay certain lease payment amounts (see Note 6: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     Collaborative and Other Arrangements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is subject to an annual update,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 minimum purchase obligation of $29.6 million and expired on November 30, 2022. As of November 30, 2022, we had satisfied the minimum purchase obligations under the Product Addendum.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21: Accounts Receivable 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19, 2023, we entered into a revolving $150 million uncommitted receivables purchase agreement with Bank of The West ("BOW") which provides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BOW has the right upon purchase to pledge and/or exchange the transferred assets without restrictions. The Company acts as collection agent for BOW and collection services are undertaken by our accounts receivable personnel in their normal course of business and collected funds are remitted to BOW.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related to the sold receivables.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carrying value of trade receivables sold to BOW in connection with the purchase program was $290.3 million. In exchange for the sale of trade receivables, we received cash of $288.6 million. For the three and six months ended June 30, 2023, the sale of the receivables resulted in a loss of $0.9 million and $1.7 million, respectively, recorded in other expense, net in our condensed consolidated statement of operations. For the six months ended June 30, 2023, we have collected and remitted $231.0 million in cash to BOW. As of June 30, 2023, cash remaining to be collected on behalf of BOW was $59.3 million, which has been removed from our condensed consolidated balance sheet as of June 30, 2023 and is reflected as cash provided by operating activities in the condensed consolidated statement of cash flows. There were no such balances at December 31, 2022. The carrying value of the sold receivables approximated the fair value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22: Subsequent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July 2023, Pfizer Inc.’s manufacturing plant in Rocky Mount, North Carolina, sustained heavy damage to the warehouse section of the facility and its stored inventory from a tornado. This facility manufactures certain sterile injectable products on behalf of ICU, see Note 20: Collaborative and Other Arrangements. During the six months ended June 30, 2023 and the twelve months ended December 31, 2022, our revenues manufactured at this facility were approximately $7.2 million and $37.6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2022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2022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When used in this report, the terms “we,” “us,” and “our” refer to ICU Medical, Inc. ("ICU") and its consolidated subsidiaries included in our condensed consolidated financial statements unless context requires otherwise.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Business Overview and Highlights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manufacture, and sell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our primary product offerings have been classified into our new business units as listed below. We have presented our financial results in accordance with these product lines: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Consumables business unit includes Infusion Therapy, Oncology, Vascular Access and Tracheostomy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Clave™ </w:t>
      </w:r>
      <w:r>
        <w:rPr>
          <w:rFonts w:ascii="Times New Roman;sans-serif" w:hAnsi="Times New Roman;sans-serif"/>
          <w:b w:val="false"/>
          <w:color w:val="000000"/>
          <w:sz w:val="20"/>
        </w:rPr>
        <w:t>needlefree products, including the MicroClave, MicroClave Clear, and NanoClave</w:t>
      </w:r>
      <w:r>
        <w:rPr>
          <w:color w:val="000000"/>
        </w:rPr>
        <w:t xml:space="preserve">™ </w:t>
      </w:r>
      <w:r>
        <w:rPr>
          <w:rFonts w:ascii="Times New Roman;sans-serif" w:hAnsi="Times New Roman;sans-serif"/>
          <w:b w:val="false"/>
          <w:color w:val="000000"/>
          <w:sz w:val="20"/>
        </w:rPr>
        <w:t>brand of connectors, accessories, extension and administration sets used for the administration of IV fluids and medications and the 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ClearGuard™, SwabCap™ and SwabTip™ disinfection caps.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Oncology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ChemoLock</w:t>
      </w:r>
      <w:r>
        <w:rPr>
          <w:rFonts w:ascii="Times New Roman;sans-serif" w:hAnsi="Times New Roman;sans-serif"/>
          <w:b w:val="false"/>
          <w:i/>
          <w:color w:val="000000"/>
          <w:sz w:val="13"/>
        </w:rPr>
        <w:t>TM</w:t>
      </w:r>
      <w:r>
        <w:rPr>
          <w:color w:val="000000"/>
        </w:rPr>
        <w:t xml:space="preserve"> </w:t>
      </w:r>
      <w:r>
        <w:rPr>
          <w:rFonts w:ascii="Times New Roman;sans-serif" w:hAnsi="Times New Roman;sans-serif"/>
          <w:b w:val="false"/>
          <w:color w:val="000000"/>
          <w:sz w:val="20"/>
        </w:rPr>
        <w:t xml:space="preserve">CSTD,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ChemoClave</w:t>
      </w:r>
      <w:r>
        <w:rPr>
          <w:rFonts w:ascii="Times New Roman;sans-serif" w:hAnsi="Times New Roman;sans-serif"/>
          <w:b w:val="false"/>
          <w:i/>
          <w:color w:val="000000"/>
          <w:sz w:val="13"/>
        </w:rPr>
        <w:t>TM</w:t>
      </w:r>
      <w:r>
        <w:rPr>
          <w:rFonts w:ascii="Times New Roman;sans-serif" w:hAnsi="Times New Roman;sans-serif"/>
          <w:b w:val="false"/>
          <w:color w:val="000000"/>
          <w:sz w:val="20"/>
        </w:rPr>
        <w:t>,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Deltec</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GRIPPER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non-coring needles for portal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Vascular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vascular access products allow clinicians to safely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Jelco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Safe-T Wing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venipuncture and blood collection devices;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Port-A-Cath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Portex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PowerWand</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Cleo</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subcutaneous infusion catheters and 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Tracheostomy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tracheostomy products enable placement of a secure airway using both surgical and percutaneous insertion techniques. Our primary Tracheostomy products includes: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BLUselect</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PVC tracheostomy tubes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Bivona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silicone tracheostomy tubes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Portex BLUperc</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percutaneous insertion kits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offer a wide range of infusion pumps, dedicated IV sets, software and professional services. Our primary Infusion System products 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Large Volume Pump ("LVP") Hardware and Dedicated IV 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Plum 360™</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Plum 360™ infusion pump is an ICU Medical MedNet™ ready large volume infusion pump with an extensive drug library and wireless capability. The pumps work with dedicated IV sets. Plum 360 was named the 2018, 2019, 2020, and 2022 Best in KLAS winner as top-performing IV smart pump and was the first medical device to be awarded UL Cybersecurity Assurance Program Certification. Also, in 2021 and 2022, the Plum 360 won the award as the top-performing Smart Pump EMR-Integrated.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CADD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ambulatory infusion pumps and disposables, including administration sets and medication cassette reservoirs, support a variety of IV pain management therapies across clinical care areas from hospital to outpatient treatment.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Medfusion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syringe infusion pumps are designed for the administration of fluids and medication requiring precisely controlled infusion rates from a variety of syringe sizes in acute care settings.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ICU Medical MedNet</w:t>
      </w:r>
      <w:r>
        <w:rPr>
          <w:color w:val="000000"/>
        </w:rPr>
        <w:t>™</w:t>
      </w:r>
      <w:r>
        <w:rPr>
          <w:rFonts w:ascii="Times New Roman;sans-serif" w:hAnsi="Times New Roman;sans-serif"/>
          <w:b w:val="false"/>
          <w:color w:val="000000"/>
          <w:sz w:val="20"/>
        </w:rPr>
        <w:t xml:space="preserve">: ICU Medical MedNet is an enterprise-class medication management platform for any sized healthcare system that can 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PharmGuard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Medication Safety Software for Medfusion</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 xml:space="preserve">4000 syringe and CADD™ Solis pumps allows for customized drug libraries to support the standardization of protocols for medication administration throughout the facility.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Professional Services: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Vital Care business unit includes IV Solutions, Critical Care, General Anesthesia and Respiratory, Temperature Management Solutions and Regional Anesthesia/Pain Management products.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IV Solutions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IV Therapy and Diluents: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Irrigation: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Hemodynamic Monitoring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TriOx</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venous oximetry catheters;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Transpac™ blood pressure transducers;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SafeSet™ closed blood sampling and conservation system.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MEDEX® LogiCal® Pressure Monitoring System and components.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Portex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i/>
          <w:color w:val="000000"/>
          <w:sz w:val="20"/>
        </w:rPr>
        <w:t>acapella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Level 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rapid infusion, fluid warming, routine blood and fluid warming, irrigation fluid warming, convective patient warming and temperature probes.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We offer a comprehensive range of </w:t>
      </w:r>
      <w:r>
        <w:rPr>
          <w:rFonts w:ascii="Times New Roman;sans-serif" w:hAnsi="Times New Roman;sans-serif"/>
          <w:b w:val="false"/>
          <w:i/>
          <w:color w:val="000000"/>
          <w:sz w:val="20"/>
        </w:rPr>
        <w:t>Portex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regional anesthesia/pain management trays and components. Our primary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Supply Constraints, Global Economic Conditions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significant impacts to our business as a result of global economic challenges, resulting from the COVID-19 pandemic and the continuing conflict between Russia and Ukraine, such as rising inflation, especially with respect to freight costs driven by higher fuel prices, increased cost and shortages of raw materials, and supply chain disruptions which negatively impacted our gross profit margin during 2022. We expect the pressure on the supply chain to continue and freight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costs remain subject to volatility in the market. The rising interest rates and foreign currency impact due to the strengthening of the U.S. dollar have also impacted our results of operations during 2022 and the first half of 2023.</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business operations expose us to risks associated with public health crises and epidemics/pandemics, such as COVID-19.</w:t>
      </w:r>
      <w:r>
        <w:rPr>
          <w:color w:val="000000"/>
        </w:rPr>
        <w:t xml:space="preserve"> </w:t>
      </w:r>
      <w:r>
        <w:rPr>
          <w:rFonts w:ascii="Times New Roman;sans-serif" w:hAnsi="Times New Roman;sans-serif"/>
          <w:b w:val="false"/>
          <w:color w:val="000000"/>
          <w:sz w:val="20"/>
        </w:rPr>
        <w:t>COVID 19 had caused lower hospital admissions and medical procedure volumes, and any resurgence of the pandemic or any new public health crisis could again shift healthcare priorities and cause volatility in the demand for our products, thereby adversely affecting our business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continually monitor the ongoing and evolving impact of the above events on our operations, the overall impact remains uncertain and may not be fully reflected until future periods. The overall impact to our results of operations will depend on factors such as the duration and extent of the current global economic challenges and the resurgence of the pandemic or the emergence of a new public health crisis, none of which can be fully predicted at this time. See “Part I. Item 1A. Risk Factors” in our 2022 Annual Report on Form 10-K for a discussion of risks and uncertainties.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present income statement data in Part I, Item 1. "Financial Statements." The following table shows, for the three and six months ended June 30, 2023 and 2022, the percentages of each income statement caption in relation to total revenue: </w:t>
      </w:r>
    </w:p>
    <w:tbl>
      <w:tblPr>
        <w:tblW w:w="9577" w:type="dxa"/>
        <w:jc w:val="left"/>
        <w:tblInd w:w="0" w:type="dxa"/>
        <w:tblLayout w:type="fixed"/>
        <w:tblCellMar>
          <w:top w:w="28" w:type="dxa"/>
          <w:left w:w="28" w:type="dxa"/>
          <w:bottom w:w="28" w:type="dxa"/>
          <w:right w:w="28" w:type="dxa"/>
        </w:tblCellMar>
      </w:tblPr>
      <w:tblGrid>
        <w:gridCol w:w="1817"/>
        <w:gridCol w:w="1599"/>
        <w:gridCol w:w="1608"/>
        <w:gridCol w:w="266"/>
        <w:gridCol w:w="200"/>
        <w:gridCol w:w="386"/>
        <w:gridCol w:w="155"/>
        <w:gridCol w:w="155"/>
        <w:gridCol w:w="155"/>
        <w:gridCol w:w="266"/>
        <w:gridCol w:w="200"/>
        <w:gridCol w:w="386"/>
        <w:gridCol w:w="109"/>
        <w:gridCol w:w="109"/>
        <w:gridCol w:w="109"/>
        <w:gridCol w:w="244"/>
        <w:gridCol w:w="222"/>
        <w:gridCol w:w="334"/>
        <w:gridCol w:w="134"/>
        <w:gridCol w:w="134"/>
        <w:gridCol w:w="134"/>
        <w:gridCol w:w="244"/>
        <w:gridCol w:w="222"/>
        <w:gridCol w:w="389"/>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jc w:val="left"/>
        <w:rPr/>
      </w:pPr>
      <w:r>
        <w:rPr>
          <w:rFonts w:ascii="Times New Roman;sans-serif" w:hAnsi="Times New Roman;sans-serif"/>
          <w:b/>
          <w:i/>
          <w:color w:val="000000"/>
          <w:sz w:val="20"/>
        </w:rPr>
        <w:t>Seasonality/Quarterly Results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accordance with GAAP. Results on a constant currency basis, as we present them, may not be comparable to similarly titled measures used by other companies and are not measures of performance presented in accordance with GAAP.</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Consumables revenue (in millions):</w:t>
      </w:r>
    </w:p>
    <w:tbl>
      <w:tblPr>
        <w:tblW w:w="10403" w:type="dxa"/>
        <w:jc w:val="center"/>
        <w:tblInd w:w="0" w:type="dxa"/>
        <w:tblLayout w:type="fixed"/>
        <w:tblCellMar>
          <w:top w:w="28" w:type="dxa"/>
          <w:left w:w="28" w:type="dxa"/>
          <w:bottom w:w="28" w:type="dxa"/>
          <w:right w:w="28" w:type="dxa"/>
        </w:tblCellMar>
      </w:tblPr>
      <w:tblGrid>
        <w:gridCol w:w="391"/>
        <w:gridCol w:w="344"/>
        <w:gridCol w:w="346"/>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04"/>
        <w:gridCol w:w="204"/>
        <w:gridCol w:w="56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 revenue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revenue decreased for the three and six months ended June 30, 2023, as compared to the same periods in the prior year, primarily due to a decrease in our Vascular Access revenues and the impact of foreign exchange rate changes. These decreases were partially offset by an increase in Infusion Therapy and Tracheostomy revenues. Additionally, revenue for the six months ended June 30, 2023 included the impact of an additional eight billing days as compared to the same period in the prior year related to Smiths Medical which was acquired on January 6,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Infusion Systems revenue (in millions):</w:t>
      </w:r>
    </w:p>
    <w:tbl>
      <w:tblPr>
        <w:tblW w:w="10401" w:type="dxa"/>
        <w:jc w:val="center"/>
        <w:tblInd w:w="0" w:type="dxa"/>
        <w:tblLayout w:type="fixed"/>
        <w:tblCellMar>
          <w:top w:w="28" w:type="dxa"/>
          <w:left w:w="28" w:type="dxa"/>
          <w:bottom w:w="28" w:type="dxa"/>
          <w:right w:w="28" w:type="dxa"/>
        </w:tblCellMar>
      </w:tblPr>
      <w:tblGrid>
        <w:gridCol w:w="561"/>
        <w:gridCol w:w="229"/>
        <w:gridCol w:w="231"/>
        <w:gridCol w:w="196"/>
        <w:gridCol w:w="556"/>
        <w:gridCol w:w="109"/>
        <w:gridCol w:w="109"/>
        <w:gridCol w:w="109"/>
        <w:gridCol w:w="109"/>
        <w:gridCol w:w="196"/>
        <w:gridCol w:w="556"/>
        <w:gridCol w:w="109"/>
        <w:gridCol w:w="109"/>
        <w:gridCol w:w="109"/>
        <w:gridCol w:w="109"/>
        <w:gridCol w:w="242"/>
        <w:gridCol w:w="464"/>
        <w:gridCol w:w="135"/>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33"/>
        <w:gridCol w:w="233"/>
        <w:gridCol w:w="568"/>
      </w:tblGrid>
      <w:tr>
        <w:trPr/>
        <w:tc>
          <w:tcPr>
            <w:tcW w:w="5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Infusion Systems revenue increased for the three and six months ended June 30, 2023, as compared to the same periods in the prior year, primarily due to higher sales of our ambulatory infusion and syringe pump products. The increase in revenue for the six months ended June 30, 2023 was also due to the impact on revenue of an additional eight billing days related to Smiths Medical which was acquired January 6, 2022. These increases were partially offset by the impact of foreign exchange rate changes.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our total Vital Care revenue (in millions):</w:t>
      </w:r>
    </w:p>
    <w:tbl>
      <w:tblPr>
        <w:tblW w:w="10343" w:type="dxa"/>
        <w:jc w:val="center"/>
        <w:tblInd w:w="0" w:type="dxa"/>
        <w:tblLayout w:type="fixed"/>
        <w:tblCellMar>
          <w:top w:w="28" w:type="dxa"/>
          <w:left w:w="28" w:type="dxa"/>
          <w:bottom w:w="28" w:type="dxa"/>
          <w:right w:w="28" w:type="dxa"/>
        </w:tblCellMar>
      </w:tblPr>
      <w:tblGrid>
        <w:gridCol w:w="580"/>
        <w:gridCol w:w="220"/>
        <w:gridCol w:w="221"/>
        <w:gridCol w:w="196"/>
        <w:gridCol w:w="556"/>
        <w:gridCol w:w="109"/>
        <w:gridCol w:w="109"/>
        <w:gridCol w:w="109"/>
        <w:gridCol w:w="109"/>
        <w:gridCol w:w="196"/>
        <w:gridCol w:w="556"/>
        <w:gridCol w:w="109"/>
        <w:gridCol w:w="109"/>
        <w:gridCol w:w="109"/>
        <w:gridCol w:w="109"/>
        <w:gridCol w:w="196"/>
        <w:gridCol w:w="536"/>
        <w:gridCol w:w="109"/>
        <w:gridCol w:w="109"/>
        <w:gridCol w:w="109"/>
        <w:gridCol w:w="109"/>
        <w:gridCol w:w="214"/>
        <w:gridCol w:w="214"/>
        <w:gridCol w:w="503"/>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04"/>
        <w:gridCol w:w="204"/>
        <w:gridCol w:w="568"/>
      </w:tblGrid>
      <w:tr>
        <w:trPr/>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foreign exchange rate changes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 on a constant currency basis (non-GAAP)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Vital Care revenue decreased for the three and six months ended June 30, 2023, as compared to the same periods in the prior year, primarily due to lower sales of IV Solution and the impact of foreign currency exchange rate changes.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decreases were partially offset by higher sales of our temperature management products. The decrease in revenue for the six months ended June 30, 2023 was also partially offset by higher critical care revenue and the impact on revenue of an additional eight billing days related to Smiths Medical which was acquired January 6, 2022.</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Gross Margins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rPr>
        <w:t>For the three and six months ended June 30, 2023, gross margins were 35.0% and 34.4%, respectively, as compared to 29.9% and 30.5% for the three and six months ended June 30, 2022, respectively. The increases in gross margins for the three and six months ended June 30, 2023, as compared to the same periods in the prior year, was primarily driven by</w:t>
      </w:r>
      <w:r>
        <w:rPr>
          <w:color w:val="FF0000"/>
        </w:rPr>
        <w:t xml:space="preserve"> </w:t>
      </w:r>
      <w:r>
        <w:rPr>
          <w:rFonts w:ascii="Times New Roman;sans-serif" w:hAnsi="Times New Roman;sans-serif"/>
          <w:b w:val="false"/>
          <w:color w:val="000000"/>
          <w:sz w:val="20"/>
        </w:rPr>
        <w:t>the cost recognition of the purchase accounting write-up of inventory in 2022 and lower freight costs for the three and six months ended June 30, 2023 as compared to the same periods in the prior year. These benefits were partially offset by the impact of foreign exchange rate changes.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Selling, General and Administrative (“SG&amp;A”)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summarizes our total SG&amp;A Expenses (in millions):</w:t>
      </w:r>
    </w:p>
    <w:tbl>
      <w:tblPr>
        <w:tblW w:w="10016" w:type="dxa"/>
        <w:jc w:val="center"/>
        <w:tblInd w:w="0" w:type="dxa"/>
        <w:tblLayout w:type="fixed"/>
        <w:tblCellMar>
          <w:top w:w="28" w:type="dxa"/>
          <w:left w:w="28" w:type="dxa"/>
          <w:bottom w:w="28" w:type="dxa"/>
          <w:right w:w="28" w:type="dxa"/>
        </w:tblCellMar>
      </w:tblPr>
      <w:tblGrid>
        <w:gridCol w:w="227"/>
        <w:gridCol w:w="201"/>
        <w:gridCol w:w="202"/>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25"/>
        <w:gridCol w:w="225"/>
        <w:gridCol w:w="503"/>
        <w:gridCol w:w="109"/>
        <w:gridCol w:w="109"/>
        <w:gridCol w:w="109"/>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25"/>
        <w:gridCol w:w="225"/>
        <w:gridCol w:w="568"/>
      </w:tblGrid>
      <w:tr>
        <w:trPr/>
        <w:tc>
          <w:tcPr>
            <w:tcW w:w="2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decreased for the three months ended June 30, 2023, as compared to the same period in the prior year primarily due to decreases of $6.1 million in depreciation and amortization, $2.6 million in dealer fees, and $1.9 million of IT expenses. These decreases were partially offset by an increase of $1.8 million in stock based compensation. Depreciation and amortization decreased as the fair market values of certain intangible assets acquired in regard to the 2022 Smiths Medical acquisition were adjusted down after the same period in the prior year. Dealer fees decreased due to a decrease in revenues to distributors. IT expenses decreased based on current operating needs. Stock based compensation increased due to an increase in the fair value of amounts awarded in the current year over the fair value of the awards in the prior year.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decreased for the six months ended June 30, 2023, as compared to the same period in the prior year primarily due to decreases of $7.3 million in dealer fees and $4.6 million in depreciation and amortization. Partially offsetting these decreases were increases of $2.0 million in compensation expenses and $2.0 million in commissions. Compensation costs increased over the same period in the prior year primarily due to an increase in incentive compensation which was based on a larger employee population in the current year period. Commissions increased primarily due to the increase in revenues.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i/>
          <w:color w:val="000000"/>
          <w:sz w:val="20"/>
        </w:rPr>
        <w:t>Research and Development (“R&amp;D”)</w:t>
      </w:r>
      <w:r>
        <w:rPr>
          <w:color w:val="000000"/>
        </w:rPr>
        <w:t xml:space="preserve"> </w:t>
      </w:r>
      <w:r>
        <w:rPr>
          <w:rFonts w:ascii="Times New Roman;sans-serif" w:hAnsi="Times New Roman;sans-serif"/>
          <w:b/>
          <w:i/>
          <w:color w:val="000000"/>
          <w:sz w:val="20"/>
        </w:rPr>
        <w:t>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The following table summarizes our total R&amp;D Expenses (in millions):</w:t>
      </w:r>
    </w:p>
    <w:tbl>
      <w:tblPr>
        <w:tblW w:w="9535" w:type="dxa"/>
        <w:jc w:val="center"/>
        <w:tblInd w:w="0" w:type="dxa"/>
        <w:tblLayout w:type="fixed"/>
        <w:tblCellMar>
          <w:top w:w="28" w:type="dxa"/>
          <w:left w:w="28" w:type="dxa"/>
          <w:bottom w:w="28" w:type="dxa"/>
          <w:right w:w="28" w:type="dxa"/>
        </w:tblCellMar>
      </w:tblPr>
      <w:tblGrid>
        <w:gridCol w:w="184"/>
        <w:gridCol w:w="161"/>
        <w:gridCol w:w="164"/>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225"/>
        <w:gridCol w:w="225"/>
        <w:gridCol w:w="503"/>
        <w:gridCol w:w="109"/>
        <w:gridCol w:w="109"/>
        <w:gridCol w:w="109"/>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225"/>
        <w:gridCol w:w="225"/>
        <w:gridCol w:w="568"/>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for the three and six months ended June 30, 2023, as compared to the same periods in the prior year. R&amp;D expenses during both periods primarily relate to headcount and employment expense in support of ongoing R&amp;D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Restructuring, strategic transaction and integration expenses were $12.4 million and $23.4 million for the three and six months ended June 30, 2023, respectively, as compared to $13.5 million and $47.4 million for the three and six months ended June 30,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Restructuring charges were $1.3 million and $4.0 million for the three and six months ended June 30, 2023, respectively, as compared to $1.7 million and $4.9 million for the three and six months ended June 30, 2022, respectively, and were primarily related to severance costs for all periods. We expect to pay the majority of unpaid restructuring charges as of June 30, 2023 during the remainder of 2023 and 2024.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Strategic transaction and integration expenses were $11.1 million and $19.4 million for the three and six months ended June 30, 2023, respectively, as compared to $11.8 million and $42.5 million for the three and six months ended June 30, 2022, respectively. The strategic transaction and integration expenses during the three and six months ended June 30, 2023 were primarily related to consulting expenses and employee costs incurred to integrate our Smiths Medical business acquired in 2022. The strategic transaction and integration expenses for the three and six months ended June 30, 2022 were primarily related to transaction and integration expenses associated with our acquisition of Smiths Medical on January 6, 2022 which primarily included legal expenses, bank fees, and employee costs. The six months ended June 30, 2022 also included a United Kingdom stamp tax.</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there was a loss of $4.0 million and $3.3 million, respectively, primarily related to the change in fair value of contingent earn-out related to the Smiths Medical acquisition and the earn-out related to an agreement with one of our international distributors.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(in thousands): </w:t>
      </w:r>
    </w:p>
    <w:tbl>
      <w:tblPr>
        <w:tblW w:w="7260" w:type="dxa"/>
        <w:jc w:val="left"/>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xml:space="preserve">Interest expense, net for the three and six months ended June 30, 2023 and 2022 primarily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17: Long-Term Debt in our accompanying condensed consolidated financial statements). The interest expense increased for the three and six months ended June 30, 2023, as compared to the respective prior year periods, primarily due to increases in the applicable SOFR reference rate. These increases were partially offset by the impact of the interest rate swaps (see Note 8: Derivatives and Hedging in our accompanying condensed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net (in thousands): </w:t>
      </w:r>
    </w:p>
    <w:p>
      <w:pPr>
        <w:pStyle w:val="TextBody"/>
        <w:bidi w:val="0"/>
        <w:spacing w:before="0" w:after="0"/>
        <w:ind w:left="0" w:right="0" w:firstLine="720"/>
        <w:jc w:val="left"/>
        <w:rPr/>
      </w:pPr>
      <w:r>
        <w:rPr/>
      </w:r>
    </w:p>
    <w:tbl>
      <w:tblPr>
        <w:tblW w:w="8655" w:type="dxa"/>
        <w:jc w:val="left"/>
        <w:tblInd w:w="0" w:type="dxa"/>
        <w:tblLayout w:type="fixed"/>
        <w:tblCellMar>
          <w:top w:w="28" w:type="dxa"/>
          <w:left w:w="28" w:type="dxa"/>
          <w:bottom w:w="28" w:type="dxa"/>
          <w:right w:w="28" w:type="dxa"/>
        </w:tblCellMar>
      </w:tblPr>
      <w:tblGrid>
        <w:gridCol w:w="1298"/>
        <w:gridCol w:w="1142"/>
        <w:gridCol w:w="1145"/>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Income Taxes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For the three and six months ended June 30, 2023, income taxes were accrued at an estimated effective tax rate of 57% and 46%, respectively, as compared to 56% and 36% for the three and six months ended June 30, 2022, respectively. </w:t>
      </w:r>
    </w:p>
    <w:p>
      <w:pPr>
        <w:pStyle w:val="TextBody"/>
        <w:bidi w:val="0"/>
        <w:spacing w:before="0" w:after="0"/>
        <w:jc w:val="left"/>
        <w:rPr/>
      </w:pPr>
      <w:r>
        <w:rPr/>
      </w:r>
    </w:p>
    <w:p>
      <w:pPr>
        <w:pStyle w:val="TextBody"/>
        <w:bidi w:val="0"/>
        <w:spacing w:lineRule="auto" w:line="256" w:before="0" w:after="0"/>
        <w:ind w:left="0" w:right="0" w:firstLine="720"/>
        <w:jc w:val="left"/>
        <w:rPr/>
      </w:pPr>
      <w:r>
        <w:rPr>
          <w:rFonts w:ascii="Times New Roman;sans-serif" w:hAnsi="Times New Roman;sans-serif"/>
          <w:b w:val="false"/>
          <w:color w:val="000000"/>
          <w:sz w:val="20"/>
        </w:rPr>
        <w:t>The effective tax rate for the three and six months ended June 30, 2023 differs from the federal statutory rate of 21% principally because of the effect of the mix of U.S. and foreign incomes, state income taxes, section 162(m) excess compensation, foreign-derived intangible income (</w:t>
      </w:r>
      <w:r>
        <w:rPr>
          <w:color w:val="000000"/>
        </w:rPr>
        <w:t>“</w:t>
      </w:r>
      <w:r>
        <w:rPr>
          <w:rFonts w:ascii="Times New Roman;sans-serif" w:hAnsi="Times New Roman;sans-serif"/>
          <w:b w:val="false"/>
          <w:color w:val="000000"/>
          <w:sz w:val="20"/>
        </w:rPr>
        <w:t>FDII</w:t>
      </w:r>
      <w:r>
        <w:rPr>
          <w:color w:val="000000"/>
        </w:rPr>
        <w:t>”</w:t>
      </w:r>
      <w:r>
        <w:rPr>
          <w:rFonts w:ascii="Times New Roman;sans-serif" w:hAnsi="Times New Roman;sans-serif"/>
          <w:b w:val="false"/>
          <w:color w:val="000000"/>
          <w:sz w:val="20"/>
        </w:rPr>
        <w:t xml:space="preserve">) and tax credits. The effective tax rate for both the three and six months ended June 30, 2023 included a tax benefit of $6.0 million primarily related to unrecognized tax benefits released as a result of the expiration of the statute of limitations. The effective tax rate during the three and six months ended June 30, 2023 also included a tax benefit of $0.9 million and $0.2 million, respectively, related to the excess tax benefits recognized on stock option exercises and the vesting of restricted stock during the period. Additionally, the effective tax rate for the three and six months ended June 30, 2023 also included the nil tax impact of the revaluation of contingent consideration for $4.0 million and $3.3 million, respectively. </w:t>
      </w:r>
    </w:p>
    <w:p>
      <w:pPr>
        <w:pStyle w:val="TextBody"/>
        <w:bidi w:val="0"/>
        <w:spacing w:before="0" w:after="0"/>
        <w:jc w:val="left"/>
        <w:rPr/>
      </w:pPr>
      <w:r>
        <w:rPr/>
      </w:r>
    </w:p>
    <w:p>
      <w:pPr>
        <w:pStyle w:val="TextBody"/>
        <w:bidi w:val="0"/>
        <w:spacing w:lineRule="auto" w:line="288" w:before="0" w:after="100"/>
        <w:jc w:val="left"/>
        <w:rPr>
          <w:color w:val="000000"/>
        </w:rPr>
      </w:pPr>
      <w:r>
        <w:rPr>
          <w:color w:val="000000"/>
        </w:rPr>
        <w:t>    </w:t>
      </w:r>
      <w:r>
        <w:rPr>
          <w:rFonts w:ascii="Times New Roman;sans-serif" w:hAnsi="Times New Roman;sans-serif"/>
          <w:b w:val="false"/>
          <w:color w:val="000000"/>
          <w:sz w:val="20"/>
        </w:rPr>
        <w:t xml:space="preserve">The effective tax rate for the three and six months ended June 30, 2022 differs from the federal statutory rate of 21% principally because of the effect of the mix of U.S. and foreign incomes, state income taxes, section 162(m) excess compensation, FDII and tax credits. The effective tax rate during the three and six months ended June 30, 2022 included a discrete tax benefit of $0.0 million and $2.6 million, respectively, related to excess tax benefits recognized on stock option exercises and the vesting of restricted stock units during the period. The revaluation of the contingent consideration during the three and six months ended June 30, 2022 resulted in a tax expense of $0.0 million for both periods. </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equivalents, our short-term investment portfolio, cash flows from our operations and access to borrowing arrangements.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Funds generated from operations are held in cash and cash equivalents and investment securities. During the six months ended June 30, 2023, our cash and cash equivalents and short-term investment securities increased by $15.3 million from $213.0 million at December 31, 2022 to $197.7 million at June 30, 2023. This increase was primarily due to cash generated from operations. Our short-term investment portfolio currently consists of investment-grade corporate and federal bonds and is primarily intended to facilitate capital preservation.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17: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June 30, 2023,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June 30, 2023. 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tbl>
      <w:tblPr>
        <w:tblW w:w="4797"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624"/>
        <w:gridCol w:w="624"/>
        <w:gridCol w:w="626"/>
        <w:gridCol w:w="259"/>
        <w:gridCol w:w="259"/>
        <w:gridCol w:w="368"/>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Issuer/Term Loan B </w:t>
              <w:br/>
              <w:t>Credit Ratings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Ba3/Ba3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BB/BBB-</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17: Long-Term Debt to our accompanying condensed consolidated financial statements). We were in compliance with these financial covenants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2022 Annual Report on Form 10-K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Uses of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we estimate that our capital expenditures in 2023 will be in the range of $80 million to $100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at June 30, 2023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6: Leases to our accompanying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tbl>
      <w:tblPr>
        <w:tblW w:w="10155" w:type="dxa"/>
        <w:jc w:val="left"/>
        <w:tblInd w:w="0" w:type="dxa"/>
        <w:tblLayout w:type="fixed"/>
        <w:tblCellMar>
          <w:top w:w="28" w:type="dxa"/>
          <w:left w:w="28" w:type="dxa"/>
          <w:bottom w:w="28" w:type="dxa"/>
          <w:right w:w="28" w:type="dxa"/>
        </w:tblCellMar>
      </w:tblPr>
      <w:tblGrid>
        <w:gridCol w:w="1009"/>
        <w:gridCol w:w="889"/>
        <w:gridCol w:w="892"/>
        <w:gridCol w:w="436"/>
        <w:gridCol w:w="1060"/>
        <w:gridCol w:w="228"/>
        <w:gridCol w:w="211"/>
        <w:gridCol w:w="616"/>
        <w:gridCol w:w="109"/>
        <w:gridCol w:w="211"/>
        <w:gridCol w:w="616"/>
        <w:gridCol w:w="109"/>
        <w:gridCol w:w="211"/>
        <w:gridCol w:w="616"/>
        <w:gridCol w:w="109"/>
        <w:gridCol w:w="211"/>
        <w:gridCol w:w="616"/>
        <w:gridCol w:w="109"/>
        <w:gridCol w:w="211"/>
        <w:gridCol w:w="511"/>
        <w:gridCol w:w="109"/>
        <w:gridCol w:w="229"/>
        <w:gridCol w:w="669"/>
        <w:gridCol w:w="168"/>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Principal Payments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Principal Payments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Commitment Fee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there have been no material changes to our estimate for restructuring and integration expenses along with spending to support quality systems and quality compliance objectives, as previously disclosed in our 2022 Annual Report on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Cash Flows from Operating Activities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operations for the six months ended June 30, 2023 was $39.8 million. Net income plus adjustments for non-cash net expenses contributed $151.7 million. Net cash used in operations as a result of changes in operating assets and liabilities was $111.9 million. The changes in operating assets and liabilities included a $76.0 million increase in inventories, a $12.7 million increase in other assets, a $46.9 million decrease in accounts payable, $26.0 million in net changes in income taxes, including excess tax benefits and deferred income taxes and a $0.1 million decrease in accrued liabilities. Offsetting these amounts was a $46.8 million decrease in accounts receivable and a $3.0 million decrease in prepaid expenses and other current assets. The increase in inventory was primarily to build inventory safety stock levels. The increase in other assets was due to the purchase of spare parts. The decrease in accounts payable was due to the timing of payments. The net changes in income taxes was a result of recording the current deferred provision and the timing of payments. The increase in accrued liabilities was primarily due to employee costs. The decrease in accounts receivable was primarily due to the sale of accounts receivable as part of our accounts receivable purchase program with Bank of the West (see Note 21: Accounts Receivable Purchase Program). The decrease in prepaid expenses and other current assets was primarily due to insurance and property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 cash used in operations for the six months ended June 30, 2022 was $62.7 million. Net income plus adjustments for non-cash net expenses contributed $108.2 million. Net cash used in operations as a result of changes in operating assets and liabilities was $170.9 million. The changes in operating assets and liabilities included a $100.0 million increase in inventories, a $17.3 million increase in other assets, a $33.5 million decrease in accrued liabilities and $45.8 million in net changes in income taxes, including excess tax benefits and deferred income taxes and a $1.1 million increase in accounts receivable. Offsetting these amounts was a $4.7 million decrease in prepaid expenses and other current assets and a $22.1 million increase in accounts payable. The increase in inventory was primarily due to the increase in safety stock.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recording the current deferred provision and the timing of payments. The increase in accounts receivable was primarily due to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table summarizes the changes in our investing cash flows (in thousands):</w:t>
      </w:r>
    </w:p>
    <w:tbl>
      <w:tblPr>
        <w:tblW w:w="8441" w:type="dxa"/>
        <w:jc w:val="left"/>
        <w:tblInd w:w="0" w:type="dxa"/>
        <w:tblLayout w:type="fixed"/>
        <w:tblCellMar>
          <w:top w:w="28" w:type="dxa"/>
          <w:left w:w="28" w:type="dxa"/>
          <w:bottom w:w="28" w:type="dxa"/>
          <w:right w:w="28" w:type="dxa"/>
        </w:tblCellMar>
      </w:tblPr>
      <w:tblGrid>
        <w:gridCol w:w="1313"/>
        <w:gridCol w:w="1156"/>
        <w:gridCol w:w="1160"/>
        <w:gridCol w:w="211"/>
        <w:gridCol w:w="796"/>
        <w:gridCol w:w="109"/>
        <w:gridCol w:w="109"/>
        <w:gridCol w:w="109"/>
        <w:gridCol w:w="109"/>
        <w:gridCol w:w="211"/>
        <w:gridCol w:w="1051"/>
        <w:gridCol w:w="109"/>
        <w:gridCol w:w="109"/>
        <w:gridCol w:w="109"/>
        <w:gridCol w:w="109"/>
        <w:gridCol w:w="211"/>
        <w:gridCol w:w="976"/>
        <w:gridCol w:w="109"/>
        <w:gridCol w:w="110"/>
        <w:gridCol w:w="110"/>
        <w:gridCol w:w="15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Cash Flows: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additions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Our purchases of property, plant and equipment will also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 xml:space="preserve">Our purchases of investment securities will vary from period to period based on current cash needs, planning for known future transactions and changes in our investment strategy.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 xml:space="preserve">Proceeds from the sale of our investment securities will vary from period to period based on the maturity dates of the investments. </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The following table summarizes the changes in our financing cash flows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1972"/>
        <w:gridCol w:w="1716"/>
        <w:gridCol w:w="1722"/>
        <w:gridCol w:w="211"/>
        <w:gridCol w:w="787"/>
        <w:gridCol w:w="109"/>
        <w:gridCol w:w="109"/>
        <w:gridCol w:w="109"/>
        <w:gridCol w:w="109"/>
        <w:gridCol w:w="211"/>
        <w:gridCol w:w="976"/>
        <w:gridCol w:w="109"/>
        <w:gridCol w:w="109"/>
        <w:gridCol w:w="109"/>
        <w:gridCol w:w="109"/>
        <w:gridCol w:w="211"/>
        <w:gridCol w:w="1042"/>
        <w:gridCol w:w="109"/>
        <w:gridCol w:w="109"/>
        <w:gridCol w:w="109"/>
        <w:gridCol w:w="158"/>
      </w:tblGrid>
      <w:tr>
        <w:trPr/>
        <w:tc>
          <w:tcPr>
            <w:tcW w:w="197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Cash Flows: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lender debt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third-party debt issuance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5410"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related to net share settlement of equity awards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In January 2022, we borrowed an aggregate of $1.7 billion under the Senior Secured Credit Facilities to partially finance our acquisition of Smiths Medical (see Note 17: Long-Term Debt to our accompanying condensed consolidated financial statements for additional information). The proceeds were net of $27.3 million in payments of lender debt issuance costs.</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 xml:space="preserve">Relates to scheduled principal payments on the Senior Secured Credit Facilities. </w:t>
      </w:r>
    </w:p>
    <w:p>
      <w:pPr>
        <w:pStyle w:val="TextBody"/>
        <w:bidi w:val="0"/>
        <w:spacing w:lineRule="auto" w:line="288" w:before="0" w:after="60"/>
        <w:ind w:left="0" w:right="0" w:hanging="36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Relates to third-party debt issuance costs in connection with entering into the Senior Secured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hanging="36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During the six months ended June 30, 2023, our employees surrendered 54,371 shares of our common stock from vested restricted stock unit awards as consideration for approximately $8.7 million in minimum statutory withholding obligations paid on their behalf. During the six months ended June 30, 2022, our employees surrendered 44,759 shares of our common stock from vested restricted stock unit awards as consideration for approximately $10.4 million in minimum statutory withholding obligations paid on their behalf.</w:t>
      </w:r>
    </w:p>
    <w:p>
      <w:pPr>
        <w:pStyle w:val="TextBody"/>
        <w:bidi w:val="0"/>
        <w:spacing w:before="0" w:after="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purchase plan, which authorized the repurchase of up to $100.0 million of our common stock, was approved by our Board of Directors in August 2019. This plan has no expiration date. As of June 30, 2023, all of the $100.0 million available for purchase was remaining under the plan. </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our 2022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2022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New Accounting Pronouncements in Part I, Item 1.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Interest Rate Risk</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analysis to measure our interest rate risk exposure. If the SOFR rate increases or decreases 1% from June 30, 2023, the additional annual interest expense or savings related to the term loans would amount to approximately $16.6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In June 2023, we entered into an additional swap with a notional amount of $300 million with a maturity date of June 30, 2028 and we will pay a fixed rate of 3.8765% starting on June 30, 2023 and receive 3-month USD SOFR. See Note 8: Derivatives and Hedging Activities to the condensed consolidated financial statements in Part I, Item 1 of this Form 10-Q.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accounts receivable purchase program with Bank of the West bears discount rates tied to SOFR. These variable discount rates would affect the amount of factoring costs we incur, and the amount of cash we receive upon the sales of accounts receivable under this program. A 1% increase in SOFR rates on the accounts receivable sales would not have a material impact on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Foreign Currency Exchange Rate Risk</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foreign currency exchange forward contracts hedge a portion of our forecasted foreign currency-denominated revenues and expenses (principally Mexican Pesos, Euros, Czech Koruna, Japanese Yen, U.S. Dollar, Chinese Renminbi, Canadian Dollar, Swedish Krona and Australian Dollar) that differ from the functional currency of the operating unit. These derivative contracts are designated and qualify as cash flow hedges (see Note 8: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June 30, 2023, the effect of a hypothetical 10% weakening in the actual foreign currency exchange rates used for the applicable currencies would result in an estimated decrease in the fair value of these outstanding derivative contracts by approximately $2.2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procedures, no matter how well designed and operated, can provide only reasonable assurance of achieving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desired control objectives. In addition, the design of disclosure controls and procedures must reflect the fact that there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are resource constraints, and that management is required to apply judgment in evaluating the benefits of possible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relative to their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 as of the end of the period covered by this Quarterly Report.</w:t>
      </w:r>
      <w:r>
        <w:rPr>
          <w:color w:val="000000"/>
        </w:rPr>
        <w:t xml:space="preserve"> </w:t>
      </w:r>
      <w:r>
        <w:rPr>
          <w:rFonts w:ascii="Times New Roman;sans-serif" w:hAnsi="Times New Roman;sans-serif"/>
          <w:b w:val="false"/>
          <w:color w:val="000000"/>
          <w:sz w:val="20"/>
        </w:rPr>
        <w:t xml:space="preserve">Based on the evaluation, our principal executive officer and principal financial officer concluded that, as of June 30, 2023, our disclosure controls and procedures were effective at the reasonable assurance level.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(as defined in Rules 13a-15(f) and 15d-15(f) under the Exchange Act) during the quarter ended June 30, 2023 that has materially affected, or is reasonably likely to materially affect, our internal control over financial reporting.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Certain legal proceedings in which we are involved are discussed in Part I, Item 1. "Financial Statements" of this Form 10-Q in Note 19. Commitments and Contingencies to the Condensed Consolidated Financial Statements, and is incorporated herein by reference.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90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1A.Risk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evaluating an investment in our common stock, investors should consider carefully, among other things, the risk factors previously disclosed in Part I, Item 1A of our 2022 Annual Report on Form 10-K, as well as the information contained in this Quarterly Report, in each case as updated by our periodic reports and registration statements filed with the SEC. There have been no material changes to the risk factors disclosed in Part I. Item 1A of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2.Unregistered Sales of Equity Securities, Use of Proceeds,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The following is a summary of our stock repurchasing activity during the second quarter of 2023:</w:t>
      </w:r>
    </w:p>
    <w:tbl>
      <w:tblPr>
        <w:tblW w:w="9682" w:type="dxa"/>
        <w:jc w:val="center"/>
        <w:tblInd w:w="0" w:type="dxa"/>
        <w:tblLayout w:type="fixed"/>
        <w:tblCellMar>
          <w:top w:w="28" w:type="dxa"/>
          <w:left w:w="28" w:type="dxa"/>
          <w:bottom w:w="28" w:type="dxa"/>
          <w:right w:w="28" w:type="dxa"/>
        </w:tblCellMar>
      </w:tblPr>
      <w:tblGrid>
        <w:gridCol w:w="874"/>
        <w:gridCol w:w="770"/>
        <w:gridCol w:w="785"/>
        <w:gridCol w:w="109"/>
        <w:gridCol w:w="109"/>
        <w:gridCol w:w="109"/>
        <w:gridCol w:w="594"/>
        <w:gridCol w:w="594"/>
        <w:gridCol w:w="596"/>
        <w:gridCol w:w="109"/>
        <w:gridCol w:w="109"/>
        <w:gridCol w:w="109"/>
        <w:gridCol w:w="240"/>
        <w:gridCol w:w="461"/>
        <w:gridCol w:w="125"/>
        <w:gridCol w:w="109"/>
        <w:gridCol w:w="109"/>
        <w:gridCol w:w="109"/>
        <w:gridCol w:w="594"/>
        <w:gridCol w:w="594"/>
        <w:gridCol w:w="596"/>
        <w:gridCol w:w="109"/>
        <w:gridCol w:w="109"/>
        <w:gridCol w:w="109"/>
        <w:gridCol w:w="211"/>
        <w:gridCol w:w="118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 as</w:t>
              <w:br/>
              <w:t>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that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pPr>
            <w:r>
              <w:rPr>
                <w:rFonts w:ascii="Times New Roman;sans-serif" w:hAnsi="Times New Roman;sans-serif"/>
                <w:b/>
                <w:color w:val="000000"/>
                <w:sz w:val="16"/>
              </w:rPr>
              <w:t>the program</w:t>
            </w:r>
            <w:r>
              <w:rPr>
                <w:rFonts w:ascii="Times New Roman;sans-serif" w:hAnsi="Times New Roman;sans-serif"/>
                <w:b/>
                <w:color w:val="000000"/>
                <w:sz w:val="10"/>
              </w:rPr>
              <w:t>(1)</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04/01/2023 — 04/30/2023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05/01/2023 — 05/31/2023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06/01/2023 — 06/30/2023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of 2023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the three months ended June 30, 2023, none of the Company’s directors or </w:t>
      </w:r>
      <w:r>
        <w:rPr>
          <w:color w:val="000000"/>
        </w:rPr>
        <w:t>“</w:t>
      </w:r>
      <w:r>
        <w:rPr>
          <w:rFonts w:ascii="Times New Roman;sans-serif" w:hAnsi="Times New Roman;sans-serif"/>
          <w:b w:val="false"/>
          <w:color w:val="000000"/>
          <w:sz w:val="20"/>
        </w:rPr>
        <w:t>officers</w:t>
      </w:r>
      <w:r>
        <w:rPr>
          <w:color w:val="000000"/>
        </w:rPr>
        <w:t xml:space="preserve">” </w:t>
      </w:r>
      <w:r>
        <w:rPr>
          <w:rFonts w:ascii="Times New Roman;sans-serif" w:hAnsi="Times New Roman;sans-serif"/>
          <w:b w:val="false"/>
          <w:color w:val="000000"/>
          <w:sz w:val="20"/>
        </w:rPr>
        <w:t xml:space="preserve">(as defined in Rule 16a-1(f) under the Exchange Act) adopted, modified, or terminated a </w:t>
      </w:r>
      <w:r>
        <w:rPr>
          <w:color w:val="000000"/>
        </w:rPr>
        <w:t>“</w:t>
      </w:r>
      <w:r>
        <w:rPr>
          <w:rFonts w:ascii="Times New Roman;sans-serif" w:hAnsi="Times New Roman;sans-serif"/>
          <w:b w:val="false"/>
          <w:color w:val="000000"/>
          <w:sz w:val="20"/>
        </w:rPr>
        <w:t>Rule 10b5-1 trading arrangement</w:t>
      </w:r>
      <w:r>
        <w:rPr>
          <w:color w:val="000000"/>
        </w:rPr>
        <w:t xml:space="preserve">” </w:t>
      </w:r>
      <w:r>
        <w:rPr>
          <w:rFonts w:ascii="Times New Roman;sans-serif" w:hAnsi="Times New Roman;sans-serif"/>
          <w:b w:val="false"/>
          <w:color w:val="000000"/>
          <w:sz w:val="20"/>
        </w:rPr>
        <w:t xml:space="preserve">or a </w:t>
      </w:r>
      <w:r>
        <w:rPr>
          <w:color w:val="000000"/>
        </w:rPr>
        <w:t>“</w:t>
      </w:r>
      <w:r>
        <w:rPr>
          <w:rFonts w:ascii="Times New Roman;sans-serif" w:hAnsi="Times New Roman;sans-serif"/>
          <w:b w:val="false"/>
          <w:color w:val="000000"/>
          <w:sz w:val="20"/>
        </w:rPr>
        <w:t>non-Rule 10b5-1 trading arrangement,</w:t>
      </w:r>
      <w:r>
        <w:rPr>
          <w:color w:val="000000"/>
        </w:rPr>
        <w:t xml:space="preserve">” </w:t>
      </w:r>
      <w:r>
        <w:rPr>
          <w:rFonts w:ascii="Times New Roman;sans-serif" w:hAnsi="Times New Roman;sans-serif"/>
          <w:b w:val="false"/>
          <w:color w:val="000000"/>
          <w:sz w:val="20"/>
        </w:rPr>
        <w:t>each as defined in Item 408(a)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6. Exhibits</w:t>
      </w:r>
    </w:p>
    <w:p>
      <w:pPr>
        <w:pStyle w:val="TextBody"/>
        <w:bidi w:val="0"/>
        <w:spacing w:lineRule="auto" w:line="288" w:before="100" w:after="10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70"/>
        <w:gridCol w:w="414"/>
        <w:gridCol w:w="419"/>
        <w:gridCol w:w="109"/>
        <w:gridCol w:w="109"/>
        <w:gridCol w:w="109"/>
        <w:gridCol w:w="2585"/>
        <w:gridCol w:w="2480"/>
        <w:gridCol w:w="3510"/>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Exhibit </w:t>
            </w:r>
            <w:hyperlink r:id="rId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ICU Medical, Inc. Amended and Restated 2011 Stock Incentive Plan (incorporated herein by reference to Exhibit 10.1 to the Company’s Current Report on Form 8-K filed with the SEC on May 22, 2023)</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Exhibit </w:t>
            </w:r>
            <w:hyperlink w:anchor="icui-ex31163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Exhibit </w:t>
            </w:r>
            <w:hyperlink w:anchor="icui-ex31263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Exhibit </w:t>
            </w:r>
            <w:hyperlink w:anchor="icui-ex32163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of Chief Executive Officer and Chief Financial Officer pursuant to Section 906 of the Sarbanes-Oxley Act of 2002</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this instance document does not appear in the Interactive Data File because its XBRL tags are embedded within the Inline XBRL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ea62424d39c4b0ba30f17ae4299dba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ICU Medical, Inc.</w:t>
      </w:r>
    </w:p>
    <w:p>
      <w:pPr>
        <w:pStyle w:val="TextBody"/>
        <w:bidi w:val="0"/>
        <w:spacing w:lineRule="auto" w:line="288" w:before="0" w:after="0"/>
        <w:jc w:val="left"/>
        <w:rPr>
          <w:color w:val="000000"/>
        </w:rPr>
      </w:pPr>
      <w:r>
        <w:rPr>
          <w:color w:val="000000"/>
        </w:rPr>
        <w:t> </w:t>
      </w:r>
    </w:p>
    <w:tbl>
      <w:tblPr>
        <w:tblW w:w="6223" w:type="dxa"/>
        <w:jc w:val="left"/>
        <w:tblInd w:w="0" w:type="dxa"/>
        <w:tblLayout w:type="fixed"/>
        <w:tblCellMar>
          <w:top w:w="28" w:type="dxa"/>
          <w:left w:w="28" w:type="dxa"/>
          <w:bottom w:w="28" w:type="dxa"/>
          <w:right w:w="28" w:type="dxa"/>
        </w:tblCellMar>
      </w:tblPr>
      <w:tblGrid>
        <w:gridCol w:w="1554"/>
        <w:gridCol w:w="1366"/>
        <w:gridCol w:w="1370"/>
        <w:gridCol w:w="179"/>
        <w:gridCol w:w="179"/>
        <w:gridCol w:w="181"/>
        <w:gridCol w:w="407"/>
        <w:gridCol w:w="407"/>
        <w:gridCol w:w="580"/>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9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I have reviewed this quarterly report on Form 10-Q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39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right"/>
        <w:rPr>
          <w:color w:val="000000"/>
        </w:rPr>
      </w:pPr>
      <w:r>
        <w:rPr>
          <w:color w:val="000000"/>
        </w:rPr>
        <w:t> </w:t>
      </w:r>
    </w:p>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June 30, 2023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106"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703"/>
        <w:gridCol w:w="703"/>
        <w:gridCol w:w="100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June 30, 2023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032"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684"/>
        <w:gridCol w:w="684"/>
        <w:gridCol w:w="97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3984/000088398423000024/exhibit101_8-k5172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26709</Words>
  <Characters>148059</Characters>
  <CharactersWithSpaces>173281</CharactersWithSpaces>
  <Paragraphs>3886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