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7" w:lineRule="exact"/>
        <w:rPr>
          <w:sz w:val="24"/>
          <w:szCs w:val="24"/>
          <w:color w:val="auto"/>
        </w:rPr>
      </w:pPr>
    </w:p>
    <w:p>
      <w:pPr>
        <w:ind w:left="3820" w:right="960" w:hanging="2534"/>
        <w:spacing w:after="0" w:line="359" w:lineRule="auto"/>
        <w:tabs>
          <w:tab w:leader="none" w:pos="149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 or</w:t>
      </w:r>
    </w:p>
    <w:p>
      <w:pPr>
        <w:spacing w:after="0" w:line="28" w:lineRule="exact"/>
        <w:rPr>
          <w:rFonts w:ascii="MS PGothic" w:cs="MS PGothic" w:eastAsia="MS PGothic" w:hAnsi="MS PGothic"/>
          <w:sz w:val="18"/>
          <w:szCs w:val="18"/>
          <w:color w:val="auto"/>
        </w:rPr>
      </w:pPr>
    </w:p>
    <w:p>
      <w:pPr>
        <w:ind w:left="1320" w:hanging="219"/>
        <w:spacing w:after="0"/>
        <w:tabs>
          <w:tab w:leader="none" w:pos="1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transition period from</w:t>
            </w:r>
          </w:p>
        </w:tc>
        <w:tc>
          <w:tcPr>
            <w:tcW w:w="4800" w:type="dxa"/>
            <w:vAlign w:val="bottom"/>
          </w:tcPr>
          <w:p>
            <w:pPr>
              <w:ind w:left="300"/>
              <w:spacing w:after="0"/>
              <w:rPr>
                <w:sz w:val="20"/>
                <w:szCs w:val="20"/>
                <w:color w:val="auto"/>
              </w:rPr>
            </w:pPr>
            <w:r>
              <w:rPr>
                <w:rFonts w:ascii="Arial" w:cs="Arial" w:eastAsia="Arial" w:hAnsi="Arial"/>
                <w:sz w:val="18"/>
                <w:szCs w:val="18"/>
                <w:b w:val="1"/>
                <w:bCs w:val="1"/>
                <w:color w:val="auto"/>
              </w:rPr>
              <w:t>to</w:t>
            </w:r>
          </w:p>
        </w:tc>
      </w:tr>
      <w:tr>
        <w:trPr>
          <w:trHeight w:val="324"/>
        </w:trPr>
        <w:tc>
          <w:tcPr>
            <w:tcW w:w="3580" w:type="dxa"/>
            <w:vAlign w:val="bottom"/>
          </w:tcPr>
          <w:p>
            <w:pPr>
              <w:spacing w:after="0"/>
              <w:rPr>
                <w:sz w:val="24"/>
                <w:szCs w:val="24"/>
                <w:color w:val="auto"/>
              </w:rPr>
            </w:pPr>
          </w:p>
        </w:tc>
        <w:tc>
          <w:tcPr>
            <w:tcW w:w="7660" w:type="dxa"/>
            <w:vAlign w:val="bottom"/>
            <w:gridSpan w:val="2"/>
          </w:tcPr>
          <w:p>
            <w:pPr>
              <w:jc w:val="center"/>
              <w:ind w:right="3472"/>
              <w:spacing w:after="0"/>
              <w:rPr>
                <w:sz w:val="20"/>
                <w:szCs w:val="20"/>
                <w:color w:val="auto"/>
              </w:rPr>
            </w:pPr>
            <w:r>
              <w:rPr>
                <w:rFonts w:ascii="Arial" w:cs="Arial" w:eastAsia="Arial" w:hAnsi="Arial"/>
                <w:sz w:val="18"/>
                <w:szCs w:val="18"/>
                <w:b w:val="1"/>
                <w:bCs w:val="1"/>
                <w:color w:val="auto"/>
                <w:w w:val="89"/>
              </w:rPr>
              <w:t>Commission File No. 001-34634</w:t>
            </w:r>
          </w:p>
        </w:tc>
      </w:tr>
      <w:tr>
        <w:trPr>
          <w:trHeight w:val="472"/>
        </w:trPr>
        <w:tc>
          <w:tcPr>
            <w:tcW w:w="3580" w:type="dxa"/>
            <w:vAlign w:val="bottom"/>
          </w:tcPr>
          <w:p>
            <w:pPr>
              <w:spacing w:after="0"/>
              <w:rPr>
                <w:sz w:val="24"/>
                <w:szCs w:val="24"/>
                <w:color w:val="auto"/>
              </w:rPr>
            </w:pPr>
          </w:p>
        </w:tc>
        <w:tc>
          <w:tcPr>
            <w:tcW w:w="7660" w:type="dxa"/>
            <w:vAlign w:val="bottom"/>
            <w:gridSpan w:val="2"/>
          </w:tcPr>
          <w:p>
            <w:pPr>
              <w:jc w:val="center"/>
              <w:ind w:right="3492"/>
              <w:spacing w:after="0"/>
              <w:rPr>
                <w:sz w:val="20"/>
                <w:szCs w:val="20"/>
                <w:color w:val="auto"/>
              </w:rPr>
            </w:pPr>
            <w:r>
              <w:rPr>
                <w:rFonts w:ascii="Arial" w:cs="Arial" w:eastAsia="Arial" w:hAnsi="Arial"/>
                <w:sz w:val="32"/>
                <w:szCs w:val="32"/>
                <w:b w:val="1"/>
                <w:bCs w:val="1"/>
                <w:color w:val="auto"/>
              </w:rPr>
              <w:t>ICU MEDICAL, INC.</w:t>
            </w:r>
          </w:p>
        </w:tc>
      </w:tr>
      <w:tr>
        <w:trPr>
          <w:trHeight w:val="230"/>
        </w:trPr>
        <w:tc>
          <w:tcPr>
            <w:tcW w:w="3580" w:type="dxa"/>
            <w:vAlign w:val="bottom"/>
          </w:tcPr>
          <w:p>
            <w:pPr>
              <w:spacing w:after="0"/>
              <w:rPr>
                <w:sz w:val="20"/>
                <w:szCs w:val="20"/>
                <w:color w:val="auto"/>
              </w:rPr>
            </w:pPr>
          </w:p>
        </w:tc>
        <w:tc>
          <w:tcPr>
            <w:tcW w:w="7660" w:type="dxa"/>
            <w:vAlign w:val="bottom"/>
            <w:gridSpan w:val="2"/>
          </w:tcPr>
          <w:p>
            <w:pPr>
              <w:jc w:val="center"/>
              <w:ind w:right="3472"/>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58"/>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Delaware</w:t>
            </w:r>
          </w:p>
        </w:tc>
        <w:tc>
          <w:tcPr>
            <w:tcW w:w="2860" w:type="dxa"/>
            <w:vAlign w:val="bottom"/>
          </w:tcPr>
          <w:p>
            <w:pPr>
              <w:spacing w:after="0"/>
              <w:rPr>
                <w:sz w:val="24"/>
                <w:szCs w:val="24"/>
                <w:color w:val="auto"/>
              </w:rPr>
            </w:pPr>
          </w:p>
        </w:tc>
        <w:tc>
          <w:tcPr>
            <w:tcW w:w="4800" w:type="dxa"/>
            <w:vAlign w:val="bottom"/>
          </w:tcPr>
          <w:p>
            <w:pPr>
              <w:jc w:val="right"/>
              <w:ind w:right="2452"/>
              <w:spacing w:after="0"/>
              <w:rPr>
                <w:sz w:val="20"/>
                <w:szCs w:val="20"/>
                <w:color w:val="auto"/>
              </w:rPr>
            </w:pPr>
            <w:r>
              <w:rPr>
                <w:rFonts w:ascii="Arial" w:cs="Arial" w:eastAsia="Arial" w:hAnsi="Arial"/>
                <w:sz w:val="18"/>
                <w:szCs w:val="18"/>
                <w:b w:val="1"/>
                <w:bCs w:val="1"/>
                <w:color w:val="auto"/>
              </w:rPr>
              <w:t>33-0022692</w:t>
            </w:r>
          </w:p>
        </w:tc>
      </w:tr>
      <w:tr>
        <w:trPr>
          <w:trHeight w:val="230"/>
        </w:trPr>
        <w:tc>
          <w:tcPr>
            <w:tcW w:w="6440" w:type="dxa"/>
            <w:vAlign w:val="bottom"/>
            <w:gridSpan w:val="2"/>
          </w:tcPr>
          <w:p>
            <w:pPr>
              <w:ind w:left="480"/>
              <w:spacing w:after="0"/>
              <w:rPr>
                <w:sz w:val="20"/>
                <w:szCs w:val="20"/>
                <w:color w:val="auto"/>
              </w:rPr>
            </w:pPr>
            <w:r>
              <w:rPr>
                <w:rFonts w:ascii="Arial" w:cs="Arial" w:eastAsia="Arial" w:hAnsi="Arial"/>
                <w:sz w:val="18"/>
                <w:szCs w:val="18"/>
                <w:color w:val="auto"/>
              </w:rPr>
              <w:t>(State or other jurisdiction of incorporation or organization)</w:t>
            </w:r>
          </w:p>
        </w:tc>
        <w:tc>
          <w:tcPr>
            <w:tcW w:w="4800" w:type="dxa"/>
            <w:vAlign w:val="bottom"/>
          </w:tcPr>
          <w:p>
            <w:pPr>
              <w:jc w:val="center"/>
              <w:ind w:right="1052"/>
              <w:spacing w:after="0"/>
              <w:rPr>
                <w:sz w:val="20"/>
                <w:szCs w:val="20"/>
                <w:color w:val="auto"/>
              </w:rPr>
            </w:pPr>
            <w:r>
              <w:rPr>
                <w:rFonts w:ascii="Arial" w:cs="Arial" w:eastAsia="Arial" w:hAnsi="Arial"/>
                <w:sz w:val="18"/>
                <w:szCs w:val="18"/>
                <w:color w:val="auto"/>
                <w:w w:val="94"/>
              </w:rPr>
              <w:t>(I.R.S. Employer Identification No.)</w:t>
            </w:r>
          </w:p>
        </w:tc>
      </w:tr>
      <w:tr>
        <w:trPr>
          <w:trHeight w:val="535"/>
        </w:trPr>
        <w:tc>
          <w:tcPr>
            <w:tcW w:w="644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1"/>
              </w:rPr>
              <w:t>951 Calle Amanecer</w:t>
            </w:r>
          </w:p>
        </w:tc>
        <w:tc>
          <w:tcPr>
            <w:tcW w:w="4800" w:type="dxa"/>
            <w:vAlign w:val="bottom"/>
          </w:tcPr>
          <w:p>
            <w:pPr>
              <w:spacing w:after="0"/>
              <w:rPr>
                <w:sz w:val="24"/>
                <w:szCs w:val="24"/>
                <w:color w:val="auto"/>
              </w:rPr>
            </w:pPr>
          </w:p>
        </w:tc>
      </w:tr>
      <w:tr>
        <w:trPr>
          <w:trHeight w:val="234"/>
        </w:trPr>
        <w:tc>
          <w:tcPr>
            <w:tcW w:w="6440" w:type="dxa"/>
            <w:vAlign w:val="bottom"/>
            <w:gridSpan w:val="2"/>
          </w:tcPr>
          <w:p>
            <w:pPr>
              <w:ind w:left="1880"/>
              <w:spacing w:after="0"/>
              <w:rPr>
                <w:sz w:val="20"/>
                <w:szCs w:val="20"/>
                <w:color w:val="auto"/>
              </w:rPr>
            </w:pPr>
            <w:r>
              <w:rPr>
                <w:rFonts w:ascii="Arial" w:cs="Arial" w:eastAsia="Arial" w:hAnsi="Arial"/>
                <w:sz w:val="18"/>
                <w:szCs w:val="18"/>
                <w:b w:val="1"/>
                <w:bCs w:val="1"/>
                <w:color w:val="auto"/>
              </w:rPr>
              <w:t>San Clemente , California</w:t>
            </w:r>
          </w:p>
        </w:tc>
        <w:tc>
          <w:tcPr>
            <w:tcW w:w="4800" w:type="dxa"/>
            <w:vAlign w:val="bottom"/>
          </w:tcPr>
          <w:p>
            <w:pPr>
              <w:jc w:val="right"/>
              <w:ind w:right="2972"/>
              <w:spacing w:after="0"/>
              <w:rPr>
                <w:sz w:val="20"/>
                <w:szCs w:val="20"/>
                <w:color w:val="auto"/>
              </w:rPr>
            </w:pPr>
            <w:r>
              <w:rPr>
                <w:rFonts w:ascii="Arial" w:cs="Arial" w:eastAsia="Arial" w:hAnsi="Arial"/>
                <w:sz w:val="18"/>
                <w:szCs w:val="18"/>
                <w:b w:val="1"/>
                <w:bCs w:val="1"/>
                <w:color w:val="auto"/>
              </w:rPr>
              <w:t>92673</w:t>
            </w:r>
          </w:p>
        </w:tc>
      </w:tr>
      <w:tr>
        <w:trPr>
          <w:trHeight w:val="230"/>
        </w:trPr>
        <w:tc>
          <w:tcPr>
            <w:tcW w:w="6440" w:type="dxa"/>
            <w:vAlign w:val="bottom"/>
            <w:gridSpan w:val="2"/>
          </w:tcPr>
          <w:p>
            <w:pPr>
              <w:jc w:val="center"/>
              <w:ind w:left="292"/>
              <w:spacing w:after="0"/>
              <w:rPr>
                <w:sz w:val="20"/>
                <w:szCs w:val="20"/>
                <w:color w:val="auto"/>
              </w:rPr>
            </w:pPr>
            <w:r>
              <w:rPr>
                <w:rFonts w:ascii="Arial" w:cs="Arial" w:eastAsia="Arial" w:hAnsi="Arial"/>
                <w:sz w:val="18"/>
                <w:szCs w:val="18"/>
                <w:color w:val="auto"/>
                <w:w w:val="92"/>
              </w:rPr>
              <w:t>(Address of principal executive offices)</w:t>
            </w:r>
          </w:p>
        </w:tc>
        <w:tc>
          <w:tcPr>
            <w:tcW w:w="4800" w:type="dxa"/>
            <w:vAlign w:val="bottom"/>
          </w:tcPr>
          <w:p>
            <w:pPr>
              <w:jc w:val="center"/>
              <w:ind w:right="1712"/>
              <w:spacing w:after="0"/>
              <w:rPr>
                <w:sz w:val="20"/>
                <w:szCs w:val="20"/>
                <w:color w:val="auto"/>
              </w:rPr>
            </w:pPr>
            <w:r>
              <w:rPr>
                <w:rFonts w:ascii="Arial" w:cs="Arial" w:eastAsia="Arial" w:hAnsi="Arial"/>
                <w:sz w:val="18"/>
                <w:szCs w:val="18"/>
                <w:color w:val="auto"/>
                <w:w w:val="94"/>
              </w:rPr>
              <w:t>(Zip Code)</w:t>
            </w:r>
          </w:p>
        </w:tc>
      </w:tr>
      <w:tr>
        <w:trPr>
          <w:trHeight w:val="418"/>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(949) 366-2183</w:t>
            </w:r>
          </w:p>
        </w:tc>
      </w:tr>
      <w:tr>
        <w:trPr>
          <w:trHeight w:val="324"/>
        </w:trPr>
        <w:tc>
          <w:tcPr>
            <w:tcW w:w="3580" w:type="dxa"/>
            <w:vAlign w:val="bottom"/>
          </w:tcPr>
          <w:p>
            <w:pPr>
              <w:spacing w:after="0"/>
              <w:rPr>
                <w:sz w:val="24"/>
                <w:szCs w:val="24"/>
                <w:color w:val="auto"/>
              </w:rPr>
            </w:pPr>
          </w:p>
        </w:tc>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99"/>
        </w:trPr>
        <w:tc>
          <w:tcPr>
            <w:tcW w:w="3580" w:type="dxa"/>
            <w:vAlign w:val="bottom"/>
            <w:tcBorders>
              <w:bottom w:val="single" w:sz="8" w:color="auto"/>
            </w:tcBorders>
          </w:tcPr>
          <w:p>
            <w:pPr>
              <w:jc w:val="center"/>
              <w:ind w:left="452"/>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480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8"/>
        </w:trPr>
        <w:tc>
          <w:tcPr>
            <w:tcW w:w="35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0" w:type="dxa"/>
            <w:vAlign w:val="bottom"/>
          </w:tcPr>
          <w:p>
            <w:pPr>
              <w:jc w:val="center"/>
              <w:ind w:right="472"/>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580" w:type="dxa"/>
            <w:vAlign w:val="bottom"/>
          </w:tcPr>
          <w:p>
            <w:pPr>
              <w:jc w:val="center"/>
              <w:ind w:left="452"/>
              <w:spacing w:after="0"/>
              <w:rPr>
                <w:sz w:val="20"/>
                <w:szCs w:val="20"/>
                <w:color w:val="auto"/>
              </w:rPr>
            </w:pPr>
            <w:r>
              <w:rPr>
                <w:rFonts w:ascii="Arial" w:cs="Arial" w:eastAsia="Arial" w:hAnsi="Arial"/>
                <w:sz w:val="18"/>
                <w:szCs w:val="18"/>
                <w:color w:val="auto"/>
                <w:w w:val="89"/>
              </w:rPr>
              <w:t>Common stock, par value $0.10 per share</w:t>
            </w:r>
          </w:p>
        </w:tc>
        <w:tc>
          <w:tcPr>
            <w:tcW w:w="2860" w:type="dxa"/>
            <w:vAlign w:val="bottom"/>
          </w:tcPr>
          <w:p>
            <w:pPr>
              <w:jc w:val="center"/>
              <w:spacing w:after="0"/>
              <w:rPr>
                <w:sz w:val="20"/>
                <w:szCs w:val="20"/>
                <w:color w:val="auto"/>
              </w:rPr>
            </w:pPr>
            <w:r>
              <w:rPr>
                <w:rFonts w:ascii="Arial" w:cs="Arial" w:eastAsia="Arial" w:hAnsi="Arial"/>
                <w:sz w:val="18"/>
                <w:szCs w:val="18"/>
                <w:color w:val="auto"/>
                <w:w w:val="99"/>
              </w:rPr>
              <w:t>ICUI</w:t>
            </w:r>
          </w:p>
        </w:tc>
        <w:tc>
          <w:tcPr>
            <w:tcW w:w="4800" w:type="dxa"/>
            <w:vAlign w:val="bottom"/>
          </w:tcPr>
          <w:p>
            <w:pPr>
              <w:jc w:val="center"/>
              <w:ind w:right="472"/>
              <w:spacing w:after="0"/>
              <w:rPr>
                <w:sz w:val="20"/>
                <w:szCs w:val="20"/>
                <w:color w:val="auto"/>
              </w:rPr>
            </w:pPr>
            <w:r>
              <w:rPr>
                <w:rFonts w:ascii="Arial" w:cs="Arial" w:eastAsia="Arial" w:hAnsi="Arial"/>
                <w:sz w:val="18"/>
                <w:szCs w:val="18"/>
                <w:color w:val="auto"/>
                <w:w w:val="91"/>
              </w:rPr>
              <w:t>(Global Select Market)</w:t>
            </w:r>
          </w:p>
        </w:tc>
      </w:tr>
    </w:tbl>
    <w:p>
      <w:pPr>
        <w:spacing w:after="0" w:line="184"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7"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o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61" w:lineRule="exact"/>
        <w:rPr>
          <w:sz w:val="24"/>
          <w:szCs w:val="24"/>
          <w:color w:val="auto"/>
        </w:rPr>
      </w:pPr>
    </w:p>
    <w:p>
      <w:pPr>
        <w:ind w:right="180" w:firstLine="324"/>
        <w:spacing w:after="0" w:line="227"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definition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132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260"/>
              <w:spacing w:after="0"/>
              <w:rPr>
                <w:sz w:val="20"/>
                <w:szCs w:val="20"/>
                <w:color w:val="auto"/>
              </w:rPr>
            </w:pPr>
            <w:r>
              <w:rPr>
                <w:rFonts w:ascii="Arial" w:cs="Arial" w:eastAsia="Arial" w:hAnsi="Arial"/>
                <w:sz w:val="18"/>
                <w:szCs w:val="18"/>
                <w:color w:val="auto"/>
              </w:rPr>
              <w:t>x</w:t>
            </w:r>
          </w:p>
        </w:tc>
        <w:tc>
          <w:tcPr>
            <w:tcW w:w="296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30"/>
              <w:spacing w:after="0"/>
              <w:rPr>
                <w:sz w:val="20"/>
                <w:szCs w:val="20"/>
                <w:color w:val="auto"/>
              </w:rPr>
            </w:pPr>
            <w:r>
              <w:rPr>
                <w:rFonts w:ascii="Arial" w:cs="Arial" w:eastAsia="Arial" w:hAnsi="Arial"/>
                <w:sz w:val="18"/>
                <w:szCs w:val="18"/>
                <w:color w:val="auto"/>
                <w:w w:val="99"/>
              </w:rPr>
              <w:t>o</w:t>
            </w:r>
          </w:p>
        </w:tc>
      </w:tr>
      <w:tr>
        <w:trPr>
          <w:trHeight w:val="4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260"/>
              <w:spacing w:after="0"/>
              <w:rPr>
                <w:sz w:val="20"/>
                <w:szCs w:val="20"/>
                <w:color w:val="auto"/>
              </w:rPr>
            </w:pPr>
            <w:r>
              <w:rPr>
                <w:rFonts w:ascii="Arial" w:cs="Arial" w:eastAsia="Arial" w:hAnsi="Arial"/>
                <w:sz w:val="18"/>
                <w:szCs w:val="18"/>
                <w:color w:val="auto"/>
              </w:rPr>
              <w:t>o</w:t>
            </w:r>
          </w:p>
        </w:tc>
        <w:tc>
          <w:tcPr>
            <w:tcW w:w="2960" w:type="dxa"/>
            <w:vAlign w:val="bottom"/>
          </w:tcPr>
          <w:p>
            <w:pPr>
              <w:ind w:left="580"/>
              <w:spacing w:after="0"/>
              <w:rPr>
                <w:sz w:val="20"/>
                <w:szCs w:val="20"/>
                <w:color w:val="auto"/>
              </w:rPr>
            </w:pPr>
            <w:r>
              <w:rPr>
                <w:rFonts w:ascii="Arial" w:cs="Arial" w:eastAsia="Arial" w:hAnsi="Arial"/>
                <w:sz w:val="18"/>
                <w:szCs w:val="18"/>
                <w:color w:val="auto"/>
              </w:rPr>
              <w:t>Small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6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55" w:lineRule="exact"/>
        <w:rPr>
          <w:sz w:val="24"/>
          <w:szCs w:val="24"/>
          <w:color w:val="auto"/>
        </w:rPr>
      </w:pPr>
    </w:p>
    <w:p>
      <w:pPr>
        <w:ind w:right="140" w:firstLine="36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ind w:right="180" w:firstLine="648"/>
        <w:spacing w:after="0" w:line="22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ind w:left="340"/>
        <w:spacing w:after="0" w:line="207" w:lineRule="exact"/>
        <w:rPr>
          <w:sz w:val="20"/>
          <w:szCs w:val="20"/>
          <w:color w:val="auto"/>
        </w:rPr>
      </w:pPr>
      <w:r>
        <w:rPr>
          <w:rFonts w:ascii="Arial" w:cs="Arial" w:eastAsia="Arial" w:hAnsi="Arial"/>
          <w:sz w:val="18"/>
          <w:szCs w:val="18"/>
          <w:color w:val="auto"/>
        </w:rPr>
        <w:t xml:space="preserve">Indicated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8" w:lineRule="exact"/>
        <w:rPr>
          <w:sz w:val="24"/>
          <w:szCs w:val="24"/>
          <w:color w:val="auto"/>
        </w:rPr>
      </w:pPr>
    </w:p>
    <w:p>
      <w:pPr>
        <w:ind w:right="580" w:firstLine="324"/>
        <w:spacing w:after="0" w:line="277" w:lineRule="auto"/>
        <w:rPr>
          <w:sz w:val="20"/>
          <w:szCs w:val="20"/>
          <w:color w:val="auto"/>
        </w:rPr>
      </w:pPr>
      <w:r>
        <w:rPr>
          <w:rFonts w:ascii="Arial" w:cs="Arial" w:eastAsia="Arial" w:hAnsi="Arial"/>
          <w:sz w:val="18"/>
          <w:szCs w:val="18"/>
          <w:color w:val="auto"/>
        </w:rPr>
        <w:t>The aggregate market value of the voting stock held by non-affiliates of registrant as of June 30, 2020, the last business day of registrant’s most recently completed second fiscal quarter, was $3,594,086,791*.</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registrant’s common stock, $.10 par value, as of January 31, 2021 was 21,138,567.</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color w:val="auto"/>
        </w:rPr>
        <w:t>Portions of the Proxy Statement for registrant’s 2021 Annual Meeting of Stockholders filed or to be filed pursuant to Regulation 14A within 120 days following registrant’s fiscal year ended December 31, 2020, are incorporated by reference into Part III of this Report.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17" w:lineRule="exact"/>
        <w:rPr>
          <w:sz w:val="24"/>
          <w:szCs w:val="24"/>
          <w:color w:val="auto"/>
        </w:rPr>
      </w:pPr>
    </w:p>
    <w:p>
      <w:pPr>
        <w:ind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Without acknowledging that any person other than Dr. George A. Lopez is an affiliate, all directors and executive officers have been included as affiliates solely for purposes of this computation.</w:t>
      </w:r>
    </w:p>
    <w:p>
      <w:pPr>
        <w:sectPr>
          <w:pgSz w:w="11900" w:h="16838" w:orient="portrait"/>
          <w:cols w:equalWidth="0" w:num="1">
            <w:col w:w="11240"/>
          </w:cols>
          <w:pgMar w:left="320" w:top="873" w:right="339" w:bottom="0" w:gutter="0" w:footer="0" w:header="0"/>
        </w:sectPr>
      </w:pPr>
    </w:p>
    <w:bookmarkStart w:id="1" w:name="page2"/>
    <w:bookmarkEnd w:id="1"/>
    <w:p>
      <w:pPr>
        <w:spacing w:after="0" w:line="277" w:lineRule="auto"/>
        <w:tabs>
          <w:tab w:leader="none" w:pos="1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8780" w:type="dxa"/>
            <w:vAlign w:val="bottom"/>
          </w:tcPr>
          <w:p>
            <w:pPr>
              <w:jc w:val="center"/>
              <w:ind w:right="790"/>
              <w:spacing w:after="0"/>
              <w:rPr>
                <w:sz w:val="20"/>
                <w:szCs w:val="20"/>
                <w:color w:val="auto"/>
              </w:rPr>
            </w:pPr>
            <w:r>
              <w:rPr>
                <w:rFonts w:ascii="Arial" w:cs="Arial" w:eastAsia="Arial" w:hAnsi="Arial"/>
                <w:sz w:val="18"/>
                <w:szCs w:val="18"/>
                <w:b w:val="1"/>
                <w:bCs w:val="1"/>
                <w:color w:val="auto"/>
                <w:w w:val="96"/>
              </w:rPr>
              <w:t>ICU Medical, Inc.</w:t>
            </w:r>
          </w:p>
        </w:tc>
        <w:tc>
          <w:tcPr>
            <w:tcW w:w="78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8780" w:type="dxa"/>
            <w:vAlign w:val="bottom"/>
          </w:tcPr>
          <w:p>
            <w:pPr>
              <w:jc w:val="center"/>
              <w:ind w:right="790"/>
              <w:spacing w:after="0"/>
              <w:rPr>
                <w:sz w:val="20"/>
                <w:szCs w:val="20"/>
                <w:color w:val="auto"/>
              </w:rPr>
            </w:pPr>
            <w:r>
              <w:rPr>
                <w:rFonts w:ascii="Arial" w:cs="Arial" w:eastAsia="Arial" w:hAnsi="Arial"/>
                <w:sz w:val="18"/>
                <w:szCs w:val="18"/>
                <w:b w:val="1"/>
                <w:bCs w:val="1"/>
                <w:color w:val="auto"/>
                <w:w w:val="96"/>
              </w:rPr>
              <w:t>Form 10-K</w:t>
            </w:r>
          </w:p>
        </w:tc>
        <w:tc>
          <w:tcPr>
            <w:tcW w:w="78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8780" w:type="dxa"/>
            <w:vAlign w:val="bottom"/>
          </w:tcPr>
          <w:p>
            <w:pPr>
              <w:jc w:val="center"/>
              <w:ind w:right="810"/>
              <w:spacing w:after="0"/>
              <w:rPr>
                <w:sz w:val="20"/>
                <w:szCs w:val="20"/>
                <w:color w:val="auto"/>
              </w:rPr>
            </w:pPr>
            <w:r>
              <w:rPr>
                <w:rFonts w:ascii="Arial" w:cs="Arial" w:eastAsia="Arial" w:hAnsi="Arial"/>
                <w:sz w:val="18"/>
                <w:szCs w:val="18"/>
                <w:b w:val="1"/>
                <w:bCs w:val="1"/>
                <w:color w:val="auto"/>
                <w:w w:val="90"/>
              </w:rPr>
              <w:t>For the Year Ended December 31, 2020</w:t>
            </w:r>
          </w:p>
        </w:tc>
        <w:tc>
          <w:tcPr>
            <w:tcW w:w="780" w:type="dxa"/>
            <w:vAlign w:val="bottom"/>
          </w:tcPr>
          <w:p>
            <w:pPr>
              <w:spacing w:after="0"/>
              <w:rPr>
                <w:sz w:val="18"/>
                <w:szCs w:val="18"/>
                <w:color w:val="auto"/>
              </w:rPr>
            </w:pPr>
          </w:p>
        </w:tc>
      </w:tr>
      <w:tr>
        <w:trPr>
          <w:trHeight w:val="234"/>
        </w:trPr>
        <w:tc>
          <w:tcPr>
            <w:tcW w:w="1680" w:type="dxa"/>
            <w:vAlign w:val="bottom"/>
          </w:tcPr>
          <w:p>
            <w:pPr>
              <w:spacing w:after="0"/>
              <w:rPr>
                <w:sz w:val="20"/>
                <w:szCs w:val="20"/>
                <w:color w:val="auto"/>
              </w:rPr>
            </w:pPr>
          </w:p>
        </w:tc>
        <w:tc>
          <w:tcPr>
            <w:tcW w:w="8780" w:type="dxa"/>
            <w:vAlign w:val="bottom"/>
          </w:tcPr>
          <w:p>
            <w:pPr>
              <w:jc w:val="center"/>
              <w:ind w:right="81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r>
      <w:tr>
        <w:trPr>
          <w:trHeight w:val="304"/>
        </w:trPr>
        <w:tc>
          <w:tcPr>
            <w:tcW w:w="168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r>
      <w:tr>
        <w:trPr>
          <w:trHeight w:val="215"/>
        </w:trPr>
        <w:tc>
          <w:tcPr>
            <w:tcW w:w="1680" w:type="dxa"/>
            <w:vAlign w:val="bottom"/>
          </w:tcPr>
          <w:p>
            <w:pPr>
              <w:ind w:left="700"/>
              <w:spacing w:after="0"/>
              <w:rPr>
                <w:sz w:val="20"/>
                <w:szCs w:val="20"/>
                <w:color w:val="auto"/>
              </w:rPr>
            </w:pPr>
            <w:r>
              <w:rPr>
                <w:rFonts w:ascii="Arial" w:cs="Arial" w:eastAsia="Arial" w:hAnsi="Arial"/>
                <w:sz w:val="18"/>
                <w:szCs w:val="18"/>
                <w:b w:val="1"/>
                <w:bCs w:val="1"/>
                <w:color w:val="auto"/>
              </w:rPr>
              <w:t>PART I</w:t>
            </w:r>
          </w:p>
        </w:tc>
        <w:tc>
          <w:tcPr>
            <w:tcW w:w="87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1</w:t>
            </w:r>
          </w:p>
        </w:tc>
        <w:tc>
          <w:tcPr>
            <w:tcW w:w="8780" w:type="dxa"/>
            <w:vAlign w:val="bottom"/>
          </w:tcPr>
          <w:p>
            <w:pPr>
              <w:ind w:left="260"/>
              <w:spacing w:after="0"/>
              <w:rPr>
                <w:rFonts w:ascii="Arial" w:cs="Arial" w:eastAsia="Arial" w:hAnsi="Arial"/>
                <w:sz w:val="18"/>
                <w:szCs w:val="18"/>
                <w:color w:val="2C2C2C"/>
              </w:rPr>
            </w:pPr>
            <w:hyperlink w:anchor="page4">
              <w:r>
                <w:rPr>
                  <w:rFonts w:ascii="Arial" w:cs="Arial" w:eastAsia="Arial" w:hAnsi="Arial"/>
                  <w:sz w:val="18"/>
                  <w:szCs w:val="18"/>
                  <w:color w:val="2C2C2C"/>
                </w:rPr>
                <w:t>Business</w:t>
              </w:r>
            </w:hyperlink>
          </w:p>
        </w:tc>
        <w:tc>
          <w:tcPr>
            <w:tcW w:w="780" w:type="dxa"/>
            <w:vAlign w:val="bottom"/>
          </w:tcPr>
          <w:p>
            <w:pPr>
              <w:jc w:val="center"/>
              <w:spacing w:after="0"/>
              <w:rPr>
                <w:rFonts w:ascii="Arial" w:cs="Arial" w:eastAsia="Arial" w:hAnsi="Arial"/>
                <w:sz w:val="18"/>
                <w:szCs w:val="18"/>
                <w:color w:val="2C2C2C"/>
                <w:w w:val="99"/>
              </w:rPr>
            </w:pPr>
            <w:hyperlink w:anchor="page4">
              <w:r>
                <w:rPr>
                  <w:rFonts w:ascii="Arial" w:cs="Arial" w:eastAsia="Arial" w:hAnsi="Arial"/>
                  <w:sz w:val="18"/>
                  <w:szCs w:val="18"/>
                  <w:color w:val="2C2C2C"/>
                  <w:w w:val="99"/>
                </w:rPr>
                <w:t>3</w:t>
              </w:r>
            </w:hyperlink>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1A</w:t>
            </w:r>
          </w:p>
        </w:tc>
        <w:tc>
          <w:tcPr>
            <w:tcW w:w="8780" w:type="dxa"/>
            <w:vAlign w:val="bottom"/>
          </w:tcPr>
          <w:p>
            <w:pPr>
              <w:ind w:left="260"/>
              <w:spacing w:after="0"/>
              <w:rPr>
                <w:rFonts w:ascii="Arial" w:cs="Arial" w:eastAsia="Arial" w:hAnsi="Arial"/>
                <w:sz w:val="18"/>
                <w:szCs w:val="18"/>
                <w:color w:val="2C2C2C"/>
              </w:rPr>
            </w:pPr>
            <w:hyperlink w:anchor="page14">
              <w:r>
                <w:rPr>
                  <w:rFonts w:ascii="Arial" w:cs="Arial" w:eastAsia="Arial" w:hAnsi="Arial"/>
                  <w:sz w:val="18"/>
                  <w:szCs w:val="18"/>
                  <w:color w:val="2C2C2C"/>
                </w:rPr>
                <w:t>Risk Factors</w:t>
              </w:r>
            </w:hyperlink>
          </w:p>
        </w:tc>
        <w:tc>
          <w:tcPr>
            <w:tcW w:w="780" w:type="dxa"/>
            <w:vAlign w:val="bottom"/>
          </w:tcPr>
          <w:p>
            <w:pPr>
              <w:jc w:val="center"/>
              <w:spacing w:after="0"/>
              <w:rPr>
                <w:rFonts w:ascii="Arial" w:cs="Arial" w:eastAsia="Arial" w:hAnsi="Arial"/>
                <w:sz w:val="18"/>
                <w:szCs w:val="18"/>
                <w:color w:val="2C2C2C"/>
                <w:w w:val="89"/>
              </w:rPr>
            </w:pPr>
            <w:hyperlink w:anchor="page14">
              <w:r>
                <w:rPr>
                  <w:rFonts w:ascii="Arial" w:cs="Arial" w:eastAsia="Arial" w:hAnsi="Arial"/>
                  <w:sz w:val="18"/>
                  <w:szCs w:val="18"/>
                  <w:color w:val="2C2C2C"/>
                  <w:w w:val="89"/>
                </w:rPr>
                <w:t>13</w:t>
              </w:r>
            </w:hyperlink>
          </w:p>
        </w:tc>
      </w:tr>
      <w:tr>
        <w:trPr>
          <w:trHeight w:val="230"/>
        </w:trPr>
        <w:tc>
          <w:tcPr>
            <w:tcW w:w="1680" w:type="dxa"/>
            <w:vAlign w:val="bottom"/>
          </w:tcPr>
          <w:p>
            <w:pPr>
              <w:ind w:left="700"/>
              <w:spacing w:after="0"/>
              <w:rPr>
                <w:sz w:val="20"/>
                <w:szCs w:val="20"/>
                <w:color w:val="auto"/>
              </w:rPr>
            </w:pPr>
            <w:r>
              <w:rPr>
                <w:rFonts w:ascii="Arial" w:cs="Arial" w:eastAsia="Arial" w:hAnsi="Arial"/>
                <w:sz w:val="18"/>
                <w:szCs w:val="18"/>
                <w:color w:val="2C2C2C"/>
              </w:rPr>
              <w:t>Item 1B</w:t>
            </w:r>
          </w:p>
        </w:tc>
        <w:tc>
          <w:tcPr>
            <w:tcW w:w="8780" w:type="dxa"/>
            <w:vAlign w:val="bottom"/>
          </w:tcPr>
          <w:p>
            <w:pPr>
              <w:ind w:left="260"/>
              <w:spacing w:after="0"/>
              <w:rPr>
                <w:rFonts w:ascii="Arial" w:cs="Arial" w:eastAsia="Arial" w:hAnsi="Arial"/>
                <w:sz w:val="18"/>
                <w:szCs w:val="18"/>
                <w:color w:val="2C2C2C"/>
              </w:rPr>
            </w:pPr>
            <w:hyperlink w:anchor="page33">
              <w:r>
                <w:rPr>
                  <w:rFonts w:ascii="Arial" w:cs="Arial" w:eastAsia="Arial" w:hAnsi="Arial"/>
                  <w:sz w:val="18"/>
                  <w:szCs w:val="18"/>
                  <w:color w:val="2C2C2C"/>
                </w:rPr>
                <w:t>Unresolved Staff Comments</w:t>
              </w:r>
            </w:hyperlink>
          </w:p>
        </w:tc>
        <w:tc>
          <w:tcPr>
            <w:tcW w:w="780" w:type="dxa"/>
            <w:vAlign w:val="bottom"/>
          </w:tcPr>
          <w:p>
            <w:pPr>
              <w:jc w:val="center"/>
              <w:spacing w:after="0"/>
              <w:rPr>
                <w:rFonts w:ascii="Arial" w:cs="Arial" w:eastAsia="Arial" w:hAnsi="Arial"/>
                <w:sz w:val="18"/>
                <w:szCs w:val="18"/>
                <w:color w:val="2C2C2C"/>
                <w:w w:val="89"/>
              </w:rPr>
            </w:pPr>
            <w:hyperlink w:anchor="page33">
              <w:r>
                <w:rPr>
                  <w:rFonts w:ascii="Arial" w:cs="Arial" w:eastAsia="Arial" w:hAnsi="Arial"/>
                  <w:sz w:val="18"/>
                  <w:szCs w:val="18"/>
                  <w:color w:val="2C2C2C"/>
                  <w:w w:val="89"/>
                </w:rPr>
                <w:t>32</w:t>
              </w:r>
            </w:hyperlink>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2</w:t>
            </w:r>
          </w:p>
        </w:tc>
        <w:tc>
          <w:tcPr>
            <w:tcW w:w="8780" w:type="dxa"/>
            <w:vAlign w:val="bottom"/>
          </w:tcPr>
          <w:p>
            <w:pPr>
              <w:ind w:left="260"/>
              <w:spacing w:after="0"/>
              <w:rPr>
                <w:rFonts w:ascii="Arial" w:cs="Arial" w:eastAsia="Arial" w:hAnsi="Arial"/>
                <w:sz w:val="18"/>
                <w:szCs w:val="18"/>
                <w:color w:val="2C2C2C"/>
              </w:rPr>
            </w:pPr>
            <w:hyperlink w:anchor="page33">
              <w:r>
                <w:rPr>
                  <w:rFonts w:ascii="Arial" w:cs="Arial" w:eastAsia="Arial" w:hAnsi="Arial"/>
                  <w:sz w:val="18"/>
                  <w:szCs w:val="18"/>
                  <w:color w:val="2C2C2C"/>
                </w:rPr>
                <w:t>Properties</w:t>
              </w:r>
            </w:hyperlink>
          </w:p>
        </w:tc>
        <w:tc>
          <w:tcPr>
            <w:tcW w:w="780" w:type="dxa"/>
            <w:vAlign w:val="bottom"/>
          </w:tcPr>
          <w:p>
            <w:pPr>
              <w:jc w:val="center"/>
              <w:spacing w:after="0"/>
              <w:rPr>
                <w:rFonts w:ascii="Arial" w:cs="Arial" w:eastAsia="Arial" w:hAnsi="Arial"/>
                <w:sz w:val="18"/>
                <w:szCs w:val="18"/>
                <w:color w:val="2C2C2C"/>
                <w:w w:val="89"/>
              </w:rPr>
            </w:pPr>
            <w:hyperlink w:anchor="page33">
              <w:r>
                <w:rPr>
                  <w:rFonts w:ascii="Arial" w:cs="Arial" w:eastAsia="Arial" w:hAnsi="Arial"/>
                  <w:sz w:val="18"/>
                  <w:szCs w:val="18"/>
                  <w:color w:val="2C2C2C"/>
                  <w:w w:val="89"/>
                </w:rPr>
                <w:t>32</w:t>
              </w:r>
            </w:hyperlink>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3</w:t>
            </w:r>
          </w:p>
        </w:tc>
        <w:tc>
          <w:tcPr>
            <w:tcW w:w="8780" w:type="dxa"/>
            <w:vAlign w:val="bottom"/>
          </w:tcPr>
          <w:p>
            <w:pPr>
              <w:ind w:left="260"/>
              <w:spacing w:after="0"/>
              <w:rPr>
                <w:rFonts w:ascii="Arial" w:cs="Arial" w:eastAsia="Arial" w:hAnsi="Arial"/>
                <w:sz w:val="18"/>
                <w:szCs w:val="18"/>
                <w:color w:val="2C2C2C"/>
              </w:rPr>
            </w:pPr>
            <w:hyperlink w:anchor="page33">
              <w:r>
                <w:rPr>
                  <w:rFonts w:ascii="Arial" w:cs="Arial" w:eastAsia="Arial" w:hAnsi="Arial"/>
                  <w:sz w:val="18"/>
                  <w:szCs w:val="18"/>
                  <w:color w:val="2C2C2C"/>
                </w:rPr>
                <w:t>Legal Proceedings</w:t>
              </w:r>
            </w:hyperlink>
          </w:p>
        </w:tc>
        <w:tc>
          <w:tcPr>
            <w:tcW w:w="780" w:type="dxa"/>
            <w:vAlign w:val="bottom"/>
          </w:tcPr>
          <w:p>
            <w:pPr>
              <w:jc w:val="center"/>
              <w:spacing w:after="0"/>
              <w:rPr>
                <w:rFonts w:ascii="Arial" w:cs="Arial" w:eastAsia="Arial" w:hAnsi="Arial"/>
                <w:sz w:val="18"/>
                <w:szCs w:val="18"/>
                <w:color w:val="auto"/>
                <w:w w:val="89"/>
              </w:rPr>
            </w:pPr>
            <w:hyperlink w:anchor="page33">
              <w:r>
                <w:rPr>
                  <w:rFonts w:ascii="Arial" w:cs="Arial" w:eastAsia="Arial" w:hAnsi="Arial"/>
                  <w:sz w:val="18"/>
                  <w:szCs w:val="18"/>
                  <w:color w:val="auto"/>
                  <w:w w:val="89"/>
                </w:rPr>
                <w:t>32</w:t>
              </w:r>
            </w:hyperlink>
          </w:p>
        </w:tc>
      </w:tr>
      <w:tr>
        <w:trPr>
          <w:trHeight w:val="226"/>
        </w:trPr>
        <w:tc>
          <w:tcPr>
            <w:tcW w:w="1680" w:type="dxa"/>
            <w:vAlign w:val="bottom"/>
          </w:tcPr>
          <w:p>
            <w:pPr>
              <w:ind w:left="700"/>
              <w:spacing w:after="0"/>
              <w:rPr>
                <w:sz w:val="20"/>
                <w:szCs w:val="20"/>
                <w:color w:val="auto"/>
              </w:rPr>
            </w:pPr>
            <w:r>
              <w:rPr>
                <w:rFonts w:ascii="Arial" w:cs="Arial" w:eastAsia="Arial" w:hAnsi="Arial"/>
                <w:sz w:val="18"/>
                <w:szCs w:val="18"/>
                <w:color w:val="2C2C2C"/>
              </w:rPr>
              <w:t>Item 4</w:t>
            </w:r>
          </w:p>
        </w:tc>
        <w:tc>
          <w:tcPr>
            <w:tcW w:w="8780" w:type="dxa"/>
            <w:vAlign w:val="bottom"/>
          </w:tcPr>
          <w:p>
            <w:pPr>
              <w:ind w:left="260"/>
              <w:spacing w:after="0"/>
              <w:rPr>
                <w:rFonts w:ascii="Arial" w:cs="Arial" w:eastAsia="Arial" w:hAnsi="Arial"/>
                <w:sz w:val="18"/>
                <w:szCs w:val="18"/>
                <w:color w:val="2C2C2C"/>
              </w:rPr>
            </w:pPr>
            <w:hyperlink w:anchor="page33">
              <w:r>
                <w:rPr>
                  <w:rFonts w:ascii="Arial" w:cs="Arial" w:eastAsia="Arial" w:hAnsi="Arial"/>
                  <w:sz w:val="18"/>
                  <w:szCs w:val="18"/>
                  <w:color w:val="2C2C2C"/>
                </w:rPr>
                <w:t>Mine Safety Disclosures</w:t>
              </w:r>
            </w:hyperlink>
          </w:p>
        </w:tc>
        <w:tc>
          <w:tcPr>
            <w:tcW w:w="780" w:type="dxa"/>
            <w:vAlign w:val="bottom"/>
          </w:tcPr>
          <w:p>
            <w:pPr>
              <w:jc w:val="center"/>
              <w:spacing w:after="0"/>
              <w:rPr>
                <w:rFonts w:ascii="Arial" w:cs="Arial" w:eastAsia="Arial" w:hAnsi="Arial"/>
                <w:sz w:val="18"/>
                <w:szCs w:val="18"/>
                <w:color w:val="2C2C2C"/>
                <w:w w:val="89"/>
              </w:rPr>
            </w:pPr>
            <w:hyperlink w:anchor="page33">
              <w:r>
                <w:rPr>
                  <w:rFonts w:ascii="Arial" w:cs="Arial" w:eastAsia="Arial" w:hAnsi="Arial"/>
                  <w:sz w:val="18"/>
                  <w:szCs w:val="18"/>
                  <w:color w:val="2C2C2C"/>
                  <w:w w:val="89"/>
                </w:rPr>
                <w:t>33</w:t>
              </w:r>
            </w:hyperlink>
          </w:p>
        </w:tc>
      </w:tr>
      <w:tr>
        <w:trPr>
          <w:trHeight w:val="233"/>
        </w:trPr>
        <w:tc>
          <w:tcPr>
            <w:tcW w:w="1680" w:type="dxa"/>
            <w:vAlign w:val="bottom"/>
          </w:tcPr>
          <w:p>
            <w:pPr>
              <w:ind w:left="700"/>
              <w:spacing w:after="0"/>
              <w:rPr>
                <w:sz w:val="20"/>
                <w:szCs w:val="20"/>
                <w:color w:val="auto"/>
              </w:rPr>
            </w:pPr>
            <w:r>
              <w:rPr>
                <w:rFonts w:ascii="Arial" w:cs="Arial" w:eastAsia="Arial" w:hAnsi="Arial"/>
                <w:sz w:val="18"/>
                <w:szCs w:val="18"/>
                <w:b w:val="1"/>
                <w:bCs w:val="1"/>
                <w:color w:val="2C2C2C"/>
              </w:rPr>
              <w:t>PART II</w:t>
            </w:r>
          </w:p>
        </w:tc>
        <w:tc>
          <w:tcPr>
            <w:tcW w:w="8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0"/>
        </w:trPr>
        <w:tc>
          <w:tcPr>
            <w:tcW w:w="1680" w:type="dxa"/>
            <w:vAlign w:val="bottom"/>
          </w:tcPr>
          <w:p>
            <w:pPr>
              <w:ind w:left="700"/>
              <w:spacing w:after="0"/>
              <w:rPr>
                <w:sz w:val="20"/>
                <w:szCs w:val="20"/>
                <w:color w:val="auto"/>
              </w:rPr>
            </w:pPr>
            <w:r>
              <w:rPr>
                <w:rFonts w:ascii="Arial" w:cs="Arial" w:eastAsia="Arial" w:hAnsi="Arial"/>
                <w:sz w:val="18"/>
                <w:szCs w:val="18"/>
                <w:color w:val="2C2C2C"/>
              </w:rPr>
              <w:t>Item 5</w:t>
            </w:r>
          </w:p>
        </w:tc>
        <w:tc>
          <w:tcPr>
            <w:tcW w:w="8780" w:type="dxa"/>
            <w:vAlign w:val="bottom"/>
          </w:tcPr>
          <w:p>
            <w:pPr>
              <w:ind w:left="260"/>
              <w:spacing w:after="0"/>
              <w:rPr>
                <w:rFonts w:ascii="Arial" w:cs="Arial" w:eastAsia="Arial" w:hAnsi="Arial"/>
                <w:sz w:val="18"/>
                <w:szCs w:val="18"/>
                <w:color w:val="2C2C2C"/>
                <w:w w:val="91"/>
              </w:rPr>
            </w:pPr>
            <w:hyperlink w:anchor="page34">
              <w:r>
                <w:rPr>
                  <w:rFonts w:ascii="Arial" w:cs="Arial" w:eastAsia="Arial" w:hAnsi="Arial"/>
                  <w:sz w:val="18"/>
                  <w:szCs w:val="18"/>
                  <w:color w:val="2C2C2C"/>
                  <w:w w:val="91"/>
                </w:rPr>
                <w:t>Market for the Registrant’s Common Equity, Related Stockholder Matters, and Issuer Purchases of Equity Securities</w:t>
              </w:r>
            </w:hyperlink>
          </w:p>
        </w:tc>
        <w:tc>
          <w:tcPr>
            <w:tcW w:w="780" w:type="dxa"/>
            <w:vAlign w:val="bottom"/>
          </w:tcPr>
          <w:p>
            <w:pPr>
              <w:jc w:val="center"/>
              <w:spacing w:after="0"/>
              <w:rPr>
                <w:rFonts w:ascii="Arial" w:cs="Arial" w:eastAsia="Arial" w:hAnsi="Arial"/>
                <w:sz w:val="18"/>
                <w:szCs w:val="18"/>
                <w:color w:val="2C2C2C"/>
                <w:w w:val="89"/>
              </w:rPr>
            </w:pPr>
            <w:hyperlink w:anchor="page34">
              <w:r>
                <w:rPr>
                  <w:rFonts w:ascii="Arial" w:cs="Arial" w:eastAsia="Arial" w:hAnsi="Arial"/>
                  <w:sz w:val="18"/>
                  <w:szCs w:val="18"/>
                  <w:color w:val="2C2C2C"/>
                  <w:w w:val="89"/>
                </w:rPr>
                <w:t>33</w:t>
              </w:r>
            </w:hyperlink>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6</w:t>
            </w:r>
          </w:p>
        </w:tc>
        <w:tc>
          <w:tcPr>
            <w:tcW w:w="8780" w:type="dxa"/>
            <w:vAlign w:val="bottom"/>
          </w:tcPr>
          <w:p>
            <w:pPr>
              <w:ind w:left="260"/>
              <w:spacing w:after="0"/>
              <w:rPr>
                <w:rFonts w:ascii="Arial" w:cs="Arial" w:eastAsia="Arial" w:hAnsi="Arial"/>
                <w:sz w:val="18"/>
                <w:szCs w:val="18"/>
                <w:color w:val="2C2C2C"/>
              </w:rPr>
            </w:pPr>
            <w:hyperlink w:anchor="page34">
              <w:r>
                <w:rPr>
                  <w:rFonts w:ascii="Arial" w:cs="Arial" w:eastAsia="Arial" w:hAnsi="Arial"/>
                  <w:sz w:val="18"/>
                  <w:szCs w:val="18"/>
                  <w:color w:val="2C2C2C"/>
                </w:rPr>
                <w:t>Selected Financial Data</w:t>
              </w:r>
            </w:hyperlink>
          </w:p>
        </w:tc>
        <w:tc>
          <w:tcPr>
            <w:tcW w:w="780" w:type="dxa"/>
            <w:vAlign w:val="bottom"/>
          </w:tcPr>
          <w:p>
            <w:pPr>
              <w:jc w:val="center"/>
              <w:spacing w:after="0"/>
              <w:rPr>
                <w:rFonts w:ascii="Arial" w:cs="Arial" w:eastAsia="Arial" w:hAnsi="Arial"/>
                <w:sz w:val="18"/>
                <w:szCs w:val="18"/>
                <w:color w:val="2C2C2C"/>
                <w:w w:val="89"/>
              </w:rPr>
            </w:pPr>
            <w:hyperlink w:anchor="page34">
              <w:r>
                <w:rPr>
                  <w:rFonts w:ascii="Arial" w:cs="Arial" w:eastAsia="Arial" w:hAnsi="Arial"/>
                  <w:sz w:val="18"/>
                  <w:szCs w:val="18"/>
                  <w:color w:val="2C2C2C"/>
                  <w:w w:val="89"/>
                </w:rPr>
                <w:t>34</w:t>
              </w:r>
            </w:hyperlink>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7</w:t>
            </w:r>
          </w:p>
        </w:tc>
        <w:tc>
          <w:tcPr>
            <w:tcW w:w="8780" w:type="dxa"/>
            <w:vAlign w:val="bottom"/>
          </w:tcPr>
          <w:p>
            <w:pPr>
              <w:ind w:left="260"/>
              <w:spacing w:after="0"/>
              <w:rPr>
                <w:rFonts w:ascii="Arial" w:cs="Arial" w:eastAsia="Arial" w:hAnsi="Arial"/>
                <w:sz w:val="18"/>
                <w:szCs w:val="18"/>
                <w:color w:val="2C2C2C"/>
              </w:rPr>
            </w:pPr>
            <w:hyperlink w:anchor="page36">
              <w:r>
                <w:rPr>
                  <w:rFonts w:ascii="Arial" w:cs="Arial" w:eastAsia="Arial" w:hAnsi="Arial"/>
                  <w:sz w:val="18"/>
                  <w:szCs w:val="18"/>
                  <w:color w:val="2C2C2C"/>
                </w:rPr>
                <w:t>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color w:val="2C2C2C"/>
                <w:w w:val="89"/>
              </w:rPr>
            </w:pPr>
            <w:hyperlink w:anchor="page36">
              <w:r>
                <w:rPr>
                  <w:rFonts w:ascii="Arial" w:cs="Arial" w:eastAsia="Arial" w:hAnsi="Arial"/>
                  <w:sz w:val="18"/>
                  <w:szCs w:val="18"/>
                  <w:color w:val="2C2C2C"/>
                  <w:w w:val="89"/>
                </w:rPr>
                <w:t>35</w:t>
              </w:r>
            </w:hyperlink>
          </w:p>
        </w:tc>
      </w:tr>
      <w:tr>
        <w:trPr>
          <w:trHeight w:val="230"/>
        </w:trPr>
        <w:tc>
          <w:tcPr>
            <w:tcW w:w="1680" w:type="dxa"/>
            <w:vAlign w:val="bottom"/>
          </w:tcPr>
          <w:p>
            <w:pPr>
              <w:ind w:left="700"/>
              <w:spacing w:after="0"/>
              <w:rPr>
                <w:sz w:val="20"/>
                <w:szCs w:val="20"/>
                <w:color w:val="auto"/>
              </w:rPr>
            </w:pPr>
            <w:r>
              <w:rPr>
                <w:rFonts w:ascii="Arial" w:cs="Arial" w:eastAsia="Arial" w:hAnsi="Arial"/>
                <w:sz w:val="18"/>
                <w:szCs w:val="18"/>
                <w:color w:val="2C2C2C"/>
              </w:rPr>
              <w:t>Item 7A</w:t>
            </w:r>
          </w:p>
        </w:tc>
        <w:tc>
          <w:tcPr>
            <w:tcW w:w="8780" w:type="dxa"/>
            <w:vAlign w:val="bottom"/>
          </w:tcPr>
          <w:p>
            <w:pPr>
              <w:ind w:left="260"/>
              <w:spacing w:after="0"/>
              <w:rPr>
                <w:rFonts w:ascii="Arial" w:cs="Arial" w:eastAsia="Arial" w:hAnsi="Arial"/>
                <w:sz w:val="18"/>
                <w:szCs w:val="18"/>
                <w:color w:val="2C2C2C"/>
              </w:rPr>
            </w:pPr>
            <w:hyperlink w:anchor="page50">
              <w:r>
                <w:rPr>
                  <w:rFonts w:ascii="Arial" w:cs="Arial" w:eastAsia="Arial" w:hAnsi="Arial"/>
                  <w:sz w:val="18"/>
                  <w:szCs w:val="18"/>
                  <w:color w:val="2C2C2C"/>
                </w:rPr>
                <w:t>Quantitative and Qualitative Disclosures about Market Risk</w:t>
              </w:r>
            </w:hyperlink>
          </w:p>
        </w:tc>
        <w:tc>
          <w:tcPr>
            <w:tcW w:w="780" w:type="dxa"/>
            <w:vAlign w:val="bottom"/>
          </w:tcPr>
          <w:p>
            <w:pPr>
              <w:jc w:val="center"/>
              <w:spacing w:after="0"/>
              <w:rPr>
                <w:rFonts w:ascii="Arial" w:cs="Arial" w:eastAsia="Arial" w:hAnsi="Arial"/>
                <w:sz w:val="18"/>
                <w:szCs w:val="18"/>
                <w:color w:val="2C2C2C"/>
                <w:w w:val="89"/>
              </w:rPr>
            </w:pPr>
            <w:hyperlink w:anchor="page50">
              <w:r>
                <w:rPr>
                  <w:rFonts w:ascii="Arial" w:cs="Arial" w:eastAsia="Arial" w:hAnsi="Arial"/>
                  <w:sz w:val="18"/>
                  <w:szCs w:val="18"/>
                  <w:color w:val="2C2C2C"/>
                  <w:w w:val="89"/>
                </w:rPr>
                <w:t>50</w:t>
              </w:r>
            </w:hyperlink>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8</w:t>
            </w:r>
          </w:p>
        </w:tc>
        <w:tc>
          <w:tcPr>
            <w:tcW w:w="8780" w:type="dxa"/>
            <w:vAlign w:val="bottom"/>
          </w:tcPr>
          <w:p>
            <w:pPr>
              <w:ind w:left="260"/>
              <w:spacing w:after="0"/>
              <w:rPr>
                <w:rFonts w:ascii="Arial" w:cs="Arial" w:eastAsia="Arial" w:hAnsi="Arial"/>
                <w:sz w:val="18"/>
                <w:szCs w:val="18"/>
                <w:color w:val="2C2C2C"/>
              </w:rPr>
            </w:pPr>
            <w:hyperlink w:anchor="page51">
              <w:r>
                <w:rPr>
                  <w:rFonts w:ascii="Arial" w:cs="Arial" w:eastAsia="Arial" w:hAnsi="Arial"/>
                  <w:sz w:val="18"/>
                  <w:szCs w:val="18"/>
                  <w:color w:val="2C2C2C"/>
                </w:rPr>
                <w:t>Financial Statements and Supplementary Data</w:t>
              </w:r>
            </w:hyperlink>
          </w:p>
        </w:tc>
        <w:tc>
          <w:tcPr>
            <w:tcW w:w="780" w:type="dxa"/>
            <w:vAlign w:val="bottom"/>
          </w:tcPr>
          <w:p>
            <w:pPr>
              <w:jc w:val="center"/>
              <w:spacing w:after="0"/>
              <w:rPr>
                <w:rFonts w:ascii="Arial" w:cs="Arial" w:eastAsia="Arial" w:hAnsi="Arial"/>
                <w:sz w:val="18"/>
                <w:szCs w:val="18"/>
                <w:color w:val="2C2C2C"/>
                <w:w w:val="89"/>
              </w:rPr>
            </w:pPr>
            <w:hyperlink w:anchor="page51">
              <w:r>
                <w:rPr>
                  <w:rFonts w:ascii="Arial" w:cs="Arial" w:eastAsia="Arial" w:hAnsi="Arial"/>
                  <w:sz w:val="18"/>
                  <w:szCs w:val="18"/>
                  <w:color w:val="2C2C2C"/>
                  <w:w w:val="89"/>
                </w:rPr>
                <w:t>50</w:t>
              </w:r>
            </w:hyperlink>
          </w:p>
        </w:tc>
      </w:tr>
      <w:tr>
        <w:trPr>
          <w:trHeight w:val="229"/>
        </w:trPr>
        <w:tc>
          <w:tcPr>
            <w:tcW w:w="1680" w:type="dxa"/>
            <w:vAlign w:val="bottom"/>
          </w:tcPr>
          <w:p>
            <w:pPr>
              <w:spacing w:after="0"/>
              <w:rPr>
                <w:sz w:val="19"/>
                <w:szCs w:val="19"/>
                <w:color w:val="auto"/>
              </w:rPr>
            </w:pPr>
          </w:p>
        </w:tc>
        <w:tc>
          <w:tcPr>
            <w:tcW w:w="8780" w:type="dxa"/>
            <w:vAlign w:val="bottom"/>
          </w:tcPr>
          <w:p>
            <w:pPr>
              <w:ind w:left="260"/>
              <w:spacing w:after="0"/>
              <w:rPr>
                <w:rFonts w:ascii="Arial" w:cs="Arial" w:eastAsia="Arial" w:hAnsi="Arial"/>
                <w:sz w:val="18"/>
                <w:szCs w:val="18"/>
                <w:color w:val="2C2C2C"/>
              </w:rPr>
            </w:pPr>
            <w:hyperlink w:anchor="page51">
              <w:r>
                <w:rPr>
                  <w:rFonts w:ascii="Arial" w:cs="Arial" w:eastAsia="Arial" w:hAnsi="Arial"/>
                  <w:sz w:val="18"/>
                  <w:szCs w:val="18"/>
                  <w:color w:val="2C2C2C"/>
                </w:rPr>
                <w:t>Report of Independent Registered Public Accounting Firm</w:t>
              </w:r>
            </w:hyperlink>
          </w:p>
        </w:tc>
        <w:tc>
          <w:tcPr>
            <w:tcW w:w="780" w:type="dxa"/>
            <w:vAlign w:val="bottom"/>
          </w:tcPr>
          <w:p>
            <w:pPr>
              <w:jc w:val="center"/>
              <w:spacing w:after="0"/>
              <w:rPr>
                <w:rFonts w:ascii="Arial" w:cs="Arial" w:eastAsia="Arial" w:hAnsi="Arial"/>
                <w:sz w:val="18"/>
                <w:szCs w:val="18"/>
                <w:color w:val="2C2C2C"/>
                <w:w w:val="89"/>
              </w:rPr>
            </w:pPr>
            <w:hyperlink w:anchor="page51">
              <w:r>
                <w:rPr>
                  <w:rFonts w:ascii="Arial" w:cs="Arial" w:eastAsia="Arial" w:hAnsi="Arial"/>
                  <w:sz w:val="18"/>
                  <w:szCs w:val="18"/>
                  <w:color w:val="2C2C2C"/>
                  <w:w w:val="89"/>
                </w:rPr>
                <w:t>51</w:t>
              </w:r>
            </w:hyperlink>
          </w:p>
        </w:tc>
      </w:tr>
      <w:tr>
        <w:trPr>
          <w:trHeight w:val="230"/>
        </w:trPr>
        <w:tc>
          <w:tcPr>
            <w:tcW w:w="1680" w:type="dxa"/>
            <w:vAlign w:val="bottom"/>
          </w:tcPr>
          <w:p>
            <w:pPr>
              <w:ind w:left="700"/>
              <w:spacing w:after="0"/>
              <w:rPr>
                <w:sz w:val="20"/>
                <w:szCs w:val="20"/>
                <w:color w:val="auto"/>
              </w:rPr>
            </w:pPr>
            <w:r>
              <w:rPr>
                <w:rFonts w:ascii="Arial" w:cs="Arial" w:eastAsia="Arial" w:hAnsi="Arial"/>
                <w:sz w:val="18"/>
                <w:szCs w:val="18"/>
                <w:color w:val="2C2C2C"/>
              </w:rPr>
              <w:t>Item 9</w:t>
            </w:r>
          </w:p>
        </w:tc>
        <w:tc>
          <w:tcPr>
            <w:tcW w:w="8780" w:type="dxa"/>
            <w:vAlign w:val="bottom"/>
          </w:tcPr>
          <w:p>
            <w:pPr>
              <w:ind w:left="260"/>
              <w:spacing w:after="0"/>
              <w:rPr>
                <w:rFonts w:ascii="Arial" w:cs="Arial" w:eastAsia="Arial" w:hAnsi="Arial"/>
                <w:sz w:val="18"/>
                <w:szCs w:val="18"/>
                <w:color w:val="2C2C2C"/>
              </w:rPr>
            </w:pPr>
            <w:hyperlink w:anchor="page91">
              <w:r>
                <w:rPr>
                  <w:rFonts w:ascii="Arial" w:cs="Arial" w:eastAsia="Arial" w:hAnsi="Arial"/>
                  <w:sz w:val="18"/>
                  <w:szCs w:val="18"/>
                  <w:color w:val="2C2C2C"/>
                </w:rPr>
                <w:t>Changes in and Disagreements with Accountants on Accounting and Financial Disclosure</w:t>
              </w:r>
            </w:hyperlink>
          </w:p>
        </w:tc>
        <w:tc>
          <w:tcPr>
            <w:tcW w:w="780" w:type="dxa"/>
            <w:vAlign w:val="bottom"/>
          </w:tcPr>
          <w:p>
            <w:pPr>
              <w:jc w:val="center"/>
              <w:spacing w:after="0"/>
              <w:rPr>
                <w:rFonts w:ascii="Arial" w:cs="Arial" w:eastAsia="Arial" w:hAnsi="Arial"/>
                <w:sz w:val="18"/>
                <w:szCs w:val="18"/>
                <w:color w:val="2C2C2C"/>
                <w:w w:val="89"/>
              </w:rPr>
            </w:pPr>
            <w:hyperlink w:anchor="page91">
              <w:r>
                <w:rPr>
                  <w:rFonts w:ascii="Arial" w:cs="Arial" w:eastAsia="Arial" w:hAnsi="Arial"/>
                  <w:sz w:val="18"/>
                  <w:szCs w:val="18"/>
                  <w:color w:val="2C2C2C"/>
                  <w:w w:val="89"/>
                </w:rPr>
                <w:t>91</w:t>
              </w:r>
            </w:hyperlink>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9A</w:t>
            </w:r>
          </w:p>
        </w:tc>
        <w:tc>
          <w:tcPr>
            <w:tcW w:w="8780" w:type="dxa"/>
            <w:vAlign w:val="bottom"/>
          </w:tcPr>
          <w:p>
            <w:pPr>
              <w:ind w:left="260"/>
              <w:spacing w:after="0"/>
              <w:rPr>
                <w:rFonts w:ascii="Arial" w:cs="Arial" w:eastAsia="Arial" w:hAnsi="Arial"/>
                <w:sz w:val="18"/>
                <w:szCs w:val="18"/>
                <w:color w:val="2C2C2C"/>
              </w:rPr>
            </w:pPr>
            <w:hyperlink w:anchor="page92">
              <w:r>
                <w:rPr>
                  <w:rFonts w:ascii="Arial" w:cs="Arial" w:eastAsia="Arial" w:hAnsi="Arial"/>
                  <w:sz w:val="18"/>
                  <w:szCs w:val="18"/>
                  <w:color w:val="2C2C2C"/>
                </w:rPr>
                <w:t>Controls and Procedures</w:t>
              </w:r>
            </w:hyperlink>
          </w:p>
        </w:tc>
        <w:tc>
          <w:tcPr>
            <w:tcW w:w="780" w:type="dxa"/>
            <w:vAlign w:val="bottom"/>
          </w:tcPr>
          <w:p>
            <w:pPr>
              <w:jc w:val="center"/>
              <w:spacing w:after="0"/>
              <w:rPr>
                <w:rFonts w:ascii="Arial" w:cs="Arial" w:eastAsia="Arial" w:hAnsi="Arial"/>
                <w:sz w:val="18"/>
                <w:szCs w:val="18"/>
                <w:color w:val="2C2C2C"/>
                <w:w w:val="89"/>
              </w:rPr>
            </w:pPr>
            <w:hyperlink w:anchor="page92">
              <w:r>
                <w:rPr>
                  <w:rFonts w:ascii="Arial" w:cs="Arial" w:eastAsia="Arial" w:hAnsi="Arial"/>
                  <w:sz w:val="18"/>
                  <w:szCs w:val="18"/>
                  <w:color w:val="2C2C2C"/>
                  <w:w w:val="89"/>
                </w:rPr>
                <w:t>91</w:t>
              </w:r>
            </w:hyperlink>
          </w:p>
        </w:tc>
      </w:tr>
      <w:tr>
        <w:trPr>
          <w:trHeight w:val="226"/>
        </w:trPr>
        <w:tc>
          <w:tcPr>
            <w:tcW w:w="1680" w:type="dxa"/>
            <w:vAlign w:val="bottom"/>
          </w:tcPr>
          <w:p>
            <w:pPr>
              <w:ind w:left="700"/>
              <w:spacing w:after="0"/>
              <w:rPr>
                <w:sz w:val="20"/>
                <w:szCs w:val="20"/>
                <w:color w:val="auto"/>
              </w:rPr>
            </w:pPr>
            <w:r>
              <w:rPr>
                <w:rFonts w:ascii="Arial" w:cs="Arial" w:eastAsia="Arial" w:hAnsi="Arial"/>
                <w:sz w:val="18"/>
                <w:szCs w:val="18"/>
                <w:color w:val="2C2C2C"/>
              </w:rPr>
              <w:t>Item 9B</w:t>
            </w:r>
          </w:p>
        </w:tc>
        <w:tc>
          <w:tcPr>
            <w:tcW w:w="8780" w:type="dxa"/>
            <w:vAlign w:val="bottom"/>
          </w:tcPr>
          <w:p>
            <w:pPr>
              <w:ind w:left="260"/>
              <w:spacing w:after="0"/>
              <w:rPr>
                <w:rFonts w:ascii="Arial" w:cs="Arial" w:eastAsia="Arial" w:hAnsi="Arial"/>
                <w:sz w:val="18"/>
                <w:szCs w:val="18"/>
                <w:color w:val="2C2C2C"/>
              </w:rPr>
            </w:pPr>
            <w:hyperlink w:anchor="page93">
              <w:r>
                <w:rPr>
                  <w:rFonts w:ascii="Arial" w:cs="Arial" w:eastAsia="Arial" w:hAnsi="Arial"/>
                  <w:sz w:val="18"/>
                  <w:szCs w:val="18"/>
                  <w:color w:val="2C2C2C"/>
                </w:rPr>
                <w:t>Other Information</w:t>
              </w:r>
            </w:hyperlink>
          </w:p>
        </w:tc>
        <w:tc>
          <w:tcPr>
            <w:tcW w:w="780" w:type="dxa"/>
            <w:vAlign w:val="bottom"/>
          </w:tcPr>
          <w:p>
            <w:pPr>
              <w:jc w:val="center"/>
              <w:spacing w:after="0"/>
              <w:rPr>
                <w:rFonts w:ascii="Arial" w:cs="Arial" w:eastAsia="Arial" w:hAnsi="Arial"/>
                <w:sz w:val="18"/>
                <w:szCs w:val="18"/>
                <w:color w:val="2C2C2C"/>
                <w:w w:val="89"/>
              </w:rPr>
            </w:pPr>
            <w:hyperlink w:anchor="page93">
              <w:r>
                <w:rPr>
                  <w:rFonts w:ascii="Arial" w:cs="Arial" w:eastAsia="Arial" w:hAnsi="Arial"/>
                  <w:sz w:val="18"/>
                  <w:szCs w:val="18"/>
                  <w:color w:val="2C2C2C"/>
                  <w:w w:val="89"/>
                </w:rPr>
                <w:t>93</w:t>
              </w:r>
            </w:hyperlink>
          </w:p>
        </w:tc>
      </w:tr>
      <w:tr>
        <w:trPr>
          <w:trHeight w:val="233"/>
        </w:trPr>
        <w:tc>
          <w:tcPr>
            <w:tcW w:w="1680" w:type="dxa"/>
            <w:vAlign w:val="bottom"/>
          </w:tcPr>
          <w:p>
            <w:pPr>
              <w:ind w:left="700"/>
              <w:spacing w:after="0"/>
              <w:rPr>
                <w:sz w:val="20"/>
                <w:szCs w:val="20"/>
                <w:color w:val="auto"/>
              </w:rPr>
            </w:pPr>
            <w:r>
              <w:rPr>
                <w:rFonts w:ascii="Arial" w:cs="Arial" w:eastAsia="Arial" w:hAnsi="Arial"/>
                <w:sz w:val="18"/>
                <w:szCs w:val="18"/>
                <w:b w:val="1"/>
                <w:bCs w:val="1"/>
                <w:color w:val="2C2C2C"/>
              </w:rPr>
              <w:t>PART III</w:t>
            </w:r>
          </w:p>
        </w:tc>
        <w:tc>
          <w:tcPr>
            <w:tcW w:w="8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10</w:t>
            </w:r>
          </w:p>
        </w:tc>
        <w:tc>
          <w:tcPr>
            <w:tcW w:w="8780" w:type="dxa"/>
            <w:vAlign w:val="bottom"/>
          </w:tcPr>
          <w:p>
            <w:pPr>
              <w:ind w:left="260"/>
              <w:spacing w:after="0"/>
              <w:rPr>
                <w:rFonts w:ascii="Arial" w:cs="Arial" w:eastAsia="Arial" w:hAnsi="Arial"/>
                <w:sz w:val="18"/>
                <w:szCs w:val="18"/>
                <w:color w:val="2C2C2C"/>
              </w:rPr>
            </w:pPr>
            <w:hyperlink w:anchor="page94">
              <w:r>
                <w:rPr>
                  <w:rFonts w:ascii="Arial" w:cs="Arial" w:eastAsia="Arial" w:hAnsi="Arial"/>
                  <w:sz w:val="18"/>
                  <w:szCs w:val="18"/>
                  <w:color w:val="2C2C2C"/>
                </w:rPr>
                <w:t>Directors, Executive Officers and Corporate Governance</w:t>
              </w:r>
            </w:hyperlink>
          </w:p>
        </w:tc>
        <w:tc>
          <w:tcPr>
            <w:tcW w:w="780" w:type="dxa"/>
            <w:vAlign w:val="bottom"/>
          </w:tcPr>
          <w:p>
            <w:pPr>
              <w:jc w:val="center"/>
              <w:spacing w:after="0"/>
              <w:rPr>
                <w:rFonts w:ascii="Arial" w:cs="Arial" w:eastAsia="Arial" w:hAnsi="Arial"/>
                <w:sz w:val="18"/>
                <w:szCs w:val="18"/>
                <w:color w:val="2C2C2C"/>
                <w:w w:val="89"/>
              </w:rPr>
            </w:pPr>
            <w:hyperlink w:anchor="page94">
              <w:r>
                <w:rPr>
                  <w:rFonts w:ascii="Arial" w:cs="Arial" w:eastAsia="Arial" w:hAnsi="Arial"/>
                  <w:sz w:val="18"/>
                  <w:szCs w:val="18"/>
                  <w:color w:val="2C2C2C"/>
                  <w:w w:val="89"/>
                </w:rPr>
                <w:t>93</w:t>
              </w:r>
            </w:hyperlink>
          </w:p>
        </w:tc>
      </w:tr>
      <w:tr>
        <w:trPr>
          <w:trHeight w:val="230"/>
        </w:trPr>
        <w:tc>
          <w:tcPr>
            <w:tcW w:w="1680" w:type="dxa"/>
            <w:vAlign w:val="bottom"/>
          </w:tcPr>
          <w:p>
            <w:pPr>
              <w:ind w:left="700"/>
              <w:spacing w:after="0"/>
              <w:rPr>
                <w:sz w:val="20"/>
                <w:szCs w:val="20"/>
                <w:color w:val="auto"/>
              </w:rPr>
            </w:pPr>
            <w:r>
              <w:rPr>
                <w:rFonts w:ascii="Arial" w:cs="Arial" w:eastAsia="Arial" w:hAnsi="Arial"/>
                <w:sz w:val="18"/>
                <w:szCs w:val="18"/>
                <w:color w:val="2C2C2C"/>
              </w:rPr>
              <w:t>Item 11</w:t>
            </w:r>
          </w:p>
        </w:tc>
        <w:tc>
          <w:tcPr>
            <w:tcW w:w="8780" w:type="dxa"/>
            <w:vAlign w:val="bottom"/>
          </w:tcPr>
          <w:p>
            <w:pPr>
              <w:ind w:left="260"/>
              <w:spacing w:after="0"/>
              <w:rPr>
                <w:rFonts w:ascii="Arial" w:cs="Arial" w:eastAsia="Arial" w:hAnsi="Arial"/>
                <w:sz w:val="18"/>
                <w:szCs w:val="18"/>
                <w:color w:val="2C2C2C"/>
              </w:rPr>
            </w:pPr>
            <w:hyperlink w:anchor="page94">
              <w:r>
                <w:rPr>
                  <w:rFonts w:ascii="Arial" w:cs="Arial" w:eastAsia="Arial" w:hAnsi="Arial"/>
                  <w:sz w:val="18"/>
                  <w:szCs w:val="18"/>
                  <w:color w:val="2C2C2C"/>
                </w:rPr>
                <w:t>Executive Compensation</w:t>
              </w:r>
            </w:hyperlink>
          </w:p>
        </w:tc>
        <w:tc>
          <w:tcPr>
            <w:tcW w:w="780" w:type="dxa"/>
            <w:vAlign w:val="bottom"/>
          </w:tcPr>
          <w:p>
            <w:pPr>
              <w:jc w:val="center"/>
              <w:spacing w:after="0"/>
              <w:rPr>
                <w:rFonts w:ascii="Arial" w:cs="Arial" w:eastAsia="Arial" w:hAnsi="Arial"/>
                <w:sz w:val="18"/>
                <w:szCs w:val="18"/>
                <w:color w:val="2C2C2C"/>
                <w:w w:val="89"/>
              </w:rPr>
            </w:pPr>
            <w:hyperlink w:anchor="page94">
              <w:r>
                <w:rPr>
                  <w:rFonts w:ascii="Arial" w:cs="Arial" w:eastAsia="Arial" w:hAnsi="Arial"/>
                  <w:sz w:val="18"/>
                  <w:szCs w:val="18"/>
                  <w:color w:val="2C2C2C"/>
                  <w:w w:val="89"/>
                </w:rPr>
                <w:t>93</w:t>
              </w:r>
            </w:hyperlink>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12</w:t>
            </w:r>
          </w:p>
        </w:tc>
        <w:tc>
          <w:tcPr>
            <w:tcW w:w="8780" w:type="dxa"/>
            <w:vAlign w:val="bottom"/>
          </w:tcPr>
          <w:p>
            <w:pPr>
              <w:ind w:left="260"/>
              <w:spacing w:after="0"/>
              <w:rPr>
                <w:rFonts w:ascii="Arial" w:cs="Arial" w:eastAsia="Arial" w:hAnsi="Arial"/>
                <w:sz w:val="18"/>
                <w:szCs w:val="18"/>
                <w:color w:val="2C2C2C"/>
              </w:rPr>
            </w:pPr>
            <w:hyperlink w:anchor="page94">
              <w:r>
                <w:rPr>
                  <w:rFonts w:ascii="Arial" w:cs="Arial" w:eastAsia="Arial" w:hAnsi="Arial"/>
                  <w:sz w:val="18"/>
                  <w:szCs w:val="18"/>
                  <w:color w:val="2C2C2C"/>
                </w:rPr>
                <w:t>Security Ownership of Certain Beneficial Owners and Management and Related Stockholder Matters</w:t>
              </w:r>
            </w:hyperlink>
          </w:p>
        </w:tc>
        <w:tc>
          <w:tcPr>
            <w:tcW w:w="780" w:type="dxa"/>
            <w:vAlign w:val="bottom"/>
          </w:tcPr>
          <w:p>
            <w:pPr>
              <w:jc w:val="center"/>
              <w:spacing w:after="0"/>
              <w:rPr>
                <w:rFonts w:ascii="Arial" w:cs="Arial" w:eastAsia="Arial" w:hAnsi="Arial"/>
                <w:sz w:val="18"/>
                <w:szCs w:val="18"/>
                <w:color w:val="2C2C2C"/>
                <w:w w:val="89"/>
              </w:rPr>
            </w:pPr>
            <w:hyperlink w:anchor="page94">
              <w:r>
                <w:rPr>
                  <w:rFonts w:ascii="Arial" w:cs="Arial" w:eastAsia="Arial" w:hAnsi="Arial"/>
                  <w:sz w:val="18"/>
                  <w:szCs w:val="18"/>
                  <w:color w:val="2C2C2C"/>
                  <w:w w:val="89"/>
                </w:rPr>
                <w:t>93</w:t>
              </w:r>
            </w:hyperlink>
          </w:p>
        </w:tc>
      </w:tr>
      <w:tr>
        <w:trPr>
          <w:trHeight w:val="230"/>
        </w:trPr>
        <w:tc>
          <w:tcPr>
            <w:tcW w:w="1680" w:type="dxa"/>
            <w:vAlign w:val="bottom"/>
          </w:tcPr>
          <w:p>
            <w:pPr>
              <w:ind w:left="700"/>
              <w:spacing w:after="0"/>
              <w:rPr>
                <w:sz w:val="20"/>
                <w:szCs w:val="20"/>
                <w:color w:val="auto"/>
              </w:rPr>
            </w:pPr>
            <w:r>
              <w:rPr>
                <w:rFonts w:ascii="Arial" w:cs="Arial" w:eastAsia="Arial" w:hAnsi="Arial"/>
                <w:sz w:val="18"/>
                <w:szCs w:val="18"/>
                <w:color w:val="2C2C2C"/>
              </w:rPr>
              <w:t>Item 13</w:t>
            </w:r>
          </w:p>
        </w:tc>
        <w:tc>
          <w:tcPr>
            <w:tcW w:w="8780" w:type="dxa"/>
            <w:vAlign w:val="bottom"/>
          </w:tcPr>
          <w:p>
            <w:pPr>
              <w:ind w:left="260"/>
              <w:spacing w:after="0"/>
              <w:rPr>
                <w:rFonts w:ascii="Arial" w:cs="Arial" w:eastAsia="Arial" w:hAnsi="Arial"/>
                <w:sz w:val="18"/>
                <w:szCs w:val="18"/>
                <w:color w:val="2C2C2C"/>
              </w:rPr>
            </w:pPr>
            <w:hyperlink w:anchor="page94">
              <w:r>
                <w:rPr>
                  <w:rFonts w:ascii="Arial" w:cs="Arial" w:eastAsia="Arial" w:hAnsi="Arial"/>
                  <w:sz w:val="18"/>
                  <w:szCs w:val="18"/>
                  <w:color w:val="2C2C2C"/>
                </w:rPr>
                <w:t>Certain Relationships and Related Transactions, and Director Independence</w:t>
              </w:r>
            </w:hyperlink>
          </w:p>
        </w:tc>
        <w:tc>
          <w:tcPr>
            <w:tcW w:w="780" w:type="dxa"/>
            <w:vAlign w:val="bottom"/>
          </w:tcPr>
          <w:p>
            <w:pPr>
              <w:jc w:val="center"/>
              <w:spacing w:after="0"/>
              <w:rPr>
                <w:rFonts w:ascii="Arial" w:cs="Arial" w:eastAsia="Arial" w:hAnsi="Arial"/>
                <w:sz w:val="18"/>
                <w:szCs w:val="18"/>
                <w:color w:val="2C2C2C"/>
                <w:w w:val="89"/>
              </w:rPr>
            </w:pPr>
            <w:hyperlink w:anchor="page94">
              <w:r>
                <w:rPr>
                  <w:rFonts w:ascii="Arial" w:cs="Arial" w:eastAsia="Arial" w:hAnsi="Arial"/>
                  <w:sz w:val="18"/>
                  <w:szCs w:val="18"/>
                  <w:color w:val="2C2C2C"/>
                  <w:w w:val="89"/>
                </w:rPr>
                <w:t>93</w:t>
              </w:r>
            </w:hyperlink>
          </w:p>
        </w:tc>
      </w:tr>
      <w:tr>
        <w:trPr>
          <w:trHeight w:val="225"/>
        </w:trPr>
        <w:tc>
          <w:tcPr>
            <w:tcW w:w="1680" w:type="dxa"/>
            <w:vAlign w:val="bottom"/>
          </w:tcPr>
          <w:p>
            <w:pPr>
              <w:ind w:left="700"/>
              <w:spacing w:after="0"/>
              <w:rPr>
                <w:sz w:val="20"/>
                <w:szCs w:val="20"/>
                <w:color w:val="auto"/>
              </w:rPr>
            </w:pPr>
            <w:r>
              <w:rPr>
                <w:rFonts w:ascii="Arial" w:cs="Arial" w:eastAsia="Arial" w:hAnsi="Arial"/>
                <w:sz w:val="18"/>
                <w:szCs w:val="18"/>
                <w:color w:val="2C2C2C"/>
              </w:rPr>
              <w:t>Item 14</w:t>
            </w:r>
          </w:p>
        </w:tc>
        <w:tc>
          <w:tcPr>
            <w:tcW w:w="8780" w:type="dxa"/>
            <w:vAlign w:val="bottom"/>
          </w:tcPr>
          <w:p>
            <w:pPr>
              <w:ind w:left="260"/>
              <w:spacing w:after="0"/>
              <w:rPr>
                <w:rFonts w:ascii="Arial" w:cs="Arial" w:eastAsia="Arial" w:hAnsi="Arial"/>
                <w:sz w:val="18"/>
                <w:szCs w:val="18"/>
                <w:color w:val="2C2C2C"/>
              </w:rPr>
            </w:pPr>
            <w:hyperlink w:anchor="page94">
              <w:r>
                <w:rPr>
                  <w:rFonts w:ascii="Arial" w:cs="Arial" w:eastAsia="Arial" w:hAnsi="Arial"/>
                  <w:sz w:val="18"/>
                  <w:szCs w:val="18"/>
                  <w:color w:val="2C2C2C"/>
                </w:rPr>
                <w:t>Principal Accounting Fees and Services</w:t>
              </w:r>
            </w:hyperlink>
          </w:p>
        </w:tc>
        <w:tc>
          <w:tcPr>
            <w:tcW w:w="780" w:type="dxa"/>
            <w:vAlign w:val="bottom"/>
          </w:tcPr>
          <w:p>
            <w:pPr>
              <w:jc w:val="center"/>
              <w:spacing w:after="0"/>
              <w:rPr>
                <w:rFonts w:ascii="Arial" w:cs="Arial" w:eastAsia="Arial" w:hAnsi="Arial"/>
                <w:sz w:val="18"/>
                <w:szCs w:val="18"/>
                <w:color w:val="2C2C2C"/>
                <w:w w:val="89"/>
              </w:rPr>
            </w:pPr>
            <w:hyperlink w:anchor="page94">
              <w:r>
                <w:rPr>
                  <w:rFonts w:ascii="Arial" w:cs="Arial" w:eastAsia="Arial" w:hAnsi="Arial"/>
                  <w:sz w:val="18"/>
                  <w:szCs w:val="18"/>
                  <w:color w:val="2C2C2C"/>
                  <w:w w:val="89"/>
                </w:rPr>
                <w:t>93</w:t>
              </w:r>
            </w:hyperlink>
          </w:p>
        </w:tc>
      </w:tr>
      <w:tr>
        <w:trPr>
          <w:trHeight w:val="234"/>
        </w:trPr>
        <w:tc>
          <w:tcPr>
            <w:tcW w:w="1680" w:type="dxa"/>
            <w:vAlign w:val="bottom"/>
          </w:tcPr>
          <w:p>
            <w:pPr>
              <w:ind w:left="700"/>
              <w:spacing w:after="0"/>
              <w:rPr>
                <w:sz w:val="20"/>
                <w:szCs w:val="20"/>
                <w:color w:val="auto"/>
              </w:rPr>
            </w:pPr>
            <w:r>
              <w:rPr>
                <w:rFonts w:ascii="Arial" w:cs="Arial" w:eastAsia="Arial" w:hAnsi="Arial"/>
                <w:sz w:val="18"/>
                <w:szCs w:val="18"/>
                <w:b w:val="1"/>
                <w:bCs w:val="1"/>
                <w:color w:val="2C2C2C"/>
              </w:rPr>
              <w:t>PART IV</w:t>
            </w:r>
          </w:p>
        </w:tc>
        <w:tc>
          <w:tcPr>
            <w:tcW w:w="87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9"/>
        </w:trPr>
        <w:tc>
          <w:tcPr>
            <w:tcW w:w="1680" w:type="dxa"/>
            <w:vAlign w:val="bottom"/>
          </w:tcPr>
          <w:p>
            <w:pPr>
              <w:ind w:left="700"/>
              <w:spacing w:after="0"/>
              <w:rPr>
                <w:sz w:val="20"/>
                <w:szCs w:val="20"/>
                <w:color w:val="auto"/>
              </w:rPr>
            </w:pPr>
            <w:r>
              <w:rPr>
                <w:rFonts w:ascii="Arial" w:cs="Arial" w:eastAsia="Arial" w:hAnsi="Arial"/>
                <w:sz w:val="18"/>
                <w:szCs w:val="18"/>
                <w:color w:val="2C2C2C"/>
              </w:rPr>
              <w:t>Item 15</w:t>
            </w:r>
          </w:p>
        </w:tc>
        <w:tc>
          <w:tcPr>
            <w:tcW w:w="8780" w:type="dxa"/>
            <w:vAlign w:val="bottom"/>
          </w:tcPr>
          <w:p>
            <w:pPr>
              <w:ind w:left="260"/>
              <w:spacing w:after="0"/>
              <w:rPr>
                <w:rFonts w:ascii="Arial" w:cs="Arial" w:eastAsia="Arial" w:hAnsi="Arial"/>
                <w:sz w:val="18"/>
                <w:szCs w:val="18"/>
                <w:color w:val="2C2C2C"/>
              </w:rPr>
            </w:pPr>
            <w:hyperlink w:anchor="page95">
              <w:r>
                <w:rPr>
                  <w:rFonts w:ascii="Arial" w:cs="Arial" w:eastAsia="Arial" w:hAnsi="Arial"/>
                  <w:sz w:val="18"/>
                  <w:szCs w:val="18"/>
                  <w:color w:val="2C2C2C"/>
                </w:rPr>
                <w:t>Exhibits and Financial Statement Schedules</w:t>
              </w:r>
            </w:hyperlink>
          </w:p>
        </w:tc>
        <w:tc>
          <w:tcPr>
            <w:tcW w:w="780" w:type="dxa"/>
            <w:vAlign w:val="bottom"/>
          </w:tcPr>
          <w:p>
            <w:pPr>
              <w:jc w:val="center"/>
              <w:spacing w:after="0"/>
              <w:rPr>
                <w:rFonts w:ascii="Arial" w:cs="Arial" w:eastAsia="Arial" w:hAnsi="Arial"/>
                <w:sz w:val="18"/>
                <w:szCs w:val="18"/>
                <w:color w:val="2C2C2C"/>
                <w:w w:val="89"/>
              </w:rPr>
            </w:pPr>
            <w:hyperlink w:anchor="page95">
              <w:r>
                <w:rPr>
                  <w:rFonts w:ascii="Arial" w:cs="Arial" w:eastAsia="Arial" w:hAnsi="Arial"/>
                  <w:sz w:val="18"/>
                  <w:szCs w:val="18"/>
                  <w:color w:val="2C2C2C"/>
                  <w:w w:val="89"/>
                </w:rPr>
                <w:t>94</w:t>
              </w:r>
            </w:hyperlink>
          </w:p>
        </w:tc>
      </w:tr>
      <w:tr>
        <w:trPr>
          <w:trHeight w:val="230"/>
        </w:trPr>
        <w:tc>
          <w:tcPr>
            <w:tcW w:w="1680" w:type="dxa"/>
            <w:vAlign w:val="bottom"/>
          </w:tcPr>
          <w:p>
            <w:pPr>
              <w:spacing w:after="0"/>
              <w:rPr>
                <w:sz w:val="20"/>
                <w:szCs w:val="20"/>
                <w:color w:val="auto"/>
              </w:rPr>
            </w:pPr>
          </w:p>
        </w:tc>
        <w:tc>
          <w:tcPr>
            <w:tcW w:w="8780" w:type="dxa"/>
            <w:vAlign w:val="bottom"/>
          </w:tcPr>
          <w:p>
            <w:pPr>
              <w:ind w:left="260"/>
              <w:spacing w:after="0"/>
              <w:rPr>
                <w:rFonts w:ascii="Arial" w:cs="Arial" w:eastAsia="Arial" w:hAnsi="Arial"/>
                <w:sz w:val="18"/>
                <w:szCs w:val="18"/>
                <w:color w:val="2C2C2C"/>
              </w:rPr>
            </w:pPr>
            <w:hyperlink w:anchor="page99">
              <w:r>
                <w:rPr>
                  <w:rFonts w:ascii="Arial" w:cs="Arial" w:eastAsia="Arial" w:hAnsi="Arial"/>
                  <w:sz w:val="18"/>
                  <w:szCs w:val="18"/>
                  <w:color w:val="2C2C2C"/>
                </w:rPr>
                <w:t>Signatures</w:t>
              </w:r>
            </w:hyperlink>
          </w:p>
        </w:tc>
        <w:tc>
          <w:tcPr>
            <w:tcW w:w="780" w:type="dxa"/>
            <w:vAlign w:val="bottom"/>
          </w:tcPr>
          <w:p>
            <w:pPr>
              <w:jc w:val="center"/>
              <w:spacing w:after="0"/>
              <w:rPr>
                <w:rFonts w:ascii="Arial" w:cs="Arial" w:eastAsia="Arial" w:hAnsi="Arial"/>
                <w:sz w:val="18"/>
                <w:szCs w:val="18"/>
                <w:color w:val="2C2C2C"/>
                <w:w w:val="89"/>
              </w:rPr>
            </w:pPr>
            <w:hyperlink w:anchor="page99">
              <w:r>
                <w:rPr>
                  <w:rFonts w:ascii="Arial" w:cs="Arial" w:eastAsia="Arial" w:hAnsi="Arial"/>
                  <w:sz w:val="18"/>
                  <w:szCs w:val="18"/>
                  <w:color w:val="2C2C2C"/>
                  <w:w w:val="89"/>
                </w:rPr>
                <w:t>98</w:t>
              </w:r>
            </w:hyperlink>
          </w:p>
        </w:tc>
      </w:tr>
      <w:tr>
        <w:trPr>
          <w:trHeight w:val="1451"/>
        </w:trPr>
        <w:tc>
          <w:tcPr>
            <w:tcW w:w="168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First person pronouns used in this Report, such as “we,” “us,” and “our,” refer to ICU Medical, Inc. ("ICU") and its subsidiaries unless context requires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 and Overview of Business</w:t>
      </w:r>
    </w:p>
    <w:p>
      <w:pPr>
        <w:spacing w:after="0" w:line="256" w:lineRule="exact"/>
        <w:rPr>
          <w:sz w:val="20"/>
          <w:szCs w:val="20"/>
          <w:color w:val="auto"/>
        </w:rPr>
      </w:pPr>
    </w:p>
    <w:p>
      <w:pPr>
        <w:ind w:right="60" w:firstLine="180"/>
        <w:spacing w:after="0" w:line="301" w:lineRule="auto"/>
        <w:rPr>
          <w:sz w:val="20"/>
          <w:szCs w:val="20"/>
          <w:color w:val="auto"/>
        </w:rPr>
      </w:pPr>
      <w:r>
        <w:rPr>
          <w:rFonts w:ascii="Arial" w:cs="Arial" w:eastAsia="Arial" w:hAnsi="Arial"/>
          <w:sz w:val="16"/>
          <w:szCs w:val="16"/>
          <w:color w:val="auto"/>
        </w:rPr>
        <w:t>ICU is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ICU manufactures automated pharmacy IV compounding systems with workflow technology, closed system transfer devices for preparing and administering hazardous IV drugs and cardiac monitoring systems for critically ill patients.</w:t>
      </w:r>
    </w:p>
    <w:p>
      <w:pPr>
        <w:spacing w:after="0" w:line="184"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Headquartered in San Clemente, California, ICU was founded in 1984. In 1992, we had our initial public offering and reincorporated under Delaware law. Our primary customers are acute care hospitals, wholesalers, ambulatory clinics and alternate site facilities, such as outpatient clinics, home health care providers, and long-term care facilities. Since our inception we have grown organically and through acquisition, and we currently serve customers in more than 90 countries around the world.</w:t>
      </w:r>
    </w:p>
    <w:p>
      <w:pPr>
        <w:spacing w:after="0" w:line="214" w:lineRule="exact"/>
        <w:rPr>
          <w:sz w:val="20"/>
          <w:szCs w:val="20"/>
          <w:color w:val="auto"/>
        </w:rPr>
      </w:pPr>
    </w:p>
    <w:p>
      <w:pPr>
        <w:ind w:right="100" w:firstLine="180"/>
        <w:spacing w:after="0" w:line="263" w:lineRule="auto"/>
        <w:rPr>
          <w:sz w:val="20"/>
          <w:szCs w:val="20"/>
          <w:color w:val="auto"/>
        </w:rPr>
      </w:pPr>
      <w:r>
        <w:rPr>
          <w:rFonts w:ascii="Arial" w:cs="Arial" w:eastAsia="Arial" w:hAnsi="Arial"/>
          <w:sz w:val="18"/>
          <w:szCs w:val="18"/>
          <w:color w:val="auto"/>
        </w:rPr>
        <w:t>In February 2017, we acquired Pfizer Inc.'s ("Pfizer") Hospira Infusion Systems ("HIS") business. The HIS acquisition complemented our legacy non-dedicated infusion sets and oncology business by expanding our product portfolio to include a complete intravenous infusion therapy product-line from IV solutions to IV pumps to non-dedicated infusion sets.</w:t>
      </w:r>
    </w:p>
    <w:p>
      <w:pPr>
        <w:spacing w:after="0" w:line="211" w:lineRule="exact"/>
        <w:rPr>
          <w:sz w:val="20"/>
          <w:szCs w:val="20"/>
          <w:color w:val="auto"/>
        </w:rPr>
      </w:pPr>
    </w:p>
    <w:p>
      <w:pPr>
        <w:ind w:right="120" w:firstLine="180"/>
        <w:spacing w:after="0" w:line="266" w:lineRule="auto"/>
        <w:rPr>
          <w:sz w:val="20"/>
          <w:szCs w:val="20"/>
          <w:color w:val="auto"/>
        </w:rPr>
      </w:pPr>
      <w:r>
        <w:rPr>
          <w:rFonts w:ascii="Arial" w:cs="Arial" w:eastAsia="Arial" w:hAnsi="Arial"/>
          <w:sz w:val="18"/>
          <w:szCs w:val="18"/>
          <w:color w:val="auto"/>
        </w:rPr>
        <w:t>In November 2019, we acquired Pursuit Vascular, Inc. ("Pursuit"). Pursuit was a privately-held medical device company with a primary focus on innovative catheter disinfecting products and technologies to reduce costly bloodstream infections and lower healthcare costs. Pursuit’s primary product is the ClearGuard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HD cap, which is used for the maintenance of hemodialysis catheters.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primary product offerings are listed below, which we present in four product lines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52"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IV Consumable products are:</w:t>
      </w:r>
    </w:p>
    <w:p>
      <w:pPr>
        <w:spacing w:after="0" w:line="173" w:lineRule="exact"/>
        <w:rPr>
          <w:sz w:val="20"/>
          <w:szCs w:val="20"/>
          <w:color w:val="auto"/>
        </w:rPr>
      </w:pPr>
    </w:p>
    <w:p>
      <w:pPr>
        <w:ind w:left="1300" w:right="40" w:hanging="320"/>
        <w:spacing w:after="0" w:line="263" w:lineRule="auto"/>
        <w:tabs>
          <w:tab w:leader="none" w:pos="12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Clave™ needlefree products</w:t>
      </w:r>
      <w:r>
        <w:rPr>
          <w:rFonts w:ascii="Arial" w:cs="Arial" w:eastAsia="Arial" w:hAnsi="Arial"/>
          <w:sz w:val="18"/>
          <w:szCs w:val="18"/>
          <w:color w:val="auto"/>
        </w:rPr>
        <w:t>, including the MicroClave, MicroClave Clear, and NanoClave™ brand of connectors, accessories, extension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administration sets used for the administration of IV fluids and medications and the Neutron catheter patency device, used to help maintain patency of central venous catheters;</w:t>
      </w:r>
    </w:p>
    <w:p>
      <w:pPr>
        <w:spacing w:after="0" w:line="210" w:lineRule="exact"/>
        <w:rPr>
          <w:rFonts w:ascii="Arial" w:cs="Arial" w:eastAsia="Arial" w:hAnsi="Arial"/>
          <w:sz w:val="18"/>
          <w:szCs w:val="18"/>
          <w:i w:val="1"/>
          <w:iCs w:val="1"/>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SwabCap </w:t>
      </w:r>
      <w:r>
        <w:rPr>
          <w:rFonts w:ascii="Arial" w:cs="Arial" w:eastAsia="Arial" w:hAnsi="Arial"/>
          <w:sz w:val="17"/>
          <w:szCs w:val="17"/>
          <w:color w:val="auto"/>
        </w:rPr>
        <w:t>disinfecting cap, used to protect and disinfect any needlefree connector, including competitive brands of connectors;</w:t>
      </w:r>
    </w:p>
    <w:p>
      <w:pPr>
        <w:spacing w:after="0" w:line="263"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ClearGuard HD </w:t>
      </w:r>
      <w:r>
        <w:rPr>
          <w:rFonts w:ascii="Arial" w:cs="Arial" w:eastAsia="Arial" w:hAnsi="Arial"/>
          <w:sz w:val="18"/>
          <w:szCs w:val="18"/>
          <w:color w:val="auto"/>
        </w:rPr>
        <w:t>antimicrobial barrier caps for hemodialysis catheters; and</w:t>
      </w:r>
    </w:p>
    <w:p>
      <w:pPr>
        <w:spacing w:after="0" w:line="246"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Tego</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hemodialysis connector used to cap and protect hemodialysis central venous catheter hubs.</w:t>
      </w:r>
    </w:p>
    <w:p>
      <w:pPr>
        <w:spacing w:after="0" w:line="200" w:lineRule="exact"/>
        <w:rPr>
          <w:sz w:val="20"/>
          <w:szCs w:val="20"/>
          <w:color w:val="auto"/>
        </w:rPr>
      </w:pPr>
    </w:p>
    <w:p>
      <w:pPr>
        <w:ind w:right="120" w:firstLine="180"/>
        <w:spacing w:after="0" w:line="308" w:lineRule="auto"/>
        <w:rPr>
          <w:sz w:val="20"/>
          <w:szCs w:val="20"/>
          <w:color w:val="auto"/>
        </w:rPr>
      </w:pPr>
      <w:r>
        <w:rPr>
          <w:rFonts w:ascii="Arial" w:cs="Arial" w:eastAsia="Arial" w:hAnsi="Arial"/>
          <w:sz w:val="17"/>
          <w:szCs w:val="17"/>
          <w:i w:val="1"/>
          <w:iCs w:val="1"/>
          <w:color w:val="auto"/>
        </w:rPr>
        <w:t xml:space="preserve">Closed System Transfer Devices ("CSTD") and hazardous drug compounding systems </w:t>
      </w:r>
      <w:r>
        <w:rPr>
          <w:rFonts w:ascii="Arial" w:cs="Arial" w:eastAsia="Arial" w:hAnsi="Arial"/>
          <w:sz w:val="17"/>
          <w:szCs w:val="17"/>
          <w:color w:val="auto"/>
        </w:rPr>
        <w:t>are used to prepare and deliver hazardous IV medications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those used in chemotherapy, which, if released, can have harmful effects to the healthcare worker and environment. Our products are:</w:t>
      </w:r>
    </w:p>
    <w:p>
      <w:pPr>
        <w:spacing w:after="0" w:line="168" w:lineRule="exact"/>
        <w:rPr>
          <w:sz w:val="20"/>
          <w:szCs w:val="20"/>
          <w:color w:val="auto"/>
        </w:rPr>
      </w:pPr>
    </w:p>
    <w:p>
      <w:pPr>
        <w:ind w:left="1300" w:right="620" w:hanging="320"/>
        <w:spacing w:after="0" w:line="229"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ChemoLock</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CSTD which utilizes a proprietary needlefree connection method, is used for the preparation and administration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drugs. ChemoLock is used to limit the escape of hazardous drug or vapor</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ind w:left="1300"/>
        <w:spacing w:after="0"/>
        <w:rPr>
          <w:sz w:val="20"/>
          <w:szCs w:val="20"/>
          <w:color w:val="auto"/>
        </w:rPr>
      </w:pPr>
      <w:r>
        <w:rPr>
          <w:rFonts w:ascii="Arial" w:cs="Arial" w:eastAsia="Arial" w:hAnsi="Arial"/>
          <w:sz w:val="17"/>
          <w:szCs w:val="17"/>
          <w:color w:val="auto"/>
        </w:rPr>
        <w:t>concentrations, block the transfer of environmental contaminants into the system, and eliminates the risk of needlestick injury;</w:t>
      </w:r>
    </w:p>
    <w:p>
      <w:pPr>
        <w:spacing w:after="0" w:line="258" w:lineRule="exact"/>
        <w:rPr>
          <w:sz w:val="20"/>
          <w:szCs w:val="20"/>
          <w:color w:val="auto"/>
        </w:rPr>
      </w:pPr>
    </w:p>
    <w:p>
      <w:pPr>
        <w:ind w:left="1300" w:right="80" w:hanging="320"/>
        <w:spacing w:after="0" w:line="256" w:lineRule="auto"/>
        <w:tabs>
          <w:tab w:leader="none" w:pos="129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1" w:lineRule="exact"/>
        <w:rPr>
          <w:rFonts w:ascii="Arial" w:cs="Arial" w:eastAsia="Arial" w:hAnsi="Arial"/>
          <w:sz w:val="17"/>
          <w:szCs w:val="17"/>
          <w:color w:val="auto"/>
        </w:rPr>
      </w:pPr>
    </w:p>
    <w:p>
      <w:pPr>
        <w:ind w:left="1300" w:hanging="320"/>
        <w:spacing w:after="0" w:line="239" w:lineRule="auto"/>
        <w:tabs>
          <w:tab w:leader="none" w:pos="129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Diana</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 compounding system, an automated sterile compounding system that incorporates ChemoClave and ChemoLock</w:t>
      </w:r>
      <w:r>
        <w:rPr>
          <w:rFonts w:ascii="Arial" w:cs="Arial" w:eastAsia="Arial" w:hAnsi="Arial"/>
          <w:sz w:val="18"/>
          <w:szCs w:val="18"/>
          <w:i w:val="1"/>
          <w:iCs w:val="1"/>
          <w:color w:val="auto"/>
        </w:rPr>
        <w:t xml:space="preserve"> </w:t>
      </w:r>
      <w:r>
        <w:rPr>
          <w:rFonts w:ascii="Arial" w:cs="Arial" w:eastAsia="Arial" w:hAnsi="Arial"/>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3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offer a wide range of infusion pumps, dedicated IV sets and software. Our primary Infusion System products are dedicated IV sets and the following:</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Pump Hardware:</w:t>
      </w:r>
    </w:p>
    <w:p>
      <w:pPr>
        <w:spacing w:after="0" w:line="252" w:lineRule="exact"/>
        <w:rPr>
          <w:sz w:val="20"/>
          <w:szCs w:val="20"/>
          <w:color w:val="auto"/>
        </w:rPr>
      </w:pPr>
    </w:p>
    <w:p>
      <w:pPr>
        <w:ind w:left="1300" w:right="60" w:hanging="320"/>
        <w:spacing w:after="0" w:line="259" w:lineRule="auto"/>
        <w:tabs>
          <w:tab w:leader="none" w:pos="129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an ICU Medical MedNet™ ready large volume infusion pump with an extensive drug</w:t>
      </w:r>
      <w:r>
        <w:rPr>
          <w:rFonts w:ascii="Arial" w:cs="Arial" w:eastAsia="Arial" w:hAnsi="Arial"/>
          <w:sz w:val="18"/>
          <w:szCs w:val="18"/>
          <w:i w:val="1"/>
          <w:iCs w:val="1"/>
          <w:color w:val="auto"/>
        </w:rPr>
        <w:t xml:space="preserve"> </w:t>
      </w:r>
      <w:r>
        <w:rPr>
          <w:rFonts w:ascii="Arial" w:cs="Arial" w:eastAsia="Arial" w:hAnsi="Arial"/>
          <w:sz w:val="18"/>
          <w:szCs w:val="18"/>
          <w:color w:val="auto"/>
        </w:rPr>
        <w:t>library and wireless capability. Plum 360 was named the 2018, 2019 and 2020 Best in KLAS winner as top-performing IV smart pump and was the first medical device to be awarded UL Cybersecurity Assurance Program Certification. Also, in 2021, the Plum 360 won the first ever award as the top-performing Smart Pump EMR-Integrated; and</w:t>
      </w:r>
    </w:p>
    <w:p>
      <w:pPr>
        <w:spacing w:after="0" w:line="21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an ICU Medical MedNet™ ready patient-controlled analgesia pump ("PCA").</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IV Mediation Safety Software:</w:t>
      </w:r>
    </w:p>
    <w:p>
      <w:pPr>
        <w:spacing w:after="0" w:line="252" w:lineRule="exact"/>
        <w:rPr>
          <w:sz w:val="20"/>
          <w:szCs w:val="20"/>
          <w:color w:val="auto"/>
        </w:rPr>
      </w:pPr>
    </w:p>
    <w:p>
      <w:pPr>
        <w:ind w:left="1300" w:right="20" w:hanging="320"/>
        <w:spacing w:after="0" w:line="259"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ICU Medical MedNet</w:t>
      </w:r>
      <w:r>
        <w:rPr>
          <w:rFonts w:ascii="Arial" w:cs="Arial" w:eastAsia="Arial" w:hAnsi="Arial"/>
          <w:sz w:val="18"/>
          <w:szCs w:val="18"/>
          <w:color w:val="auto"/>
        </w:rPr>
        <w:t>™: ICU Medical MedNet is an enterprise-class medication management platform for any sized healthcare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that can help reduce medication errors, improve quality of care, streamline workflows and maximize revenue capture. ICU Medical MedNet connects our industry-leading smart pumps to a hospital’s Electronic Health Records ("EHR"), asset tracking systems, and alarm notification platforms with the largest array of integration partners.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52" w:lineRule="exact"/>
        <w:rPr>
          <w:sz w:val="20"/>
          <w:szCs w:val="20"/>
          <w:color w:val="auto"/>
        </w:rPr>
      </w:pPr>
    </w:p>
    <w:p>
      <w:pPr>
        <w:ind w:left="1300" w:hanging="320"/>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52" w:lineRule="exact"/>
        <w:rPr>
          <w:sz w:val="20"/>
          <w:szCs w:val="20"/>
          <w:color w:val="auto"/>
        </w:rPr>
      </w:pPr>
    </w:p>
    <w:p>
      <w:pPr>
        <w:ind w:right="660" w:firstLine="177"/>
        <w:spacing w:after="0" w:line="277" w:lineRule="auto"/>
        <w:rPr>
          <w:sz w:val="20"/>
          <w:szCs w:val="20"/>
          <w:color w:val="auto"/>
        </w:rPr>
      </w:pPr>
      <w:r>
        <w:rPr>
          <w:rFonts w:ascii="Arial" w:cs="Arial" w:eastAsia="Arial" w:hAnsi="Arial"/>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Therapy and Diluents: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ind w:left="1300" w:right="20" w:hanging="320"/>
        <w:spacing w:after="0" w:line="27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Including Sodium Chloride, Dextrose, Balanced Electrolyte Solutions, Lactated Ringer's, Ringer's, Mannitol, Sodium Chloride/Dextrose, and Sterile Water.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Irrigation:</w:t>
      </w:r>
    </w:p>
    <w:p>
      <w:pPr>
        <w:spacing w:after="0" w:line="252" w:lineRule="exact"/>
        <w:rPr>
          <w:sz w:val="20"/>
          <w:szCs w:val="20"/>
          <w:color w:val="auto"/>
        </w:rPr>
      </w:pPr>
    </w:p>
    <w:p>
      <w:pPr>
        <w:ind w:left="1300" w:right="40" w:hanging="320"/>
        <w:spacing w:after="0" w:line="27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52" w:lineRule="exact"/>
        <w:rPr>
          <w:sz w:val="20"/>
          <w:szCs w:val="20"/>
          <w:color w:val="auto"/>
        </w:rPr>
      </w:pPr>
    </w:p>
    <w:p>
      <w:pPr>
        <w:ind w:right="280" w:firstLine="180"/>
        <w:spacing w:after="0" w:line="286"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92"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Cogent™ 2-in-1 hemodynamic monitoring system;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CardioFlo™ hemodynamic monitoring 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TDQ™ and OptiQ™ cardiac output monitoring catheters;</w:t>
      </w:r>
    </w:p>
    <w:p>
      <w:pPr>
        <w:spacing w:after="0" w:line="9" w:lineRule="exact"/>
        <w:rPr>
          <w:rFonts w:ascii="Arial" w:cs="Arial" w:eastAsia="Arial" w:hAnsi="Arial"/>
          <w:sz w:val="18"/>
          <w:szCs w:val="18"/>
          <w:color w:val="auto"/>
        </w:rPr>
      </w:pPr>
    </w:p>
    <w:p>
      <w:pPr>
        <w:ind w:left="1300" w:hanging="320"/>
        <w:spacing w:after="0" w:line="19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TriOx</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venous oximetry catheters;</w:t>
      </w: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Transpac™ blood pressure transducers; and</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SafeSet™ closed blood sampling and conservation system.</w:t>
      </w:r>
    </w:p>
    <w:p>
      <w:pPr>
        <w:spacing w:after="0" w:line="238"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Financial information relating to our reporting segment and primary product lines is set forth in Part I, Item 6. "Selected Financial Data" and Item 7. "Management Discussion and Analysis of Financial Condition and Results of Operations" in this Annual Report on Form 10-K,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firstLine="170"/>
        <w:spacing w:after="0" w:line="308" w:lineRule="auto"/>
        <w:rPr>
          <w:sz w:val="20"/>
          <w:szCs w:val="20"/>
          <w:color w:val="auto"/>
        </w:rPr>
      </w:pPr>
      <w:r>
        <w:rPr>
          <w:rFonts w:ascii="Arial" w:cs="Arial" w:eastAsia="Arial" w:hAnsi="Arial"/>
          <w:sz w:val="17"/>
          <w:szCs w:val="17"/>
          <w:color w:val="auto"/>
        </w:rPr>
        <w:t>As of December 31, 2020, we operate four primary manufacturing facilities globally, which are discussed in Part I, Item 2 of this report. We operate four main service centers globally. We also rely on certain outside manufacturers for certain product lines in Infusion Systems and IV Solutions.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four primary manufacturing sites are:</w:t>
      </w:r>
    </w:p>
    <w:p>
      <w:pPr>
        <w:spacing w:after="0" w:line="252" w:lineRule="exact"/>
        <w:rPr>
          <w:sz w:val="20"/>
          <w:szCs w:val="20"/>
          <w:color w:val="auto"/>
        </w:rPr>
      </w:pPr>
    </w:p>
    <w:p>
      <w:pPr>
        <w:ind w:left="130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 Aurora de Heredia, Costa Rica, which manufactures most of our infusion pumps and dedicated disposables, as well as a portion of our non-dedicated infusion consumables products;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Ensenada, Mexico, which manufactures infusion consumables products;</w:t>
      </w:r>
    </w:p>
    <w:p>
      <w:pPr>
        <w:spacing w:after="0" w:line="252"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Salt Lake City, Utah, which produces primarily our proprietary brands of connector and CSTD components, and sends those products to Costa Rica or Mexico for finished goods assembly; and</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Austin, Texas, which produces our IV Solutions products.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Additionally, we leverage a long-term supply agreement with Pfizer (described below) to provide additional IV Solution products to us.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four main regional device service centers in Sligo, Ireland; San Laurent, Quebec, Canada; Taipei, Taiwan and Rydalmere, Australia.</w:t>
      </w:r>
    </w:p>
    <w:p>
      <w:pPr>
        <w:spacing w:after="0" w:line="275" w:lineRule="exact"/>
        <w:rPr>
          <w:sz w:val="20"/>
          <w:szCs w:val="20"/>
          <w:color w:val="auto"/>
        </w:rPr>
      </w:pPr>
    </w:p>
    <w:p>
      <w:pPr>
        <w:ind w:right="180" w:firstLine="180"/>
        <w:spacing w:after="0" w:line="301" w:lineRule="auto"/>
        <w:rPr>
          <w:sz w:val="20"/>
          <w:szCs w:val="20"/>
          <w:color w:val="auto"/>
        </w:rPr>
      </w:pPr>
      <w:r>
        <w:rPr>
          <w:rFonts w:ascii="Arial" w:cs="Arial" w:eastAsia="Arial" w:hAnsi="Arial"/>
          <w:sz w:val="16"/>
          <w:szCs w:val="16"/>
          <w:color w:val="auto"/>
        </w:rPr>
        <w:t>In 2017, we entered into two Manufacturing and Supply Agreements ("MSAs") with Pfizer under which, (i) Pfizer manufactures and supplies us with certain agreed upon products for an initial five-year term with a one-time two-year option to extend and (ii) we manufacture and supply Pfizer certain agreed upon products for a term of five or ten years depending on the product, with a one-time two-year option to extend. The initial supply price will be annually updated and is in full consideration for all costs associated with the manufacture, documentation, packaging and certification of the products.</w:t>
      </w:r>
    </w:p>
    <w:p>
      <w:pPr>
        <w:spacing w:after="0" w:line="184" w:lineRule="exact"/>
        <w:rPr>
          <w:sz w:val="20"/>
          <w:szCs w:val="20"/>
          <w:color w:val="auto"/>
        </w:rPr>
      </w:pPr>
    </w:p>
    <w:p>
      <w:pPr>
        <w:ind w:right="420" w:firstLine="177"/>
        <w:spacing w:after="0" w:line="277" w:lineRule="auto"/>
        <w:rPr>
          <w:sz w:val="20"/>
          <w:szCs w:val="20"/>
          <w:color w:val="auto"/>
        </w:rPr>
      </w:pPr>
      <w:r>
        <w:rPr>
          <w:rFonts w:ascii="Arial" w:cs="Arial" w:eastAsia="Arial" w:hAnsi="Arial"/>
          <w:sz w:val="18"/>
          <w:szCs w:val="18"/>
          <w:color w:val="auto"/>
        </w:rPr>
        <w:t>We purchase many of the components and raw materials used in manufacturing our products from numerous suppliers in various countries. Certain components and raw materials are available only from a sole supplier. We work closely with our</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type w:val="continuous"/>
        </w:sectPr>
      </w:pPr>
    </w:p>
    <w:bookmarkStart w:id="6" w:name="page7"/>
    <w:bookmarkEnd w:id="6"/>
    <w:p>
      <w:pPr>
        <w:ind w:right="60"/>
        <w:spacing w:after="0" w:line="277" w:lineRule="auto"/>
        <w:rPr>
          <w:sz w:val="20"/>
          <w:szCs w:val="20"/>
          <w:color w:val="auto"/>
        </w:rPr>
      </w:pPr>
      <w:r>
        <w:rPr>
          <w:rFonts w:ascii="Arial" w:cs="Arial" w:eastAsia="Arial" w:hAnsi="Arial"/>
          <w:sz w:val="18"/>
          <w:szCs w:val="18"/>
          <w:color w:val="auto"/>
        </w:rPr>
        <w:t>suppliers to ensure continuity of supply while maintaining high quality and reliability. We have generally been able to obtain adequate supplies of such raw materials and components.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Administration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ship around the world with the majority of our sales denominated in U.S. dollars, Euro and Canadian dollars. We are not dependent on any single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products are marketed to medical product manufacturers, independent distributors and directly to end users.</w:t>
      </w:r>
    </w:p>
    <w:p>
      <w:pPr>
        <w:spacing w:after="0" w:line="252" w:lineRule="exact"/>
        <w:rPr>
          <w:sz w:val="20"/>
          <w:szCs w:val="20"/>
          <w:color w:val="auto"/>
        </w:rPr>
      </w:pPr>
    </w:p>
    <w:p>
      <w:pPr>
        <w:ind w:right="320" w:firstLine="180"/>
        <w:spacing w:after="0" w:line="342" w:lineRule="auto"/>
        <w:rPr>
          <w:sz w:val="20"/>
          <w:szCs w:val="20"/>
          <w:color w:val="auto"/>
        </w:rPr>
      </w:pPr>
      <w:r>
        <w:rPr>
          <w:rFonts w:ascii="Arial" w:cs="Arial" w:eastAsia="Arial" w:hAnsi="Arial"/>
          <w:sz w:val="16"/>
          <w:szCs w:val="16"/>
          <w:color w:val="auto"/>
        </w:rPr>
        <w:t>The U.S. distribution of solutions, IV sets and accessories is supported by a network of two owned and one leased distribution centers, which include King of Prussia, Pennsylvania; Los Angeles, California; and Dallas, Texas. We also utilize a number of public warehouses as part of our supply chain.</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Internationally, we manage distribution by utilizing international regional hubs and through independent distributors.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40" w:firstLine="180"/>
        <w:spacing w:after="0" w:line="273" w:lineRule="auto"/>
        <w:rPr>
          <w:sz w:val="20"/>
          <w:szCs w:val="20"/>
          <w:color w:val="auto"/>
        </w:rPr>
      </w:pPr>
      <w:r>
        <w:rPr>
          <w:rFonts w:ascii="Arial" w:cs="Arial" w:eastAsia="Arial" w:hAnsi="Arial"/>
          <w:sz w:val="17"/>
          <w:szCs w:val="17"/>
          <w:color w:val="auto"/>
        </w:rPr>
        <w:t>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 approval monitoring and reporting and import and export of medical devices and combination drug/device products in the U.S. to assure the safety and effectiveness of medical products for their intended use. The Federal Trade Commission also regulates the advertising of our products. Further, we are subject to laws directed at preventing fraud and abuse, which subject our sales and marketing, training and other practices to government scrutiny.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Device Classification and Clearance</w:t>
      </w:r>
    </w:p>
    <w:p>
      <w:pPr>
        <w:spacing w:after="0" w:line="252" w:lineRule="exact"/>
        <w:rPr>
          <w:sz w:val="20"/>
          <w:szCs w:val="20"/>
          <w:color w:val="auto"/>
        </w:rPr>
      </w:pPr>
    </w:p>
    <w:p>
      <w:pPr>
        <w:ind w:right="300" w:firstLine="180"/>
        <w:spacing w:after="0" w:line="286" w:lineRule="auto"/>
        <w:rPr>
          <w:sz w:val="20"/>
          <w:szCs w:val="20"/>
          <w:color w:val="auto"/>
        </w:rPr>
      </w:pPr>
      <w:r>
        <w:rPr>
          <w:rFonts w:ascii="Arial" w:cs="Arial" w:eastAsia="Arial" w:hAnsi="Arial"/>
          <w:sz w:val="17"/>
          <w:szCs w:val="17"/>
          <w:color w:val="auto"/>
        </w:rPr>
        <w:t>Unless an exemption applies, each new or significantly modified medical device we seek to commercially distribute in the U.S. will require either a premarket notification to the FDA requesting permission for commercial distribution under Section 510(k) of the Federal Food, Drug and Cosmetic Act ("FDC Act") also referred to as a 510(k) clearance, or approval from the FDA of a pre-market approval ("PMA") application.</w:t>
      </w:r>
    </w:p>
    <w:p>
      <w:pPr>
        <w:spacing w:after="0" w:line="192" w:lineRule="exact"/>
        <w:rPr>
          <w:sz w:val="20"/>
          <w:szCs w:val="20"/>
          <w:color w:val="auto"/>
        </w:rPr>
      </w:pPr>
    </w:p>
    <w:p>
      <w:pPr>
        <w:ind w:right="60" w:firstLine="180"/>
        <w:spacing w:after="0" w:line="273" w:lineRule="auto"/>
        <w:rPr>
          <w:sz w:val="20"/>
          <w:szCs w:val="20"/>
          <w:color w:val="auto"/>
        </w:rPr>
      </w:pPr>
      <w:r>
        <w:rPr>
          <w:rFonts w:ascii="Arial" w:cs="Arial" w:eastAsia="Arial" w:hAnsi="Arial"/>
          <w:sz w:val="17"/>
          <w:szCs w:val="17"/>
          <w:color w:val="auto"/>
        </w:rPr>
        <w:t>Under the 510(k) process, applicants must demonstrate to the FDA that the device is as safe and effective as, or substantially equivalent to, a legally marketed device, the “predicate” device.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The FDA must issue a decision finding substantial equivalence before commercial distribution can occur. Changes to cleared devices that could not significantly affect the safety or effectiveness of the device can generally be made without additional 510(k) premarket notifications; otherwise, a new 510(k) is required.</w:t>
      </w:r>
    </w:p>
    <w:p>
      <w:pPr>
        <w:spacing w:after="0" w:line="205" w:lineRule="exact"/>
        <w:rPr>
          <w:sz w:val="20"/>
          <w:szCs w:val="20"/>
          <w:color w:val="auto"/>
        </w:rPr>
      </w:pPr>
    </w:p>
    <w:p>
      <w:pPr>
        <w:ind w:firstLine="180"/>
        <w:spacing w:after="0" w:line="291" w:lineRule="auto"/>
        <w:rPr>
          <w:sz w:val="20"/>
          <w:szCs w:val="20"/>
          <w:color w:val="auto"/>
        </w:rPr>
      </w:pPr>
      <w:r>
        <w:rPr>
          <w:rFonts w:ascii="Arial" w:cs="Arial" w:eastAsia="Arial" w:hAnsi="Arial"/>
          <w:sz w:val="16"/>
          <w:szCs w:val="16"/>
          <w:color w:val="auto"/>
        </w:rPr>
        <w:t>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The FDA will approve the PMA application if it finds that there is a reasonable assurance that the device is safe and effective for its intended purpose, and that the proposed manufacturing is in compliance with the Quality System Regulation ("QSR"). For novel technologies, the FDA will generally seek input from an advisory panel of medical experts and seek their views on the safety, effectiveness and benefit-risk of the device. The PMA process is generally more detailed, lengthier and more expensive than the 510(k) process, though both the 510(k) clearance and PMA processes can be expensive, and lengthy, and require payment of significant user fees, unless an exemption is available.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Regulation in the U.S.</w:t>
      </w:r>
    </w:p>
    <w:p>
      <w:pPr>
        <w:spacing w:after="0" w:line="252" w:lineRule="exact"/>
        <w:rPr>
          <w:sz w:val="20"/>
          <w:szCs w:val="20"/>
          <w:color w:val="auto"/>
        </w:rPr>
      </w:pPr>
    </w:p>
    <w:p>
      <w:pPr>
        <w:ind w:right="420" w:firstLine="180"/>
        <w:spacing w:after="0" w:line="277" w:lineRule="auto"/>
        <w:rPr>
          <w:sz w:val="20"/>
          <w:szCs w:val="20"/>
          <w:color w:val="auto"/>
        </w:rPr>
      </w:pPr>
      <w:r>
        <w:rPr>
          <w:rFonts w:ascii="Arial" w:cs="Arial" w:eastAsia="Arial" w:hAnsi="Arial"/>
          <w:sz w:val="18"/>
          <w:szCs w:val="18"/>
          <w:color w:val="auto"/>
        </w:rPr>
        <w:t>In the U.S., IV solutions are considered pharmaceutical products and subject to the same extensive pre- and post-market regulations by the FDA, as indicated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p>
      <w:pPr>
        <w:jc w:val="both"/>
        <w:ind w:right="280" w:firstLine="177"/>
        <w:spacing w:after="0" w:line="263" w:lineRule="auto"/>
        <w:rPr>
          <w:sz w:val="20"/>
          <w:szCs w:val="20"/>
          <w:color w:val="auto"/>
        </w:rPr>
      </w:pPr>
      <w:r>
        <w:rPr>
          <w:rFonts w:ascii="Arial" w:cs="Arial" w:eastAsia="Arial" w:hAnsi="Arial"/>
          <w:sz w:val="18"/>
          <w:szCs w:val="18"/>
          <w:color w:val="auto"/>
        </w:rPr>
        <w:t>The pre-market approval process is a time-intensive multi-phased process. When successfully completed an application may be submitted to the FDA that includes detailed information relating to the product’s chemistry, manufacture, controls and proposed labeling, among other things. This application process may be subject to substantial fees.</w:t>
      </w:r>
    </w:p>
    <w:p>
      <w:pPr>
        <w:spacing w:after="0" w:line="211"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FDA approval is typically required before any new drug can be marketed. A New Drug Application ("NDA"), or an Abbreviated New Drug Application ("ANDA"), is typically required to be submitted to the FDA to obtain approval of pharmaceutical products.</w:t>
      </w:r>
    </w:p>
    <w:p>
      <w:pPr>
        <w:spacing w:after="0" w:line="197" w:lineRule="exact"/>
        <w:rPr>
          <w:sz w:val="20"/>
          <w:szCs w:val="20"/>
          <w:color w:val="auto"/>
        </w:rPr>
      </w:pPr>
    </w:p>
    <w:p>
      <w:pPr>
        <w:ind w:right="80" w:firstLine="180"/>
        <w:spacing w:after="0" w:line="259" w:lineRule="auto"/>
        <w:rPr>
          <w:sz w:val="20"/>
          <w:szCs w:val="20"/>
          <w:color w:val="auto"/>
        </w:rPr>
      </w:pPr>
      <w:r>
        <w:rPr>
          <w:rFonts w:ascii="Arial" w:cs="Arial" w:eastAsia="Arial" w:hAnsi="Arial"/>
          <w:sz w:val="18"/>
          <w:szCs w:val="18"/>
          <w:color w:val="auto"/>
        </w:rPr>
        <w:t>Before approval, the FDA typically will inspect the facility or facilities where the product is manufactured. The FDA will not approve an application unless it determines that the manufacturing processes and facilities are in compliance with current Good Manufacturing Practices ("cGMP") requirements and are adequate to assure consistent production of the product within required specifications. Additionally, the FDA may inspect one or more clinical trial sites to assure compliance with Good Clinical Practice, or GCP,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252" w:lineRule="exact"/>
        <w:rPr>
          <w:sz w:val="20"/>
          <w:szCs w:val="20"/>
          <w:color w:val="auto"/>
        </w:rPr>
      </w:pPr>
    </w:p>
    <w:p>
      <w:pPr>
        <w:ind w:firstLine="215"/>
        <w:spacing w:after="0" w:line="253" w:lineRule="auto"/>
        <w:rPr>
          <w:sz w:val="20"/>
          <w:szCs w:val="20"/>
          <w:color w:val="auto"/>
        </w:rPr>
      </w:pPr>
      <w:r>
        <w:rPr>
          <w:rFonts w:ascii="Arial" w:cs="Arial" w:eastAsia="Arial" w:hAnsi="Arial"/>
          <w:sz w:val="18"/>
          <w:szCs w:val="18"/>
          <w:color w:val="auto"/>
        </w:rPr>
        <w:t>After the FDA permits a drug or device to enter commercial distribution, numerous regulatory requirements continue to apply. The FDA actively monitors regulations through review and inspection of design and manufacturing practices, recordkeeping, reporting of adverse events, labeling and promotional practices. 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can take action against a company that promotes "off-label" uses. The FDA may also enjoin and restrain a company for certain violations of the FDC Act and regulations pertaining to medical devices, or initiate action for criminal prosecution of such violations. Any adverse regulatory action, depending on its magnitude, may restrict a company from effectively marketing and selling its products, may limit a company's ability to obtain future premarket clearances or approvals, and could results in a substantial modification to the company's business practices and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Regulation</w:t>
      </w:r>
    </w:p>
    <w:p>
      <w:pPr>
        <w:spacing w:after="0" w:line="252" w:lineRule="exact"/>
        <w:rPr>
          <w:sz w:val="20"/>
          <w:szCs w:val="20"/>
          <w:color w:val="auto"/>
        </w:rPr>
      </w:pPr>
    </w:p>
    <w:p>
      <w:pPr>
        <w:ind w:right="20" w:firstLine="177"/>
        <w:spacing w:after="0" w:line="254" w:lineRule="auto"/>
        <w:rPr>
          <w:sz w:val="20"/>
          <w:szCs w:val="20"/>
          <w:color w:val="auto"/>
        </w:rPr>
      </w:pPr>
      <w:r>
        <w:rPr>
          <w:rFonts w:ascii="Arial" w:cs="Arial" w:eastAsia="Arial" w:hAnsi="Arial"/>
          <w:sz w:val="18"/>
          <w:szCs w:val="18"/>
          <w:color w:val="auto"/>
        </w:rPr>
        <w:t>We must also comply with FDA, International Organization for Standardization (“ISO”) and European Community ("EC") Directives and regulations such as the Council Directive 93/42/EEC (the "Medical Device Directive") and Regulation 2017/745 (the "Medical Device Regulation") governing medical device manufacturing practices. The FDA, state, foreign agencies and ISO require manufacturers to register and subject manufacturers to periodic FDA, state, foreign agencies and ISO inspections of their manufacturing facilities. We are a FDA and ISO registered medical device manufacturer, and must demonstrate that we and our contract manufacturers comply with the FDA’s QSR and cGMPs. The FDA and regulatory agencies outside the U.S. monitor compliance with these requirements through inspections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spacing w:after="0" w:line="19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believe that our products and procedures are in compliance with all applicable FDA and international regulations. There is no assurance, however, that other products we are developing or products that we may develop in the future will be cleared by the FDA and classified as Class II products, or that additional regulations restricting the sale of our present or proposed products will not be promulgated by the FDA. In addition, changes in FDA, ISO or other federal or state health, environmental or safety regulations or their applications could adversely affect our business.</w:t>
      </w:r>
    </w:p>
    <w:p>
      <w:pPr>
        <w:spacing w:after="0" w:line="198" w:lineRule="exact"/>
        <w:rPr>
          <w:sz w:val="20"/>
          <w:szCs w:val="20"/>
          <w:color w:val="auto"/>
        </w:rPr>
      </w:pPr>
    </w:p>
    <w:p>
      <w:pPr>
        <w:ind w:right="100" w:firstLine="198"/>
        <w:spacing w:after="0" w:line="263" w:lineRule="auto"/>
        <w:rPr>
          <w:sz w:val="20"/>
          <w:szCs w:val="20"/>
          <w:color w:val="auto"/>
        </w:rPr>
      </w:pPr>
      <w:r>
        <w:rPr>
          <w:rFonts w:ascii="Arial" w:cs="Arial" w:eastAsia="Arial" w:hAnsi="Arial"/>
          <w:sz w:val="18"/>
          <w:szCs w:val="18"/>
          <w:color w:val="auto"/>
        </w:rPr>
        <w:t>To market our products in the EC, we must conform to additional requirements of the EC and demonstrate conformance to established quality standards and applicable directives. As a manufacturer that designs, manufactures and markets its own devices, we must comply with the quality management standards of EN ISO 13485. Those quality standards are similar to the QSR regulations.</w:t>
      </w:r>
    </w:p>
    <w:p>
      <w:pPr>
        <w:spacing w:after="0" w:line="184" w:lineRule="exact"/>
        <w:rPr>
          <w:sz w:val="20"/>
          <w:szCs w:val="20"/>
          <w:color w:val="auto"/>
        </w:rPr>
      </w:pPr>
    </w:p>
    <w:p>
      <w:pPr>
        <w:ind w:right="260" w:firstLine="177"/>
        <w:spacing w:after="0" w:line="301" w:lineRule="auto"/>
        <w:rPr>
          <w:sz w:val="20"/>
          <w:szCs w:val="20"/>
          <w:color w:val="auto"/>
        </w:rPr>
      </w:pPr>
      <w:r>
        <w:rPr>
          <w:rFonts w:ascii="Arial" w:cs="Arial" w:eastAsia="Arial" w:hAnsi="Arial"/>
          <w:sz w:val="16"/>
          <w:szCs w:val="16"/>
          <w:color w:val="auto"/>
        </w:rPr>
        <w:t>To market our products in the EC, manufacturers of medical devices must also conform to EC Directives and regulations such as the Medical Device Directive and the Medical Device Regulation and their applicable annexes. Those regulations assure that medical devices are both safe and effective and meet all applicable established standards prior to being marketed in the EC. Once a manufacturer and its devices are in conformance with the Medical Device Directive, the “CE” Mark may be affixed to its devices. The CE Mark gives devices unobstructed entry to all the member countries of the EC.</w:t>
      </w:r>
    </w:p>
    <w:p>
      <w:pPr>
        <w:spacing w:after="0" w:line="15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have demonstrated conformity to the regulation of EN ISO 13485 and the Medical Device Directive and we affix the CE Mark to our device labeling for product sold in member countries of the EC.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jc w:val="both"/>
        <w:ind w:right="40" w:firstLine="648"/>
        <w:spacing w:after="0" w:line="263" w:lineRule="auto"/>
        <w:rPr>
          <w:sz w:val="20"/>
          <w:szCs w:val="20"/>
          <w:color w:val="auto"/>
        </w:rPr>
      </w:pPr>
      <w:r>
        <w:rPr>
          <w:rFonts w:ascii="Arial" w:cs="Arial" w:eastAsia="Arial" w:hAnsi="Arial"/>
          <w:sz w:val="18"/>
          <w:szCs w:val="18"/>
          <w:color w:val="auto"/>
        </w:rPr>
        <w:t>We believe our products and systems are in compliance with all EC requirements. There can be no assurance, however, that other products we are developing or products that we may develop in the future will conform or that additional regulations restricting the sale of our present or proposed products will not be promulgated by the EC.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252" w:lineRule="exact"/>
        <w:rPr>
          <w:sz w:val="20"/>
          <w:szCs w:val="20"/>
          <w:color w:val="auto"/>
        </w:rPr>
      </w:pPr>
    </w:p>
    <w:p>
      <w:pPr>
        <w:ind w:right="80" w:firstLine="177"/>
        <w:spacing w:after="0" w:line="277" w:lineRule="auto"/>
        <w:rPr>
          <w:sz w:val="20"/>
          <w:szCs w:val="20"/>
          <w:color w:val="auto"/>
        </w:rPr>
      </w:pPr>
      <w:r>
        <w:rPr>
          <w:rFonts w:ascii="Arial" w:cs="Arial" w:eastAsia="Arial" w:hAnsi="Arial"/>
          <w:sz w:val="18"/>
          <w:szCs w:val="18"/>
          <w:color w:val="auto"/>
        </w:rPr>
        <w:t>We are subject to additional healthcare regulation and enforcement by the federal government and by authorities in the states and foreign jurisdictions in which we conduct our business. These laws include:</w:t>
      </w:r>
    </w:p>
    <w:p>
      <w:pPr>
        <w:spacing w:after="0" w:line="197" w:lineRule="exact"/>
        <w:rPr>
          <w:sz w:val="20"/>
          <w:szCs w:val="20"/>
          <w:color w:val="auto"/>
        </w:rPr>
      </w:pPr>
    </w:p>
    <w:p>
      <w:pPr>
        <w:ind w:left="660" w:right="12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w:t>
      </w:r>
    </w:p>
    <w:p>
      <w:pPr>
        <w:spacing w:after="0" w:line="214"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federal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spacing w:after="0" w:line="213"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10"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federal healthcare benefit program or making false statements relating to healthcare matters;</w:t>
      </w:r>
    </w:p>
    <w:p>
      <w:pPr>
        <w:spacing w:after="0" w:line="197" w:lineRule="exact"/>
        <w:rPr>
          <w:rFonts w:ascii="Arial" w:cs="Arial" w:eastAsia="Arial" w:hAnsi="Arial"/>
          <w:sz w:val="18"/>
          <w:szCs w:val="18"/>
          <w:color w:val="auto"/>
        </w:rPr>
      </w:pPr>
    </w:p>
    <w:p>
      <w:pPr>
        <w:jc w:val="both"/>
        <w:ind w:left="660" w:right="34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210" w:lineRule="exact"/>
        <w:rPr>
          <w:rFonts w:ascii="Arial" w:cs="Arial" w:eastAsia="Arial" w:hAnsi="Arial"/>
          <w:sz w:val="18"/>
          <w:szCs w:val="18"/>
          <w:color w:val="auto"/>
        </w:rPr>
      </w:pPr>
    </w:p>
    <w:p>
      <w:pPr>
        <w:ind w:left="660" w:right="2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health care professionals beginning in 2022, and teaching hospitals and ownership and investment interests held by the physicians described above and their immediate family members, and payments or other “transfers of value” to such physician owners; and</w:t>
      </w:r>
    </w:p>
    <w:p>
      <w:pPr>
        <w:spacing w:after="0" w:line="219" w:lineRule="exact"/>
        <w:rPr>
          <w:rFonts w:ascii="Arial" w:cs="Arial" w:eastAsia="Arial" w:hAnsi="Arial"/>
          <w:sz w:val="18"/>
          <w:szCs w:val="18"/>
          <w:color w:val="auto"/>
        </w:rPr>
      </w:pPr>
    </w:p>
    <w:p>
      <w:pPr>
        <w:ind w:left="660" w:hanging="328"/>
        <w:spacing w:after="0" w:line="291"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 providers or pricing, marketing expenditures and information; and state laws governing the privacy and security of health information in certain circumstances, many of which differ from each other in significant ways and may not have the same effect, thus complicating compliance efforts.</w:t>
      </w:r>
    </w:p>
    <w:p>
      <w:pPr>
        <w:spacing w:after="0" w:line="193" w:lineRule="exact"/>
        <w:rPr>
          <w:sz w:val="20"/>
          <w:szCs w:val="20"/>
          <w:color w:val="auto"/>
        </w:rPr>
      </w:pPr>
    </w:p>
    <w:p>
      <w:pPr>
        <w:ind w:right="720" w:firstLine="177"/>
        <w:spacing w:after="0" w:line="277" w:lineRule="auto"/>
        <w:rPr>
          <w:sz w:val="20"/>
          <w:szCs w:val="20"/>
          <w:color w:val="auto"/>
        </w:rPr>
      </w:pPr>
      <w:r>
        <w:rPr>
          <w:rFonts w:ascii="Arial" w:cs="Arial" w:eastAsia="Arial" w:hAnsi="Arial"/>
          <w:sz w:val="18"/>
          <w:szCs w:val="18"/>
          <w:color w:val="auto"/>
        </w:rPr>
        <w:t>Violations of any of the laws described above include civil and criminal penalties, damages, fines, the curtailment or restructuring of an entity’s operations, the debarment, suspension or exclusion from federal and state healthcare programs and/or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252"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 w:name="page10"/>
    <w:bookmarkEnd w:id="9"/>
    <w:p>
      <w:pPr>
        <w:ind w:right="120"/>
        <w:spacing w:after="0" w:line="257" w:lineRule="auto"/>
        <w:rPr>
          <w:sz w:val="20"/>
          <w:szCs w:val="20"/>
          <w:color w:val="auto"/>
        </w:rPr>
      </w:pPr>
      <w:r>
        <w:rPr>
          <w:rFonts w:ascii="Arial" w:cs="Arial" w:eastAsia="Arial" w:hAnsi="Arial"/>
          <w:sz w:val="18"/>
          <w:szCs w:val="18"/>
          <w:color w:val="auto"/>
        </w:rPr>
        <w:t>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 purchase and the prices they are willing to pay since our products are not separately reimbursed by any third-party payor. Third-party payors are increasingly reducing coverage and reimbursement for certain healthcare services and products and challenging prices charged for healthcare services and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Reform</w:t>
      </w:r>
    </w:p>
    <w:p>
      <w:pPr>
        <w:spacing w:after="0" w:line="252" w:lineRule="exact"/>
        <w:rPr>
          <w:sz w:val="20"/>
          <w:szCs w:val="20"/>
          <w:color w:val="auto"/>
        </w:rPr>
      </w:pPr>
    </w:p>
    <w:p>
      <w:pPr>
        <w:ind w:right="320" w:firstLine="180"/>
        <w:spacing w:after="0" w:line="254" w:lineRule="auto"/>
        <w:rPr>
          <w:sz w:val="20"/>
          <w:szCs w:val="20"/>
          <w:color w:val="auto"/>
        </w:rPr>
      </w:pPr>
      <w:r>
        <w:rPr>
          <w:rFonts w:ascii="Arial" w:cs="Arial" w:eastAsia="Arial" w:hAnsi="Arial"/>
          <w:sz w:val="18"/>
          <w:szCs w:val="18"/>
          <w:color w:val="auto"/>
        </w:rPr>
        <w:t>In the U.S., there have been, and we expect that there will continue to be, a number of federal and state proposals to limit payments by governmental payors for medical devices, and the procedures in which medical devices are used. For example, in March 2010, comprehensive healthcare reform legislation was enacted through the passage of the Patient Protection and Affordable Care Act, as amended by the Health Care and Education and Reconciliation Act (the “Affordable Care Act”), which,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22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and we expect there will be additional challenges and amendments to the Affordable Care Act in the future. For example, the Tax Cuts and Jobs Act, among other things, removes penalties for not complying with the Affordable Care Act’s individual mandate to carry health insurance. On December 14, 2018, a U.S. District Court Judge in the Northern District of Texas, or the Texas District Court Judge, ruled that the individual mandate is a critical and inseverable feature of the Affordable Care Act, and therefore, because it was repealed as part of the Tax Cuts and Jobs Act, the remaining provisions of the Affordable Care Act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The U.S. Supreme Court is currently reviewing the case, although it remains unclear when or how the Supreme Court will rule. It is also unclear how other efforts to challenge, repeal or replace the Affordable Care Act will impact the Affordable Care Act or our business.</w:t>
      </w:r>
    </w:p>
    <w:p>
      <w:pPr>
        <w:spacing w:after="0" w:line="193" w:lineRule="exact"/>
        <w:rPr>
          <w:sz w:val="20"/>
          <w:szCs w:val="20"/>
          <w:color w:val="auto"/>
        </w:rPr>
      </w:pPr>
    </w:p>
    <w:p>
      <w:pPr>
        <w:ind w:right="80" w:firstLine="180"/>
        <w:spacing w:after="0" w:line="254"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will stay in effect through 2030, with the exception of a temporary suspension from May 1, 2020 through March 31, 2021 unless additional Congressional action is taken. On January 2, 2013, the American Taxpayer Relief Act of 2012, was signed into law, which, among other things, further reduced Medicare payments to several providers, including hospitals. We cannot predict whether future healthcare initiatives will be implemented at the federal or state level or internationally, or the effect any future legislation or regulation will have on us. Such legislation and regulation of healthcare costs may, however, result in decreased lower reimbursements by governmental and private payors to our customers, which may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Medical device companies may be subject to U.S. federal and state and foreign health information privacy, security and data breach notification laws, which may govern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 w:name="page11"/>
    <w:bookmarkEnd w:id="10"/>
    <w:p>
      <w:pPr>
        <w:ind w:right="280"/>
        <w:spacing w:after="0" w:line="277" w:lineRule="auto"/>
        <w:rPr>
          <w:sz w:val="20"/>
          <w:szCs w:val="20"/>
          <w:color w:val="auto"/>
        </w:rPr>
      </w:pPr>
      <w:r>
        <w:rPr>
          <w:rFonts w:ascii="Arial" w:cs="Arial" w:eastAsia="Arial" w:hAnsi="Arial"/>
          <w:sz w:val="18"/>
          <w:szCs w:val="18"/>
          <w:color w:val="auto"/>
        </w:rPr>
        <w:t>merits stronger safeguards. The FTC’s guidance for appropriately securing consumers’ personal information is similar to what is required by the HIPAA Security Rule.</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recently enacted legislation, the California Consumer Privacy Act (the “CCPA”), which went into effect January 1, 2020. The CCPA applies to certain businesses that collect personal information from California residents, whether directly or indirectly.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health-related information, including PHI maintained by covered entities and business associates, the CCPA may increase our compliance costs and potential liability.</w:t>
      </w:r>
    </w:p>
    <w:p>
      <w:pPr>
        <w:spacing w:after="0" w:line="19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6"/>
          <w:szCs w:val="16"/>
          <w:color w:val="auto"/>
        </w:rPr>
        <w:t>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addition, the CCPA has prompted a number of proposals for new federal and state privacy legislation that, if passed, could increase our potential liability, increase our compliance costs and adversely affect our business.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HIPAA or applicable state laws.</w:t>
      </w:r>
    </w:p>
    <w:p>
      <w:pPr>
        <w:spacing w:after="0" w:line="195" w:lineRule="exact"/>
        <w:rPr>
          <w:sz w:val="20"/>
          <w:szCs w:val="20"/>
          <w:color w:val="auto"/>
        </w:rPr>
      </w:pPr>
    </w:p>
    <w:p>
      <w:pPr>
        <w:ind w:firstLine="180"/>
        <w:spacing w:after="0" w:line="270" w:lineRule="auto"/>
        <w:rPr>
          <w:sz w:val="20"/>
          <w:szCs w:val="20"/>
          <w:color w:val="auto"/>
        </w:rPr>
      </w:pPr>
      <w:r>
        <w:rPr>
          <w:rFonts w:ascii="Arial" w:cs="Arial" w:eastAsia="Arial" w:hAnsi="Arial"/>
          <w:sz w:val="16"/>
          <w:szCs w:val="16"/>
          <w:color w:val="auto"/>
        </w:rPr>
        <w:t>In Europe,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Data privacy laws in the EU and the EEA are developing rapidly and, in July 2020, the Court of Justice of the European Union limited how organizations could lawfully transfer personal data from the EEA to the United States by invalidating the Privacy Shield.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Our industry is highly competitive. We believe our ability to effectively compete in this industry will be determined by our ability to provide a wide breadth of cost-effective, high quality products. We believe the added breadth of our acquired product portfolios have increased our competitiveness as we can now provide a one-stop shop for customers and offer more flexible competitive pricing. We also believe our acquired infusion pump product offering will enable us to pull through a larger volume of higher margin infusion consumables, and we believe we have a wider customer reach through our unified distribution channels.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Infusion Consumables</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believe that our ability to effectively compete in the Infusion Consumables market depends upon our ability to differentiate our products based on continued innovation, safety, quality, convenience, reliability, patent protection, ease of use and the pricing of our products, in addition to access to distribution channels. We encounter significant competition in this market both from global, large, established medical device manufacturers and from smaller companies. We compete with products and systems marketed by Becton Dickinson ("BD"), Baxter International ("Baxter"), and B. Braun Medical, Inc. ("B. Braun"). Our CSTD used for the preparation and safe handling of oncology drugs, compete with similar products from BD, and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B. Braun. We believe that our current CSTD product offering provides benefits over these competing systems in several areas related to safety, ease of use, quality, and cost; however, ongoing innovation in this market space will be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Systems</w:t>
      </w:r>
    </w:p>
    <w:p>
      <w:pPr>
        <w:spacing w:after="0" w:line="252" w:lineRule="exact"/>
        <w:rPr>
          <w:sz w:val="20"/>
          <w:szCs w:val="20"/>
          <w:color w:val="auto"/>
        </w:rPr>
      </w:pPr>
    </w:p>
    <w:p>
      <w:pPr>
        <w:ind w:right="20" w:firstLine="177"/>
        <w:spacing w:after="0" w:line="254" w:lineRule="auto"/>
        <w:rPr>
          <w:sz w:val="20"/>
          <w:szCs w:val="20"/>
          <w:color w:val="auto"/>
        </w:rPr>
      </w:pPr>
      <w:r>
        <w:rPr>
          <w:rFonts w:ascii="Arial" w:cs="Arial" w:eastAsia="Arial" w:hAnsi="Arial"/>
          <w:sz w:val="18"/>
          <w:szCs w:val="18"/>
          <w:color w:val="auto"/>
        </w:rPr>
        <w:t>We face strong global competitors in the Infusion Systems market. In the United States ("U.S.") our competitors include BD, Baxter, and to a lesser extent B. Braun. Outside of the U.S., our primary competitors are BD, B. Braun, Fresenius Kabi, a division of Fresenius Group and a large number of local market pump manufacturers. These competitors benefit from greater financial, research and development and marketing resources than we have. The smart pump market in recent years has been troubled with security concerns, and product recalls. We believe our ability to effectively compete in this market segment will be determined by our ability to build our brand strength using the development of technological advancements aimed at increasing the quality, reliability and safety of our pumps while at the same time focusing on manufacturing efficiency and cost-effectiveness, which are operationally challenging with evolving product lines.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 Solutions</w:t>
      </w:r>
    </w:p>
    <w:p>
      <w:pPr>
        <w:spacing w:after="0" w:line="252" w:lineRule="exact"/>
        <w:rPr>
          <w:sz w:val="20"/>
          <w:szCs w:val="20"/>
          <w:color w:val="auto"/>
        </w:rPr>
      </w:pPr>
    </w:p>
    <w:p>
      <w:pPr>
        <w:ind w:firstLine="177"/>
        <w:spacing w:after="0" w:line="311" w:lineRule="auto"/>
        <w:rPr>
          <w:sz w:val="20"/>
          <w:szCs w:val="20"/>
          <w:color w:val="auto"/>
        </w:rPr>
      </w:pPr>
      <w:r>
        <w:rPr>
          <w:rFonts w:ascii="Arial" w:cs="Arial" w:eastAsia="Arial" w:hAnsi="Arial"/>
          <w:sz w:val="16"/>
          <w:szCs w:val="16"/>
          <w:color w:val="auto"/>
        </w:rPr>
        <w:t>We participate in the IV solutions market only in the U.S. and Canada. Our primary competitors in the U.S. include Baxter, and B. Braun. Demand for IV solutions is typically high and raw materials required to produce IV solutions are readily available. Our ability to compete will depend on our ability to maximize production, develop innovations in our product line, focus on cost-effectiveness and our ability to maintain the appropriate quality infrastructure.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Care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competitor in Critical Care is Edwards Lifesciences.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420" w:firstLine="177"/>
        <w:spacing w:after="0" w:line="296" w:lineRule="auto"/>
        <w:rPr>
          <w:sz w:val="20"/>
          <w:szCs w:val="20"/>
          <w:color w:val="auto"/>
        </w:rPr>
      </w:pPr>
      <w:r>
        <w:rPr>
          <w:rFonts w:ascii="Arial" w:cs="Arial" w:eastAsia="Arial" w:hAnsi="Arial"/>
          <w:sz w:val="16"/>
          <w:szCs w:val="16"/>
          <w:color w:val="auto"/>
        </w:rPr>
        <w:t>We have U.S. and/or certain foreign patents relating to the technologies found in the Clave / MicroClave Connector, MicroClave Clear Connector, Neutron Connector, CLC2000 Connector, Tego Connector, ChemoClave Technologies, ChemoLock Technologies, Click Lock Technology, SwabCap, Custom Set Design and Manufacturing Methods, Diana Hazardous Drug Compounding System and ClearGuard. We have applications pending for additional U.S. and/or foreign patents on MicroClave Connector, Neutron Connector, Tego Connector, Y-Clave Connector with Integral Check Valve, ChemoClave Technologies, ChemoLock Technologies, Swabcaps, Diana Hazardous Drug Compounding System and ClearGuard.</w:t>
      </w:r>
    </w:p>
    <w:p>
      <w:pPr>
        <w:spacing w:after="0" w:line="161" w:lineRule="exact"/>
        <w:rPr>
          <w:sz w:val="20"/>
          <w:szCs w:val="20"/>
          <w:color w:val="auto"/>
        </w:rPr>
      </w:pPr>
    </w:p>
    <w:p>
      <w:pPr>
        <w:ind w:right="40" w:firstLine="177"/>
        <w:spacing w:after="0" w:line="259" w:lineRule="auto"/>
        <w:rPr>
          <w:sz w:val="20"/>
          <w:szCs w:val="20"/>
          <w:color w:val="auto"/>
        </w:rPr>
      </w:pPr>
      <w:r>
        <w:rPr>
          <w:rFonts w:ascii="Arial" w:cs="Arial" w:eastAsia="Arial" w:hAnsi="Arial"/>
          <w:sz w:val="18"/>
          <w:szCs w:val="18"/>
          <w:color w:val="auto"/>
        </w:rPr>
        <w:t>With the acquisition of HIS, we acquired rights, title and interest to a substantial number of patents and patent applications and related provisionals, divisionals, continuations, continuations-in-part, reissues, reexaminations, extensions, and substitutions of any of the foregoing (“Patent Rights”), that were primarily used or held for use by Pfizer in the HIS business. There is however, no single patent or group of patents that we acquired that we believe is material in relation to our business as a whole.</w:t>
      </w:r>
    </w:p>
    <w:p>
      <w:pPr>
        <w:spacing w:after="0" w:line="214" w:lineRule="exact"/>
        <w:rPr>
          <w:sz w:val="20"/>
          <w:szCs w:val="20"/>
          <w:color w:val="auto"/>
        </w:rPr>
      </w:pPr>
    </w:p>
    <w:p>
      <w:pPr>
        <w:ind w:right="40" w:firstLine="180"/>
        <w:spacing w:after="0" w:line="272" w:lineRule="auto"/>
        <w:rPr>
          <w:sz w:val="20"/>
          <w:szCs w:val="20"/>
          <w:color w:val="auto"/>
        </w:rPr>
      </w:pPr>
      <w:r>
        <w:rPr>
          <w:rFonts w:ascii="Arial" w:cs="Arial" w:eastAsia="Arial" w:hAnsi="Arial"/>
          <w:sz w:val="17"/>
          <w:szCs w:val="17"/>
          <w:color w:val="auto"/>
        </w:rPr>
        <w:t>Our success may depend in part on our ability to obtain patent protection for our products and to operate without infringing the proprietary rights of third parties. While we have obtained certain patents and applied for additional U.S. and foreign patents covering certain of our products, there is no assurance that any additional patents will be issued, that the scope of any patent protection will prevent competitors from introducing similar devices or that any of our patents will be held valid if subsequently challenged. Our patents are important in preventing others from introducing competing products that are as effective as our products. The loss of patent protection on the Clave/MicroClave, Neutron, Tego Connector, Swabcap, Clearguard, ChemoClave and ChemoLock technologies, could adversely affect our ability to exclude other manufacturers from producing effective competitive products and could have an adverse impact on our financial results.</w:t>
      </w:r>
    </w:p>
    <w:p>
      <w:pPr>
        <w:spacing w:after="0" w:line="20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fact that a patent is issued to us does not eliminate the possibility that patents owned by others may contain claims that are infringed by our products.</w:t>
      </w:r>
    </w:p>
    <w:p>
      <w:pPr>
        <w:spacing w:after="0" w:line="170"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There has been substantial litigation regarding patent and other intellectual property rights in the medical device industry. Litigation, which would result in substantial cost to us and in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ind w:right="20"/>
        <w:spacing w:after="0" w:line="277" w:lineRule="auto"/>
        <w:rPr>
          <w:sz w:val="20"/>
          <w:szCs w:val="20"/>
          <w:color w:val="auto"/>
        </w:rPr>
      </w:pPr>
      <w:r>
        <w:rPr>
          <w:rFonts w:ascii="Arial" w:cs="Arial" w:eastAsia="Arial" w:hAnsi="Arial"/>
          <w:sz w:val="18"/>
          <w:szCs w:val="18"/>
          <w:color w:val="auto"/>
        </w:rPr>
        <w:t>the future, to enforce our intellectual property rights against those we believe to be infringing on our patents. Such litigation could result in substantial cost and diversion of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100" w:firstLine="180"/>
        <w:spacing w:after="0" w:line="277" w:lineRule="auto"/>
        <w:rPr>
          <w:sz w:val="20"/>
          <w:szCs w:val="20"/>
          <w:color w:val="auto"/>
        </w:rPr>
      </w:pPr>
      <w:r>
        <w:rPr>
          <w:rFonts w:ascii="Arial" w:cs="Arial" w:eastAsia="Arial" w:hAnsi="Arial"/>
          <w:sz w:val="18"/>
          <w:szCs w:val="18"/>
          <w:color w:val="auto"/>
        </w:rPr>
        <w:t>Our research and development costs include personnel costs and expenses related to the development of new products. Research and development costs were $42.9 million in 2020, $48.6 million in 2019 and $52.9 million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believe our employees are the foundation of our business and are key to executing our strategy globally. The knowledge, skills and abilities of our diverse workforce is paramount in upholding our mission of connecting patients and caregivers through safe, life-saving, life enhancing IV therapy products, systems, and services.</w:t>
      </w:r>
    </w:p>
    <w:p>
      <w:pPr>
        <w:spacing w:after="0" w:line="211"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We believe the health and well-being of our employees are cornerstones for our successful operations. Whether you are a machine operator in one of our four manufacturing locations, a material handler in a distribution center, a service technician supporting our products in the field, or a clinician training the use of our products in a hospital, we strive to prioritize the safety of our team members. This includes designing our work environments with a safety first mindset, providing personal protective equipment, and safety training beginning day one.</w:t>
      </w:r>
    </w:p>
    <w:p>
      <w:pPr>
        <w:spacing w:after="0" w:line="215" w:lineRule="exact"/>
        <w:rPr>
          <w:sz w:val="20"/>
          <w:szCs w:val="20"/>
          <w:color w:val="auto"/>
        </w:rPr>
      </w:pPr>
    </w:p>
    <w:p>
      <w:pPr>
        <w:jc w:val="both"/>
        <w:ind w:right="140" w:firstLine="648"/>
        <w:spacing w:after="0" w:line="248" w:lineRule="auto"/>
        <w:rPr>
          <w:sz w:val="20"/>
          <w:szCs w:val="20"/>
          <w:color w:val="auto"/>
        </w:rPr>
      </w:pPr>
      <w:r>
        <w:rPr>
          <w:rFonts w:ascii="Arial" w:cs="Arial" w:eastAsia="Arial" w:hAnsi="Arial"/>
          <w:sz w:val="18"/>
          <w:szCs w:val="18"/>
          <w:color w:val="auto"/>
        </w:rPr>
        <w:t>Our ability to attract and retain talented individuals globally begins with our commitment to offer a career that gives people a unique opportunity to work in an exhilarating, fast-paced, inspiring, and collaborative environment where what they do makes a difference. We offer competitive salaries and participation to all employees in incentive plans based on individual and company performance.</w:t>
      </w:r>
    </w:p>
    <w:p>
      <w:pPr>
        <w:spacing w:after="0" w:line="20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believe the development of our workforce is critical for personal growth and the success of our company as well. We reinforce this with challenging, yet rewarding assignments, continued learning and training programs through our global iLearning platform, and support continued education globally through tuition reimbursement programs. Our team believes in diversity, collaboration, and removing barriers to communication—all to create an environment where innovation and creativity can flourish. This is principal for us in attracting, developing, retaining and rewarding talent on a global scale.</w:t>
      </w:r>
    </w:p>
    <w:p>
      <w:pPr>
        <w:spacing w:after="0" w:line="182"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Finally, our leadership team, with its broad, and deep category knowledge and averaging approximately 17 years of experience in IV therapy has the necessary experience to effectively lead the execution of our strategy.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2020, we had approximately 7,900 employees located in over 20 countries.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56" w:lineRule="exact"/>
        <w:rPr>
          <w:sz w:val="20"/>
          <w:szCs w:val="20"/>
          <w:color w:val="auto"/>
        </w:rPr>
      </w:pPr>
    </w:p>
    <w:p>
      <w:pPr>
        <w:ind w:right="240" w:firstLine="180"/>
        <w:spacing w:after="0" w:line="277" w:lineRule="auto"/>
        <w:rPr>
          <w:sz w:val="20"/>
          <w:szCs w:val="20"/>
          <w:color w:val="auto"/>
        </w:rPr>
      </w:pPr>
      <w:r>
        <w:rPr>
          <w:rFonts w:ascii="Arial" w:cs="Arial" w:eastAsia="Arial" w:hAnsi="Arial"/>
          <w:sz w:val="18"/>
          <w:szCs w:val="18"/>
          <w:color w:val="auto"/>
        </w:rPr>
        <w:t>Information regarding financial data by geography is set forth in Part II, Item 8. "Financial Statements and Supplementary Data" of this Form 10-K in Note 4 and 13 to the Consolidated Financial Statements,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late 2019, a novel strain of coronavirus ("COVID-19") was first reported in Wuhan, China and on March 11, 2020, the World Health Organization characterized COVID-19 as a global pandemic. The COVID-19 pandemic has spread globally and has led governments and other authorities around the world to impose measures intended to control its spread, including restrictions on freedom of movement and business operations such as travel restrictions, border closings, business closures, quarantines and shelter-in-place orders. Additionally, the COVID-19 pandemic and the measures taken to limit its spread have negatively impacted the economy across many industries. As such, the COVID-19 pandemic may pose significant risks to our business. We operate globally and the COVID-19 pandemic and its adverse effects have impacted most of the locations where we, our customers and our suppliers conduct business. We expect COVID-19 will continue to have an impact on our financial</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condition and results of operations in the near term and may have a material impact on our financial condition, liquidity, and results of operations in future periods. See “Part II. Item 7. Management’s Discussion and Analysis of Financial Condition and Results of Operations” for discussion regarding the impact of the COVID-19 pandemic on our financial results. Also, see “Part I. Item 1A. Risk Factors” for discussion of the risks and uncertainties associated with the COVID-19 pandemic.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60" w:firstLine="180"/>
        <w:spacing w:after="0" w:line="259" w:lineRule="auto"/>
        <w:rPr>
          <w:sz w:val="20"/>
          <w:szCs w:val="20"/>
          <w:color w:val="auto"/>
        </w:rPr>
      </w:pPr>
      <w:r>
        <w:rPr>
          <w:rFonts w:ascii="Arial" w:cs="Arial" w:eastAsia="Arial" w:hAnsi="Arial"/>
          <w:sz w:val="18"/>
          <w:szCs w:val="18"/>
          <w:color w:val="auto"/>
        </w:rPr>
        <w:t>Our website address is http://www.icumed.com. We make available our Annual Reports on Form 10-K, Quarterly Reports on Form 10-Q and Current Reports on Form 8-K, and amendments to those reports free of charge on our website as soon as reasonably practicable after filing them with the Securities and Exchange Commission ("SEC"). We also have our code of ethics posted on our website (http://www.icumed.com). The information on our website is not incorporated into this Annual Report.</w:t>
      </w:r>
    </w:p>
    <w:p>
      <w:pPr>
        <w:spacing w:after="0" w:line="18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on its website (http://www.sec.gov).</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following risk factors, as well as the other information contained in this Annual Report and our other reports and registration statements filed with the SEC. Any of the following risks, as well as additional risks and uncertainties not currently known to us or that we currently deem immaterial, could materially and adversely affect our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is subject to a number of risks and uncertainties, detail below. These risks include, among others, the following:</w:t>
      </w:r>
    </w:p>
    <w:p>
      <w:pPr>
        <w:spacing w:after="0" w:line="252" w:lineRule="exact"/>
        <w:rPr>
          <w:sz w:val="20"/>
          <w:szCs w:val="20"/>
          <w:color w:val="auto"/>
        </w:rPr>
      </w:pPr>
    </w:p>
    <w:p>
      <w:pPr>
        <w:ind w:left="660" w:right="34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has had a material impact on the global economy and has disrupted our operations and could continue to have an adverse impact on our employees, suppliers and customers, which could adversely and materially impact our business, financial condition and results of operations.</w:t>
      </w:r>
    </w:p>
    <w:p>
      <w:pPr>
        <w:spacing w:after="0" w:line="210" w:lineRule="exact"/>
        <w:rPr>
          <w:rFonts w:ascii="Arial" w:cs="Arial" w:eastAsia="Arial" w:hAnsi="Arial"/>
          <w:sz w:val="18"/>
          <w:szCs w:val="18"/>
          <w:color w:val="auto"/>
        </w:rPr>
      </w:pPr>
    </w:p>
    <w:p>
      <w:pPr>
        <w:ind w:left="660" w:right="22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operate in a highly competitive industry, our ability to compete effectively to maintain or gain market share depends upon numerous factors, such as product innovation, the quality, convenience and reliability of our products, access to distribution channels and patent protection and pricing. We can give no assurance that we will be successful in implementing any of our competitive strategies.</w:t>
      </w:r>
    </w:p>
    <w:p>
      <w:pPr>
        <w:spacing w:after="0" w:line="192" w:lineRule="exact"/>
        <w:rPr>
          <w:rFonts w:ascii="Arial" w:cs="Arial" w:eastAsia="Arial" w:hAnsi="Arial"/>
          <w:sz w:val="17"/>
          <w:szCs w:val="17"/>
          <w:color w:val="auto"/>
        </w:rPr>
      </w:pPr>
    </w:p>
    <w:p>
      <w:pPr>
        <w:ind w:left="660" w:righ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dependent on certain key suppliers; any supply interruptions could materially harm our business, financial condition and results of operations.</w:t>
      </w:r>
    </w:p>
    <w:p>
      <w:pPr>
        <w:spacing w:after="0" w:line="197"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our manufacturing facilities or any other supply chain restrictions could materially impact our business, financial condition and results of operations.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or failure to comply with certain federal, state, foreign, legal and health regulations may harm our business and financial condition.</w:t>
      </w:r>
    </w:p>
    <w:p>
      <w:pPr>
        <w:spacing w:after="0" w:line="275" w:lineRule="exact"/>
        <w:rPr>
          <w:rFonts w:ascii="Arial" w:cs="Arial" w:eastAsia="Arial" w:hAnsi="Arial"/>
          <w:sz w:val="16"/>
          <w:szCs w:val="16"/>
          <w:color w:val="auto"/>
        </w:rPr>
      </w:pPr>
    </w:p>
    <w:p>
      <w:pPr>
        <w:ind w:left="660" w:right="3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the leadership of our executive management team and other key personnel; the loss of one or more of our key employees could disrupt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stock price may be volatile and you may be unable to sell your shares at or above your purchase price.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Operating Risks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The COVID-19 pandemic has disrupted how we, our suppliers and our customers operate and the duration and extent to which this will impact our business, future results of operations, liquidity and overall financial performance remains uncertain.</w:t>
      </w:r>
    </w:p>
    <w:p>
      <w:pPr>
        <w:spacing w:after="0" w:line="197" w:lineRule="exact"/>
        <w:rPr>
          <w:sz w:val="20"/>
          <w:szCs w:val="20"/>
          <w:color w:val="auto"/>
        </w:rPr>
      </w:pPr>
    </w:p>
    <w:p>
      <w:pPr>
        <w:ind w:right="120" w:firstLine="177"/>
        <w:spacing w:after="0" w:line="263" w:lineRule="auto"/>
        <w:rPr>
          <w:sz w:val="20"/>
          <w:szCs w:val="20"/>
          <w:color w:val="auto"/>
        </w:rPr>
      </w:pPr>
      <w:r>
        <w:rPr>
          <w:rFonts w:ascii="Arial" w:cs="Arial" w:eastAsia="Arial" w:hAnsi="Arial"/>
          <w:sz w:val="18"/>
          <w:szCs w:val="18"/>
          <w:color w:val="auto"/>
        </w:rPr>
        <w:t>The COVID-19 pandemic has created significant volatility, uncertainty, and economic disruption. The global spread of COVID-19 led governments and other authorities around the world to impose measures intended to control its spread, including restrictions on freedom of movement and business operations such as travel restrictions, border closings, business closures,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 w:name="page15"/>
    <w:bookmarkEnd w:id="14"/>
    <w:p>
      <w:pPr>
        <w:ind w:right="60"/>
        <w:spacing w:after="0" w:line="279" w:lineRule="auto"/>
        <w:rPr>
          <w:sz w:val="20"/>
          <w:szCs w:val="20"/>
          <w:color w:val="auto"/>
        </w:rPr>
      </w:pPr>
      <w:r>
        <w:rPr>
          <w:rFonts w:ascii="Arial" w:cs="Arial" w:eastAsia="Arial" w:hAnsi="Arial"/>
          <w:sz w:val="17"/>
          <w:szCs w:val="17"/>
          <w:color w:val="auto"/>
        </w:rPr>
        <w:t>quarantines and shelter-in-place orders. The COVID-19 pandemic and the measures taken to limit its spread have negatively impacted the global economy across many industries. As such, the COVID-19 pandemic may continue to pose significant risks to our business. We operate globally and the COVID-19 pandemic and its adverse effects have impacted most of the locations where we, our customers and our suppliers conduct business and, as a result, we have experienced some disruption to our operations, most notably due to reduced demand for our disposable product portfolio.</w:t>
      </w:r>
    </w:p>
    <w:p>
      <w:pPr>
        <w:spacing w:after="0" w:line="198" w:lineRule="exact"/>
        <w:rPr>
          <w:sz w:val="20"/>
          <w:szCs w:val="20"/>
          <w:color w:val="auto"/>
        </w:rPr>
      </w:pPr>
    </w:p>
    <w:p>
      <w:pPr>
        <w:ind w:firstLine="170"/>
        <w:spacing w:after="0" w:line="255" w:lineRule="auto"/>
        <w:rPr>
          <w:sz w:val="20"/>
          <w:szCs w:val="20"/>
          <w:color w:val="auto"/>
        </w:rPr>
      </w:pPr>
      <w:r>
        <w:rPr>
          <w:rFonts w:ascii="Arial" w:cs="Arial" w:eastAsia="Arial" w:hAnsi="Arial"/>
          <w:sz w:val="17"/>
          <w:szCs w:val="17"/>
          <w:color w:val="auto"/>
        </w:rPr>
        <w:t>As a result of the COVID-19 pandemic, our non-essential offices and facilities, including our corporate headquarters remain closed to non-essential employees. Similarly, many hospitals are restricting access to their facilities to essential personnel, which may negatively affect demand for our products by limiting the ability of our sales personnel to negotiate new and maintain existing contracts with customers. We may also experience significant reductions in demand for certain products as our health care customers re-prioritize the treatment of patients, delay elective procedures and shift resources and operations to fight COVID-19 and the complications it causes. For example, during 2020, we have experienced lower demand from hospital customers for our Infusion Consumables non-dedicated sets and lower demand for our Infusion Systems dedicated sets. Additionally, the COVID-19 pandemic could potentially adversely affect our distributors if they are not able to maintain their historical levels of sales.</w:t>
      </w:r>
    </w:p>
    <w:p>
      <w:pPr>
        <w:spacing w:after="0" w:line="207" w:lineRule="exact"/>
        <w:rPr>
          <w:sz w:val="20"/>
          <w:szCs w:val="20"/>
          <w:color w:val="auto"/>
        </w:rPr>
      </w:pPr>
    </w:p>
    <w:p>
      <w:pPr>
        <w:ind w:right="260" w:firstLine="180"/>
        <w:spacing w:after="0" w:line="263" w:lineRule="auto"/>
        <w:rPr>
          <w:sz w:val="20"/>
          <w:szCs w:val="20"/>
          <w:color w:val="auto"/>
        </w:rPr>
      </w:pPr>
      <w:r>
        <w:rPr>
          <w:rFonts w:ascii="Arial" w:cs="Arial" w:eastAsia="Arial" w:hAnsi="Arial"/>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implemented physical distancing measures;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hygiene protocols and increased frequency of cleaning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acquired additional personal protective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developed contingency plans and protocols to assess employee illness;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helped employees with childcare issues due to school and daycare closures;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implemented COVID-19 temperature screening for employees entering our manufacturing and distribution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initiated a visitor pre-entry questionnaire to limit potential exposure in our facilities.</w:t>
      </w:r>
    </w:p>
    <w:p>
      <w:pPr>
        <w:spacing w:after="0" w:line="238" w:lineRule="exact"/>
        <w:rPr>
          <w:sz w:val="20"/>
          <w:szCs w:val="20"/>
          <w:color w:val="auto"/>
        </w:rPr>
      </w:pPr>
    </w:p>
    <w:p>
      <w:pPr>
        <w:ind w:right="100" w:firstLine="177"/>
        <w:spacing w:after="0" w:line="311" w:lineRule="auto"/>
        <w:rPr>
          <w:sz w:val="20"/>
          <w:szCs w:val="20"/>
          <w:color w:val="auto"/>
        </w:rPr>
      </w:pPr>
      <w:r>
        <w:rPr>
          <w:rFonts w:ascii="Arial" w:cs="Arial" w:eastAsia="Arial" w:hAnsi="Arial"/>
          <w:sz w:val="16"/>
          <w:szCs w:val="16"/>
          <w:color w:val="auto"/>
        </w:rPr>
        <w:t>While we anticipate that the foregoing measures are temporary, we cannot predict the specific duration for which these precautionary measures will stay in effect, and we may elect to take additional measures as the information available to us continues to develop. These actions, and any future actions we may take in response to the COVID-19 pandemic, could negatively impact our business, financial condition and results of operations.</w:t>
      </w:r>
    </w:p>
    <w:p>
      <w:pPr>
        <w:spacing w:after="0" w:line="176" w:lineRule="exact"/>
        <w:rPr>
          <w:sz w:val="20"/>
          <w:szCs w:val="20"/>
          <w:color w:val="auto"/>
        </w:rPr>
      </w:pPr>
    </w:p>
    <w:p>
      <w:pPr>
        <w:ind w:right="40" w:firstLine="177"/>
        <w:spacing w:after="0" w:line="243" w:lineRule="auto"/>
        <w:rPr>
          <w:sz w:val="20"/>
          <w:szCs w:val="20"/>
          <w:color w:val="auto"/>
        </w:rPr>
      </w:pPr>
      <w:r>
        <w:rPr>
          <w:rFonts w:ascii="Arial" w:cs="Arial" w:eastAsia="Arial" w:hAnsi="Arial"/>
          <w:sz w:val="18"/>
          <w:szCs w:val="18"/>
          <w:color w:val="auto"/>
        </w:rPr>
        <w:t>The duration and extent of the impact on our business from the COVID-19 pandemic depends on future developments that cannot be fully predicted at this time, as such, the impact of the COVID-19 pandemic on our future results of operations and overall financial performance remain uncertain and cannot as yet be quantified. Additional factors that have contributed or may contribute to the adverse impact of the COVID-19 pandemic on our business, results of operations, financial condition and liquidity include, without limitation, the following:</w:t>
      </w:r>
    </w:p>
    <w:p>
      <w:pPr>
        <w:spacing w:after="0" w:line="215" w:lineRule="exact"/>
        <w:rPr>
          <w:sz w:val="20"/>
          <w:szCs w:val="20"/>
          <w:color w:val="auto"/>
        </w:rPr>
      </w:pPr>
    </w:p>
    <w:p>
      <w:pPr>
        <w:ind w:left="660" w:right="14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lost revenue or additional costs associated with either disruptions at our production and distribution facilities or interruptions in our supply chain, including shortages of raw materials or components for our products;</w:t>
      </w:r>
    </w:p>
    <w:p>
      <w:pPr>
        <w:spacing w:after="0" w:line="1"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demand from customers as a result of an increase in COVID-19 patient admissions in hospitals offset by the decline in non-COVID-19 patient admissions;</w:t>
      </w:r>
    </w:p>
    <w:p>
      <w:pPr>
        <w:ind w:left="660" w:right="42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healthcare customers that defer the more profitable elective procedures may experience financial difficulties and may be unable to pay within payment terms for the products they purchased;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lower demand in future periods due to over-purchasing of our products due to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reduced revenue due to delays in implementation of our infusion systems and oncology products at hospital locations due to restricted access;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operating costs related to additional compensation paid to our manufacturing and distribution facility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in cash flow, revenue and income due to foreign currency fluctuations and volatility;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income due to a delay in cost savings projects as a result of the travel and social distancing requirements of COVID-19; and</w:t>
      </w:r>
    </w:p>
    <w:p>
      <w:pPr>
        <w:spacing w:after="0" w:line="9" w:lineRule="exact"/>
        <w:rPr>
          <w:rFonts w:ascii="Arial" w:cs="Arial" w:eastAsia="Arial" w:hAnsi="Arial"/>
          <w:sz w:val="18"/>
          <w:szCs w:val="18"/>
          <w:color w:val="auto"/>
        </w:rPr>
      </w:pPr>
    </w:p>
    <w:p>
      <w:pPr>
        <w:ind w:left="660" w:right="42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interest income on cash balances due to reductions in interest rates along with higher interest expense from borrowing under our Credit Facility, if necessary, to maintain adequate liquidity.</w:t>
      </w:r>
    </w:p>
    <w:p>
      <w:pPr>
        <w:spacing w:after="0" w:line="212"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231F20"/>
        </w:rPr>
        <w:t>To the extent the COVID-19 pandemic and related containment measures continue to adversely affect regional, national and global economic conditions and financial markets, as well as the business, results of operations, financial conditions and liquidity of us, our suppliers and our customers, it may also have the effect of heightening many of the risks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right="240"/>
        <w:spacing w:after="0" w:line="257" w:lineRule="auto"/>
        <w:rPr>
          <w:sz w:val="20"/>
          <w:szCs w:val="20"/>
          <w:color w:val="auto"/>
        </w:rPr>
      </w:pPr>
      <w:r>
        <w:rPr>
          <w:rFonts w:ascii="Arial" w:cs="Arial" w:eastAsia="Arial" w:hAnsi="Arial"/>
          <w:sz w:val="18"/>
          <w:szCs w:val="18"/>
          <w:color w:val="231F20"/>
        </w:rPr>
        <w:t>described in this ‘‘Risk Factors’’ section and elsewhere in this Annual Report on Form 10-K for the year ended December 31, 2020, including the risks resulting from our dependency on key personnel; impairment of our supply chain or manufacturing facilities; and the impact of negative economic conditions. In addition, in light of the COVID-19 pandemic and the measures taken to limit its spread, our historical information regarding our business, results of operations, financial condition or liquidity may not be representative of the future results of operations, financial condition, liquidity or other financial or operating results of us or our business.</w:t>
      </w:r>
    </w:p>
    <w:p>
      <w:pPr>
        <w:spacing w:after="0" w:line="21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spacing w:after="0" w:line="15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Although we have risk mitigation plans in place with key suppliers, we have materials (such as resins) that are critical to our ability to manufacture our products, the supply of which is currently from a sole supplier. We cannot be certain that our current suppliers will continue to provide us with the quantities of materials that we require or satisfy our anticipated specifications and quality requirements on a timely basis or at all. Any supply interruption in limited or sole sourced raw materials could materially harm our ability to manufacture our products until a new source of supply, if any, could be identified and qualified. Although we believe there are other suppliers of these raw materials, we may be unable to find a sufficient alternative supply channel in a reasonable time or on commercially reasonable terms. Furthermore, our contract manufacturers could require us to move to another one of their production facilities. An interruption in our commercial operations could occur if we encounter delays or difficulties in securing these components, materials or services and if we cannot then obtain an acceptable substitute. Additionally, we are subject to FDA regulations, which could further delay our ability to obtain a qualified alternative supplier.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 party payors, we may be unable to pass along cost increases for any key components or raw materials increases through higher prices to our customers. If the cost of key components or raw materials increases and we are unable to fully recover those increased costs through price increases or offset these increases through other cost reductions, we could experience an adverse effect on our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Damage to any of our manufacturing facilities or supply chain network could impair our ability to produce our products.</w:t>
      </w:r>
    </w:p>
    <w:p>
      <w:pPr>
        <w:spacing w:after="0" w:line="252" w:lineRule="exact"/>
        <w:rPr>
          <w:sz w:val="20"/>
          <w:szCs w:val="20"/>
          <w:color w:val="auto"/>
        </w:rPr>
      </w:pPr>
    </w:p>
    <w:p>
      <w:pPr>
        <w:ind w:right="60" w:firstLine="170"/>
        <w:spacing w:after="0" w:line="259" w:lineRule="auto"/>
        <w:rPr>
          <w:sz w:val="20"/>
          <w:szCs w:val="20"/>
          <w:color w:val="auto"/>
        </w:rPr>
      </w:pPr>
      <w:r>
        <w:rPr>
          <w:rFonts w:ascii="Arial" w:cs="Arial" w:eastAsia="Arial" w:hAnsi="Arial"/>
          <w:sz w:val="18"/>
          <w:szCs w:val="18"/>
          <w:color w:val="auto"/>
        </w:rPr>
        <w:t>A severe weather event, other natural or man-made disaster, or any other significant disruption, such as outbreak of disease (including the COVID-19 pandemic), affecting our manufacturing facilities or our suppliers and logistics partners could materially and adversely impact our business, financial condition and results of operations. The COVID-19 pandemic has caused us to temporarily shut down some of our facilities, to date these shut downs have not had a material impact on our business.</w:t>
      </w:r>
    </w:p>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 single manufacturing facility for our Clave products located in Salt Lake City, Utah. Our Salt Lake City facility also produces other components on which our manufacturing operations in Mexico and Costa Rica rely. Our IV Solutions are manufactured at our manufacturing facility in Austin, Texas and by a third party manufacturer, Pfizer, in Rocky Mount, North Carolina or our suppliers’ facilities. If our facilities are inoperable, for even a short period of time, it could adversely affect our ability to manufacture and distribute our products in a timely or cost-effective manner, and our ability to make product sales. Furthermore, our facilities and the equipment we use to perform our manufacturing processes could be unavailable or costly and time-consuming to repair or replace.</w:t>
      </w:r>
    </w:p>
    <w:p>
      <w:pPr>
        <w:spacing w:after="0" w:line="21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Damage to any of our facilities could render us unable to manufacture our products or require us to reduce the output of products at the damaged facility. Two of our manufacturing facilities are located near known earthquake fault zones and are vulnerable to damage from earthquakes. 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Expansion of our manufacturing facilities may result in inefficiencies that could have an adverse effect on our operations and financial results.</w:t>
      </w:r>
    </w:p>
    <w:p>
      <w:pPr>
        <w:spacing w:after="0" w:line="26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the fourth quarter of 2006, we experienced significant production inefficiencies following a large increase in production volume in Mexico and the transfer of San Clemente production to Salt Lake City. In 2007, we expanded our Mexico facility and, anticipating further increases in volume at that facility, increased the workforce. An additional expansion of our Mexico facility was completed in January 2011. Turnover among new employees was unusually high in Mexico, and the additional time spent in classroom training and on the job training could create production inefficiencies in Mexico in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spacing w:after="0" w:line="263" w:lineRule="auto"/>
        <w:rPr>
          <w:sz w:val="20"/>
          <w:szCs w:val="20"/>
          <w:color w:val="auto"/>
        </w:rPr>
      </w:pPr>
      <w:r>
        <w:rPr>
          <w:rFonts w:ascii="Arial" w:cs="Arial" w:eastAsia="Arial" w:hAnsi="Arial"/>
          <w:sz w:val="18"/>
          <w:szCs w:val="18"/>
          <w:color w:val="auto"/>
        </w:rPr>
        <w:t>future. The addition of new products will require additional molding in Salt Lake City and manual assembly work in Mexico. Expansions of our production capacity will require significant management attention to avoid inefficiencies of the type experienced in 2006, and the effect of any inefficiencies can be particularly expensive in Salt Lake City because of the high fixed costs in this highly automated facility.</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may be unable to realize any benefit from our cost reduction and restructuring efforts and our profitability may be hurt or our business otherwise might be adversely affected.</w:t>
      </w:r>
    </w:p>
    <w:p>
      <w:pPr>
        <w:spacing w:after="0" w:line="197" w:lineRule="exact"/>
        <w:rPr>
          <w:sz w:val="20"/>
          <w:szCs w:val="20"/>
          <w:color w:val="auto"/>
        </w:rPr>
      </w:pPr>
    </w:p>
    <w:p>
      <w:pPr>
        <w:ind w:right="120" w:firstLine="177"/>
        <w:spacing w:after="0" w:line="301" w:lineRule="auto"/>
        <w:rPr>
          <w:sz w:val="20"/>
          <w:szCs w:val="20"/>
          <w:color w:val="auto"/>
        </w:rPr>
      </w:pPr>
      <w:r>
        <w:rPr>
          <w:rFonts w:ascii="Arial" w:cs="Arial" w:eastAsia="Arial" w:hAnsi="Arial"/>
          <w:sz w:val="16"/>
          <w:szCs w:val="16"/>
          <w:color w:val="auto"/>
        </w:rPr>
        <w:t>We have engaged in restructuring activities in the past and may engage in other restructuring activities in the future. These types of cost reduction and restructuring activities are complex. If we do not successfully manage our current restructuring activities, or any other restructuring activities that we may take in the future, any expected efficiencies and benefits might be delayed or not realized, and our operations and business could be disrupted. In addition, the costs associated with implementing restructuring activities might exceed expectations, which could result in additional future charges.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debt financing.</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credit agreement governing our Credit Facility contains,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requiring us to maintain a specified consolidated total leverage ratio and a specified consolidated fixed charge coverage ratio. While we have not previously breached and are not currently in breach of these or any other covenants contained in our credit agreement, there can be no guarantee that we will not breach these covenants in the future.</w:t>
      </w:r>
    </w:p>
    <w:p>
      <w:pPr>
        <w:spacing w:after="0" w:line="21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Additionally, our ability to comply with these covenants may be affected by events beyond our control, including the COVID-19 pandemic.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Credit Facility may restrict our ability to pursue our business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Other External Risks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If we are unable to compete successfully with our competitors, we may be unable to maintain market share, in which case our sales may not grow and our profitability may be adversely affected.</w:t>
      </w:r>
    </w:p>
    <w:p>
      <w:pPr>
        <w:spacing w:after="0" w:line="197" w:lineRule="exact"/>
        <w:rPr>
          <w:sz w:val="20"/>
          <w:szCs w:val="20"/>
          <w:color w:val="auto"/>
        </w:rPr>
      </w:pPr>
    </w:p>
    <w:p>
      <w:pPr>
        <w:ind w:right="40" w:firstLine="177"/>
        <w:spacing w:after="0" w:line="285" w:lineRule="auto"/>
        <w:rPr>
          <w:sz w:val="20"/>
          <w:szCs w:val="20"/>
          <w:color w:val="auto"/>
        </w:rPr>
      </w:pPr>
      <w:r>
        <w:rPr>
          <w:rFonts w:ascii="Arial" w:cs="Arial" w:eastAsia="Arial" w:hAnsi="Arial"/>
          <w:sz w:val="16"/>
          <w:szCs w:val="16"/>
          <w:color w:val="auto"/>
        </w:rPr>
        <w:t>The consumable medical device segment of the health care industry and in particular the infusion products market is intensely competitive and is experiencing both horizontal and vertical consolidation. We believe that our ability to compete depends upon numerous factors including, among other things, continued product innovation, the quality, convenience and reliability of our products, access to distribution channels, patent protection and pricing. The ability to compete effectively depends on our ability to differentiate our products based on these factors, as well as our ability to perceive and respond to changing customer needs. We encounter significant competition in our markets both from large established medical device manufacturers and from smaller companies. Many of these companies have introduced competitive products with features not provided by the conventional products and methods they are intended to replace. Most of our current and prospective competitors have economic and other resources substantially greater than ours and are well established in the 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organized buying groups may reduce market prices for our products thereby affecting our profitability. While having a contract with a GPO or IDN can facilitate sales to members of that GPO or IDN, it is no assurance that the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 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p>
      <w:pPr>
        <w:ind w:right="40"/>
        <w:spacing w:after="0" w:line="277" w:lineRule="auto"/>
        <w:rPr>
          <w:sz w:val="20"/>
          <w:szCs w:val="20"/>
          <w:color w:val="auto"/>
        </w:rPr>
      </w:pPr>
      <w:r>
        <w:rPr>
          <w:rFonts w:ascii="Arial" w:cs="Arial" w:eastAsia="Arial" w:hAnsi="Arial"/>
          <w:sz w:val="18"/>
          <w:szCs w:val="18"/>
          <w:color w:val="auto"/>
        </w:rPr>
        <w:t>marketing of products competitive with our products. The successful implementation of such a strategy by one or more of our competitors could materially and adversely affect us.</w:t>
      </w:r>
    </w:p>
    <w:p>
      <w:pPr>
        <w:spacing w:after="0" w:line="19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i w:val="1"/>
          <w:iCs w:val="1"/>
          <w:color w:val="auto"/>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spacing w:after="0" w:line="17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any such new products will be successful or that they will be accepted in the marketplace.</w:t>
      </w:r>
    </w:p>
    <w:p>
      <w:pPr>
        <w:spacing w:after="0" w:line="215" w:lineRule="exact"/>
        <w:rPr>
          <w:sz w:val="20"/>
          <w:szCs w:val="20"/>
          <w:color w:val="auto"/>
        </w:rPr>
      </w:pPr>
    </w:p>
    <w:p>
      <w:pPr>
        <w:ind w:right="2960"/>
        <w:spacing w:after="0" w:line="277" w:lineRule="auto"/>
        <w:rPr>
          <w:sz w:val="20"/>
          <w:szCs w:val="20"/>
          <w:color w:val="auto"/>
        </w:rPr>
      </w:pPr>
      <w:r>
        <w:rPr>
          <w:rFonts w:ascii="Arial" w:cs="Arial" w:eastAsia="Arial" w:hAnsi="Arial"/>
          <w:sz w:val="18"/>
          <w:szCs w:val="18"/>
          <w:i w:val="1"/>
          <w:iCs w:val="1"/>
          <w:color w:val="auto"/>
        </w:rPr>
        <w:t>Product development requires substantial investment that may be difficult for us to fund and may be challenging to recover through commercial product sales.</w:t>
      </w:r>
    </w:p>
    <w:p>
      <w:pPr>
        <w:spacing w:after="0" w:line="197" w:lineRule="exact"/>
        <w:rPr>
          <w:sz w:val="20"/>
          <w:szCs w:val="20"/>
          <w:color w:val="auto"/>
        </w:rPr>
      </w:pPr>
    </w:p>
    <w:p>
      <w:pPr>
        <w:ind w:right="20" w:firstLine="180"/>
        <w:spacing w:after="0" w:line="270" w:lineRule="auto"/>
        <w:rPr>
          <w:sz w:val="20"/>
          <w:szCs w:val="20"/>
          <w:color w:val="auto"/>
        </w:rPr>
      </w:pPr>
      <w:r>
        <w:rPr>
          <w:rFonts w:ascii="Arial" w:cs="Arial" w:eastAsia="Arial" w:hAnsi="Arial"/>
          <w:sz w:val="17"/>
          <w:szCs w:val="17"/>
          <w:color w:val="auto"/>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those innovations still may fail to result in commercially successful products. The success of new product offerings for device products depends on several factors, including our ability to anticipate and meet customers' or patients’ needs, obtain timely regulatory approvals or clearances, and manufacture quality products in an economic and timely manner. Even if we are able to develop successful new products or enhancements, we may not produce sales exceeding the costs of development, and we may not avoid infringing the proprietary rights of third parties. Moreover, innovations may not be successful due to difficulties encountered in achieving positive clinical outcomes, meeting safety, efficacy or other regulatory requirements of government agencies, or obtaining favorable pricing on those products. Finally, innovations may not be accepted quickly in the marketplace because of, among other things, entrenched patterns of clinical practice and uncertainty over third-party reimbursement.</w:t>
      </w:r>
    </w:p>
    <w:p>
      <w:pPr>
        <w:spacing w:after="0" w:line="20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If demand for our products were to decline significantly, we might not be able to recover the cost of our expensive automated molding and assembly equipment and tooling, which could have an adverse effect on our results of operations.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production tooling is relatively expensive, with each “module,” which consists of an automated assembly machine and the molds and molding machines that mold the components, costing several million dollars. Most of the modules are for the Clave product family. If the demand for these products changes significantly, which could happen with the loss of a customer or a change in product mix, it may be necessary for us to recognize an impairment charge for the value of the production tooling because its cost may not be recovered through production of saleable product, which could adversely affect our financial condition.</w:t>
      </w:r>
    </w:p>
    <w:p>
      <w:pPr>
        <w:spacing w:after="0" w:line="21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have been and will be ordering production molds and equipment for our new products. We expect to order semi-automated or fully automated assembly machines for other new Infusion Consumables products in 2021. We also are adding additional IV Solutions capacity as we transition certain product lines to our Austin manufacturing facility from Rocky Mount. If we do not achieve significant sales of these new/transitioned products, it might be necessary for us to recognize an impairment charge for the value of the production tooling because its costs may not be recovered through production of saleable product, which could adversely affect our financial condition.</w:t>
      </w:r>
    </w:p>
    <w:p>
      <w:pPr>
        <w:spacing w:after="0" w:line="21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Continuing pressures to reduce healthcare costs and inadequate coverage and reimbursement may adversely affect our prices. If we cannot reduce manufacturing costs of existing and new products, our sales may not grow and our profitability may decline.</w:t>
      </w:r>
    </w:p>
    <w:p>
      <w:pPr>
        <w:spacing w:after="0" w:line="197" w:lineRule="exact"/>
        <w:rPr>
          <w:sz w:val="20"/>
          <w:szCs w:val="20"/>
          <w:color w:val="auto"/>
        </w:rPr>
      </w:pPr>
    </w:p>
    <w:p>
      <w:pPr>
        <w:ind w:right="80" w:firstLine="180"/>
        <w:spacing w:after="0" w:line="271" w:lineRule="auto"/>
        <w:rPr>
          <w:sz w:val="20"/>
          <w:szCs w:val="20"/>
          <w:color w:val="auto"/>
        </w:rPr>
      </w:pPr>
      <w:r>
        <w:rPr>
          <w:rFonts w:ascii="Arial" w:cs="Arial" w:eastAsia="Arial" w:hAnsi="Arial"/>
          <w:sz w:val="17"/>
          <w:szCs w:val="17"/>
          <w:color w:val="auto"/>
        </w:rPr>
        <w:t>Increasing awareness of healthcare costs, public interest in healthcare reform and continuing pressure from Medicare, Medicaid, group purchasing organizations and other payors,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customers purchase and the prices they are willing to pay. Because there is often no separate reimbursement for supplies used in surgical procedures, the additional cost associated with the use of our products can affect the profit margin of the hospital or surgery center where the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 w:name="page19"/>
    <w:bookmarkEnd w:id="18"/>
    <w:p>
      <w:pPr>
        <w:ind w:right="40"/>
        <w:spacing w:after="0" w:line="301" w:lineRule="auto"/>
        <w:rPr>
          <w:sz w:val="20"/>
          <w:szCs w:val="20"/>
          <w:color w:val="auto"/>
        </w:rPr>
      </w:pPr>
      <w:r>
        <w:rPr>
          <w:rFonts w:ascii="Arial" w:cs="Arial" w:eastAsia="Arial" w:hAnsi="Arial"/>
          <w:sz w:val="16"/>
          <w:szCs w:val="16"/>
          <w:color w:val="auto"/>
        </w:rPr>
        <w:t>procedure is performed. Some of our target customers may be unwilling to adopt our products in light of the additional associated cost. Further, any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84" w:lineRule="exact"/>
        <w:rPr>
          <w:sz w:val="20"/>
          <w:szCs w:val="20"/>
          <w:color w:val="auto"/>
        </w:rPr>
      </w:pPr>
    </w:p>
    <w:p>
      <w:pPr>
        <w:ind w:right="260" w:firstLine="177"/>
        <w:spacing w:after="0" w:line="272" w:lineRule="auto"/>
        <w:rPr>
          <w:sz w:val="20"/>
          <w:szCs w:val="20"/>
          <w:color w:val="auto"/>
        </w:rPr>
      </w:pPr>
      <w:r>
        <w:rPr>
          <w:rFonts w:ascii="Arial" w:cs="Arial" w:eastAsia="Arial" w:hAnsi="Arial"/>
          <w:sz w:val="17"/>
          <w:szCs w:val="17"/>
          <w:color w:val="auto"/>
        </w:rPr>
        <w:t>Third-party payors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or if third-party payors that currently cover or reimburse our products and related procedures reverse or limit their coverage in the future, or if other third-party payors issue similar policies, this could have a material adverse effect on our business.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Further, we believe that future coverage and reimbursement may be subject to increased restrictions, such as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prior authorization requirements. Third-party coverage and reimbursement for procedures using our products or any of our products in development for which we may receive regulatory approval may not be available or adequate, which could have an adverse effect on our business, financial condition and results of operations and impair our ability to grow our business.</w:t>
      </w:r>
    </w:p>
    <w:p>
      <w:pPr>
        <w:spacing w:after="0" w:line="217" w:lineRule="exact"/>
        <w:rPr>
          <w:sz w:val="20"/>
          <w:szCs w:val="20"/>
          <w:color w:val="auto"/>
        </w:rPr>
      </w:pPr>
    </w:p>
    <w:p>
      <w:pPr>
        <w:ind w:right="40" w:firstLine="180"/>
        <w:spacing w:after="0" w:line="271" w:lineRule="auto"/>
        <w:rPr>
          <w:sz w:val="20"/>
          <w:szCs w:val="20"/>
          <w:color w:val="auto"/>
        </w:rPr>
      </w:pPr>
      <w:r>
        <w:rPr>
          <w:rFonts w:ascii="Arial" w:cs="Arial" w:eastAsia="Arial" w:hAnsi="Arial"/>
          <w:sz w:val="17"/>
          <w:szCs w:val="17"/>
          <w:color w:val="auto"/>
        </w:rPr>
        <w:t>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our products or may lose market share to alternative products, including competitors’ products. Similarly, if we cannot reduce unit manufacturing costs of new products as production volumes increase, we may not be able to sell new products profitably or gain any meaningful market share. Any of these results would adversely affect our future results of operations.</w:t>
      </w:r>
    </w:p>
    <w:p>
      <w:pPr>
        <w:spacing w:after="0" w:line="2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Failure to protect our information systems against security breaches, service interruptions, or misappropriation of data could disrupt operations, compromise sensitive data, and expose us to liability, possibly causing our business and reputation to suffer.</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depend heavily on information technology infrastructure and systems to achieve our business objectives.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 security related incidents continue to evolve, and regulatory focus on these issues continues to expand, additional investment in protective measures, and vulnerability remediation, may be required.</w:t>
      </w:r>
    </w:p>
    <w:p>
      <w:pPr>
        <w:spacing w:after="0" w:line="21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Our ability to execute our business strategy depends, in part, on the continued and uninterrupted performance of our information technology systems, which support our operations. Despite the implementation of security measures, our internal computer systems, and those of third parties on which we rely, are vulnerable to damage from, among others,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our results of operations could be negatively affected. Data security breaches and other incidents may also result from non-technical means (e.g., actions by employees or contractors). Any such security breach may compromise information stored on our networks and may result in significant data losses or theft of personally identifiable information. Any compromise of our security could result in a violation of applicable security, privacy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ind w:right="140"/>
        <w:spacing w:after="0" w:line="238" w:lineRule="auto"/>
        <w:rPr>
          <w:sz w:val="20"/>
          <w:szCs w:val="20"/>
          <w:color w:val="auto"/>
        </w:rPr>
      </w:pPr>
      <w:r>
        <w:rPr>
          <w:rFonts w:ascii="Arial" w:cs="Arial" w:eastAsia="Arial" w:hAnsi="Arial"/>
          <w:sz w:val="18"/>
          <w:szCs w:val="18"/>
          <w:color w:val="auto"/>
        </w:rPr>
        <w:t>or data protection, consumer and other laws, regulatory or other governmental investigations, enforcement actions, and legal and financial exposure, including potential contractual liability.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Any such compromise could also result in damage to our reputation and a loss of confidence in our security and privacy or data protection measures. In addition, a cybersecurity attack could result in other negative consequences, including disruption of our internal operations, increased cyber security protection costs, lost revenue, regulatory actions or litigations. Any of these effects could materially and adversely affect our business, financial condition and results of operations.</w:t>
      </w:r>
    </w:p>
    <w:p>
      <w:pPr>
        <w:spacing w:after="0" w:line="2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Changes in and failures to comply with foreign, federal, and state data privacy and security laws, regulations and standards may adversely affect our business, operations and financial performance.</w:t>
      </w:r>
    </w:p>
    <w:p>
      <w:pPr>
        <w:spacing w:after="0" w:line="197" w:lineRule="exact"/>
        <w:rPr>
          <w:sz w:val="20"/>
          <w:szCs w:val="20"/>
          <w:color w:val="auto"/>
        </w:rPr>
      </w:pPr>
    </w:p>
    <w:p>
      <w:pPr>
        <w:ind w:right="40" w:firstLine="177"/>
        <w:spacing w:after="0" w:line="266" w:lineRule="auto"/>
        <w:rPr>
          <w:sz w:val="20"/>
          <w:szCs w:val="20"/>
          <w:color w:val="auto"/>
        </w:rPr>
      </w:pPr>
      <w:r>
        <w:rPr>
          <w:rFonts w:ascii="Arial" w:cs="Arial" w:eastAsia="Arial" w:hAnsi="Arial"/>
          <w:sz w:val="17"/>
          <w:szCs w:val="17"/>
          <w:color w:val="auto"/>
        </w:rPr>
        <w:t>We are subject to various federal, state and foreign laws that govern the collection, use, disclosure, retention and security of personal information, including patient health information.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(e.g. Section 5 of the FTC Act), that govern the collection, use, disclosure, and protection of health-related and other personal information. For example, the privacy, security and breach notification rules promulgated under the Health Insurance Portability and Accountability Act of 1996 (“HIPAA”), as amended by the Health Information Technology for Economic and Clinical Health Act of 2009 (“HITECH”) establish a set of national privacy and security standards for the protection of protected health information (“PHI”) by health plans, health care clearinghouses and certain health care providers, called covered entities, and the business associates with whom such covered entities contract for services that involve creating, receiving, maintaining or transmitting PHI. HIPAA also requires covered entities to provide individuals with certain rights with respect to their PHI, and requires covered entities to enter into a written business associate contract or other arrangement with the business associate that establishes specifically what the business associate has been engaged to do and requires the business associate to comply with the requirements of HIPAA.</w:t>
      </w:r>
    </w:p>
    <w:p>
      <w:pPr>
        <w:spacing w:after="0" w:line="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the U.S. Department of Health and Human Services ("HHS") which would post the violation on its website, and to the media.</w:t>
      </w:r>
    </w:p>
    <w:p>
      <w:pPr>
        <w:spacing w:after="0" w:line="17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Penalties for failure to comply with a requirement of HIPAA vary significantly depending on the nature of violation and could include civil monetary or criminal penalties. HIPAA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21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6"/>
          <w:szCs w:val="16"/>
          <w:color w:val="auto"/>
        </w:rPr>
        <w:t>Certain states have also adopted privacy and security laws and regulations, some of which may be more stringent than HIPAA. Such laws and regulations will be subject to interpretation by various courts and other governmental authorities, thus creating potentially complex compliance issues for</w:t>
      </w:r>
    </w:p>
    <w:p>
      <w:pPr>
        <w:spacing w:after="0" w:line="269" w:lineRule="auto"/>
        <w:rPr>
          <w:sz w:val="20"/>
          <w:szCs w:val="20"/>
          <w:color w:val="auto"/>
        </w:rPr>
      </w:pPr>
      <w:r>
        <w:rPr>
          <w:rFonts w:ascii="Arial" w:cs="Arial" w:eastAsia="Arial" w:hAnsi="Arial"/>
          <w:sz w:val="17"/>
          <w:szCs w:val="17"/>
          <w:color w:val="auto"/>
        </w:rPr>
        <w:t>us and our future customers and strategic partners. For example, California enacted the California Consumer Privacy Act of 2018 (the "CCPA") went into effect on January 1, 2020. The CCPA applies to certain businesses that collect personal information from California residents, whether directly or indirectly.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health-related information, including PHI maintained by covered entities and business associates, the CCPA may increase our compliance costs and potential liability.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220"/>
        <w:spacing w:after="0" w:line="293" w:lineRule="auto"/>
        <w:rPr>
          <w:sz w:val="20"/>
          <w:szCs w:val="20"/>
          <w:color w:val="auto"/>
        </w:rPr>
      </w:pPr>
      <w:r>
        <w:rPr>
          <w:rFonts w:ascii="Arial" w:cs="Arial" w:eastAsia="Arial" w:hAnsi="Arial"/>
          <w:sz w:val="16"/>
          <w:szCs w:val="16"/>
          <w:color w:val="auto"/>
        </w:rPr>
        <w:t>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addition, the CCPA has prompted a number of proposals for new federal and state privacy legislation that, if passed, could increase our potential liability, increase our compliance costs and adversely affect our business.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HIPAA or applicable state laws.</w:t>
      </w:r>
    </w:p>
    <w:p>
      <w:pPr>
        <w:spacing w:after="0" w:line="191" w:lineRule="exact"/>
        <w:rPr>
          <w:sz w:val="20"/>
          <w:szCs w:val="20"/>
          <w:color w:val="auto"/>
        </w:rPr>
      </w:pPr>
    </w:p>
    <w:p>
      <w:pPr>
        <w:ind w:right="20" w:firstLine="648"/>
        <w:spacing w:after="0" w:line="269" w:lineRule="auto"/>
        <w:rPr>
          <w:sz w:val="20"/>
          <w:szCs w:val="20"/>
          <w:color w:val="auto"/>
        </w:rPr>
      </w:pPr>
      <w:r>
        <w:rPr>
          <w:rFonts w:ascii="Arial" w:cs="Arial" w:eastAsia="Arial" w:hAnsi="Arial"/>
          <w:sz w:val="16"/>
          <w:szCs w:val="16"/>
          <w:color w:val="auto"/>
        </w:rPr>
        <w:t>Foreign data protection laws, including the EU General Data Protection Regulation (the “GDPR”), which became effective in May 2018, and EU and EEA member state data protection legislation, may also apply to health-related and other personal data obtained outside of the United States. The GDPR imposes strict requirements for processing the personal data of individuals within the EEA. The GDPR has and will continue to increase compliance burdens on us, including by mandating potentially burdensome documentation requirements and granting certain rights to individuals to control how we collect, use, disclose, retain and process data about them. Fines for non-compliance with the GDPR are significant-the greater of €20 million or 4% of global turnover. The GDPR provides that EU and EEA member states may impose further obligations relating to the processing of genetic, biometric or health data, which could limit our ability to collect, use and share personal data, or could cause our compliance costs to increase, ultimately having an adverse impact on our business. Data privacy laws in the EU and the EEA are developing rapidly and, in July 2020, the Court of Justice of the European Union limited how organizations could lawfully transfer personal data from the EEA to the United States by invalidating the Privacy Shield. Further, following the United Kingdom’s withdrawal from the EEA and the EU, and the expiry of the transition period, companies have to comply with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may expose us to further compliance risk.</w:t>
      </w:r>
    </w:p>
    <w:p>
      <w:pPr>
        <w:spacing w:after="0" w:line="19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If we cannot obtain additional custom tooling and equipment on a timely basis to enable us to meet demand for our products, we might be unable to increase our sales or might lose customers, in which case our sales could decline.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volatility or loss of supply of our raw materials could have an adverse effect on our profitability.</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Most of the materials used in our products are resins, plastics and other material that depend upon oil or natural gas as their raw material. Crude oil markets are affected by political uncertainty in the Middle East, and there is no assurance that crude oil supplies will not be interrupted in the future. New laws or regulations adopted in response to climate change could also increase energy costs as well as the costs of certain raw materials and components. Any such regulations or interruptions could have an adverse effect on our ability to produce, or the cost to produce, our products. Also, crude oil and natural gas prices have been volatile in recent years.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the past, we have rarely raised prices and it is uncertain that we would be able to raise them to recover higher prices from our suppliers. Our inability to raise prices in those circumstances, or to otherwise recover these costs, could have an adverse effect on our profitability.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if we lose the services of key personnel.</w:t>
      </w:r>
    </w:p>
    <w:p>
      <w:pPr>
        <w:spacing w:after="0" w:line="252" w:lineRule="exact"/>
        <w:rPr>
          <w:sz w:val="20"/>
          <w:szCs w:val="20"/>
          <w:color w:val="auto"/>
        </w:rPr>
      </w:pPr>
    </w:p>
    <w:p>
      <w:pPr>
        <w:ind w:right="80" w:firstLine="177"/>
        <w:spacing w:after="0" w:line="259" w:lineRule="auto"/>
        <w:rPr>
          <w:sz w:val="20"/>
          <w:szCs w:val="20"/>
          <w:color w:val="auto"/>
        </w:rPr>
      </w:pPr>
      <w:r>
        <w:rPr>
          <w:rFonts w:ascii="Arial" w:cs="Arial" w:eastAsia="Arial" w:hAnsi="Arial"/>
          <w:sz w:val="18"/>
          <w:szCs w:val="18"/>
          <w:color w:val="auto"/>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has been and may continue to be highly volatile due to many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firstLine="648"/>
        <w:spacing w:after="0" w:line="293" w:lineRule="auto"/>
        <w:rPr>
          <w:sz w:val="20"/>
          <w:szCs w:val="20"/>
          <w:color w:val="auto"/>
        </w:rPr>
      </w:pPr>
      <w:r>
        <w:rPr>
          <w:rFonts w:ascii="Arial" w:cs="Arial" w:eastAsia="Arial" w:hAnsi="Arial"/>
          <w:sz w:val="16"/>
          <w:szCs w:val="16"/>
          <w:color w:val="auto"/>
        </w:rPr>
        <w:t>The market for small and mid-market capitalization companies can be highly volatile, and we have experienced significant volatility in the price of our common stock in the past. From January 2018 through December 2020, our trading price ranged from a high of $321.70 per share to a low of $148.89 per share.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general economic trends (including the COVID-19 pandemic) and substantial product orders could contribute to the volatility in the price of our common stock.</w:t>
      </w:r>
    </w:p>
    <w:p>
      <w:pPr>
        <w:spacing w:after="0" w:line="19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Most of our common stock is held by, or included in accounts managed by, institutional investors or managers. Several of those institutions own or manage a significant percentage of our outstanding shares, with the ten largest interests accounting for approximately 58% of our outstanding shares at the end of 2020. If one or more of the institutions or if our other large stockholders should decide to reduce or eliminate their position in our common stock, it could cause a significant decrease in the price of our common stock.</w:t>
      </w:r>
    </w:p>
    <w:p>
      <w:pPr>
        <w:spacing w:after="0" w:line="21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9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03" w:lineRule="exact"/>
        <w:rPr>
          <w:sz w:val="20"/>
          <w:szCs w:val="20"/>
          <w:color w:val="auto"/>
        </w:rPr>
      </w:pPr>
    </w:p>
    <w:p>
      <w:pPr>
        <w:ind w:right="80" w:firstLine="648"/>
        <w:spacing w:after="0" w:line="271"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Compliance, and Regulatory Risks</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24" w:lineRule="exact"/>
        <w:rPr>
          <w:sz w:val="20"/>
          <w:szCs w:val="20"/>
          <w:color w:val="auto"/>
        </w:rPr>
      </w:pPr>
    </w:p>
    <w:p>
      <w:pPr>
        <w:ind w:right="280" w:firstLine="177"/>
        <w:spacing w:after="0" w:line="263"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are subject to scrutiny under these laws. The healthcare laws and regulations that may affect our ability to operate include, but are not limited to:</w:t>
      </w:r>
    </w:p>
    <w:p>
      <w:pPr>
        <w:spacing w:after="0" w:line="184" w:lineRule="exact"/>
        <w:rPr>
          <w:sz w:val="20"/>
          <w:szCs w:val="20"/>
          <w:color w:val="auto"/>
        </w:rPr>
      </w:pPr>
    </w:p>
    <w:p>
      <w:pPr>
        <w:ind w:left="660" w:right="30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ind w:left="660" w:right="80"/>
        <w:spacing w:after="0" w:line="258" w:lineRule="auto"/>
        <w:rPr>
          <w:sz w:val="20"/>
          <w:szCs w:val="20"/>
          <w:color w:val="auto"/>
        </w:rPr>
      </w:pPr>
      <w:r>
        <w:rPr>
          <w:rFonts w:ascii="Arial" w:cs="Arial" w:eastAsia="Arial" w:hAnsi="Arial"/>
          <w:sz w:val="18"/>
          <w:szCs w:val="18"/>
          <w:color w:val="auto"/>
        </w:rPr>
        <w:t>to have actual knowledge of the statute or specific intent to violate it to have committed a violation. The U.S. government has interpreted this law broadly to apply to the marketing and sales activities of manufacturers;</w:t>
      </w:r>
    </w:p>
    <w:p>
      <w:pPr>
        <w:spacing w:after="0" w:line="1" w:lineRule="exact"/>
        <w:rPr>
          <w:sz w:val="20"/>
          <w:szCs w:val="20"/>
          <w:color w:val="auto"/>
        </w:rPr>
      </w:pPr>
    </w:p>
    <w:p>
      <w:pPr>
        <w:ind w:left="660" w:hanging="328"/>
        <w:spacing w:after="0" w:line="24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These laws can apply to manufacturers who provide information on coverage, coding, and reimbursement of their products to persons who bill third-party payors. Private individuals can bring False Claims Act “qui tam” actions, on behalf of the government and such individuals, commonly known as “whistleblowers,” may share in amounts paid by the entity to the government in fines or settlement. Moreover, the government may assert that a claim including items or services resulting from a violation of the federal Anti-Kickback Statute constitutes a false or fraudulent claim for purposes of the federal civil False Claims Act;</w:t>
      </w:r>
    </w:p>
    <w:p>
      <w:pPr>
        <w:spacing w:after="0" w:line="5" w:lineRule="exact"/>
        <w:rPr>
          <w:rFonts w:ascii="Arial" w:cs="Arial" w:eastAsia="Arial" w:hAnsi="Arial"/>
          <w:sz w:val="17"/>
          <w:szCs w:val="17"/>
          <w:color w:val="auto"/>
        </w:rPr>
      </w:pPr>
    </w:p>
    <w:p>
      <w:pPr>
        <w:ind w:left="660" w:right="100" w:hanging="328"/>
        <w:spacing w:after="0" w:line="24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Sunshine Act, which require certain applicable manufacturers of drugs, devices, biologics and medical supplies for which payment is available under Medicare, Medicaid or the Children’s Health Insurance Program ("CHIP") to report annually to the US Department of Health and Human Services Centers for Medicare and Medicaid Services ("CMS") information related to payments and other transfers of value to physicians, certain other healthcare providers beginning in 2022, and teaching hospitals, and applicable manufacturers and group purchasing organizations, to report annually ownership and investment interests held by physicians and their immediate family members. Applicable manufacturers are required to submit annual reports to CMS;</w:t>
      </w:r>
    </w:p>
    <w:p>
      <w:pPr>
        <w:spacing w:after="0" w:line="2" w:lineRule="exact"/>
        <w:rPr>
          <w:rFonts w:ascii="Arial" w:cs="Arial" w:eastAsia="Arial" w:hAnsi="Arial"/>
          <w:sz w:val="18"/>
          <w:szCs w:val="18"/>
          <w:color w:val="auto"/>
        </w:rPr>
      </w:pPr>
    </w:p>
    <w:p>
      <w:pPr>
        <w:jc w:val="both"/>
        <w:ind w:left="660" w:right="80" w:hanging="328"/>
        <w:spacing w:after="0" w:line="26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and</w:t>
      </w:r>
    </w:p>
    <w:p>
      <w:pPr>
        <w:ind w:left="660" w:right="100" w:hanging="328"/>
        <w:spacing w:after="0" w:line="288"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and state laws related to insurance fraud in the case of claims involving private insurers.</w:t>
      </w:r>
    </w:p>
    <w:p>
      <w:pPr>
        <w:spacing w:after="0" w:line="195" w:lineRule="exact"/>
        <w:rPr>
          <w:sz w:val="20"/>
          <w:szCs w:val="20"/>
          <w:color w:val="auto"/>
        </w:rPr>
      </w:pPr>
    </w:p>
    <w:p>
      <w:pPr>
        <w:ind w:right="140" w:firstLine="177"/>
        <w:spacing w:after="0" w:line="279"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1" w:lineRule="exact"/>
        <w:rPr>
          <w:sz w:val="20"/>
          <w:szCs w:val="20"/>
          <w:color w:val="auto"/>
        </w:rPr>
      </w:pPr>
    </w:p>
    <w:p>
      <w:pPr>
        <w:ind w:right="80" w:firstLine="177"/>
        <w:spacing w:after="0" w:line="289" w:lineRule="auto"/>
        <w:rPr>
          <w:sz w:val="20"/>
          <w:szCs w:val="20"/>
          <w:color w:val="auto"/>
        </w:rPr>
      </w:pPr>
      <w:r>
        <w:rPr>
          <w:rFonts w:ascii="Arial" w:cs="Arial" w:eastAsia="Arial" w:hAnsi="Arial"/>
          <w:sz w:val="16"/>
          <w:szCs w:val="16"/>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regulation and reform measures could adversely affect our revenue and financial condition.</w:t>
      </w:r>
    </w:p>
    <w:p>
      <w:pPr>
        <w:spacing w:after="0" w:line="252"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3" w:name="page24"/>
    <w:bookmarkEnd w:id="23"/>
    <w:p>
      <w:pPr>
        <w:ind w:right="40"/>
        <w:spacing w:after="0" w:line="271" w:lineRule="auto"/>
        <w:rPr>
          <w:sz w:val="20"/>
          <w:szCs w:val="20"/>
          <w:color w:val="auto"/>
        </w:rPr>
      </w:pPr>
      <w:r>
        <w:rPr>
          <w:rFonts w:ascii="Arial" w:cs="Arial" w:eastAsia="Arial" w:hAnsi="Arial"/>
          <w:sz w:val="17"/>
          <w:szCs w:val="17"/>
          <w:color w:val="auto"/>
        </w:rPr>
        <w:t>results in significant changes to the healthcare system, some of which are intended to contain or reduce the costs of medical products and services. For example, in 2010, the Patient Protection and Affordable Care Act and the Health Care and Education Reconciliation Act (“Affordable Care Act”) were signed into law introducing comprehensive health insurance and healthcare reforms in the U.S. The Affordable Care Act,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w:t>
      </w:r>
    </w:p>
    <w:p>
      <w:pPr>
        <w:spacing w:after="0" w:line="205" w:lineRule="exact"/>
        <w:rPr>
          <w:sz w:val="20"/>
          <w:szCs w:val="20"/>
          <w:color w:val="auto"/>
        </w:rPr>
      </w:pPr>
    </w:p>
    <w:p>
      <w:pPr>
        <w:ind w:right="160" w:firstLine="180"/>
        <w:spacing w:after="0" w:line="270" w:lineRule="auto"/>
        <w:rPr>
          <w:sz w:val="20"/>
          <w:szCs w:val="20"/>
          <w:color w:val="auto"/>
        </w:rPr>
      </w:pPr>
      <w:r>
        <w:rPr>
          <w:rFonts w:ascii="Arial" w:cs="Arial" w:eastAsia="Arial" w:hAnsi="Arial"/>
          <w:sz w:val="17"/>
          <w:szCs w:val="17"/>
          <w:color w:val="auto"/>
        </w:rPr>
        <w:t>Since its enactment, there have been efforts to challenge, repeal or replace the Affordable Care Act. For example, the Tax Cuts and Jobs Acts was enacted, which, among other things, removes penalties for not complying with the individual mandate to carry health insurance, beginning in 2019. On December 14, 2018, a U.S. District Court Judge in the Northern District of Texas, ruled that the Affordable Care Act’s individual mandate to carry insurance coverage is a critical and inseverable feature of the Affordable Care Act, and therefore, because it was repealed as part of the Tax Cuts and Jobs Act, the remaining provisions of the Affordable Care Act are invalid as well. On December 18, 2019, the U.S. Court of Appeals for the 5th Circuit upheld the district court’s decision that the individual mandate was unconstitutional but remanded the case back to the District Court to determine whether the remaining provisions of the Affordable Care Act are invalid as well. The U.S. Supreme Court is currently reviewing the case, although it remains unclear when or how the Supreme Court will rule. It is also unclear how other efforts to challenge, repeal or replace the Affordable Care Act will impact the Affordable Care Act or our business.</w:t>
      </w:r>
    </w:p>
    <w:p>
      <w:pPr>
        <w:spacing w:after="0" w:line="181"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U.S. since the Affordable Care Act was enacted that reduced payments to Medicare providers.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222" w:lineRule="exact"/>
        <w:rPr>
          <w:sz w:val="20"/>
          <w:szCs w:val="20"/>
          <w:color w:val="auto"/>
        </w:rPr>
      </w:pPr>
    </w:p>
    <w:p>
      <w:pPr>
        <w:ind w:right="20" w:firstLine="180"/>
        <w:spacing w:after="0" w:line="279" w:lineRule="auto"/>
        <w:rPr>
          <w:sz w:val="20"/>
          <w:szCs w:val="20"/>
          <w:color w:val="auto"/>
        </w:rPr>
      </w:pPr>
      <w:r>
        <w:rPr>
          <w:rFonts w:ascii="Arial" w:cs="Arial" w:eastAsia="Arial" w:hAnsi="Arial"/>
          <w:sz w:val="17"/>
          <w:szCs w:val="17"/>
          <w:color w:val="auto"/>
        </w:rPr>
        <w:t>We anticipate there will continue to be proposals by legislators at both the federal and state levels, regulators and commercial payors to reduce costs while expanding individual healthcare benefits. The ultimate implementation of any healthcare reform legislation and any new laws and regulations, and its impact on us, is impossible to predict, particularly in light of the new presidential administration. Any significant reforms made to the healthcare system in the U.S., or in other jurisdictions, may have an adverse effect on our financial condition and results of operations.</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Our business could be materially and adversely affected if we fail to defend and enforce our patents or other proprietary rights, if our products are found to infringe patents or other proprietary rights owned by others or if the cost to protect our patent or other proprietary rights becomes excessive or as our patents expire.</w:t>
      </w:r>
    </w:p>
    <w:p>
      <w:pPr>
        <w:spacing w:after="0" w:line="211" w:lineRule="exact"/>
        <w:rPr>
          <w:sz w:val="20"/>
          <w:szCs w:val="20"/>
          <w:color w:val="auto"/>
        </w:rPr>
      </w:pPr>
    </w:p>
    <w:p>
      <w:pPr>
        <w:ind w:right="40" w:firstLine="729"/>
        <w:spacing w:after="0" w:line="257" w:lineRule="auto"/>
        <w:rPr>
          <w:sz w:val="20"/>
          <w:szCs w:val="20"/>
          <w:color w:val="auto"/>
        </w:rPr>
      </w:pPr>
      <w:r>
        <w:rPr>
          <w:rFonts w:ascii="Arial" w:cs="Arial" w:eastAsia="Arial" w:hAnsi="Arial"/>
          <w:sz w:val="18"/>
          <w:szCs w:val="18"/>
          <w:color w:val="auto"/>
        </w:rPr>
        <w:t>We rely on a combination of patents, trademarks, copyrights, trade secrets, business methods, software and nondisclosure agreements to protect our proprietary intellectual property. Our efforts to protect our intellectual and proprietary rights may not be sufficient. Further, there is no assurance that patents pending will issue or that the protection from patents which have issued or may issue in the future will be broad enough to prevent competitors from introducing similar devices, that such patents, if challenged, will be upheld by the courts or that we will be able to prove infringement and damages in litigation.</w:t>
      </w:r>
    </w:p>
    <w:p>
      <w:pPr>
        <w:spacing w:after="0" w:line="215" w:lineRule="exact"/>
        <w:rPr>
          <w:sz w:val="20"/>
          <w:szCs w:val="20"/>
          <w:color w:val="auto"/>
        </w:rPr>
      </w:pPr>
    </w:p>
    <w:p>
      <w:pPr>
        <w:ind w:right="100" w:firstLine="688"/>
        <w:spacing w:after="0" w:line="259" w:lineRule="auto"/>
        <w:rPr>
          <w:sz w:val="20"/>
          <w:szCs w:val="20"/>
          <w:color w:val="auto"/>
        </w:rPr>
      </w:pPr>
      <w:r>
        <w:rPr>
          <w:rFonts w:ascii="Arial" w:cs="Arial" w:eastAsia="Arial" w:hAnsi="Arial"/>
          <w:sz w:val="18"/>
          <w:szCs w:val="18"/>
          <w:color w:val="auto"/>
        </w:rPr>
        <w:t>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identical or similar to ours, which could adversely affect our business.</w:t>
      </w:r>
    </w:p>
    <w:p>
      <w:pPr>
        <w:spacing w:after="0" w:line="214" w:lineRule="exact"/>
        <w:rPr>
          <w:sz w:val="20"/>
          <w:szCs w:val="20"/>
          <w:color w:val="auto"/>
        </w:rPr>
      </w:pPr>
    </w:p>
    <w:p>
      <w:pPr>
        <w:jc w:val="both"/>
        <w:ind w:right="40" w:firstLine="225"/>
        <w:spacing w:after="0" w:line="263" w:lineRule="auto"/>
        <w:rPr>
          <w:sz w:val="20"/>
          <w:szCs w:val="20"/>
          <w:color w:val="auto"/>
        </w:rPr>
      </w:pPr>
      <w:r>
        <w:rPr>
          <w:rFonts w:ascii="Arial" w:cs="Arial" w:eastAsia="Arial" w:hAnsi="Arial"/>
          <w:sz w:val="18"/>
          <w:szCs w:val="18"/>
          <w:color w:val="auto"/>
        </w:rPr>
        <w:t>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160" w:firstLine="688"/>
        <w:spacing w:after="0" w:line="308" w:lineRule="auto"/>
        <w:rPr>
          <w:sz w:val="20"/>
          <w:szCs w:val="20"/>
          <w:color w:val="auto"/>
        </w:rPr>
      </w:pPr>
      <w:r>
        <w:rPr>
          <w:rFonts w:ascii="Arial" w:cs="Arial" w:eastAsia="Arial" w:hAnsi="Arial"/>
          <w:sz w:val="17"/>
          <w:szCs w:val="17"/>
          <w:color w:val="auto"/>
        </w:rPr>
        <w:t>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spacing w:after="0" w:line="17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spacing w:after="0" w:line="173" w:lineRule="exact"/>
        <w:rPr>
          <w:sz w:val="20"/>
          <w:szCs w:val="20"/>
          <w:color w:val="auto"/>
        </w:rPr>
      </w:pPr>
    </w:p>
    <w:p>
      <w:pPr>
        <w:ind w:firstLine="688"/>
        <w:spacing w:after="0" w:line="291" w:lineRule="auto"/>
        <w:rPr>
          <w:sz w:val="20"/>
          <w:szCs w:val="20"/>
          <w:color w:val="auto"/>
        </w:rPr>
      </w:pPr>
      <w:r>
        <w:rPr>
          <w:rFonts w:ascii="Arial" w:cs="Arial" w:eastAsia="Arial" w:hAnsi="Arial"/>
          <w:sz w:val="16"/>
          <w:szCs w:val="16"/>
          <w:color w:val="auto"/>
        </w:rPr>
        <w:t>In the past, we have faced patent infringement claims related to our Clave products, the CLC2000 Connector and Tego Connector. We believe these claims had no merit, and all have been settled or dismissed. We may also face claims in the future. Additionally, there has been substantial litigation regarding patent and other intellectual property rights in the medical device industry.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 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From time to time we become aware of newly issued patents on medical devices, which we review to evaluate any infringement risk. We are aware of a number of patents for infusion connection systems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ability to market our products in the U.S. and other countries may be adversely affected if our products fail to comply with the applicable requirements of the FDA and regulatory agencies in other countries.</w:t>
      </w:r>
    </w:p>
    <w:p>
      <w:pPr>
        <w:spacing w:after="0" w:line="197" w:lineRule="exact"/>
        <w:rPr>
          <w:sz w:val="20"/>
          <w:szCs w:val="20"/>
          <w:color w:val="auto"/>
        </w:rPr>
      </w:pPr>
    </w:p>
    <w:p>
      <w:pPr>
        <w:ind w:right="40" w:firstLine="177"/>
        <w:spacing w:after="0" w:line="255" w:lineRule="auto"/>
        <w:rPr>
          <w:sz w:val="20"/>
          <w:szCs w:val="20"/>
          <w:color w:val="auto"/>
        </w:rPr>
      </w:pPr>
      <w:r>
        <w:rPr>
          <w:rFonts w:ascii="Arial" w:cs="Arial" w:eastAsia="Arial" w:hAnsi="Arial"/>
          <w:sz w:val="18"/>
          <w:szCs w:val="18"/>
          <w:color w:val="auto"/>
        </w:rPr>
        <w:t>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219" w:lineRule="exact"/>
        <w:rPr>
          <w:sz w:val="20"/>
          <w:szCs w:val="20"/>
          <w:color w:val="auto"/>
        </w:rPr>
      </w:pPr>
    </w:p>
    <w:p>
      <w:pPr>
        <w:ind w:right="20" w:firstLine="180"/>
        <w:spacing w:after="0" w:line="287" w:lineRule="auto"/>
        <w:rPr>
          <w:sz w:val="20"/>
          <w:szCs w:val="20"/>
          <w:color w:val="auto"/>
        </w:rPr>
      </w:pPr>
      <w:r>
        <w:rPr>
          <w:rFonts w:ascii="Arial" w:cs="Arial" w:eastAsia="Arial" w:hAnsi="Arial"/>
          <w:sz w:val="16"/>
          <w:szCs w:val="16"/>
          <w:color w:val="auto"/>
        </w:rPr>
        <w:t>In the U.S., our device products are subject to clearance or approval by the U.S. FDA under the Food, Drug and Cosmetics Act ("FDC Act"). Before we can market a new medical device, or a new use of, new claim for, or significant modification to, an existing product, we must first receive either clearance under Section 510(k) of the FDC Act or approval of a premarket approval, or PMA, application from the FDA, unless an exemption applies. Under the 510(k) process, the manufacturer must submit to the FDA a premarket notification, demonstrating that the device is "substantially equivalent," as defined in the statute, to a legally 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spacing w:after="0" w:line="195" w:lineRule="exact"/>
        <w:rPr>
          <w:sz w:val="20"/>
          <w:szCs w:val="20"/>
          <w:color w:val="auto"/>
        </w:rPr>
      </w:pPr>
    </w:p>
    <w:p>
      <w:pPr>
        <w:ind w:right="40" w:firstLine="180"/>
        <w:spacing w:after="0" w:line="254" w:lineRule="auto"/>
        <w:rPr>
          <w:sz w:val="20"/>
          <w:szCs w:val="20"/>
          <w:color w:val="auto"/>
        </w:rPr>
      </w:pPr>
      <w:r>
        <w:rPr>
          <w:rFonts w:ascii="Arial" w:cs="Arial" w:eastAsia="Arial" w:hAnsi="Arial"/>
          <w:sz w:val="18"/>
          <w:szCs w:val="18"/>
          <w:color w:val="auto"/>
        </w:rPr>
        <w:t>Each of our current products has qualified, and we anticipate that any new products we are likely to market will qualify for clearance under the FDA’s expedited pre-market notification procedure pursuant to Section 510(k) of the FDC Act. However, certain of our new products may require a longer time for clearance than we have experienced in the past and there can be no assurance that a PMA application will not be required. Further, there is no assurance that other new products developed by us or any manufacturers that we might acquire will qualify for expedited clearance rather than a more time consuming pre-market approval procedure or that, in any case, they will receive clearance from the FDA. FDA regulatory processes are time consuming and expensive. Uncertainties as to the time required to obtain FDA clearances or approvals could adversely affect the timing and expense of new product introductions.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ind w:firstLine="177"/>
        <w:spacing w:after="0" w:line="293" w:lineRule="auto"/>
        <w:rPr>
          <w:sz w:val="20"/>
          <w:szCs w:val="20"/>
          <w:color w:val="auto"/>
        </w:rPr>
      </w:pPr>
      <w:r>
        <w:rPr>
          <w:rFonts w:ascii="Arial" w:cs="Arial" w:eastAsia="Arial" w:hAnsi="Arial"/>
          <w:sz w:val="16"/>
          <w:szCs w:val="16"/>
          <w:color w:val="auto"/>
        </w:rPr>
        <w:t>The regulations to which we are subject are complex and have tended to become more stringent over time. Regulatory changes could result in restrictions on our ability to continue or expand our operations, higher than anticipated costs, or lower than anticipated sales. The FDA enforces these regulatory requirements through periodic unannounced inspections. We do not know whether we will pass any future FDA inspections. Even after we have obtained the proper regulatory clearance or approval to market a product,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9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or refusal to grant our requests for future 510(k) clearances, PMA approvals or foreign regulatory approvals of new products, new intended uses, or modifications to existing products;</w:t>
      </w:r>
    </w:p>
    <w:p>
      <w:pPr>
        <w:ind w:left="660" w:right="64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withdrawals or suspensions of current 510(k) clearances or PMAs or foreign regulatory approvals, resulting in prohibitions on sales of our products;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38" w:lineRule="exact"/>
        <w:rPr>
          <w:sz w:val="20"/>
          <w:szCs w:val="20"/>
          <w:color w:val="auto"/>
        </w:rPr>
      </w:pPr>
    </w:p>
    <w:p>
      <w:pPr>
        <w:ind w:firstLine="177"/>
        <w:spacing w:after="0" w:line="271"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For example, the results of the 2020 Presidential election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whether or how these requirement will be implemented, or whether they will be rescinded or replaced under a Biden Administration. The policies and priorities of an incoming administration are unknown and could materially impact the regulation governing our products.</w:t>
      </w:r>
    </w:p>
    <w:p>
      <w:pPr>
        <w:spacing w:after="0" w:line="20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addition, the FDA may change its clearance and approval policies, adopt additional regulations or revise existing regulations, or take other actions which may prevent or delay approval or clearance of our future products under development. For example, in May 2019, the FDA solicited public feedback on its plans to develop proposals to drive manufacturers utilizing the 510(k) pathway toward the use of newer predicates, including whether the FDA should publish a list of devices that have been cleared on the basis of demonstrated substantial equivalence to predicate devices that are more than 10 years old.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9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More recently, in September 2019, the FDA finalized the aforementioned guidance to describe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obviating the need for manufacturers to compare the safety and performance of their medical devices to specific predicate devices in the clearance process. The FDA intends to maintain a list of device types appropriate for the “safety and performance based pathway” and develop product-specific guidance documents that identify the performance criteria for each such device type, as well as the testing methods recommended in the guidance,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22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220"/>
        <w:spacing w:after="0" w:line="243" w:lineRule="auto"/>
        <w:rPr>
          <w:sz w:val="20"/>
          <w:szCs w:val="20"/>
          <w:color w:val="auto"/>
        </w:rPr>
      </w:pPr>
      <w:r>
        <w:rPr>
          <w:rFonts w:ascii="Arial" w:cs="Arial" w:eastAsia="Arial" w:hAnsi="Arial"/>
          <w:sz w:val="18"/>
          <w:szCs w:val="18"/>
          <w:color w:val="auto"/>
        </w:rPr>
        <w:t>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215"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i w:val="1"/>
          <w:iCs w:val="1"/>
          <w:color w:val="auto"/>
        </w:rPr>
        <w:t>If we or our component manufacturers fail to comply with the FDA's Quality System Regulation or Good Manufacturing Practice regulations or other requirements, our manufacturing operations could be interrupted, and our product sales and operating results could suffer.</w:t>
      </w:r>
    </w:p>
    <w:p>
      <w:pPr>
        <w:spacing w:after="0" w:line="174" w:lineRule="exact"/>
        <w:rPr>
          <w:sz w:val="20"/>
          <w:szCs w:val="20"/>
          <w:color w:val="auto"/>
        </w:rPr>
      </w:pPr>
    </w:p>
    <w:p>
      <w:pPr>
        <w:ind w:right="60" w:firstLine="177"/>
        <w:spacing w:after="0" w:line="287" w:lineRule="auto"/>
        <w:rPr>
          <w:sz w:val="20"/>
          <w:szCs w:val="20"/>
          <w:color w:val="auto"/>
        </w:rPr>
      </w:pPr>
      <w:r>
        <w:rPr>
          <w:rFonts w:ascii="Arial" w:cs="Arial" w:eastAsia="Arial" w:hAnsi="Arial"/>
          <w:sz w:val="16"/>
          <w:szCs w:val="16"/>
          <w:color w:val="auto"/>
        </w:rPr>
        <w:t>We and some of our component manufacturers are required to comply with regulatory requirements known as the FDA's Quality System Regulation, or QSR, a complex regulatory scheme which covers the procedures and documentation of the design, testing, production, control, quality assurance, inspection, complaint handling, recordkeeping, management review, labeling, packaging, sterilization, storage and shipping of our device products. The FDA's current Good Manufacturing Practices, or cGMPs apply to the manufacture of medical device components and finished medical devices. The FDA audits compliance with these regulatory requirements through periodic announced and unannounced inspections of manufacturing and other facilities. The FDA may conduct inspections or audits at any time, and we and some of our component suppliers are subject to such inspections. Although we believe our manufacturing facilities and those of our critical component suppliers are in compliance with the QSR requirements, and with applicable cGMPs for our products, we cannot provide assurance that any future inspection will not result in adverse findings. If our manufacturing facilities or those of any of our component suppliers 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in response to observed deficiencies is not sufficient, the FDA could take enforcement action, including any of the following sanctions:</w:t>
      </w:r>
    </w:p>
    <w:p>
      <w:pPr>
        <w:spacing w:after="0" w:line="19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recall, detention or seizure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refusing or delaying our requests for clearance or approval of new products or modified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Any of these sanctions could adversely affect our business, financial conditions and operating results.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market our products in the European Community (“EC”), we must conform to additional requirements of the EC and demonstrate conformance to established quality standards and applicable directives. As a manufacturer that designs, manufactures and markets its own devices, we must comply with the quality management standards of ISO 13485 (2012). Those quality standards are similar to the FDA’s Quality System Regulations. Manufacturers of medical devices must also be in conformance with EC Directives such as Council Directive 93/42/EEC (“Medical Device Directive”) and their applicable annexes. Those regulations assure that medical devices are both safe and effective and meet all applicable established standards prior to being marketed in the EC. Once a manufacturer and its devices are in conformance with the Medical Device Directive, the “CE” Mark maybe affixed to its devices. The CE Mark gives devices an unobstructed entry to all the member countries of the EC. There is no assurance that we will continue to meet the requirements for distribution of our products in Europe.</w:t>
      </w:r>
    </w:p>
    <w:p>
      <w:pPr>
        <w:spacing w:after="0" w:line="205" w:lineRule="exact"/>
        <w:rPr>
          <w:sz w:val="20"/>
          <w:szCs w:val="20"/>
          <w:color w:val="auto"/>
        </w:rPr>
      </w:pPr>
    </w:p>
    <w:p>
      <w:pPr>
        <w:ind w:firstLine="180"/>
        <w:spacing w:after="0" w:line="253" w:lineRule="auto"/>
        <w:rPr>
          <w:sz w:val="20"/>
          <w:szCs w:val="20"/>
          <w:color w:val="auto"/>
        </w:rPr>
      </w:pPr>
      <w:r>
        <w:rPr>
          <w:rFonts w:ascii="Arial" w:cs="Arial" w:eastAsia="Arial" w:hAnsi="Arial"/>
          <w:sz w:val="17"/>
          <w:szCs w:val="17"/>
          <w:color w:val="auto"/>
        </w:rPr>
        <w:t>In May 2017, the Medical Device Regulation (Regulation 2017/745) entered into force to replace the Medical Device Directive, as amended. Unlike directives, which must be implemented into the national laws of the European Economic Area member States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became effective May 26, 2020. The Medical Devices Regulation among other things does the following. The Medical Devices Regulation was meant to become applicable three years after publication (in May 2020). However, on April 23, 2020, to take the pressure off EEA national authorities, notified bodies, manufacturers and other parties so they can focus fully on urgent priorities related to the COVID-19 pandemic, the European Council and Parliament adopted Regulation 2020/561, postponing the date of application of the Medical Devices Regulation by one year (to May 2021). Once applicable, the Medical Devices Regulation will among other things:</w:t>
      </w:r>
    </w:p>
    <w:p>
      <w:pPr>
        <w:spacing w:after="0" w:line="211" w:lineRule="exact"/>
        <w:rPr>
          <w:sz w:val="20"/>
          <w:szCs w:val="20"/>
          <w:color w:val="auto"/>
        </w:rPr>
      </w:pPr>
    </w:p>
    <w:p>
      <w:pPr>
        <w:ind w:left="5540" w:right="3080" w:hanging="5208"/>
        <w:spacing w:after="0" w:line="919" w:lineRule="auto"/>
        <w:tabs>
          <w:tab w:leader="none" w:pos="657"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7" w:name="page28"/>
    <w:bookmarkEnd w:id="27"/>
    <w:p>
      <w:pPr>
        <w:ind w:left="660" w:right="22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20" w:lineRule="exact"/>
        <w:rPr>
          <w:rFonts w:ascii="Arial" w:cs="Arial" w:eastAsia="Arial" w:hAnsi="Arial"/>
          <w:sz w:val="17"/>
          <w:szCs w:val="17"/>
          <w:color w:val="auto"/>
        </w:rPr>
      </w:pPr>
    </w:p>
    <w:p>
      <w:pPr>
        <w:ind w:left="660" w:right="1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w:t>
      </w:r>
    </w:p>
    <w:p>
      <w:pPr>
        <w:ind w:left="660" w:right="30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devices, such as implants, which may have to undergo an additional check by experts before they are placed on the market.</w:t>
      </w:r>
    </w:p>
    <w:p>
      <w:pPr>
        <w:spacing w:after="0" w:line="212" w:lineRule="exact"/>
        <w:rPr>
          <w:sz w:val="20"/>
          <w:szCs w:val="20"/>
          <w:color w:val="auto"/>
        </w:rPr>
      </w:pPr>
    </w:p>
    <w:p>
      <w:pPr>
        <w:ind w:right="340" w:firstLine="170"/>
        <w:spacing w:after="0" w:line="263" w:lineRule="auto"/>
        <w:rPr>
          <w:sz w:val="20"/>
          <w:szCs w:val="20"/>
          <w:color w:val="auto"/>
        </w:rPr>
      </w:pPr>
      <w:r>
        <w:rPr>
          <w:rFonts w:ascii="Arial" w:cs="Arial" w:eastAsia="Arial" w:hAnsi="Arial"/>
          <w:sz w:val="18"/>
          <w:szCs w:val="18"/>
          <w:color w:val="auto"/>
        </w:rPr>
        <w:t>As a result of these new requirements, we may be subject to risks associated with additional testing, modification, certification, or amendment of our existing market authorizations, or we may be required to modify products already installed at our customers’ facilities to comply with the official interpretations of these revised regulations.</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Distribution of our products in other countries may be subject to regulation in those countries, and there is no assurance that we will obtain necessary approvals in countries in which we want to introduce our products.</w:t>
      </w:r>
    </w:p>
    <w:p>
      <w:pPr>
        <w:spacing w:after="0" w:line="19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products have been cleared or approved by the FDA for specific indications. We train our marketing personnel and direct sales force to not promote our products for uses outside of the FDA-cleared or 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cleared or approved by the FDA or approved by any foreign regulatory body may not effectively treat such conditions, which could harm our reputation in the marketplace among physicians and patients.</w:t>
      </w:r>
    </w:p>
    <w:p>
      <w:pPr>
        <w:spacing w:after="0" w:line="21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91" w:lineRule="exact"/>
        <w:rPr>
          <w:sz w:val="20"/>
          <w:szCs w:val="20"/>
          <w:color w:val="auto"/>
        </w:rPr>
      </w:pPr>
    </w:p>
    <w:p>
      <w:pPr>
        <w:ind w:right="540" w:firstLine="180"/>
        <w:spacing w:after="0" w:line="263" w:lineRule="auto"/>
        <w:rPr>
          <w:sz w:val="20"/>
          <w:szCs w:val="20"/>
          <w:color w:val="auto"/>
        </w:rPr>
      </w:pPr>
      <w:r>
        <w:rPr>
          <w:rFonts w:ascii="Arial" w:cs="Arial" w:eastAsia="Arial" w:hAnsi="Arial"/>
          <w:sz w:val="18"/>
          <w:szCs w:val="18"/>
          <w:color w:val="auto"/>
        </w:rPr>
        <w:t>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product liability claims or product recalls could be costly and could expose us to loss.</w:t>
      </w:r>
    </w:p>
    <w:p>
      <w:pPr>
        <w:spacing w:after="0" w:line="25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use of our products exposes us to an inherent risk of product liability. Further, the medical device industry has historically been subject to extensive litigation and we cannot offer any assurance that we will not face product liability or other suits in the future. Patients, healthcare workers, healthcare providers or others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$40,000,000 per occurrence. However, legal proceedings are inherently unpredictable, and the outcome can result in judgments that affect how we operate our business, or we may enter into settlements of claims for monetary damages that exceed our insurance coverage, if any is available. A successful claim against us in excess of insurance coverage could materially and adversely affect us, and result in substantial liabilities and reputational harm including product recalls or withdrawals from the market, withdrawal of clinical trial participants, the inability to commercialize our existing or new products, distraction of management’s attention from our primary business or decreased demand for our products or, if cleared or approved, products in development.</w:t>
      </w:r>
    </w:p>
    <w:p>
      <w:pPr>
        <w:spacing w:after="0" w:line="212" w:lineRule="exact"/>
        <w:rPr>
          <w:sz w:val="20"/>
          <w:szCs w:val="20"/>
          <w:color w:val="auto"/>
        </w:rPr>
      </w:pPr>
    </w:p>
    <w:p>
      <w:pPr>
        <w:ind w:right="320" w:firstLine="177"/>
        <w:spacing w:after="0" w:line="277" w:lineRule="auto"/>
        <w:rPr>
          <w:sz w:val="20"/>
          <w:szCs w:val="20"/>
          <w:color w:val="auto"/>
        </w:rPr>
      </w:pPr>
      <w:r>
        <w:rPr>
          <w:rFonts w:ascii="Arial" w:cs="Arial" w:eastAsia="Arial" w:hAnsi="Arial"/>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ind w:right="160"/>
        <w:spacing w:after="0" w:line="257" w:lineRule="auto"/>
        <w:rPr>
          <w:sz w:val="20"/>
          <w:szCs w:val="20"/>
          <w:color w:val="auto"/>
        </w:rPr>
      </w:pPr>
      <w:r>
        <w:rPr>
          <w:rFonts w:ascii="Arial" w:cs="Arial" w:eastAsia="Arial" w:hAnsi="Arial"/>
          <w:sz w:val="18"/>
          <w:szCs w:val="18"/>
          <w:color w:val="auto"/>
        </w:rPr>
        <w:t>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 material adverse effect on our business, financial condition and results of operations.</w:t>
      </w:r>
    </w:p>
    <w:p>
      <w:pPr>
        <w:spacing w:after="0" w:line="21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Additionally, we generally offer a limited warranty for product returns which are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spacing w:after="0" w:line="2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214" w:lineRule="exact"/>
        <w:rPr>
          <w:sz w:val="20"/>
          <w:szCs w:val="20"/>
          <w:color w:val="auto"/>
        </w:rPr>
      </w:pPr>
    </w:p>
    <w:p>
      <w:pPr>
        <w:ind w:right="20" w:firstLine="177"/>
        <w:spacing w:after="0" w:line="290"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clearances or approvals, seizure of our products or delay in clearance or approval of future products.</w:t>
      </w:r>
    </w:p>
    <w:p>
      <w:pPr>
        <w:spacing w:after="0" w:line="192" w:lineRule="exact"/>
        <w:rPr>
          <w:sz w:val="20"/>
          <w:szCs w:val="20"/>
          <w:color w:val="auto"/>
        </w:rPr>
      </w:pPr>
    </w:p>
    <w:p>
      <w:pPr>
        <w:ind w:firstLine="177"/>
        <w:spacing w:after="0" w:line="273"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205"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15"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Risks</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Any significant changes in U.S. trade, tax or other policies that restrict imports or increase import tariffs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9" w:name="page30"/>
    <w:bookmarkEnd w:id="29"/>
    <w:p>
      <w:pPr>
        <w:ind w:right="160" w:firstLine="170"/>
        <w:spacing w:after="0" w:line="270" w:lineRule="auto"/>
        <w:rPr>
          <w:sz w:val="20"/>
          <w:szCs w:val="20"/>
          <w:color w:val="auto"/>
        </w:rPr>
      </w:pPr>
      <w:r>
        <w:rPr>
          <w:rFonts w:ascii="Arial" w:cs="Arial" w:eastAsia="Arial" w:hAnsi="Arial"/>
          <w:sz w:val="17"/>
          <w:szCs w:val="17"/>
          <w:color w:val="auto"/>
        </w:rPr>
        <w:t>A significant amount of our products are manufactured outside of the U.S. The U.S. government has recently initiated substantial changes in U.S. trade policy and U.S. trade agreements, including the initiation of tariffs on certain foreign goods. In response to these tariffs, certain foreign governments, including China, have instituted or are considering imposing tariffs on certain U.S. goods. For example, in 2018, the U.S. imposed tariffs on steel and aluminum as well as on goods imported from China and certain other countries, which has resulted in retaliatory tariffs by China and other countries. Additional tariffs imposed by the U.S. on a broader range of imports, or further retaliatory trade measures taken by other countries in response, could prevent or make it difficult for us to obtain the components needed for new products which would affect our sales. Increased tariffs would require us to increase our prices which likely would decrease customer and consumer demand for our products. Additionally, we are subject to income taxes in the United States and numerous foreign jurisdictions. Any significant changes in current U.S. trade, tax or other policies could have a material adverse effect upon our results of operations.</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International sales pose additional risks related to competition with larger international companies and established local companies and our possibly higher cost structure.</w:t>
      </w:r>
    </w:p>
    <w:p>
      <w:pPr>
        <w:spacing w:after="0" w:line="197" w:lineRule="exact"/>
        <w:rPr>
          <w:sz w:val="20"/>
          <w:szCs w:val="20"/>
          <w:color w:val="auto"/>
        </w:rPr>
      </w:pPr>
    </w:p>
    <w:p>
      <w:pPr>
        <w:ind w:right="240" w:firstLine="648"/>
        <w:spacing w:after="0" w:line="296" w:lineRule="auto"/>
        <w:rPr>
          <w:sz w:val="20"/>
          <w:szCs w:val="20"/>
          <w:color w:val="auto"/>
        </w:rPr>
      </w:pPr>
      <w:r>
        <w:rPr>
          <w:rFonts w:ascii="Arial" w:cs="Arial" w:eastAsia="Arial" w:hAnsi="Arial"/>
          <w:sz w:val="16"/>
          <w:szCs w:val="16"/>
          <w:color w:val="auto"/>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from the U.S. and Mexico. Our principal competitors in international markets consist of much larger companies as well as smaller companies already established in the countries into which we sell our products. Our cost structure is often higher than that of our competitors because of the relatively high cost of transporting product to some local markets as well as our competitors’ lower local labor costs in some markets.</w:t>
      </w:r>
    </w:p>
    <w:p>
      <w:pPr>
        <w:spacing w:after="0" w:line="18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international sales are subject to higher credit risks than sales in the U.S. Many of our distributors are small and may not be well capitalized. Payment terms are relatively long. The European hospitals tend to be significantly slower in payment which has resulted in an increase to our days sales outstanding from previous years. Our prices to our international distributors, outside of Europe, for product shipped to the customers from the U.S., Costa Rica or Mexico are generally denominated in U.S. dollars, but their resale prices are set in their local currency. A decline in the value of the local currency in relation to the U.S. dollar may adversely affect their ability to profitably sell in their market the products they buy from us, and may adversely affect their ability to make payment to us for the products they purchase. Legal recourse for non-payment of indebtedness may be uncertain. These factors all contribute to a potential for credit losses.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dependent on manufacturing in Mexico, and could be adversely affected by increased labor costs and any economic, social or political disruptions.</w:t>
      </w:r>
    </w:p>
    <w:p>
      <w:pPr>
        <w:spacing w:after="0" w:line="27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Most of the material we use in manufacturing is imported into Mexico, and substantially all of the products we manufacture in Mexico are exported. Business activity in the Ensenada area has expanded significantly, providing increased employment opportunities. This could have an adverse effect on our ability to hire or retain necessary personnel and result in an increase in labor rates. We continue to take steps to compete for labor through attractive employment conditions and benefits, but there is no assurance that these steps will continue to be successful or that we will not face increasing labor costs in the future.</w:t>
      </w:r>
    </w:p>
    <w:p>
      <w:pPr>
        <w:spacing w:after="0" w:line="215" w:lineRule="exact"/>
        <w:rPr>
          <w:sz w:val="20"/>
          <w:szCs w:val="20"/>
          <w:color w:val="auto"/>
        </w:rPr>
      </w:pPr>
    </w:p>
    <w:p>
      <w:pPr>
        <w:ind w:right="80" w:firstLine="170"/>
        <w:spacing w:after="0" w:line="296" w:lineRule="auto"/>
        <w:rPr>
          <w:sz w:val="20"/>
          <w:szCs w:val="20"/>
          <w:color w:val="auto"/>
        </w:rPr>
      </w:pPr>
      <w:r>
        <w:rPr>
          <w:rFonts w:ascii="Arial" w:cs="Arial" w:eastAsia="Arial" w:hAnsi="Arial"/>
          <w:sz w:val="16"/>
          <w:szCs w:val="16"/>
          <w:color w:val="auto"/>
        </w:rPr>
        <w:t>Any political or economic disruption in Mexico or a change in the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may be adversely impacted by our exposure to risks related to foreign currency exchange rates.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market our products in certain foreign markets through our subsidiaries and other international distributors. The related sales agreements may provide for payments in a foreign currency. Accordingly, our operating results are subject to fluctuations in foreign currency exchange rates. When the U.S. dollar weakens against these currencies, the dollar value of foreign-currency denominated revenue and expense increases, and when the dollar strengthens against these currencies, the dollar value of foreign-currency denominated revenue and expense decreases. We are exposed to foreign currency risk on outstanding foreign currency denominated receivables and payables. Changes in exchange rates may adversely affect our results of operations. Our primary foreign currency exchange rate exposures are currently with the Euro, Mexican Peso, Costa Rican</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0" w:name="page31"/>
    <w:bookmarkEnd w:id="30"/>
    <w:p>
      <w:pPr>
        <w:ind w:right="380"/>
        <w:spacing w:after="0" w:line="277" w:lineRule="auto"/>
        <w:rPr>
          <w:sz w:val="20"/>
          <w:szCs w:val="20"/>
          <w:color w:val="auto"/>
        </w:rPr>
      </w:pPr>
      <w:r>
        <w:rPr>
          <w:rFonts w:ascii="Arial" w:cs="Arial" w:eastAsia="Arial" w:hAnsi="Arial"/>
          <w:sz w:val="18"/>
          <w:szCs w:val="18"/>
          <w:color w:val="auto"/>
        </w:rPr>
        <w:t>Colón, and the Canadian Dollar against the U.S. dollar. Disruptions in the financial markets, including the impact of the United Kingdom’s withdrawal from the EU, could also, among other things, create volatility in currency exchange rates.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currently do not hedge against our foreign currency exchange rate risks, other than certain exposures related to the Mexican Peso and therefore believe our exposure to these risks may be higher than if we entered into hedging transactions, including forward exchange contracts or similar instruments. If we decide in the future to enter into forward foreign exchange contracts to attempt to reduce the risk related to foreign currency exchange rates, these contracts may not mitigate the potential adverse impact on our financial results due to the limitations and difficulty forecasting future activity. In addition, these types of contracts may themselves cause financial harm to us and have inherent levels of counter-party risk over which we would have no control. During 2020, primarily during the first quarter, we recorded $7.2 million in foreign exchange losses due to the volatility of foreign exchange rates as a result of declining economic conditions caused by the COVID-19 pandemic.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could be adversely affected by violations of the U.S. Foreign Corrupt Practices Act and other worldwide anti-bribery laws.</w:t>
      </w:r>
    </w:p>
    <w:p>
      <w:pPr>
        <w:spacing w:after="0" w:line="252" w:lineRule="exact"/>
        <w:rPr>
          <w:sz w:val="20"/>
          <w:szCs w:val="20"/>
          <w:color w:val="auto"/>
        </w:rPr>
      </w:pPr>
    </w:p>
    <w:p>
      <w:pPr>
        <w:ind w:firstLine="177"/>
        <w:spacing w:after="0" w:line="290" w:lineRule="auto"/>
        <w:rPr>
          <w:sz w:val="20"/>
          <w:szCs w:val="20"/>
          <w:color w:val="auto"/>
        </w:rPr>
      </w:pPr>
      <w:r>
        <w:rPr>
          <w:rFonts w:ascii="Arial" w:cs="Arial" w:eastAsia="Arial" w:hAnsi="Arial"/>
          <w:sz w:val="16"/>
          <w:szCs w:val="16"/>
          <w:color w:val="auto"/>
        </w:rPr>
        <w:t>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Strategic Transactions</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We have and may continue to acquire businesses, form strategic alliances or make investments in businesses or technologies that could adversely impact our business and our operating results and such transactions could result in unforeseen operating difficulties, expenditures and require significant management resources, charges or write-downs.</w:t>
      </w:r>
    </w:p>
    <w:p>
      <w:pPr>
        <w:spacing w:after="0" w:line="211" w:lineRule="exact"/>
        <w:rPr>
          <w:sz w:val="20"/>
          <w:szCs w:val="20"/>
          <w:color w:val="auto"/>
        </w:rPr>
      </w:pPr>
    </w:p>
    <w:p>
      <w:pPr>
        <w:ind w:right="40" w:firstLine="177"/>
        <w:spacing w:after="0" w:line="273" w:lineRule="auto"/>
        <w:rPr>
          <w:sz w:val="20"/>
          <w:szCs w:val="20"/>
          <w:color w:val="auto"/>
        </w:rPr>
      </w:pPr>
      <w:r>
        <w:rPr>
          <w:rFonts w:ascii="Arial" w:cs="Arial" w:eastAsia="Arial" w:hAnsi="Arial"/>
          <w:sz w:val="17"/>
          <w:szCs w:val="17"/>
          <w:color w:val="auto"/>
        </w:rPr>
        <w:t>We have and may continue to seek to supplement our internal growth through acquisitions of complementary businesses, technologies, services, or products, as well as investments and strategic alliances.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Such transactions are inherently risky, and the integration of any newly-acquired business requires significant effort and management attention that otherwise would be available for ongoing development of our other businesses.</w:t>
      </w:r>
    </w:p>
    <w:p>
      <w:pPr>
        <w:spacing w:after="0" w:line="205" w:lineRule="exact"/>
        <w:rPr>
          <w:sz w:val="20"/>
          <w:szCs w:val="20"/>
          <w:color w:val="auto"/>
        </w:rPr>
      </w:pPr>
    </w:p>
    <w:p>
      <w:pPr>
        <w:ind w:right="20" w:firstLine="177"/>
        <w:spacing w:after="0" w:line="286" w:lineRule="auto"/>
        <w:rPr>
          <w:sz w:val="20"/>
          <w:szCs w:val="20"/>
          <w:color w:val="auto"/>
        </w:rPr>
      </w:pPr>
      <w:r>
        <w:rPr>
          <w:rFonts w:ascii="Arial" w:cs="Arial" w:eastAsia="Arial" w:hAnsi="Arial"/>
          <w:sz w:val="16"/>
          <w:szCs w:val="16"/>
          <w:color w:val="auto"/>
        </w:rPr>
        <w:t>The success of any acquisition, investment or alliance may be affected by a number of factors, including our ability to properly assess and value the potential business opportunity or to successfully integrate any business we may acquire into our existing business. Difficulties in assimilating acquired businesses include a number of special risks in addition to the difficulty of integrating cultures and operations and the diversion of management’s attention, including adverse short-term effects on our reported operating results, dependence on retention, hiring and training of key personnel, risks associated with unanticipated problems or legal liabilities and amortization of acquired intangible assets, some or all of which could materially and adversely affect our operations and financial performance. Integration of an acquired business also may disrupt our ongoing operations and require management resources that we would otherwise focus on developing our existing business. For example, we acquired the HIS business in February 2017, which includes IV pumps, solutions, and devices in order to create a leading pure-play infusion therapy company. We invested significant time and resources into the HIS integration in order to achieve the anticipated benefits of the transaction. In addition, in connection with the HIS business acquisition, we also entered into two manufacturing and supply agreements (the “MSAs”) with Pfizer under which, (i) Pfizer manufactures and supplies us with certain agreed upon products for an initial five-year term with a one-time two-year option to extend and (ii) we manufacture and supply Pfizer certain agreed upon products for a term of five or ten years depending on the product, with a one-time two-year option to extend. Our facility in Austin, Texas manufactures and supplies these products to Pfizer under the MSAs, which, for certain products, could expire as early as 2022. The expiration of these MSAs may adversely impact our production capacity utilization of our Austin facility, which could result in unforeseen operating difficulties and may impact our profitability.</w:t>
      </w:r>
    </w:p>
    <w:p>
      <w:pPr>
        <w:spacing w:after="0" w:line="198"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In addition, any acquisition could result in the incurrence of debt, contingent liabilities or future write-offs of intangible assets or goodwill, any of which could have a material adverse effect on our financial condition, results of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ind w:right="160"/>
        <w:spacing w:after="0" w:line="277" w:lineRule="auto"/>
        <w:rPr>
          <w:sz w:val="20"/>
          <w:szCs w:val="20"/>
          <w:color w:val="auto"/>
        </w:rPr>
      </w:pPr>
      <w:r>
        <w:rPr>
          <w:rFonts w:ascii="Arial" w:cs="Arial" w:eastAsia="Arial" w:hAnsi="Arial"/>
          <w:sz w:val="18"/>
          <w:szCs w:val="18"/>
          <w:color w:val="auto"/>
        </w:rPr>
        <w:t>and cash flows. We may also experience losses related to investments in other companies, which could have an adverse effect on our results of operations and financial condition. As such, there can be no assurance that any past or future transactions will be successful.</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If we are unable to effectively manage our internal growth or growth through acquisitions of companies, assets or products, our financial performance may be adversely affected.</w:t>
      </w:r>
    </w:p>
    <w:p>
      <w:pPr>
        <w:spacing w:after="0" w:line="197" w:lineRule="exact"/>
        <w:rPr>
          <w:sz w:val="20"/>
          <w:szCs w:val="20"/>
          <w:color w:val="auto"/>
        </w:rPr>
      </w:pPr>
    </w:p>
    <w:p>
      <w:pPr>
        <w:jc w:val="both"/>
        <w:ind w:right="700" w:firstLine="648"/>
        <w:spacing w:after="0" w:line="259" w:lineRule="auto"/>
        <w:rPr>
          <w:sz w:val="20"/>
          <w:szCs w:val="20"/>
          <w:color w:val="auto"/>
        </w:rPr>
      </w:pPr>
      <w:r>
        <w:rPr>
          <w:rFonts w:ascii="Arial" w:cs="Arial" w:eastAsia="Arial" w:hAnsi="Arial"/>
          <w:sz w:val="18"/>
          <w:szCs w:val="18"/>
          <w:color w:val="auto"/>
        </w:rPr>
        <w:t>We intend to continue to expand our marketing and distribution capability, which may include external expansion through acquisitions of companies or product lines both in the U.S. and foreign markets. We can provide no assurance that we will be able to identify, acquire, develop or profitably manage additional companies or operations or successfully integrate such companies or operations into our existing operations without substantial costs, delays or other problems.</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additional production facilities outside the U.S. to reduce labor costs. The expansion of our marketing, distribution and product offerings both internally and through acquisitions or by contract may place substantial burdens on our management resources and financial controls. Decentralization of assembly and manufacturing could place further burdens on management to manage those operations and maintain efficiencies and quality control.</w:t>
      </w:r>
    </w:p>
    <w:p>
      <w:pPr>
        <w:spacing w:after="0" w:line="176" w:lineRule="exact"/>
        <w:rPr>
          <w:sz w:val="20"/>
          <w:szCs w:val="20"/>
          <w:color w:val="auto"/>
        </w:rPr>
      </w:pPr>
    </w:p>
    <w:p>
      <w:pPr>
        <w:ind w:firstLine="177"/>
        <w:spacing w:after="0" w:line="279" w:lineRule="auto"/>
        <w:rPr>
          <w:sz w:val="20"/>
          <w:szCs w:val="20"/>
          <w:color w:val="auto"/>
        </w:rPr>
      </w:pPr>
      <w:r>
        <w:rPr>
          <w:rFonts w:ascii="Arial" w:cs="Arial" w:eastAsia="Arial" w:hAnsi="Arial"/>
          <w:sz w:val="17"/>
          <w:szCs w:val="17"/>
          <w:color w:val="auto"/>
        </w:rPr>
        <w:t>The increasing burdens on our management resources and financial controls resulting from internal growth and acquisitions could adversely affect our operating results. Failure to manage this growth could adversely effect our operations through higher manufacturing costs, declining product quality, slower responses to competitive challenges, among other things. A failure in any one of these areas could make it difficult for us to meet market expectations for our products, and could damage our reputation and our financial performance may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doing business outside of the U.S.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operate in a global market and global operations are subject to a number of risks. Sales to customers outside of the U.S. made up approximately 28% of our revenue in 2020 and as our operations and sales located in Europe and other areas outside the U.S. increase, we may face new challenges and uncertainties, although we can give no assurance that such operations and sales will increase.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risks associated with our operations outside the U.S. also include:</w:t>
      </w:r>
    </w:p>
    <w:p>
      <w:pPr>
        <w:spacing w:after="0" w:line="252" w:lineRule="exact"/>
        <w:rPr>
          <w:sz w:val="20"/>
          <w:szCs w:val="20"/>
          <w:color w:val="auto"/>
        </w:rPr>
      </w:pPr>
    </w:p>
    <w:p>
      <w:pPr>
        <w:ind w:left="660" w:right="22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and political uncertainty in the United Kingdom and the EU following the United Kingdom’s withdrawal from the EU on January 31,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non-U.S. government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multiple non-U.S. regulatory requirements that are subject to change and that could restrict our ability to manufacture and sell our products;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local medical practices, product preferences and product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possible failure to comply with trade protection and restriction measures and import or export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in establishing, staffing and managing non-U.S.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labor regulations or work stoppages or strikes;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9"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instability, including the European financial crisis or other economic instability in other parts of the world and the impact on interest rates, inflation and the credit worthiness of our customers;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uncertainties regarding judicial systems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minimal or diminished protection of intellectual property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disasters or outbreak of diseases (including COVID-19);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government controls.</w:t>
      </w:r>
    </w:p>
    <w:p>
      <w:pPr>
        <w:spacing w:after="0" w:line="23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Our operating results may be adversely affected by unfavorable economic conditions that affect our customers’ ability to buy our products and could affect our relationships with our suppliers.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2" w:name="page33"/>
    <w:bookmarkEnd w:id="32"/>
    <w:p>
      <w:pPr>
        <w:ind w:right="180" w:firstLine="648"/>
        <w:spacing w:after="0" w:line="291" w:lineRule="auto"/>
        <w:rPr>
          <w:sz w:val="20"/>
          <w:szCs w:val="20"/>
          <w:color w:val="auto"/>
        </w:rPr>
      </w:pPr>
      <w:r>
        <w:rPr>
          <w:rFonts w:ascii="Arial" w:cs="Arial" w:eastAsia="Arial" w:hAnsi="Arial"/>
          <w:sz w:val="16"/>
          <w:szCs w:val="16"/>
          <w:color w:val="auto"/>
        </w:rPr>
        <w:t>Disruptions in financial markets worldwide and other worldwide macro-economic challenges may cause our customers and suppliers to experience cash flow concerns. If job losses and the resulting loss of health insurance and personal savings cause individuals to forego or postpone treatment, the resulting decreased hospital use could affect the demand for our products. 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terms. Any inability of current and/or potential customers to pay us for our products or any demands by suppliers for different payment terms may adversely affect our earnings and cash flow.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260" w:firstLine="180"/>
        <w:spacing w:after="0" w:line="277" w:lineRule="auto"/>
        <w:rPr>
          <w:sz w:val="20"/>
          <w:szCs w:val="20"/>
          <w:color w:val="auto"/>
        </w:rPr>
      </w:pPr>
      <w:r>
        <w:rPr>
          <w:rFonts w:ascii="Arial" w:cs="Arial" w:eastAsia="Arial" w:hAnsi="Arial"/>
          <w:sz w:val="18"/>
          <w:szCs w:val="18"/>
          <w:color w:val="auto"/>
        </w:rPr>
        <w:t>Our material properties used by us in connection with our corporate administrative operations, manufacturing, distribution, research and development and service centers as of December 31, 2020, are as follows: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24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bottom w:val="single" w:sz="8" w:color="CCEEFF"/>
            </w:tcBorders>
          </w:tcPr>
          <w:p>
            <w:pPr>
              <w:spacing w:after="0"/>
              <w:rPr>
                <w:sz w:val="18"/>
                <w:szCs w:val="18"/>
                <w:color w:val="auto"/>
              </w:rPr>
            </w:pPr>
          </w:p>
        </w:tc>
        <w:tc>
          <w:tcPr>
            <w:tcW w:w="25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Approximate Square Footage</w:t>
            </w:r>
          </w:p>
        </w:tc>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6"/>
                <w:szCs w:val="16"/>
                <w:b w:val="1"/>
                <w:bCs w:val="1"/>
                <w:color w:val="auto"/>
              </w:rPr>
              <w:t>Primary Use</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Owned/Leased</w:t>
            </w: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 Clemente, California,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39,000</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Headquarters and R&amp;D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San Clemente, California, U.S.</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28,108</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Corporate Headquarters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 Diego, California,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44,779</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Offices and R&amp;D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Lake Forest, Illinois, U.S.</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137,498</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Corporate Offices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Houten, Netherlands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7,341</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Offices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Montreal, Canada</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16,414</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Corporate Offices/Device service center</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Chennai, India</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36,879</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R&amp;D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Rydalmere, NSW Australia</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14,735</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Corporate Offices/Device service center</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73"/>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Austin, Texas, U.S.</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594,602</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Ensenada, Baja California, Mexico</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265,021</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Manufacturing</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La Aurora, Costa Rica</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626,869</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Salt Lake City, Utah,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450,000</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Manufacturing</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56"/>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Round Rock, Texas,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71,960</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Warehouse/Manufacturing</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56"/>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Dallas, Texas,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610,806</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Distribution Warehouse</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King of Prussia, Pennsylvania, U.S.</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105,571</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Distribution Warehouse</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Santa Fe Springs, California,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76,794</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Distribution Warehouse</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57"/>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Sligo, Ireland</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26,000</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Device service center</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bl>
    <w:p>
      <w:pPr>
        <w:spacing w:after="0" w:line="310" w:lineRule="exact"/>
        <w:rPr>
          <w:sz w:val="20"/>
          <w:szCs w:val="20"/>
          <w:color w:val="auto"/>
        </w:rPr>
      </w:pPr>
    </w:p>
    <w:p>
      <w:pPr>
        <w:jc w:val="both"/>
        <w:ind w:right="300" w:firstLine="180"/>
        <w:spacing w:after="0" w:line="263" w:lineRule="auto"/>
        <w:rPr>
          <w:sz w:val="20"/>
          <w:szCs w:val="20"/>
          <w:color w:val="auto"/>
        </w:rPr>
      </w:pPr>
      <w:r>
        <w:rPr>
          <w:rFonts w:ascii="Arial" w:cs="Arial" w:eastAsia="Arial" w:hAnsi="Arial"/>
          <w:sz w:val="18"/>
          <w:szCs w:val="18"/>
          <w:color w:val="auto"/>
        </w:rPr>
        <w:t>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firstLine="180"/>
        <w:spacing w:after="0" w:line="293" w:lineRule="auto"/>
        <w:rPr>
          <w:sz w:val="20"/>
          <w:szCs w:val="20"/>
          <w:color w:val="auto"/>
        </w:rPr>
      </w:pPr>
      <w:r>
        <w:rPr>
          <w:rFonts w:ascii="Arial" w:cs="Arial" w:eastAsia="Arial" w:hAnsi="Arial"/>
          <w:sz w:val="18"/>
          <w:szCs w:val="18"/>
          <w:color w:val="auto"/>
        </w:rPr>
        <w:t>Certain legal proceedings in which we are involved are discussed in Part II, Item 8. "Financial Statements and Supplementary Data" of this Form 10-K in Note 15. Commitments and Contingencies to the Consolidated Financial Statements,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for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has been traded on the NASDAQ Global Select Market under the symbol “ICUI” since our initial public offering on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1992.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have never paid dividends and do not anticipate paying dividends in the foreseeable future as the Board of Directors intends to retain future earnings for use in our business or to purchase our shares. Any future determination as to payment of dividends or purchase of our shares will depend upon our financial condition, results of operations and such other factors as the Board of Directors deems relevant.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January 31, 2021, we had 54 stockholders of record. This does not include persons whose stock is in nominee or “street name” accounts through brokers.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Securities authorized for issuance under equity compensation plans are discussed in Part III, Item 12 of this Annual Report on Form 10-K.</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fourth quarter of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purchased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left="244"/>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as part of a</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publicly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0"/>
              </w:rPr>
              <w:t>purchased</w:t>
            </w:r>
          </w:p>
        </w:tc>
        <w:tc>
          <w:tcPr>
            <w:tcW w:w="0" w:type="dxa"/>
            <w:vAlign w:val="bottom"/>
          </w:tcPr>
          <w:p>
            <w:pPr>
              <w:spacing w:after="0"/>
              <w:rPr>
                <w:sz w:val="1"/>
                <w:szCs w:val="1"/>
                <w:color w:val="auto"/>
              </w:rPr>
            </w:pPr>
          </w:p>
        </w:tc>
      </w:tr>
      <w:tr>
        <w:trPr>
          <w:trHeight w:val="135"/>
        </w:trPr>
        <w:tc>
          <w:tcPr>
            <w:tcW w:w="5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244"/>
              <w:spacing w:after="0" w:line="135" w:lineRule="exact"/>
              <w:rPr>
                <w:sz w:val="20"/>
                <w:szCs w:val="20"/>
                <w:color w:val="auto"/>
              </w:rPr>
            </w:pPr>
            <w:r>
              <w:rPr>
                <w:rFonts w:ascii="Arial" w:cs="Arial" w:eastAsia="Arial" w:hAnsi="Arial"/>
                <w:sz w:val="14"/>
                <w:szCs w:val="14"/>
                <w:b w:val="1"/>
                <w:bCs w:val="1"/>
                <w:color w:val="auto"/>
                <w:w w:val="93"/>
              </w:rPr>
              <w:t>price paid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announced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89"/>
        </w:trPr>
        <w:tc>
          <w:tcPr>
            <w:tcW w:w="5440" w:type="dxa"/>
            <w:vAlign w:val="bottom"/>
            <w:gridSpan w:val="2"/>
            <w:vMerge w:val="continue"/>
          </w:tcPr>
          <w:p>
            <w:pPr>
              <w:spacing w:after="0"/>
              <w:rPr>
                <w:sz w:val="16"/>
                <w:szCs w:val="16"/>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purchased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44"/>
              <w:spacing w:after="0"/>
              <w:rPr>
                <w:sz w:val="20"/>
                <w:szCs w:val="20"/>
                <w:color w:val="auto"/>
              </w:rPr>
            </w:pPr>
            <w:r>
              <w:rPr>
                <w:rFonts w:ascii="Arial" w:cs="Arial" w:eastAsia="Arial" w:hAnsi="Arial"/>
                <w:sz w:val="14"/>
                <w:szCs w:val="14"/>
                <w:b w:val="1"/>
                <w:bCs w:val="1"/>
                <w:color w:val="auto"/>
                <w:w w:val="91"/>
              </w:rPr>
              <w:t>per share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8"/>
              </w:rPr>
              <w:t>program</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81"/>
              <w:spacing w:after="0" w:line="189" w:lineRule="exact"/>
              <w:rPr>
                <w:sz w:val="20"/>
                <w:szCs w:val="20"/>
                <w:color w:val="auto"/>
              </w:rPr>
            </w:pPr>
            <w:r>
              <w:rPr>
                <w:rFonts w:ascii="Arial" w:cs="Arial" w:eastAsia="Arial" w:hAnsi="Arial"/>
                <w:sz w:val="14"/>
                <w:szCs w:val="14"/>
                <w:b w:val="1"/>
                <w:bCs w:val="1"/>
                <w:color w:val="auto"/>
                <w:w w:val="89"/>
              </w:rPr>
              <w:t>program</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53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10/01/2020 - 10/31/2020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11/01/2020 - 11/30/2020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12/01/2020 - 12/31/2020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23"/>
        </w:trPr>
        <w:tc>
          <w:tcPr>
            <w:tcW w:w="5440" w:type="dxa"/>
            <w:vAlign w:val="bottom"/>
            <w:gridSpan w:val="2"/>
          </w:tcPr>
          <w:p>
            <w:pPr>
              <w:ind w:left="140"/>
              <w:spacing w:after="0"/>
              <w:rPr>
                <w:sz w:val="20"/>
                <w:szCs w:val="20"/>
                <w:color w:val="auto"/>
              </w:rPr>
            </w:pPr>
            <w:r>
              <w:rPr>
                <w:rFonts w:ascii="Arial" w:cs="Arial" w:eastAsia="Arial" w:hAnsi="Arial"/>
                <w:sz w:val="18"/>
                <w:szCs w:val="18"/>
                <w:color w:val="auto"/>
              </w:rPr>
              <w:t>Fourth quarter 2020 total</w:t>
            </w:r>
          </w:p>
        </w:tc>
        <w:tc>
          <w:tcPr>
            <w:tcW w:w="10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5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hanging="332"/>
        <w:spacing w:after="0" w:line="252" w:lineRule="auto"/>
        <w:tabs>
          <w:tab w:leader="none" w:pos="245" w:val="left"/>
        </w:tabs>
        <w:numPr>
          <w:ilvl w:val="0"/>
          <w:numId w:val="24"/>
        </w:numPr>
        <w:rPr>
          <w:rFonts w:ascii="Arial" w:cs="Arial" w:eastAsia="Arial" w:hAnsi="Arial"/>
          <w:sz w:val="20"/>
          <w:szCs w:val="20"/>
          <w:color w:val="auto"/>
          <w:vertAlign w:val="superscript"/>
        </w:rPr>
      </w:pPr>
      <w:r>
        <w:rPr>
          <w:rFonts w:ascii="Arial" w:cs="Arial" w:eastAsia="Arial" w:hAnsi="Arial"/>
          <w:sz w:val="14"/>
          <w:szCs w:val="14"/>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w:t>
      </w:r>
    </w:p>
    <w:p>
      <w:pPr>
        <w:spacing w:after="0" w:line="1" w:lineRule="exact"/>
        <w:rPr>
          <w:rFonts w:ascii="Arial" w:cs="Arial" w:eastAsia="Arial" w:hAnsi="Arial"/>
          <w:sz w:val="20"/>
          <w:szCs w:val="20"/>
          <w:color w:val="auto"/>
          <w:vertAlign w:val="superscript"/>
        </w:rPr>
      </w:pPr>
    </w:p>
    <w:p>
      <w:pPr>
        <w:ind w:left="340"/>
        <w:spacing w:after="0"/>
        <w:rPr>
          <w:rFonts w:ascii="Arial" w:cs="Arial" w:eastAsia="Arial" w:hAnsi="Arial"/>
          <w:sz w:val="20"/>
          <w:szCs w:val="20"/>
          <w:color w:val="auto"/>
          <w:vertAlign w:val="superscript"/>
        </w:rPr>
      </w:pPr>
      <w:r>
        <w:rPr>
          <w:rFonts w:ascii="Arial" w:cs="Arial" w:eastAsia="Arial" w:hAnsi="Arial"/>
          <w:sz w:val="16"/>
          <w:szCs w:val="16"/>
          <w:color w:val="auto"/>
        </w:rPr>
        <w:t>Purchases made under our stock purchase program can be discontinued at any time we feel additional purchases are not warranted.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60" w:firstLine="216"/>
        <w:spacing w:after="0" w:line="273" w:lineRule="auto"/>
        <w:rPr>
          <w:sz w:val="20"/>
          <w:szCs w:val="20"/>
          <w:color w:val="auto"/>
        </w:rPr>
      </w:pPr>
      <w:r>
        <w:rPr>
          <w:rFonts w:ascii="Arial" w:cs="Arial" w:eastAsia="Arial" w:hAnsi="Arial"/>
          <w:sz w:val="17"/>
          <w:szCs w:val="17"/>
          <w:color w:val="auto"/>
        </w:rPr>
        <w:t>The following selected consolidated financial data (presented in thousands, except per share amounts) is derived from our Consolidated Financial Statements. Beginning in 2017, our results reflect our acquisition of HIS. During 2018, we adopted Accounting Standards Codification ("ASC") 606, Revenue from Contracts with Customers, using the modified retrospective method applied to those contracts which were not completed as of January 1, 2018. The adoption of this standard did not have a material impact on our consolidated financial statements. Our historical operating results are not necessarily indicative of future operating results and should be read in conjunction with the Consolidated Financial Statements and notes thereto, and with Item 7, Management’s Discussion and Analysis of Financial Condition and Results of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780"/>
              <w:spacing w:after="0"/>
              <w:rPr>
                <w:sz w:val="20"/>
                <w:szCs w:val="20"/>
                <w:color w:val="auto"/>
              </w:rPr>
            </w:pPr>
            <w:r>
              <w:rPr>
                <w:rFonts w:ascii="Arial" w:cs="Arial" w:eastAsia="Arial" w:hAnsi="Arial"/>
                <w:sz w:val="16"/>
                <w:szCs w:val="16"/>
                <w:b w:val="1"/>
                <w:bCs w:val="1"/>
                <w:color w:val="auto"/>
                <w:w w:val="89"/>
              </w:rPr>
              <w:t>Year ended December 31,</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4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 share data)</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DATA: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REVENUE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1,292,166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379,339</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1,271,004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1,266,208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1,400,040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1,292,613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379,372</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866,518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177,974</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201,398</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283,953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276,982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320,002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89,426</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Restructuring, strategic transaction and integration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105,390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settlement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Change in fair value of contingent earn-out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of assets held for sale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3"/>
        </w:trPr>
        <w:tc>
          <w:tcPr>
            <w:tcW w:w="44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363,335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364,504</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540,272</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439,389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118,457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82,941</w:t>
            </w:r>
          </w:p>
        </w:tc>
        <w:tc>
          <w:tcPr>
            <w:tcW w:w="0" w:type="dxa"/>
            <w:vAlign w:val="bottom"/>
          </w:tcPr>
          <w:p>
            <w:pPr>
              <w:spacing w:after="0"/>
              <w:rPr>
                <w:sz w:val="1"/>
                <w:szCs w:val="1"/>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BARGAIN PURCHASE GAIN</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85,164</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(22,080)</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63,084</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NET INCOME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17,254</w:t>
            </w: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Cash dividends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DATA: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Total cash flows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222,752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101,918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160,215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154,423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89,941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As of December 31,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right="53"/>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6"/>
                <w:szCs w:val="16"/>
                <w:b w:val="1"/>
                <w:bCs w:val="1"/>
                <w:color w:val="auto"/>
              </w:rPr>
              <w:t>2017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BALANCE SHEET DATA:</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Cash, cash equivalents and short-term investment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410,784</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292,637</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382,110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300,133</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445,082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Working capital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725,289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633,729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677,747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654,370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528,560</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1,496,951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704,688</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1,502,265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1,377,244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1,263,655</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1,198,254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660,155</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Notes thereto.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Highlights</w:t>
      </w:r>
    </w:p>
    <w:p>
      <w:pPr>
        <w:spacing w:after="0" w:line="256" w:lineRule="exact"/>
        <w:rPr>
          <w:sz w:val="20"/>
          <w:szCs w:val="20"/>
          <w:color w:val="auto"/>
        </w:rPr>
      </w:pPr>
    </w:p>
    <w:p>
      <w:pPr>
        <w:ind w:right="120" w:firstLine="180"/>
        <w:spacing w:after="0" w:line="301"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 transfer devices for preparing and administering hazardous IV drugs and cardiac monitoring systems for critically ill patients.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a result of the COVID-19 pandemic, our non-essential offices and facilities, including our corporate headquarters are closed to non-essential employees.</w:t>
      </w:r>
    </w:p>
    <w:p>
      <w:pPr>
        <w:spacing w:after="0" w:line="197"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21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implemented physical distancing measures;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enhanced hygiene protocols and increased frequency of cleaning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acquired additional personal protective equipment;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developed contingency plans and protocols to assess employee illness;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helped employees with childcare issues due to school and daycare closures;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implemented COVID-19 temperature screening for employees entering our manufacturing and distribution facilities;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initiated a visitor pre-entry questionnaire to limit potential exposure in our facilities.</w:t>
      </w:r>
    </w:p>
    <w:p>
      <w:pPr>
        <w:spacing w:after="0" w:line="2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first quarter in 2020, as a precautionary measure in response to market uncertainty driven by COVID-19, we preemptively increased our liquidity by borrowing $150.0 million under our Senior Secured Revolving Credit Facility ("Credit Facility"). As 2020 progressed, financial institutions demonstrated adequate liquidity in meeting the funding needs of the market and our internal operations remained stable, as such, we fully repaid the $150.0 million borrowed under our Credit Facility during the third quarter.</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2020, due to the COVID-19 pandemic, we saw a meaningful decline in demand for our Infusion Consumables non-dedicated sets, a decline in demand for our Infusion Systems dedicated sets and an increase in demand for our Infusion Systems hardware. During 2020, most notably in the first quarter, we also experienced foreign exchange losses related to the strengthening of the U.S. dollar relative to certain foreign currencies as general economic conditions declined in response to COVID-19.</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effect of the COVID-19 pandemic will not be fully reflected in our results of operations and overall financial performance until future periods. The duration and extent of the impact from the COVID-19 pandemic depends on future developments that cannot be fully predicted at this time, as such, the impact of the pandemic on our future results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and overall financial performance remain uncertain and cannot as yet be quantified. However, our future results could be impacted by the following:</w:t>
      </w:r>
    </w:p>
    <w:p>
      <w:pPr>
        <w:spacing w:after="0" w:line="26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lost revenue or additional costs associated with either disruptions at our production and distribution facilities or interruptions in our supply chain;</w:t>
      </w:r>
    </w:p>
    <w:p>
      <w:pPr>
        <w:spacing w:after="0" w:line="46" w:lineRule="exact"/>
        <w:rPr>
          <w:rFonts w:ascii="Arial" w:cs="Arial" w:eastAsia="Arial" w:hAnsi="Arial"/>
          <w:sz w:val="16"/>
          <w:szCs w:val="16"/>
          <w:color w:val="auto"/>
        </w:rPr>
      </w:pPr>
    </w:p>
    <w:p>
      <w:pPr>
        <w:ind w:left="660" w:right="58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demand from customers as a result of an increase in COVID-19 patient admissions in hospitals offset by the decline in non-COVID-19 patient admissions;</w:t>
      </w:r>
    </w:p>
    <w:p>
      <w:pPr>
        <w:ind w:left="660" w:right="40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healthcare customers that defer the more profitable elective procedures may experience financial difficulties and may be unable to pay within payment terms for the products they purchased;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lower demand in future periods due to over-purchasing of our products due to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reduced revenue due to delays in implementation of our infusion systems and oncology products at hospital locations due to restricted access;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operating costs related to additional compensation paid to our manufacturing and distribution facility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in cash flow, revenue and income due to foreign currency fluctuations and volatility;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travel and entertainment costs due to global travel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income due to a delay in cost savings projects as a result of the travel and social distancing requirements of COVID-19; and</w:t>
      </w:r>
    </w:p>
    <w:p>
      <w:pPr>
        <w:spacing w:after="0" w:line="9" w:lineRule="exact"/>
        <w:rPr>
          <w:rFonts w:ascii="Arial" w:cs="Arial" w:eastAsia="Arial" w:hAnsi="Arial"/>
          <w:sz w:val="18"/>
          <w:szCs w:val="18"/>
          <w:color w:val="auto"/>
        </w:rPr>
      </w:pPr>
    </w:p>
    <w:p>
      <w:pPr>
        <w:ind w:left="660" w:right="28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interest income on cash balances due to reductions in interest rates along with higher interest expense from borrowings under our $150.0 million Credit Facility, if necessary, to maintain adequate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6" w:lineRule="exact"/>
        <w:rPr>
          <w:sz w:val="20"/>
          <w:szCs w:val="20"/>
          <w:color w:val="auto"/>
        </w:rPr>
      </w:pPr>
    </w:p>
    <w:p>
      <w:pPr>
        <w:ind w:right="160" w:firstLine="177"/>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4"/>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10"/>
        </w:trPr>
        <w:tc>
          <w:tcPr>
            <w:tcW w:w="2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2018</w:t>
            </w:r>
          </w:p>
        </w:tc>
      </w:tr>
      <w:tr>
        <w:trPr>
          <w:trHeight w:val="212"/>
        </w:trPr>
        <w:tc>
          <w:tcPr>
            <w:tcW w:w="2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 of Revenue</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 of Revenue</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 of Revenue</w:t>
            </w:r>
          </w:p>
        </w:tc>
      </w:tr>
      <w:tr>
        <w:trPr>
          <w:trHeight w:val="207"/>
        </w:trPr>
        <w:tc>
          <w:tcPr>
            <w:tcW w:w="2380" w:type="dxa"/>
            <w:vAlign w:val="bottom"/>
          </w:tcPr>
          <w:p>
            <w:pPr>
              <w:ind w:left="20"/>
              <w:spacing w:after="0"/>
              <w:rPr>
                <w:sz w:val="20"/>
                <w:szCs w:val="20"/>
                <w:color w:val="auto"/>
              </w:rPr>
            </w:pPr>
            <w:r>
              <w:rPr>
                <w:rFonts w:ascii="Arial" w:cs="Arial" w:eastAsia="Arial" w:hAnsi="Arial"/>
                <w:sz w:val="16"/>
                <w:szCs w:val="16"/>
                <w:color w:val="auto"/>
              </w:rPr>
              <w:t>Domestic</w:t>
            </w: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910.6</w:t>
            </w:r>
          </w:p>
        </w:tc>
        <w:tc>
          <w:tcPr>
            <w:tcW w:w="10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923.3</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1,054.7</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75 %</w:t>
            </w: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342.9</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1,271.0</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1,266.2</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w w:val="98"/>
              </w:rPr>
              <w:t>Year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6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 line</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23"/>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Infusion Consumables</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Infusion Systems</w:t>
            </w:r>
          </w:p>
        </w:tc>
        <w:tc>
          <w:tcPr>
            <w:tcW w:w="146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IV Solutions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Critical Care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48"/>
        </w:trPr>
        <w:tc>
          <w:tcPr>
            <w:tcW w:w="6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80" w:firstLine="177"/>
        <w:spacing w:after="0" w:line="259" w:lineRule="auto"/>
        <w:rPr>
          <w:sz w:val="20"/>
          <w:szCs w:val="20"/>
          <w:color w:val="auto"/>
        </w:rPr>
      </w:pPr>
      <w:r>
        <w:rPr>
          <w:rFonts w:ascii="Arial" w:cs="Arial" w:eastAsia="Arial" w:hAnsi="Arial"/>
          <w:sz w:val="18"/>
          <w:szCs w:val="18"/>
          <w:color w:val="auto"/>
        </w:rPr>
        <w:t>We manage our product distribution in the U.S. through a network of two owned and one leased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distribution utilizing international regional hubs and through independent distributors.</w:t>
      </w:r>
    </w:p>
    <w:p>
      <w:pPr>
        <w:spacing w:after="0" w:line="21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U.S. 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demand for our products could have a material adverse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7" w:name="page38"/>
    <w:bookmarkEnd w:id="37"/>
    <w:p>
      <w:pPr>
        <w:ind w:right="80" w:firstLine="648"/>
        <w:spacing w:after="0" w:line="255" w:lineRule="auto"/>
        <w:rPr>
          <w:sz w:val="20"/>
          <w:szCs w:val="20"/>
          <w:color w:val="auto"/>
        </w:rPr>
      </w:pPr>
      <w:r>
        <w:rPr>
          <w:rFonts w:ascii="Arial" w:cs="Arial" w:eastAsia="Arial" w:hAnsi="Arial"/>
          <w:sz w:val="18"/>
          <w:szCs w:val="18"/>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21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present summarized income statement data in Item 6. Selected Financial Data. The following table shows, for the three most recent years, the percentages of each income statement caption in relation to total revenues.</w:t>
      </w:r>
    </w:p>
    <w:p>
      <w:pPr>
        <w:spacing w:after="0" w:line="8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Percentage of Revenues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strategic transaction and integration</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756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contingent earn-out</w:t>
            </w:r>
          </w:p>
        </w:tc>
        <w:tc>
          <w:tcPr>
            <w:tcW w:w="52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9"/>
        </w:trPr>
        <w:tc>
          <w:tcPr>
            <w:tcW w:w="7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settlement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39 %</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75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6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revenues for 2020, 2019 and 2018 were $1.3 billion, $1.3 billion and $1.4 billion, respectively.</w:t>
      </w:r>
    </w:p>
    <w:p>
      <w:pPr>
        <w:spacing w:after="0" w:line="252"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total Infusion Consumables revenue (in millions,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36"/>
              <w:spacing w:after="0"/>
              <w:rPr>
                <w:sz w:val="20"/>
                <w:szCs w:val="20"/>
                <w:color w:val="auto"/>
              </w:rPr>
            </w:pPr>
            <w:r>
              <w:rPr>
                <w:rFonts w:ascii="Arial" w:cs="Arial" w:eastAsia="Arial" w:hAnsi="Arial"/>
                <w:sz w:val="16"/>
                <w:szCs w:val="16"/>
                <w:b w:val="1"/>
                <w:bCs w:val="1"/>
                <w:color w:val="auto"/>
                <w:w w:val="92"/>
              </w:rPr>
              <w:t>$ change</w:t>
            </w:r>
          </w:p>
        </w:tc>
        <w:tc>
          <w:tcPr>
            <w:tcW w:w="1420" w:type="dxa"/>
            <w:vAlign w:val="bottom"/>
            <w:gridSpan w:val="3"/>
          </w:tcPr>
          <w:p>
            <w:pPr>
              <w:jc w:val="right"/>
              <w:ind w:right="45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16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7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2"/>
          </w:tcPr>
          <w:p>
            <w:pPr>
              <w:jc w:val="right"/>
              <w:ind w:right="595"/>
              <w:spacing w:after="0"/>
              <w:rPr>
                <w:sz w:val="20"/>
                <w:szCs w:val="20"/>
                <w:color w:val="auto"/>
              </w:rPr>
            </w:pPr>
            <w:r>
              <w:rPr>
                <w:rFonts w:ascii="Arial" w:cs="Arial" w:eastAsia="Arial" w:hAnsi="Arial"/>
                <w:sz w:val="16"/>
                <w:szCs w:val="16"/>
                <w:b w:val="1"/>
                <w:bCs w:val="1"/>
                <w:color w:val="auto"/>
              </w:rPr>
              <w:t>2020 over 2019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2019 over 2018</w:t>
            </w:r>
          </w:p>
        </w:tc>
      </w:tr>
      <w:tr>
        <w:trPr>
          <w:trHeight w:val="22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Infusion Consumables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(5.4)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bl>
    <w:p>
      <w:pPr>
        <w:spacing w:after="0" w:line="32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Infusion Consumables revenue decreased in 2020, as compared to 2019. The decrease was mostly driven by overall lower demand for our products due to the COVID-19 pandemic, partially offset by sales from new customers and sales of our ClearGuard HD product, which we acquired in our fourth quarter 2019 acquisition of Pursuit. On a constant currency basis,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t>Infusion Consumables revenue was comparable at $474.0 million for 2020, as the full year impact of foreign currency was negligible.</w:t>
      </w:r>
    </w:p>
    <w:p>
      <w:pPr>
        <w:spacing w:after="0" w:line="252"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Infusion Consumables revenue decreased in 2019, as compared to 2018. The decrease was mostly driven by foreign exchange rates. On a constant currency basis, Infusion Consumables revenue would have been $485.8 million for 2019, an increase of $2.8 million or 0.6%, as compared to 2018.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total Infusion Systems revenue (in millions,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center"/>
              <w:ind w:left="45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 change</w:t>
            </w:r>
          </w:p>
        </w:tc>
        <w:tc>
          <w:tcPr>
            <w:tcW w:w="16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 change</w:t>
            </w:r>
          </w:p>
        </w:tc>
      </w:tr>
      <w:tr>
        <w:trPr>
          <w:trHeight w:val="210"/>
        </w:trPr>
        <w:tc>
          <w:tcPr>
            <w:tcW w:w="2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2020 over 2019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rPr>
              <w:t>2019 over 2018</w:t>
            </w: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Infusion Systems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31.4</w:t>
            </w:r>
          </w:p>
        </w:tc>
        <w:tc>
          <w:tcPr>
            <w:tcW w:w="108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(27.2)</w:t>
            </w:r>
          </w:p>
        </w:tc>
        <w:tc>
          <w:tcPr>
            <w:tcW w:w="10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(7.7)%</w:t>
            </w:r>
          </w:p>
        </w:tc>
      </w:tr>
    </w:tbl>
    <w:p>
      <w:pPr>
        <w:spacing w:after="0" w:line="283"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Infusion Systems revenue increased in 2020, as compared to 2019. The increase in revenue was primarily due to high demand for our infusion pumps during the COVID-19 pandemic, offset partially by lower demand for our dedicated infusion sets and losses of our non-core ambulatory pump business. On a constant currency basis Infusion Systems revenue in 2020 would have been $364.7 million, an increase of $36.4 million or 11.1%, as compared to 2019.</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Infusion Systems revenue decreased in 2019, as compared to 2018. The decrease in revenue was primarily due to the impact of exchange rates and losses of our non-core ambulatory and patient controlled analgesia pumps business. On a constant currency basis Infusion Systems revenue in 2019 would have been $338.6 million, a decrease of $16.9 million or 4.8%, as compared to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total IV Solutions revenue (in millions,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center"/>
              <w:ind w:left="456"/>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change</w:t>
            </w:r>
          </w:p>
        </w:tc>
        <w:tc>
          <w:tcPr>
            <w:tcW w:w="18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10"/>
        </w:trPr>
        <w:tc>
          <w:tcPr>
            <w:tcW w:w="27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2020 over 2019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2019 over 2018</w:t>
            </w: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 Solutions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(26.0)</w:t>
            </w:r>
          </w:p>
        </w:tc>
        <w:tc>
          <w:tcPr>
            <w:tcW w:w="10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(93.0)</w:t>
            </w: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(18.3)%</w:t>
            </w:r>
          </w:p>
        </w:tc>
      </w:tr>
    </w:tbl>
    <w:p>
      <w:pPr>
        <w:spacing w:after="0" w:line="323" w:lineRule="exact"/>
        <w:rPr>
          <w:sz w:val="20"/>
          <w:szCs w:val="20"/>
          <w:color w:val="auto"/>
        </w:rPr>
      </w:pPr>
    </w:p>
    <w:p>
      <w:pPr>
        <w:jc w:val="both"/>
        <w:ind w:right="300" w:firstLine="180"/>
        <w:spacing w:after="0" w:line="277" w:lineRule="auto"/>
        <w:rPr>
          <w:sz w:val="20"/>
          <w:szCs w:val="20"/>
          <w:color w:val="auto"/>
        </w:rPr>
      </w:pPr>
      <w:r>
        <w:rPr>
          <w:rFonts w:ascii="Arial" w:cs="Arial" w:eastAsia="Arial" w:hAnsi="Arial"/>
          <w:sz w:val="18"/>
          <w:szCs w:val="18"/>
          <w:color w:val="auto"/>
        </w:rPr>
        <w:t>IV Solutions sales decreased in 2020, as compared to 2019, due to lower contract manufacturing sales to Pfizer and higher sales in the first quarter of 2019 to non-contracted customers.</w:t>
      </w:r>
    </w:p>
    <w:p>
      <w:pPr>
        <w:spacing w:after="0" w:line="197"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IV Solutions sales decreased in 2019, as compared to 2018. Supply constraints at our competitors beginning in the second quarter of 2017 and continuing through 2018 caused some temporary customer purchases and stock-up of IV Solutions in 2018. These market shortages temporarily drove up the demand for our product during the latter part of 2017, in 2018 and during the first part of 2019. The temporary increase in IV Solutions sales that we had as a result of competitor supply constraints normalized in mid-2019 as customers returned to their original contract supplier.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total Critical Care revenue (in millions,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1"/>
              </w:rPr>
              <w:t>Year Ended December 31,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480" w:type="dxa"/>
            <w:vAlign w:val="bottom"/>
            <w:gridSpan w:val="3"/>
          </w:tcPr>
          <w:p>
            <w:pPr>
              <w:jc w:val="right"/>
              <w:ind w:right="47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336"/>
              <w:spacing w:after="0"/>
              <w:rPr>
                <w:sz w:val="20"/>
                <w:szCs w:val="20"/>
                <w:color w:val="auto"/>
              </w:rPr>
            </w:pPr>
            <w:r>
              <w:rPr>
                <w:rFonts w:ascii="Arial" w:cs="Arial" w:eastAsia="Arial" w:hAnsi="Arial"/>
                <w:sz w:val="16"/>
                <w:szCs w:val="16"/>
                <w:b w:val="1"/>
                <w:bCs w:val="1"/>
                <w:color w:val="auto"/>
                <w:w w:val="92"/>
              </w:rPr>
              <w:t>$ change</w:t>
            </w:r>
          </w:p>
        </w:tc>
        <w:tc>
          <w:tcPr>
            <w:tcW w:w="116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595"/>
              <w:spacing w:after="0"/>
              <w:rPr>
                <w:sz w:val="20"/>
                <w:szCs w:val="20"/>
                <w:color w:val="auto"/>
              </w:rPr>
            </w:pPr>
            <w:r>
              <w:rPr>
                <w:rFonts w:ascii="Arial" w:cs="Arial" w:eastAsia="Arial" w:hAnsi="Arial"/>
                <w:sz w:val="16"/>
                <w:szCs w:val="16"/>
                <w:b w:val="1"/>
                <w:bCs w:val="1"/>
                <w:color w:val="auto"/>
              </w:rPr>
              <w:t>2020 over 2019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6"/>
                <w:szCs w:val="16"/>
                <w:b w:val="1"/>
                <w:bCs w:val="1"/>
                <w:color w:val="auto"/>
              </w:rPr>
              <w:t>2019 over 2018</w:t>
            </w:r>
          </w:p>
        </w:tc>
      </w:tr>
      <w:tr>
        <w:trPr>
          <w:trHeight w:val="22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Critical Care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Critical Care revenue increased in 2020, as compared to 2019, primarily as a result of growth in the Asia region and improved manufacturing capacity.</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Critical Care revenue decreased in 2019, as compared to 2018, primarily due to manufacturing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Gross Profits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profits for 2020, 2019 and 2018 were 36.3%, 37.3%, and 40.7%, respectively.</w:t>
      </w:r>
    </w:p>
    <w:p>
      <w:pPr>
        <w:spacing w:after="0" w:line="252" w:lineRule="exact"/>
        <w:rPr>
          <w:sz w:val="20"/>
          <w:szCs w:val="20"/>
          <w:color w:val="auto"/>
        </w:rPr>
      </w:pPr>
    </w:p>
    <w:p>
      <w:pPr>
        <w:ind w:right="40" w:firstLine="177"/>
        <w:spacing w:after="0" w:line="277" w:lineRule="auto"/>
        <w:rPr>
          <w:sz w:val="20"/>
          <w:szCs w:val="20"/>
          <w:color w:val="auto"/>
        </w:rPr>
      </w:pPr>
      <w:r>
        <w:rPr>
          <w:rFonts w:ascii="Arial" w:cs="Arial" w:eastAsia="Arial" w:hAnsi="Arial"/>
          <w:sz w:val="18"/>
          <w:szCs w:val="18"/>
          <w:color w:val="auto"/>
        </w:rPr>
        <w:t>The decrease in gross profit in 2020, as compared to 2019 was primarily due to lower IV Solutions manufacturing volumes and unfavorable product mix as a result of lower demand for our consumables products during the COVID-19 pandemic.</w:t>
      </w:r>
    </w:p>
    <w:p>
      <w:pPr>
        <w:spacing w:after="0" w:line="197"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decrease in gross profit in 2019, as compared to 2018 was primarily due to the slowdown in manufacturing of IV Solutions and additional supply chain costs related to higher than optimal inventory levels. In 2019, we also recorded a one-time supply chain inventory optimization charge of $16.3 million for the initial ramp down of IV Solution production to align supply to market demand.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SG&amp;A expenses (in millions, except percentages):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460" w:type="dxa"/>
            <w:vAlign w:val="bottom"/>
            <w:gridSpan w:val="3"/>
          </w:tcPr>
          <w:p>
            <w:pPr>
              <w:jc w:val="right"/>
              <w:ind w:right="47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336"/>
              <w:spacing w:after="0"/>
              <w:rPr>
                <w:sz w:val="20"/>
                <w:szCs w:val="20"/>
                <w:color w:val="auto"/>
              </w:rPr>
            </w:pPr>
            <w:r>
              <w:rPr>
                <w:rFonts w:ascii="Arial" w:cs="Arial" w:eastAsia="Arial" w:hAnsi="Arial"/>
                <w:sz w:val="16"/>
                <w:szCs w:val="16"/>
                <w:b w:val="1"/>
                <w:bCs w:val="1"/>
                <w:color w:val="auto"/>
                <w:w w:val="92"/>
              </w:rPr>
              <w:t>$ change</w:t>
            </w:r>
          </w:p>
        </w:tc>
        <w:tc>
          <w:tcPr>
            <w:tcW w:w="1160" w:type="dxa"/>
            <w:vAlign w:val="bottom"/>
          </w:tcPr>
          <w:p>
            <w:pPr>
              <w:jc w:val="right"/>
              <w:ind w:right="195"/>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6"/>
                <w:szCs w:val="16"/>
                <w:b w:val="1"/>
                <w:bCs w:val="1"/>
                <w:color w:val="auto"/>
              </w:rPr>
              <w:t>2020 over 2019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6"/>
                <w:szCs w:val="16"/>
                <w:b w:val="1"/>
                <w:bCs w:val="1"/>
                <w:color w:val="auto"/>
              </w:rPr>
              <w:t>2019 over 2018</w:t>
            </w:r>
          </w:p>
        </w:tc>
      </w:tr>
      <w:tr>
        <w:trPr>
          <w:trHeight w:val="22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(43.0)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bl>
    <w:p>
      <w:pPr>
        <w:spacing w:after="0" w:line="31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Consolidated SG&amp;A expenses increased in 2020, as compared to 2019. Dealer fees increased $9.3 million, depreciation and amortization expense increased $7.1 million, compensation expense increased $5.5 million, and stock compensation increased $2.0 million. Offsetting these expense increases was a $6.3 decrease in bad debt expense, a $6.3 million decrease in travel expenses, a $3.7 million decrease in consulting expenses, and a $2.8 million decrease in sales and marketing expenses. Dealer fees increased due to a change to a distribution model from a direct model in Canada and an increase in revenue from distributors. Depreciation and amortization expense increased primarily as a result of the increase in amortization base due to the November 2019 acquisition of Pursuit. Compensation expense increased as a result of lower incentive compensation recognized in the prior year due to results below performance targets. Stock compensation increased in the current year due to a change in the number of performance shares estimated to vest on one of our non-executive performance awards. Bad debt expense is estimated based on an analysis of the expected losses on the accounts receivables at the reporting date, which varies from period-to-period due to the quality of those receivables. Travel expenses decreased in the current year, as compared to prior year, due to travel restrictions in response to COVID-19. Consulting expense was higher in 2019 due to charges incurred related to tax compliance and IT infrastructure expenses. Sales and marketing expenses decreased due to the impact of COVID-19 on trade shows, conferences, and related expenses.</w:t>
      </w:r>
    </w:p>
    <w:p>
      <w:pPr>
        <w:spacing w:after="0" w:line="19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Consolidated SG&amp;A expenses decreased in 2019, as compared to 2018. Consulting expenses decreased $33.9 million, compensation expense decreased $17.9 million, legal expense decreased $3.8 million, marketing expenses decreased $3.4 million, information technology decreased $3.3 million, stock based compensation decreased $3.2 million and travel expenses decreased $2.8 million. Partially offsetting these decreases was a $10.6 million increase in depreciation and amortization and a $7.9 million increase in bad debt and warranty expense. Consulting expenses decreased as our transitional services agreement with Pfizer ended in the fourth quarter of 2018. Compensation expense decreased in the current period as incentive bonuses were higher in the prior year due to company performance. Legal expenses were higher in the prior year due to expenses incurred related to the contract settlement, discussed below. Marketing expenses decreased in the current period as the prior period included additional expenses related to post-acquisition branding efforts. Information technology expenses decreased as software maintenance costs decreased in the current period. Stock based compensation decreased due to an adjustment for changes in the number of performance shares estimated to vest. Depreciation expense increased due to an increase in the depreciable asset base related to the HIS integration. Bad debt expense increased as a result of the quarterly assessment of our reserves related to our accounts receivable.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total R&amp;D Expenses (in millions, except percentages):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440" w:type="dxa"/>
            <w:vAlign w:val="bottom"/>
            <w:gridSpan w:val="3"/>
          </w:tcPr>
          <w:p>
            <w:pPr>
              <w:jc w:val="right"/>
              <w:ind w:right="470"/>
              <w:spacing w:after="0"/>
              <w:rPr>
                <w:sz w:val="20"/>
                <w:szCs w:val="20"/>
                <w:color w:val="auto"/>
              </w:rPr>
            </w:pPr>
            <w:r>
              <w:rPr>
                <w:rFonts w:ascii="Arial" w:cs="Arial" w:eastAsia="Arial" w:hAnsi="Arial"/>
                <w:sz w:val="16"/>
                <w:szCs w:val="16"/>
                <w:b w:val="1"/>
                <w:bCs w:val="1"/>
                <w:color w:val="auto"/>
              </w:rPr>
              <w:t>% change</w:t>
            </w:r>
          </w:p>
        </w:tc>
        <w:tc>
          <w:tcPr>
            <w:tcW w:w="1100" w:type="dxa"/>
            <w:vAlign w:val="bottom"/>
          </w:tcPr>
          <w:p>
            <w:pPr>
              <w:jc w:val="right"/>
              <w:ind w:right="336"/>
              <w:spacing w:after="0"/>
              <w:rPr>
                <w:sz w:val="20"/>
                <w:szCs w:val="20"/>
                <w:color w:val="auto"/>
              </w:rPr>
            </w:pPr>
            <w:r>
              <w:rPr>
                <w:rFonts w:ascii="Arial" w:cs="Arial" w:eastAsia="Arial" w:hAnsi="Arial"/>
                <w:sz w:val="16"/>
                <w:szCs w:val="16"/>
                <w:b w:val="1"/>
                <w:bCs w:val="1"/>
                <w:color w:val="auto"/>
                <w:w w:val="95"/>
              </w:rPr>
              <w:t>$ change</w:t>
            </w:r>
          </w:p>
        </w:tc>
        <w:tc>
          <w:tcPr>
            <w:tcW w:w="1160" w:type="dxa"/>
            <w:vAlign w:val="bottom"/>
          </w:tcPr>
          <w:p>
            <w:pPr>
              <w:jc w:val="right"/>
              <w:ind w:right="195"/>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2020 over 2019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6"/>
                <w:szCs w:val="16"/>
                <w:b w:val="1"/>
                <w:bCs w:val="1"/>
                <w:color w:val="auto"/>
              </w:rPr>
              <w:t>2019 over 2018</w:t>
            </w: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0" w:name="page41"/>
    <w:bookmarkEnd w:id="40"/>
    <w:p>
      <w:pPr>
        <w:ind w:right="860" w:firstLine="180"/>
        <w:spacing w:after="0" w:line="277" w:lineRule="auto"/>
        <w:rPr>
          <w:sz w:val="20"/>
          <w:szCs w:val="20"/>
          <w:color w:val="auto"/>
        </w:rPr>
      </w:pPr>
      <w:r>
        <w:rPr>
          <w:rFonts w:ascii="Arial" w:cs="Arial" w:eastAsia="Arial" w:hAnsi="Arial"/>
          <w:sz w:val="18"/>
          <w:szCs w:val="18"/>
          <w:color w:val="auto"/>
        </w:rPr>
        <w:t>R&amp;D expenses decreased in 2020, as compared to 2019, and decreased in 2019, as compared to 2018. R&amp;D expenses are primarily related to compensation and benefit expenses incurred on our R&amp;D projects in progress during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Strategic Transaction and Integration Expenses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Restructuring, strategic transaction and integration expenses were $28.4 million, $80.6 million and $105.4 million in 2020, 2019 and 2018,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2020, restructuring charges were $7.9 million. These charges were primarily related to severance and costs related to office and other facility closures. We expect to pay unpaid restructuring charges as of December 31, 2020, in 2021.</w:t>
      </w:r>
    </w:p>
    <w:p>
      <w:pPr>
        <w:spacing w:after="0" w:line="197"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In 2019, restructuring charges were $8.4 million. These charges were primarily related to a one-time charge to move our U.S. pump service depot to our existing Salt Lake City facility and other plant restructuring.</w:t>
      </w:r>
    </w:p>
    <w:p>
      <w:pPr>
        <w:spacing w:after="0" w:line="197" w:lineRule="exact"/>
        <w:rPr>
          <w:sz w:val="20"/>
          <w:szCs w:val="20"/>
          <w:color w:val="auto"/>
        </w:rPr>
      </w:pPr>
    </w:p>
    <w:p>
      <w:pPr>
        <w:ind w:right="320" w:firstLine="180"/>
        <w:spacing w:after="0" w:line="277" w:lineRule="auto"/>
        <w:rPr>
          <w:sz w:val="20"/>
          <w:szCs w:val="20"/>
          <w:color w:val="auto"/>
        </w:rPr>
      </w:pPr>
      <w:r>
        <w:rPr>
          <w:rFonts w:ascii="Arial" w:cs="Arial" w:eastAsia="Arial" w:hAnsi="Arial"/>
          <w:sz w:val="18"/>
          <w:szCs w:val="18"/>
          <w:color w:val="auto"/>
        </w:rPr>
        <w:t>In 2018, restructuring charges were $4.5 million. These charges were related to severance costs from the reduction in our workforce as a result of the continued integration of HIS.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2020, we incurred $20.5 million in strategic transaction and integration expenses primarily related to the integration of HIS, which included the migration of IT systems at our Austin facility.</w:t>
      </w:r>
    </w:p>
    <w:p>
      <w:pPr>
        <w:spacing w:after="0" w:line="197"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2019, we incurred $72.2 million in strategic transaction and integration expenses primarily related to the integration of the HIS business. Integration expenses included a one-time strategic supply chain restructuring charge of $22.1 million, which reduces our contracted commitments to our third party manufacturer and we incurred charges related to our final Pfizer separation costs and clean-up, which included a $12.7 million non-cash write-off of related assets.</w:t>
      </w:r>
    </w:p>
    <w:p>
      <w:pPr>
        <w:spacing w:after="0" w:line="214" w:lineRule="exact"/>
        <w:rPr>
          <w:sz w:val="20"/>
          <w:szCs w:val="20"/>
          <w:color w:val="auto"/>
        </w:rPr>
      </w:pPr>
    </w:p>
    <w:p>
      <w:pPr>
        <w:ind w:right="180" w:firstLine="180"/>
        <w:spacing w:after="0" w:line="277" w:lineRule="auto"/>
        <w:rPr>
          <w:sz w:val="20"/>
          <w:szCs w:val="20"/>
          <w:color w:val="auto"/>
        </w:rPr>
      </w:pPr>
      <w:r>
        <w:rPr>
          <w:rFonts w:ascii="Arial" w:cs="Arial" w:eastAsia="Arial" w:hAnsi="Arial"/>
          <w:sz w:val="18"/>
          <w:szCs w:val="18"/>
          <w:color w:val="auto"/>
        </w:rPr>
        <w:t>In 2018, we incurred $100.9 million in strategic transaction and integration expenses primarily related to our continued integration of the HIS business and IT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2020, the fair value revaluation of our Pursuit contingent earn-out liability resulted in an increase in value of $9.0 million.</w:t>
      </w:r>
    </w:p>
    <w:p>
      <w:pPr>
        <w:spacing w:after="0" w:line="252" w:lineRule="exact"/>
        <w:rPr>
          <w:sz w:val="20"/>
          <w:szCs w:val="20"/>
          <w:color w:val="auto"/>
        </w:rPr>
      </w:pPr>
    </w:p>
    <w:p>
      <w:pPr>
        <w:ind w:right="80" w:firstLine="180"/>
        <w:spacing w:after="0" w:line="259" w:lineRule="auto"/>
        <w:rPr>
          <w:sz w:val="20"/>
          <w:szCs w:val="20"/>
          <w:color w:val="auto"/>
        </w:rPr>
      </w:pPr>
      <w:r>
        <w:rPr>
          <w:rFonts w:ascii="Arial" w:cs="Arial" w:eastAsia="Arial" w:hAnsi="Arial"/>
          <w:sz w:val="18"/>
          <w:szCs w:val="18"/>
          <w:color w:val="auto"/>
        </w:rPr>
        <w:t>In 2019, the fair value revaluation of our HIS contingent earn-out liability resulted in a change in value of $47.4 million reducing the liability balance to zero. The earn-out period ended on December 31, 2019. As of the date of this filing, Pfizer has disputed our determination that the performance targets requiring payout of the HIS earn-out liability were not met. We expect the dispute will be resolved by binding arbitration unless both parties are able to come to an agreement on this issue.</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2018, the fair value revaluation of our HIS contingent earn-out liability resulted in a change in fair value of $20.4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52"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In 2020, we recorded $1.0 million in contract settlement income related to the resolution of a dispute with one of our suppliers. In 2019 and 2018, we incurred a $5.7 million and $41.6 million charge, respectively, related to the resolution of a dispute with a product partner, which resulted in a redefinition of our contractual arrangement and in the rights and remedies determined under such arrangement.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was $1.8 million, $0.5 million and $0.7 million in 2020, 2019 and 2018, respectively.</w:t>
      </w:r>
    </w:p>
    <w:p>
      <w:pPr>
        <w:spacing w:after="0" w:line="252" w:lineRule="exact"/>
        <w:rPr>
          <w:sz w:val="20"/>
          <w:szCs w:val="20"/>
          <w:color w:val="auto"/>
        </w:rPr>
      </w:pPr>
    </w:p>
    <w:p>
      <w:pPr>
        <w:ind w:right="220" w:firstLine="180"/>
        <w:spacing w:after="0" w:line="277" w:lineRule="auto"/>
        <w:rPr>
          <w:sz w:val="20"/>
          <w:szCs w:val="20"/>
          <w:color w:val="auto"/>
        </w:rPr>
      </w:pPr>
      <w:r>
        <w:rPr>
          <w:rFonts w:ascii="Arial" w:cs="Arial" w:eastAsia="Arial" w:hAnsi="Arial"/>
          <w:sz w:val="18"/>
          <w:szCs w:val="18"/>
          <w:color w:val="auto"/>
        </w:rPr>
        <w:t>In 2020, interest expense was primarily related to borrowings under our five-year Revolving Credit Facility ("Credit Facility") and the amortization of financing costs that were incurred in 2017 in connection with entering into the Credit Facility.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41" w:name="page42"/>
    <w:bookmarkEnd w:id="41"/>
    <w:p>
      <w:pPr>
        <w:ind w:right="460" w:firstLine="648"/>
        <w:spacing w:after="0" w:line="277" w:lineRule="auto"/>
        <w:rPr>
          <w:sz w:val="20"/>
          <w:szCs w:val="20"/>
          <w:color w:val="auto"/>
        </w:rPr>
      </w:pPr>
      <w:r>
        <w:rPr>
          <w:rFonts w:ascii="Arial" w:cs="Arial" w:eastAsia="Arial" w:hAnsi="Arial"/>
          <w:sz w:val="18"/>
          <w:szCs w:val="18"/>
          <w:color w:val="auto"/>
        </w:rPr>
        <w:t>In 2019 and 2018, the interest expense includes the amortization of financing costs and a per annum commitment fee charged on the unused portion of the revolver under such Credit Facility.</w:t>
      </w:r>
    </w:p>
    <w:p>
      <w:pPr>
        <w:spacing w:after="0" w:line="197" w:lineRule="exact"/>
        <w:rPr>
          <w:sz w:val="20"/>
          <w:szCs w:val="20"/>
          <w:color w:val="auto"/>
        </w:rPr>
      </w:pPr>
    </w:p>
    <w:p>
      <w:pPr>
        <w:ind w:right="320" w:firstLine="180"/>
        <w:spacing w:after="0" w:line="279" w:lineRule="auto"/>
        <w:rPr>
          <w:sz w:val="20"/>
          <w:szCs w:val="20"/>
          <w:color w:val="auto"/>
        </w:rPr>
      </w:pPr>
      <w:r>
        <w:rPr>
          <w:rFonts w:ascii="Arial" w:cs="Arial" w:eastAsia="Arial" w:hAnsi="Arial"/>
          <w:sz w:val="17"/>
          <w:szCs w:val="17"/>
          <w:color w:val="auto"/>
        </w:rPr>
        <w:t>Borrowing under the Credit Facility bears interest, at our option, based on the Base Rate (as defined in Note 11 in our accompanying consolidated financial statements) plus applicable margin or the London Interbank Offered Rate plus applicable margin. The per annum commitment fee is based on consolidated total leverage ratio in effect and can range between 0.15% to 0.30% on the unused portion of the Credit Facility (see Note 11, Long-Term Obligations in our accompanying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52"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Other income (expense), net was $1.1 million, $7.9 million and $(6.7) million in 2020, 2019 and 2018, respectively. In 2020, the other income, net was primarily related to interest income of $3.7 million, miscellaneous income, net of $2.8 million and gain from the disposal of property, plant and equipment of $1.8 million, which was mostly offset by $7.2 million in foreign exchange losses incurred as a result of the strengthening of the U.S. dollar from the impact of COVID-19 during the first half of the year. In 2019, other income, net was primarily due to interest income of $6.8 million related to our banking and investment accounts. In 2018, other expense, net included $8.1 million of foreign exchange losses and a $3.9 million loss on disposal of or write-off of property, plant and equipment offset by $5.4 million of interest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were accrued at an estimated annual effective tax rate of 11%, 12% and (29%) in 2020, 2019 and 2018, respectively.</w:t>
      </w:r>
    </w:p>
    <w:p>
      <w:pPr>
        <w:spacing w:after="0" w:line="239"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The effective tax rate in 2020 differs from the federal statutory rate of 21% principally because of the effect of the mix of U.S. and foreign incomes, state income taxes, global intangible low-taxed income ("GILTI"), foreign-derived intangible income ("FDII") and tax credits. The effective tax rate in 2020 included a tax benefit of $5.3 million related to the excess tax benefits recognized on stock option exercises and the vesting of restricted stock units during the period. The effective tax rate for 2020 also included U.S. federal and state return-to-provision adjustments net of related reserve changes for the year ended December 31, 2019 of $3.8 million tax benefit primarily due to changes in estimates for GILTI, FDII, and related foreign tax credits.</w:t>
      </w:r>
    </w:p>
    <w:p>
      <w:pPr>
        <w:spacing w:after="0" w:line="201" w:lineRule="exact"/>
        <w:rPr>
          <w:sz w:val="20"/>
          <w:szCs w:val="20"/>
          <w:color w:val="auto"/>
        </w:rPr>
      </w:pPr>
    </w:p>
    <w:p>
      <w:pPr>
        <w:ind w:firstLine="177"/>
        <w:spacing w:after="0" w:line="254" w:lineRule="auto"/>
        <w:rPr>
          <w:sz w:val="20"/>
          <w:szCs w:val="20"/>
          <w:color w:val="auto"/>
        </w:rPr>
      </w:pPr>
      <w:r>
        <w:rPr>
          <w:rFonts w:ascii="Arial" w:cs="Arial" w:eastAsia="Arial" w:hAnsi="Arial"/>
          <w:sz w:val="18"/>
          <w:szCs w:val="18"/>
          <w:color w:val="auto"/>
        </w:rPr>
        <w:t>The effective tax rate in 2019 differs from the federal statutory rate of 21% principally because of the effect of the mix of U.S. and foreign incomes, state income taxes, GILTI and tax credits. The effective tax rate for 2019 included a tax benefit of $9.6 million related to the excess tax benefits recognized on stock option exercises and the vesting of restricted stock units during the period. The effective tax rate for 2019 was also impacted by the repatriation of certain intellectual property and assets from a liquidation of one of our foreign subsidiaries to the U.S. parent. In accordance with the changes to the accounting for income tax effects of such intra-entity transfers of assets, we recorded a net tax benefit of $3.8 million related to the liquidation. Lastly, the effective tax rate during 2019 included a tax expense of $2.2 million related to return-to-provision adjustments for the year ended December 31, 2018 primarily due to changes in estimates for our U.S. GILTI inclusion.</w:t>
      </w:r>
    </w:p>
    <w:p>
      <w:pPr>
        <w:spacing w:after="0" w:line="222" w:lineRule="exact"/>
        <w:rPr>
          <w:sz w:val="20"/>
          <w:szCs w:val="20"/>
          <w:color w:val="auto"/>
        </w:rPr>
      </w:pPr>
    </w:p>
    <w:p>
      <w:pPr>
        <w:ind w:firstLine="177"/>
        <w:spacing w:after="0" w:line="263" w:lineRule="auto"/>
        <w:rPr>
          <w:sz w:val="20"/>
          <w:szCs w:val="20"/>
          <w:color w:val="auto"/>
        </w:rPr>
      </w:pPr>
      <w:r>
        <w:rPr>
          <w:rFonts w:ascii="Arial" w:cs="Arial" w:eastAsia="Arial" w:hAnsi="Arial"/>
          <w:sz w:val="18"/>
          <w:szCs w:val="18"/>
          <w:color w:val="auto"/>
        </w:rPr>
        <w:t>The effective tax rate in 2018 differs from the federal statutory rate of 21% principally because of the effect of the mix of U.S. and foreign incomes, state income taxes and tax credits. The effective tax rate for 2018 included a tax benefit of $12.6 million related to the excess tax benefits recognized on stock option exercises and the vesting of restricted stock units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Our primary sources of cash are cash flows from operating activities, proceeds from the exercise of employee options and borrowings under our Credit Facility (as defined above). Our primary uses of cash are to meet working capital requirements, finance capital expenditures and acquisitions along with acquisition-related incremental transaction and integration costs.</w:t>
      </w:r>
    </w:p>
    <w:p>
      <w:pPr>
        <w:spacing w:after="0" w:line="21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During 2020, our cash, cash equivalents and short-term investment securities increased by $118.1 million from $292.6 million at December 31, 2019 to $410.8 million at December 31, 2020. Our cash provided by operations was partially offset by purchases of property and equipment and cash taxes paid by us on behalf of employees related to net share settlement of their equity awards.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Future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five-year $150 million Credit Facility provides us with fast, flexible funding for future acquisition and operational needs.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investment portfolio is invested in corporate bonds and our primary investment goal is capital preservation.</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While we can provide no assurances, we estimate that our capital expenditures in 2021 will approximate $75 million to $85 million. We anticipate making additional investments in machinery and equipment in our manufacturing operations in Costa Rica, the U.S. and Mexico to support new and existing products and in infusion pumps that get placed with customers outside the U.S. We expect to use our cash and cash equivalents to fund our capital purchases. Amounts of spending are estimates and actual spending may substantially differ from those amounts.</w:t>
      </w:r>
    </w:p>
    <w:p>
      <w:pPr>
        <w:spacing w:after="0" w:line="198"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We believe that our existing cash, cash equivalents along with funds expected to be generated from future operations will provide us with sufficient funds to finance our current operations for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w:t>
      </w:r>
    </w:p>
    <w:p>
      <w:pPr>
        <w:spacing w:after="0" w:line="252" w:lineRule="exact"/>
        <w:rPr>
          <w:sz w:val="20"/>
          <w:szCs w:val="20"/>
          <w:color w:val="auto"/>
        </w:rPr>
      </w:pPr>
    </w:p>
    <w:p>
      <w:pPr>
        <w:ind w:right="600" w:firstLine="180"/>
        <w:spacing w:after="0" w:line="277" w:lineRule="auto"/>
        <w:rPr>
          <w:sz w:val="20"/>
          <w:szCs w:val="20"/>
          <w:color w:val="auto"/>
        </w:rPr>
      </w:pPr>
      <w:r>
        <w:rPr>
          <w:rFonts w:ascii="Arial" w:cs="Arial" w:eastAsia="Arial" w:hAnsi="Arial"/>
          <w:sz w:val="18"/>
          <w:szCs w:val="18"/>
          <w:color w:val="auto"/>
        </w:rPr>
        <w:t>Our long-term liquidity needs include capital expenditures related to the expansion and maintenance of our business and potential acquisitions in accordance with our growth strategy.</w:t>
      </w:r>
    </w:p>
    <w:p>
      <w:pPr>
        <w:spacing w:after="0" w:line="197" w:lineRule="exact"/>
        <w:rPr>
          <w:sz w:val="20"/>
          <w:szCs w:val="20"/>
          <w:color w:val="auto"/>
        </w:rPr>
      </w:pPr>
    </w:p>
    <w:p>
      <w:pPr>
        <w:ind w:right="200" w:firstLine="177"/>
        <w:spacing w:after="0" w:line="257" w:lineRule="auto"/>
        <w:rPr>
          <w:sz w:val="20"/>
          <w:szCs w:val="20"/>
          <w:color w:val="auto"/>
        </w:rPr>
      </w:pPr>
      <w:r>
        <w:rPr>
          <w:rFonts w:ascii="Arial" w:cs="Arial" w:eastAsia="Arial" w:hAnsi="Arial"/>
          <w:sz w:val="18"/>
          <w:szCs w:val="18"/>
          <w:color w:val="auto"/>
        </w:rPr>
        <w:t>We are unable to project with certainty whether our long-term cash flow from operations and amounts available to us under our Credit Facility will be sufficient to fund our future capital expenditures and acquisitions as they arise. In the event that we experience illiquidity in our investment securities,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 November 8, 2017, we entered into a five year revolving Credit Facility with various lenders which includes</w:t>
      </w:r>
    </w:p>
    <w:p>
      <w:pPr>
        <w:spacing w:after="0" w:line="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$150 million in borrowing capacity available for revolving credit loans and may also be used to borrow, on same-day notice under a swingline, the lesser of $10 million and the aggregate unused amount of the revolving credit available. During the first quarter in 2020, as a result of market uncertainty caused by COVID-19, we preemptively increased our liquidity as a precautionary measure by borrowing $150.0 million under our revolving Credit Facility. As 2020 progressed, financial institutions demonstrated adequate liquidity in meeting the funding needs of the market and our internal operations remained stable, as such, we fully repaid the $150.0 million borrowed under our Credit Facility during the third quarter. As of December 31, 2020, we had $150 million of availability under the revolving Credit Facility.</w:t>
      </w:r>
    </w:p>
    <w:p>
      <w:pPr>
        <w:spacing w:after="0" w:line="217" w:lineRule="exact"/>
        <w:rPr>
          <w:sz w:val="20"/>
          <w:szCs w:val="20"/>
          <w:color w:val="auto"/>
        </w:rPr>
      </w:pPr>
    </w:p>
    <w:p>
      <w:pPr>
        <w:jc w:val="both"/>
        <w:ind w:right="240" w:firstLine="170"/>
        <w:spacing w:after="0" w:line="263" w:lineRule="auto"/>
        <w:rPr>
          <w:sz w:val="20"/>
          <w:szCs w:val="20"/>
          <w:color w:val="auto"/>
        </w:rPr>
      </w:pPr>
      <w:r>
        <w:rPr>
          <w:rFonts w:ascii="Arial" w:cs="Arial" w:eastAsia="Arial" w:hAnsi="Arial"/>
          <w:sz w:val="18"/>
          <w:szCs w:val="18"/>
          <w:color w:val="auto"/>
        </w:rPr>
        <w:t>All of our obligations under the Credit Facility are guaranteed by ICU Medical, Inc. and certain of our existing subsidiaries. The obligations under the Credit Facility are secured by a pledge of 100% of the capital stock of certain subsidiaries owned by us and a security interest in substantially all of our tangible and intangible assets and the tangible and intangible assets of each guarantor.</w:t>
      </w:r>
    </w:p>
    <w:p>
      <w:pPr>
        <w:spacing w:after="0" w:line="211" w:lineRule="exact"/>
        <w:rPr>
          <w:sz w:val="20"/>
          <w:szCs w:val="20"/>
          <w:color w:val="auto"/>
        </w:rPr>
      </w:pPr>
    </w:p>
    <w:p>
      <w:pPr>
        <w:ind w:right="100" w:firstLine="177"/>
        <w:spacing w:after="0" w:line="255" w:lineRule="auto"/>
        <w:rPr>
          <w:sz w:val="20"/>
          <w:szCs w:val="20"/>
          <w:color w:val="auto"/>
        </w:rPr>
      </w:pPr>
      <w:r>
        <w:rPr>
          <w:rFonts w:ascii="Arial" w:cs="Arial" w:eastAsia="Arial" w:hAnsi="Arial"/>
          <w:sz w:val="18"/>
          <w:szCs w:val="18"/>
          <w:color w:val="auto"/>
        </w:rPr>
        <w:t>The Credit Facility contains certain financial covenants pertaining to Consolidated Fixed Charge Coverage and Consolidated Total Leverage ratios, see below under "Financial Covenants".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3" w:name="page44"/>
    <w:bookmarkEnd w:id="43"/>
    <w:p>
      <w:pPr>
        <w:ind w:right="380" w:firstLine="177"/>
        <w:spacing w:after="0" w:line="277" w:lineRule="auto"/>
        <w:rPr>
          <w:sz w:val="20"/>
          <w:szCs w:val="20"/>
          <w:color w:val="auto"/>
        </w:rPr>
      </w:pPr>
      <w:r>
        <w:rPr>
          <w:rFonts w:ascii="Arial" w:cs="Arial" w:eastAsia="Arial" w:hAnsi="Arial"/>
          <w:sz w:val="18"/>
          <w:szCs w:val="18"/>
          <w:color w:val="auto"/>
        </w:rPr>
        <w:t>The Credit Facility contains certain negative financial covenants, including, Consolidated Total Leverage and Consolidated Fixed Charge Coverage Ratios.</w:t>
      </w:r>
    </w:p>
    <w:p>
      <w:pPr>
        <w:spacing w:after="0" w:line="197" w:lineRule="exact"/>
        <w:rPr>
          <w:sz w:val="20"/>
          <w:szCs w:val="20"/>
          <w:color w:val="auto"/>
        </w:rPr>
      </w:pPr>
    </w:p>
    <w:p>
      <w:pPr>
        <w:jc w:val="both"/>
        <w:ind w:right="20" w:firstLine="177"/>
        <w:spacing w:after="0" w:line="263"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Consolidated Fixed Charge Coverage Ratio is defined as the ratio of: (a) Consolidated Adjusted EBITDA less the sum of (i) capital expenditures,</w:t>
      </w:r>
    </w:p>
    <w:p>
      <w:pPr>
        <w:spacing w:after="0" w:line="46" w:lineRule="exact"/>
        <w:rPr>
          <w:sz w:val="20"/>
          <w:szCs w:val="20"/>
          <w:color w:val="auto"/>
        </w:rPr>
      </w:pPr>
    </w:p>
    <w:p>
      <w:pPr>
        <w:ind w:right="80" w:firstLine="8"/>
        <w:spacing w:after="0" w:line="255"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were in compliance with all financial covenants as of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r>
        <w:rPr>
          <w:rFonts w:ascii="Arial" w:cs="Arial" w:eastAsia="Arial" w:hAnsi="Arial"/>
          <w:sz w:val="18"/>
          <w:szCs w:val="18"/>
          <w:i w:val="1"/>
          <w:iCs w:val="1"/>
          <w:color w:val="auto"/>
        </w:rPr>
        <w:t>:</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cash provided by operations was $222.8 million in 2020. Net income plus adjustments for non-cash net expenses contributed $239.7 million to cash provided by operations. Net cash used in operations as a result of changes in operating assets and liabilities was $17.0 million. The changes in operating assets and liabilities included a $46.4 million decrease in accounts payable, a $29.4 million decrease in accrued liabilities, $18.0 million in net changes in income taxes, including excess tax benefits and deferred income taxes, a $16.1 million increase in other assets, and a $4.3 million increase in prepaid expenses and other current assets. Offsetting these amounts was a $78.0 million decrease in accounts receivable and a $19.2 million decrease in inventories. The decrease in accounts payable was due to the payment of integration-related expenses with extended payment terms and the timing of other payments. The decrease in accrued liabilities was due to the payment of one-time accrued supply chain reorganization costs. The increase in other assets was due to the purchase of spare parts. The net changes in income taxes was a result of the timing of payments. The increase in prepaid expenses and other current assets was primarily due to an increase in deferred costs. The decrease in accounts receivable is primarily due to collection efforts. The decrease in inventory was primarily due to improved inventory management and increased demand for certain products driven by the COVID-19 pandemic at the end of the year.</w:t>
      </w:r>
    </w:p>
    <w:p>
      <w:pPr>
        <w:spacing w:after="0" w:line="20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cash provided by operations was $101.9 million in 2019. Net income plus adjustments for non-cash net expenses contributed $213.6 million to cash provided by operations. Net cash used in operations as a result of changes in operating assets and liabilities was $111.6 million. The changes in operating assets and liabilities included a $43.7 million decrease in accrued liabilities, a $29.8 million increase in other assets, a $25.0 million increase in inventories, a $23.7 million increase in accounts receivable, and a $2.7 million decrease in accounts payable. Offsetting these amounts was a $8.6 million decrease in prepaid expenses and other current assets and $4.7 million in net changes in income taxes, including excess tax benefits and deferred income taxes. The decrease in accrued liabilities was primarily a result of the payout of accrued compensation, partially offset by an increase in certain accruals including $22.1 million in accrued costs related to the initial ramp down of IV Solution production. The increase in other assets was primarily related to the purchase of spare parts. The increase in inventory was primarily due to an increase in our finished goods safety stock. The increase in accounts receivable is mainly due to the current year reclassification of receivables from Pfizer and the timing of revenue and collections. In the current year, receivables from Pfizer are included in accounts receivable and not in a separate related-party receivable line item as in the prior year. As of December 31, 2018, Pfizer had sold all of its shares of our common stock thereby ending its related-party relationship with us. The decrease in accounts payable was due to the timing of payments. The decrease in prepaid expenses and other current assets was primarily due to the collection of receivable amounts owed from Pfizer. The net changes in income taxes was a result of the timing of payments.</w:t>
      </w:r>
    </w:p>
    <w:p>
      <w:pPr>
        <w:spacing w:after="0" w:line="20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cash provided by operations was $160.2 million in 2018. Net income plus adjustments for non-cash net expenses contributed $192.9 million to cash provided by operations. Net cash provided by operations as a result of changes in operating assets and liabilities was $32.7 million. The changes in operating assets and liabilities included a $76.7 million increase in accounts receivable, a $29.6 million decrease in accrued liabilities, a $21.8 million increase in inventories, a $20.0 million in net changes in income taxes, including excess tax benefits and deferred income taxes and a $9.1 million increase in other assets. Offsetting these amounts was a $97.4 million decrease in related party receivables and a $23.3 million increase in accounts payable. The increase in accounts receivable is due to the increase in revenue and timing of collections. The decrease in accrued liabilities was primarily a result of the settlement of contract liabilities. The increase in inventory was primarily due to efforts to build-up the inventory level of certain products. The net changes in income taxes was a result of the timing of payments. The increase in other assets was primarily due to the purchase of spare parts. The decrease in related-party receivables was a result</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of the transition services agreement with Pfizer nearing its end. The increase in accounts payable was due to the timing of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8"/>
          </w:tcPr>
          <w:p>
            <w:pPr>
              <w:ind w:left="18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Variance</w:t>
            </w: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400" w:type="dxa"/>
            <w:vAlign w:val="bottom"/>
            <w:tcBorders>
              <w:bottom w:val="single" w:sz="8" w:color="CCEEFF"/>
            </w:tcBorders>
          </w:tcPr>
          <w:p>
            <w:pPr>
              <w:spacing w:after="0"/>
              <w:rPr>
                <w:sz w:val="19"/>
                <w:szCs w:val="19"/>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Cash Flows: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(92,005)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(97,312)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(92,720)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(1)</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(2)</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Proceeds from the disposal of assets held-for-sale, net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(3)</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additions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0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Business acquisitions, net of cash acquired</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(74,833)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0"/>
              </w:rPr>
              <w:t>(4)</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(5)</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sale of investment securities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25,852</w:t>
            </w:r>
          </w:p>
        </w:tc>
        <w:tc>
          <w:tcPr>
            <w:tcW w:w="40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w w:val="90"/>
              </w:rPr>
              <w:t>(6)</w:t>
            </w: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(63,518)</w:t>
            </w:r>
          </w:p>
        </w:tc>
        <w:tc>
          <w:tcPr>
            <w:tcW w:w="400" w:type="dxa"/>
            <w:vAlign w:val="bottom"/>
            <w:tcBorders>
              <w:bottom w:val="single" w:sz="8" w:color="CCEEFF"/>
            </w:tcBorders>
            <w:shd w:val="clear" w:color="auto" w:fill="CCEEFF"/>
          </w:tcPr>
          <w:p>
            <w:pPr>
              <w:spacing w:after="0"/>
              <w:rPr>
                <w:sz w:val="21"/>
                <w:szCs w:val="2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51" w:lineRule="exact"/>
        <w:rPr>
          <w:sz w:val="20"/>
          <w:szCs w:val="20"/>
          <w:color w:val="auto"/>
        </w:rPr>
      </w:pPr>
    </w:p>
    <w:p>
      <w:pPr>
        <w:ind w:right="400" w:firstLine="8"/>
        <w:spacing w:after="0" w:line="317" w:lineRule="auto"/>
        <w:tabs>
          <w:tab w:leader="none" w:pos="165"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Our purchases of property, plant and equipment will vary from period to period based on additional investments needed to support new and existing products and expansion of our manufacturing facilities.</w:t>
      </w:r>
    </w:p>
    <w:p>
      <w:pPr>
        <w:spacing w:after="0" w:line="147"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In 2020, we sold our Farmers Branch, Texas, U.S. distribution facility for $6.0 million.</w:t>
      </w:r>
    </w:p>
    <w:p>
      <w:pPr>
        <w:spacing w:after="0" w:line="217"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In 2018, we sold the land and building related to our Dominican Republic manufacturing facilities acquired as part of the 2017 HIS acquisition.</w:t>
      </w:r>
    </w:p>
    <w:p>
      <w:pPr>
        <w:spacing w:after="0" w:line="228" w:lineRule="exact"/>
        <w:rPr>
          <w:rFonts w:ascii="Arial" w:cs="Arial" w:eastAsia="Arial" w:hAnsi="Arial"/>
          <w:sz w:val="21"/>
          <w:szCs w:val="21"/>
          <w:color w:val="auto"/>
          <w:vertAlign w:val="superscript"/>
        </w:rPr>
      </w:pPr>
    </w:p>
    <w:p>
      <w:pPr>
        <w:ind w:right="800" w:firstLine="8"/>
        <w:spacing w:after="0" w:line="269" w:lineRule="auto"/>
        <w:tabs>
          <w:tab w:leader="none" w:pos="181"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Our business acquisitions will vary from period to period based upon our current growth strategy and our ability to execute on desirable target companies. In 2019, we acquired Pursuit for approximately $75.0 million in cash consideration and we acquired a small foreign distributor for approximately $4.6 million.</w:t>
      </w:r>
    </w:p>
    <w:p>
      <w:pPr>
        <w:spacing w:after="0" w:line="207" w:lineRule="exact"/>
        <w:rPr>
          <w:rFonts w:ascii="Arial" w:cs="Arial" w:eastAsia="Arial" w:hAnsi="Arial"/>
          <w:sz w:val="21"/>
          <w:szCs w:val="21"/>
          <w:color w:val="auto"/>
          <w:vertAlign w:val="superscript"/>
        </w:rPr>
      </w:pPr>
    </w:p>
    <w:p>
      <w:pPr>
        <w:jc w:val="both"/>
        <w:ind w:right="60" w:firstLine="8"/>
        <w:spacing w:after="0" w:line="300" w:lineRule="auto"/>
        <w:tabs>
          <w:tab w:leader="none" w:pos="165"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Our purchases of investment securities will vary from period to period based on current cash needs, planning for known future transactions and changes in our investment strategy. Our investment policy allows for the purchase of securities with final maturities in excess of one year. If cash is not needed for known future transactions our investment strategy takes advantage of the long-term securities with higher yields. Typically, our longer term securities have maturities up to three years.</w:t>
      </w:r>
    </w:p>
    <w:p>
      <w:pPr>
        <w:spacing w:after="0" w:line="175"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Proceeds from the sale of our investment securities will vary based on the maturity dates of the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8"/>
          </w:tcPr>
          <w:p>
            <w:pPr>
              <w:ind w:left="180"/>
              <w:spacing w:after="0"/>
              <w:rPr>
                <w:sz w:val="20"/>
                <w:szCs w:val="20"/>
                <w:color w:val="auto"/>
              </w:rPr>
            </w:pPr>
            <w:r>
              <w:rPr>
                <w:rFonts w:ascii="Arial" w:cs="Arial" w:eastAsia="Arial" w:hAnsi="Arial"/>
                <w:sz w:val="18"/>
                <w:szCs w:val="18"/>
                <w:b w:val="1"/>
                <w:bCs w:val="1"/>
                <w:color w:val="auto"/>
              </w:rPr>
              <w:t>For the Years Ended December 31,</w:t>
            </w: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Variance</w:t>
            </w: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c>
          <w:tcPr>
            <w:tcW w:w="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Cash Flows: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Proceeds from short-term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9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Repayment of short-term debt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1"/>
              </w:rPr>
              <w:t>(1)</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(6,543)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w w:val="91"/>
              </w:rPr>
              <w:t>(2)</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40" w:type="dxa"/>
            <w:vAlign w:val="bottom"/>
          </w:tcPr>
          <w:p>
            <w:pPr>
              <w:spacing w:after="0" w:line="176" w:lineRule="exact"/>
              <w:rPr>
                <w:sz w:val="20"/>
                <w:szCs w:val="20"/>
                <w:color w:val="auto"/>
              </w:rPr>
            </w:pPr>
            <w:r>
              <w:rPr>
                <w:rFonts w:ascii="Arial" w:cs="Arial" w:eastAsia="Arial" w:hAnsi="Arial"/>
                <w:sz w:val="18"/>
                <w:szCs w:val="18"/>
                <w:color w:val="auto"/>
              </w:rPr>
              <w:t>Tax withholding payments related to net share settlement of</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(12,876)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(12,387)</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awards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w w:val="91"/>
              </w:rPr>
              <w:t>(3)</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(18,930)</w:t>
            </w: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5" w:name="page46"/>
    <w:bookmarkEnd w:id="45"/>
    <w:p>
      <w:pPr>
        <w:ind w:firstLine="8"/>
        <w:spacing w:after="0" w:line="227" w:lineRule="auto"/>
        <w:tabs>
          <w:tab w:leader="none" w:pos="217"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During 2020, as a result of market uncertainty caused by COVID-19, we borrowed $150.0 million under our revolving Credit Facility as a precautionary measure to increase liquidity. We had fully repaid all amounts borrowed as of December 31, 2020.</w:t>
      </w:r>
    </w:p>
    <w:p>
      <w:pPr>
        <w:ind w:right="540" w:firstLine="8"/>
        <w:spacing w:after="0" w:line="265" w:lineRule="auto"/>
        <w:tabs>
          <w:tab w:leader="none" w:pos="165"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Proceeds from the exercise of stock options will vary from period to period based on the volume of options exercised and the exercise price of the specific options exercised.</w:t>
      </w:r>
    </w:p>
    <w:p>
      <w:pPr>
        <w:ind w:firstLine="8"/>
        <w:spacing w:after="0" w:line="295" w:lineRule="auto"/>
        <w:tabs>
          <w:tab w:leader="none" w:pos="165"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In 2020, our employees surrendered 67,041 shares of our common stock from vested restricted stock awards as consideration for approximately $12.9 million in minimum statutory withholding obligations paid on their behalf. In 2019, our employees surrendered 80,186 shares of our common stock from vested restricted stock awards as consideration for approximately $18.6 million in minimum statutory withholding obligations paid on their behalf. In 2018, our employees surrendered 26,307 shares of our common stock from vested restricted stock awards as consideration for approximately $6.3 million in minimum statutory withholding obligations paid on their behalf.</w:t>
      </w:r>
    </w:p>
    <w:p>
      <w:pPr>
        <w:spacing w:after="0" w:line="19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common stock purchase plan, which authorized the repurchase of up to $100.0 million of our common stock, was authorized by our Board of Directors and publicly announced in August 2019. This plan replaced our existing plan and has no expiration date. As of December 31, 2020, all of the $100.0 million available for purchase was remaining under the plan. We are currently limited on share purchases in accordance with the terms and conditions of our Credit Facility (see Note 11 to the consolidated financial statements in Part II, Item 8 of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believe that inflation and changing prices had a significant impact on our results of operations for any periods presented herein.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to the consolidated financial statements in Part II, Item 8 of this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177"/>
        <w:spacing w:after="0" w:line="255" w:lineRule="auto"/>
        <w:rPr>
          <w:sz w:val="20"/>
          <w:szCs w:val="20"/>
          <w:color w:val="auto"/>
        </w:rPr>
      </w:pPr>
      <w:r>
        <w:rPr>
          <w:rFonts w:ascii="Arial" w:cs="Arial" w:eastAsia="Arial" w:hAnsi="Arial"/>
          <w:sz w:val="18"/>
          <w:szCs w:val="18"/>
          <w:color w:val="auto"/>
        </w:rPr>
        <w:t>We have contractual obligations, at December 31, 2020, of approximately the amount set forth in the table below. This amount excludes inventory-related purchase orders for goods and services for current delivery and other open orders for purchases that support normal operations. The majority of our inventory purchase orders are blanket purchase orders that represent an estimated forecast of goods and services. We do not have a firm commitment liability on the blanket purchase orders. We have excluded from the table below pursuant to ASC 740-10-25 (formerly FIN 48), an interpretation of ASC 740-10 (formerly SFAS 109), a non-current income tax liability of $16.4 million due to the high degree of uncertainty regarding the timing of future cash outflows associated with the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2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294"/>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35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4"/>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4"/>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26"/>
        </w:trPr>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175"/>
        </w:trPr>
        <w:tc>
          <w:tcPr>
            <w:tcW w:w="23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Commitment fee on Credit</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Facility</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Warehouse service</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70,723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16,635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13,514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11,884</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8,399</w:t>
            </w:r>
          </w:p>
        </w:tc>
        <w:tc>
          <w:tcPr>
            <w:tcW w:w="10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15,289</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 other factors that we believe are reasonable. We evaluate our estimates, assumptions and judgments on a regular basis and apply our accounting policies on a consistent basis. We believe that the estimates, assumptions and judgments involved in the accounting for revenue recognition, accounts receivable, inventories, property, plant and equipment and related depreciation, and business combinations have the most potential impact on our consolidated financial statements. Historically, our estimates, assumptions and judgments relative to our critical accounting policies have not differed materially from actual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60" w:firstLine="177"/>
        <w:spacing w:after="0" w:line="270" w:lineRule="auto"/>
        <w:rPr>
          <w:sz w:val="20"/>
          <w:szCs w:val="20"/>
          <w:color w:val="auto"/>
        </w:rPr>
      </w:pPr>
      <w:r>
        <w:rPr>
          <w:rFonts w:ascii="Arial" w:cs="Arial" w:eastAsia="Arial" w:hAnsi="Arial"/>
          <w:sz w:val="16"/>
          <w:szCs w:val="16"/>
          <w:color w:val="auto"/>
        </w:rPr>
        <w:t>We recognize revenues when we transfer control of promised goods to our customers in an amount that reflects the consideration to which we expect to be entitled in exchange for those goods. We offer certain volume-based rebates to our distribution customers, which we consider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Chargebacks are the difference between prices we charge our distribution customers and contracted prices we have with the end customer which are processed as credits to our distribution customers. In estimating the expected value of chargeback amounts for use in determining the transaction price, we use information available at the time, including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198" w:lineRule="exact"/>
        <w:rPr>
          <w:sz w:val="20"/>
          <w:szCs w:val="20"/>
          <w:color w:val="auto"/>
        </w:rPr>
      </w:pPr>
    </w:p>
    <w:p>
      <w:pPr>
        <w:ind w:right="280" w:firstLine="177"/>
        <w:spacing w:after="0" w:line="277" w:lineRule="auto"/>
        <w:rPr>
          <w:sz w:val="20"/>
          <w:szCs w:val="20"/>
          <w:color w:val="auto"/>
        </w:rPr>
      </w:pPr>
      <w:r>
        <w:rPr>
          <w:rFonts w:ascii="Arial" w:cs="Arial" w:eastAsia="Arial" w:hAnsi="Arial"/>
          <w:sz w:val="18"/>
          <w:szCs w:val="18"/>
          <w:color w:val="auto"/>
        </w:rPr>
        <w:t>The vast majority of our sales of Infusion Consumables, Infusion Systems, IV Solutions and Critical Care products are sold on a standalone basis and control of these products transfers to the customer upon shipment.</w:t>
      </w:r>
    </w:p>
    <w:p>
      <w:pPr>
        <w:spacing w:after="0" w:line="197" w:lineRule="exact"/>
        <w:rPr>
          <w:sz w:val="20"/>
          <w:szCs w:val="20"/>
          <w:color w:val="auto"/>
        </w:rPr>
      </w:pPr>
    </w:p>
    <w:p>
      <w:pPr>
        <w:ind w:right="260" w:firstLine="180"/>
        <w:spacing w:after="0" w:line="277" w:lineRule="auto"/>
        <w:rPr>
          <w:sz w:val="20"/>
          <w:szCs w:val="20"/>
          <w:color w:val="auto"/>
        </w:rPr>
      </w:pPr>
      <w:r>
        <w:rPr>
          <w:rFonts w:ascii="Arial" w:cs="Arial" w:eastAsia="Arial" w:hAnsi="Arial"/>
          <w:sz w:val="18"/>
          <w:szCs w:val="18"/>
          <w:color w:val="auto"/>
        </w:rPr>
        <w:t>Our software license renewals are considered to be transferred to a customer at a point in time at the start of each renewal period, therefore revenue is recognized at that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Deliverables</w:t>
      </w:r>
    </w:p>
    <w:p>
      <w:pPr>
        <w:spacing w:after="0" w:line="252" w:lineRule="exact"/>
        <w:rPr>
          <w:sz w:val="20"/>
          <w:szCs w:val="20"/>
          <w:color w:val="auto"/>
        </w:rPr>
      </w:pPr>
    </w:p>
    <w:p>
      <w:pPr>
        <w:ind w:right="80" w:firstLine="180"/>
        <w:spacing w:after="0" w:line="255" w:lineRule="auto"/>
        <w:rPr>
          <w:sz w:val="20"/>
          <w:szCs w:val="20"/>
          <w:color w:val="auto"/>
        </w:rPr>
      </w:pPr>
      <w:r>
        <w:rPr>
          <w:rFonts w:ascii="Arial" w:cs="Arial" w:eastAsia="Arial" w:hAnsi="Arial"/>
          <w:sz w:val="18"/>
          <w:szCs w:val="18"/>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w:t>
      </w:r>
    </w:p>
    <w:p>
      <w:pPr>
        <w:spacing w:after="0" w:line="3"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is recognized upon implementation. The transaction price allocated to the extended service-type warranty is recognized as revenue over the period the warranty service is provided.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right="160" w:firstLine="170"/>
        <w:spacing w:after="0" w:line="291" w:lineRule="auto"/>
        <w:rPr>
          <w:sz w:val="20"/>
          <w:szCs w:val="20"/>
          <w:color w:val="auto"/>
        </w:rPr>
      </w:pPr>
      <w:r>
        <w:rPr>
          <w:rFonts w:ascii="Arial" w:cs="Arial" w:eastAsia="Arial" w:hAnsi="Arial"/>
          <w:sz w:val="16"/>
          <w:szCs w:val="16"/>
          <w:color w:val="auto"/>
        </w:rPr>
        <w:t>Accounts receivable are stated at net realizable value. An allowance is provided for estimated collection losses based on an analysis of the age of the receivable, on specific past due accounts for which we consider collection to be doubtful and based on current receivables where known economic conditions specific to individual significant customers may indicate collection is doubtful. We rely on prior payment trends, financial status and other factors to estimate the cash which ultimately will be received. Such amounts cannot be known with certainty at the financial statement date. We regularly review individual past due balances for collectability. Loss exposure is with international customers for whom normal payment terms are long in comparison to those of our other customers and with domestic distributors. If actual collection losses exceed expectations, we could be required to accrue additional bad debt expense, which could have an adverse effect on our operating results in the period in which the accrual occurs.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7" w:name="page48"/>
    <w:bookmarkEnd w:id="47"/>
    <w:p>
      <w:pPr>
        <w:ind w:right="160" w:firstLine="180"/>
        <w:spacing w:after="0" w:line="273" w:lineRule="auto"/>
        <w:rPr>
          <w:sz w:val="20"/>
          <w:szCs w:val="20"/>
          <w:color w:val="auto"/>
        </w:rPr>
      </w:pPr>
      <w:r>
        <w:rPr>
          <w:rFonts w:ascii="Arial" w:cs="Arial" w:eastAsia="Arial" w:hAnsi="Arial"/>
          <w:sz w:val="17"/>
          <w:szCs w:val="17"/>
          <w:color w:val="auto"/>
        </w:rPr>
        <w:t>Inventories are stated at the lower of cost (first in, first out) or net realizable value. We need to carry many components to accommodate our rapid product delivery, and if we overestimate demand or if customer requirements change, we may have components in inventory that we may not be able to use. For finished products in inventory, we need to estimate what may not be saleable. We regularly review inventory and reserve for slow moving items, and write off all items that we do not expect to use in manufacturing, and finished products that we do not expect to sell. If actual usage of components or sales of finished goods inventory is less than our estimates, we could be required to write off additional inventory, which could have an adverse effect on our operating results in the period in which the write-off occurs.</w:t>
      </w:r>
    </w:p>
    <w:p>
      <w:pPr>
        <w:spacing w:after="0" w:line="205" w:lineRule="exact"/>
        <w:rPr>
          <w:sz w:val="20"/>
          <w:szCs w:val="20"/>
          <w:color w:val="auto"/>
        </w:rPr>
      </w:pPr>
    </w:p>
    <w:p>
      <w:pPr>
        <w:ind w:right="540" w:firstLine="180"/>
        <w:spacing w:after="0" w:line="277" w:lineRule="auto"/>
        <w:rPr>
          <w:sz w:val="20"/>
          <w:szCs w:val="20"/>
          <w:color w:val="auto"/>
        </w:rPr>
      </w:pPr>
      <w:r>
        <w:rPr>
          <w:rFonts w:ascii="Arial" w:cs="Arial" w:eastAsia="Arial" w:hAnsi="Arial"/>
          <w:sz w:val="18"/>
          <w:szCs w:val="18"/>
          <w:color w:val="auto"/>
        </w:rPr>
        <w:t>If our excess and obsolete reserve changed by 1% our cost of goods sold and gross margin would be impacted by $0.4 million with no meaningful impact to our gross margin percentage.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equipment/depreciation</w:t>
      </w:r>
    </w:p>
    <w:p>
      <w:pPr>
        <w:spacing w:after="0" w:line="252" w:lineRule="exact"/>
        <w:rPr>
          <w:sz w:val="20"/>
          <w:szCs w:val="20"/>
          <w:color w:val="auto"/>
        </w:rPr>
      </w:pPr>
    </w:p>
    <w:p>
      <w:pPr>
        <w:ind w:firstLine="180"/>
        <w:spacing w:after="0" w:line="291" w:lineRule="auto"/>
        <w:rPr>
          <w:sz w:val="20"/>
          <w:szCs w:val="20"/>
          <w:color w:val="auto"/>
        </w:rPr>
      </w:pPr>
      <w:r>
        <w:rPr>
          <w:rFonts w:ascii="Arial" w:cs="Arial" w:eastAsia="Arial" w:hAnsi="Arial"/>
          <w:sz w:val="16"/>
          <w:szCs w:val="16"/>
          <w:color w:val="auto"/>
        </w:rPr>
        <w:t>Property, plant and equipment is carried at cost and depreciated on the straight-line method over the estimated useful lives. The estimates of useful lives are significant judgments in accounting for property, plant and equipment, particularly for molds and automated assembly machines that are custom made for us. We may retire them on an accelerated basis if we replace them with larger or more technologically advanced tooling. The remaining useful lives of all property, plant and equipment are reviewed regularly and lives are adjusted or assets written off based on current estimates of future use. As part of that review, property, plant and equipment is reviewed for other indicators of impairment. An unexpected shortening of useful lives of property, plant and equipment that significantly increases depreciation provisions, or other circumstances causing us to record an impairment loss on such assets, could have an adverse effect on our operating results in the period in which the related charges are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jc w:val="both"/>
        <w:ind w:right="140" w:firstLine="177"/>
        <w:spacing w:after="0" w:line="263" w:lineRule="auto"/>
        <w:rPr>
          <w:sz w:val="20"/>
          <w:szCs w:val="20"/>
          <w:color w:val="auto"/>
        </w:rPr>
      </w:pPr>
      <w:r>
        <w:rPr>
          <w:rFonts w:ascii="Arial" w:cs="Arial" w:eastAsia="Arial" w:hAnsi="Arial"/>
          <w:sz w:val="18"/>
          <w:szCs w:val="18"/>
          <w:color w:val="auto"/>
        </w:rPr>
        <w:t>The application of the acquisition method of accounting for business combinations requires the use of significant estimates, assumptions and judgments in the determination of the estimated fair value of assets acquired and liabilities assumed in order to properly allocate the purchase price at the acquisition date.</w:t>
      </w:r>
    </w:p>
    <w:p>
      <w:pPr>
        <w:spacing w:after="0" w:line="211" w:lineRule="exact"/>
        <w:rPr>
          <w:sz w:val="20"/>
          <w:szCs w:val="20"/>
          <w:color w:val="auto"/>
        </w:rPr>
      </w:pPr>
    </w:p>
    <w:p>
      <w:pPr>
        <w:ind w:right="60" w:firstLine="170"/>
        <w:spacing w:after="0" w:line="263" w:lineRule="auto"/>
        <w:rPr>
          <w:sz w:val="20"/>
          <w:szCs w:val="20"/>
          <w:color w:val="auto"/>
        </w:rPr>
      </w:pPr>
      <w:r>
        <w:rPr>
          <w:rFonts w:ascii="Arial" w:cs="Arial" w:eastAsia="Arial" w:hAnsi="Arial"/>
          <w:sz w:val="18"/>
          <w:szCs w:val="18"/>
          <w:color w:val="auto"/>
        </w:rPr>
        <w:t>Although we believe the estimates, assumptions and judgments we have made are reasonable, they are based in part on historical experience, industry data, information obtained from the management of the acquired companies and assistance from independent third-party appraisal firms, and are inherently uncertain.</w:t>
      </w:r>
    </w:p>
    <w:p>
      <w:pPr>
        <w:spacing w:after="0" w:line="211"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Examples of critical estimates in valuing certain of the tangible and intangible assets we have acquired, and certain liabilities assumed include but are not limited to:</w:t>
      </w:r>
    </w:p>
    <w:p>
      <w:pPr>
        <w:spacing w:after="0" w:line="197" w:lineRule="exact"/>
        <w:rPr>
          <w:sz w:val="20"/>
          <w:szCs w:val="20"/>
          <w:color w:val="auto"/>
        </w:rPr>
      </w:pPr>
    </w:p>
    <w:p>
      <w:pPr>
        <w:ind w:left="660" w:right="40" w:hanging="328"/>
        <w:spacing w:after="0" w:line="279"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we used the comparative sales method, which estimates the selling price of finished goods and work-in-progress inventory, reduced</w:t>
      </w:r>
      <w:r>
        <w:rPr>
          <w:rFonts w:ascii="Arial" w:cs="Arial" w:eastAsia="Arial" w:hAnsi="Arial"/>
          <w:sz w:val="17"/>
          <w:szCs w:val="17"/>
          <w:i w:val="1"/>
          <w:iCs w:val="1"/>
          <w:color w:val="auto"/>
        </w:rPr>
        <w:t xml:space="preserve"> </w:t>
      </w:r>
      <w:r>
        <w:rPr>
          <w:rFonts w:ascii="Arial" w:cs="Arial" w:eastAsia="Arial" w:hAnsi="Arial"/>
          <w:sz w:val="17"/>
          <w:szCs w:val="17"/>
          <w:color w:val="auto"/>
        </w:rPr>
        <w:t>by estimated costs expected to be incurred in selling the inventory and a profit on those costs. The fair value of inventory is recognized in our statements of operations as the inventory is sold. Based on internal forecasts and estimates of inventory turnover, acquisition date inventory is sold and recognized in cost of goods sold over an estimated period of six months after the acquisition date.</w:t>
      </w:r>
    </w:p>
    <w:p>
      <w:pPr>
        <w:spacing w:after="0" w:line="198" w:lineRule="exact"/>
        <w:rPr>
          <w:rFonts w:ascii="Arial" w:cs="Arial" w:eastAsia="Arial" w:hAnsi="Arial"/>
          <w:sz w:val="17"/>
          <w:szCs w:val="17"/>
          <w:color w:val="auto"/>
        </w:rPr>
      </w:pPr>
    </w:p>
    <w:p>
      <w:pPr>
        <w:ind w:left="660" w:right="40" w:hanging="328"/>
        <w:spacing w:after="0" w:line="269"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Property, Plant and Equipment - </w:t>
      </w:r>
      <w:r>
        <w:rPr>
          <w:rFonts w:ascii="Arial" w:cs="Arial" w:eastAsia="Arial" w:hAnsi="Arial"/>
          <w:sz w:val="17"/>
          <w:szCs w:val="17"/>
          <w:color w:val="auto"/>
        </w:rPr>
        <w:t>the fair value estimate of acquired property, plant and equipment is determined based upon the nature of the asset</w:t>
      </w:r>
      <w:r>
        <w:rPr>
          <w:rFonts w:ascii="Arial" w:cs="Arial" w:eastAsia="Arial" w:hAnsi="Arial"/>
          <w:sz w:val="17"/>
          <w:szCs w:val="17"/>
          <w:i w:val="1"/>
          <w:iCs w:val="1"/>
          <w:color w:val="auto"/>
        </w:rPr>
        <w:t xml:space="preserve"> </w:t>
      </w:r>
      <w:r>
        <w:rPr>
          <w:rFonts w:ascii="Arial" w:cs="Arial" w:eastAsia="Arial" w:hAnsi="Arial"/>
          <w:sz w:val="17"/>
          <w:szCs w:val="17"/>
          <w:color w:val="auto"/>
        </w:rPr>
        <w:t>using either the cost approach, the sales comparison approach or the income capitalization approach. The cost approach measures the value of an asset by estimating the cost to acquire or reproduce comparable assets. The sales comparison approach measures the value of an asset through an analysis of comparable property sales. The income approach values the asset based on its earnings potential. The fair value of land was estimated using a sales comparison approach. Land and building improvements were valued using the cost approach. Personal property assets, such as, leasehold improvements, tooling, laboratory equipment, furniture and fixtures, and equipment, computer hardware, computer software, dies and molds were all valued using the cost approach. Transportation equipment and major manufacturing and equipment were valued using the sales comparison method. Construction-in-progress assets were valued based on the cost approach less adjustments for the nature of the assets. The fair value of property, plant and equipment will be recognized in our statements of operations over the expected useful life of the individual depreciable assets.</w:t>
      </w:r>
    </w:p>
    <w:p>
      <w:pPr>
        <w:spacing w:after="0" w:line="212" w:lineRule="exact"/>
        <w:rPr>
          <w:rFonts w:ascii="Arial" w:cs="Arial" w:eastAsia="Arial" w:hAnsi="Arial"/>
          <w:sz w:val="17"/>
          <w:szCs w:val="17"/>
          <w:color w:val="auto"/>
        </w:rPr>
      </w:pPr>
    </w:p>
    <w:p>
      <w:pPr>
        <w:ind w:left="660" w:right="22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Identifiable Intangible Assets - </w:t>
      </w:r>
      <w:r>
        <w:rPr>
          <w:rFonts w:ascii="Arial" w:cs="Arial" w:eastAsia="Arial" w:hAnsi="Arial"/>
          <w:sz w:val="18"/>
          <w:szCs w:val="18"/>
          <w:color w:val="auto"/>
        </w:rPr>
        <w:t>The fair value of the significant acquired identifiable intangible assets generally is determined using varying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under the income approach. This method starts with a forecast of all of the expected future net cash flows associated with the asset and then adjusts the forecast to present value by applying an appropriate discount rate that reflects the risk factors associated with the cash flow streams.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ind w:left="660" w:right="1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Earn-out Liability - </w:t>
      </w:r>
      <w:r>
        <w:rPr>
          <w:rFonts w:ascii="Arial" w:cs="Arial" w:eastAsia="Arial" w:hAnsi="Arial"/>
          <w:sz w:val="18"/>
          <w:szCs w:val="18"/>
          <w:color w:val="auto"/>
        </w:rPr>
        <w:t>The fair value of the earn-out liabilities were valued using a Monte Carlo simulation (see Note 8 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 Part II, Item 8 of this Form 10-K for details).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Unanticipated events and circumstances may occur which may affect the accuracy or validity of such assumptions, estimates or actual results.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ind w:right="20" w:firstLine="177"/>
        <w:spacing w:after="0" w:line="272" w:lineRule="auto"/>
        <w:rPr>
          <w:sz w:val="20"/>
          <w:szCs w:val="20"/>
          <w:color w:val="auto"/>
        </w:rPr>
      </w:pPr>
      <w:r>
        <w:rPr>
          <w:rFonts w:ascii="Arial" w:cs="Arial" w:eastAsia="Arial" w:hAnsi="Arial"/>
          <w:sz w:val="17"/>
          <w:szCs w:val="17"/>
          <w:color w:val="auto"/>
        </w:rPr>
        <w:t>Various portions of this Annual Report on Form 10-K,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204" w:lineRule="exact"/>
        <w:rPr>
          <w:sz w:val="20"/>
          <w:szCs w:val="20"/>
          <w:color w:val="auto"/>
        </w:rPr>
      </w:pPr>
    </w:p>
    <w:p>
      <w:pPr>
        <w:ind w:left="1300" w:right="60" w:hanging="320"/>
        <w:spacing w:after="0" w:line="293" w:lineRule="auto"/>
        <w:tabs>
          <w:tab w:leader="none" w:pos="12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91" w:lineRule="exact"/>
        <w:rPr>
          <w:rFonts w:ascii="Arial" w:cs="Arial" w:eastAsia="Arial" w:hAnsi="Arial"/>
          <w:sz w:val="16"/>
          <w:szCs w:val="16"/>
          <w:color w:val="auto"/>
        </w:rPr>
      </w:pPr>
    </w:p>
    <w:p>
      <w:pPr>
        <w:ind w:left="1300" w:hanging="320"/>
        <w:spacing w:after="0" w:line="286" w:lineRule="auto"/>
        <w:tabs>
          <w:tab w:leader="none" w:pos="12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HIS business and Pursuit;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plant and equipment; manufacturing efficiencies and cost savings; unit manufacturing costs; establishment or expansion of production facilities inside or outside of the U.S.;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197" w:lineRule="exact"/>
        <w:rPr>
          <w:rFonts w:ascii="Arial" w:cs="Arial" w:eastAsia="Arial" w:hAnsi="Arial"/>
          <w:sz w:val="16"/>
          <w:szCs w:val="16"/>
          <w:color w:val="auto"/>
        </w:rPr>
      </w:pPr>
    </w:p>
    <w:p>
      <w:pPr>
        <w:ind w:left="1300" w:right="40" w:hanging="320"/>
        <w:spacing w:after="0" w:line="269" w:lineRule="auto"/>
        <w:tabs>
          <w:tab w:leader="none" w:pos="12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the impact of our acquisition 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9" w:name="page50"/>
    <w:bookmarkEnd w:id="49"/>
    <w:p>
      <w:pPr>
        <w:ind w:left="1300" w:right="260"/>
        <w:spacing w:after="0" w:line="277" w:lineRule="auto"/>
        <w:rPr>
          <w:sz w:val="20"/>
          <w:szCs w:val="20"/>
          <w:color w:val="auto"/>
        </w:rPr>
      </w:pPr>
      <w:r>
        <w:rPr>
          <w:rFonts w:ascii="Arial" w:cs="Arial" w:eastAsia="Arial" w:hAnsi="Arial"/>
          <w:sz w:val="18"/>
          <w:szCs w:val="18"/>
          <w:color w:val="auto"/>
        </w:rPr>
        <w:t>capital expenditures; plans to convert existing space; acquisitions of other businesses or product lines, indemnification liabilities and contractual liabilities.</w:t>
      </w:r>
    </w:p>
    <w:p>
      <w:pPr>
        <w:spacing w:after="0" w:line="197" w:lineRule="exact"/>
        <w:rPr>
          <w:sz w:val="20"/>
          <w:szCs w:val="20"/>
          <w:color w:val="auto"/>
        </w:rPr>
      </w:pPr>
    </w:p>
    <w:p>
      <w:pPr>
        <w:ind w:right="100" w:firstLine="693"/>
        <w:spacing w:after="0" w:line="259" w:lineRule="auto"/>
        <w:rPr>
          <w:sz w:val="20"/>
          <w:szCs w:val="20"/>
          <w:color w:val="auto"/>
        </w:rPr>
      </w:pPr>
      <w:r>
        <w:rPr>
          <w:rFonts w:ascii="Arial" w:cs="Arial" w:eastAsia="Arial" w:hAnsi="Arial"/>
          <w:sz w:val="18"/>
          <w:szCs w:val="18"/>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14" w:lineRule="exact"/>
        <w:rPr>
          <w:sz w:val="20"/>
          <w:szCs w:val="20"/>
          <w:color w:val="auto"/>
        </w:rPr>
      </w:pPr>
    </w:p>
    <w:p>
      <w:pPr>
        <w:ind w:right="60" w:firstLine="549"/>
        <w:spacing w:after="0" w:line="263"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Item 1A of this Annual Report on Form 10-K. Also, actual future operating results are subject to other important factors and risks that we cannot predict or control, including without limitation, the following:</w:t>
      </w:r>
    </w:p>
    <w:p>
      <w:pPr>
        <w:spacing w:after="0" w:line="21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impacts of the COVID-19 pandemic on us, our business and on domestic and global economies generally;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our arrangements with our large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by our major customers and independent distributors in their strategies that might affect their efforts to market our products;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23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forward 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95"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were to incur borrowings under our Credit Facility, we would face market risk stemming from changes in interest rates.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Risk</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relative to the foreign currency. We currently do not hedge our foreign currency exposures other than the Mexican Peso described below.</w:t>
      </w:r>
    </w:p>
    <w:p>
      <w:pPr>
        <w:spacing w:after="0" w:line="19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our European operations, our net Euro asset position at December 31, 2020 was approximately €37.8 million. A 10% change in the conversion of the Euro to the U.S. dollar for our cash, accounts receivable, accounts payable and accrued liabilities from the December 31, 2020 spot rate would impact our consolidated amounts on these balance sheet items by approximately $4.6 million, or 0.7% of these net assets.</w:t>
      </w:r>
    </w:p>
    <w:p>
      <w:pPr>
        <w:spacing w:after="0" w:line="192" w:lineRule="exact"/>
        <w:rPr>
          <w:sz w:val="20"/>
          <w:szCs w:val="20"/>
          <w:color w:val="auto"/>
        </w:rPr>
      </w:pPr>
    </w:p>
    <w:p>
      <w:pPr>
        <w:ind w:right="120" w:firstLine="177"/>
        <w:spacing w:after="0" w:line="263" w:lineRule="auto"/>
        <w:rPr>
          <w:sz w:val="20"/>
          <w:szCs w:val="20"/>
          <w:color w:val="auto"/>
        </w:rPr>
      </w:pPr>
      <w:r>
        <w:rPr>
          <w:rFonts w:ascii="Arial" w:cs="Arial" w:eastAsia="Arial" w:hAnsi="Arial"/>
          <w:sz w:val="18"/>
          <w:szCs w:val="18"/>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to the consolidated financial statements in Part II, Item 8 of this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8880" w:type="dxa"/>
            <w:vAlign w:val="bottom"/>
          </w:tcPr>
          <w:p>
            <w:pPr>
              <w:spacing w:after="0"/>
              <w:rPr>
                <w:sz w:val="19"/>
                <w:szCs w:val="19"/>
                <w:color w:val="auto"/>
              </w:rPr>
            </w:pPr>
          </w:p>
        </w:tc>
        <w:tc>
          <w:tcPr>
            <w:tcW w:w="21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Page No.</w:t>
            </w:r>
          </w:p>
        </w:tc>
      </w:tr>
      <w:tr>
        <w:trPr>
          <w:trHeight w:val="479"/>
        </w:trPr>
        <w:tc>
          <w:tcPr>
            <w:tcW w:w="8880" w:type="dxa"/>
            <w:vAlign w:val="bottom"/>
          </w:tcPr>
          <w:p>
            <w:pPr>
              <w:spacing w:after="0"/>
              <w:rPr>
                <w:rFonts w:ascii="Arial" w:cs="Arial" w:eastAsia="Arial" w:hAnsi="Arial"/>
                <w:sz w:val="18"/>
                <w:szCs w:val="18"/>
                <w:color w:val="auto"/>
              </w:rPr>
            </w:pPr>
            <w:hyperlink w:anchor="page51">
              <w:r>
                <w:rPr>
                  <w:rFonts w:ascii="Arial" w:cs="Arial" w:eastAsia="Arial" w:hAnsi="Arial"/>
                  <w:sz w:val="18"/>
                  <w:szCs w:val="18"/>
                  <w:color w:val="auto"/>
                </w:rPr>
                <w:t>Report of Independent Registered Public Accounting Firm</w:t>
              </w:r>
            </w:hyperlink>
          </w:p>
        </w:tc>
        <w:tc>
          <w:tcPr>
            <w:tcW w:w="21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51</w:t>
              </w:r>
            </w:hyperlink>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Consolidated Balance Sheets as of December 31, 2020 and 2019</w:t>
            </w:r>
          </w:p>
        </w:tc>
        <w:tc>
          <w:tcPr>
            <w:tcW w:w="21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2020, 2019 and 2018</w:t>
            </w:r>
          </w:p>
        </w:tc>
        <w:tc>
          <w:tcPr>
            <w:tcW w:w="218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30"/>
        </w:trPr>
        <w:tc>
          <w:tcPr>
            <w:tcW w:w="8880" w:type="dxa"/>
            <w:vAlign w:val="bottom"/>
          </w:tcPr>
          <w:p>
            <w:pPr>
              <w:spacing w:after="0"/>
              <w:rPr>
                <w:rFonts w:ascii="Arial" w:cs="Arial" w:eastAsia="Arial" w:hAnsi="Arial"/>
                <w:sz w:val="18"/>
                <w:szCs w:val="18"/>
                <w:color w:val="auto"/>
              </w:rPr>
            </w:pPr>
            <w:hyperlink w:anchor="page54">
              <w:r>
                <w:rPr>
                  <w:rFonts w:ascii="Arial" w:cs="Arial" w:eastAsia="Arial" w:hAnsi="Arial"/>
                  <w:sz w:val="18"/>
                  <w:szCs w:val="18"/>
                  <w:color w:val="auto"/>
                </w:rPr>
                <w:t xml:space="preserve">Consolidated Statements of Comprehensive Income for the Years Ended December 31, </w:t>
              </w:r>
            </w:hyperlink>
            <w:r>
              <w:rPr>
                <w:rFonts w:ascii="Arial" w:cs="Arial" w:eastAsia="Arial" w:hAnsi="Arial"/>
                <w:sz w:val="18"/>
                <w:szCs w:val="18"/>
                <w:color w:val="auto"/>
              </w:rPr>
              <w:t>2020, 2019 and 2018</w:t>
            </w:r>
          </w:p>
        </w:tc>
        <w:tc>
          <w:tcPr>
            <w:tcW w:w="218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55</w:t>
              </w:r>
            </w:hyperlink>
          </w:p>
        </w:tc>
      </w:tr>
      <w:tr>
        <w:trPr>
          <w:trHeight w:val="229"/>
        </w:trPr>
        <w:tc>
          <w:tcPr>
            <w:tcW w:w="8880" w:type="dxa"/>
            <w:vAlign w:val="bottom"/>
          </w:tcPr>
          <w:p>
            <w:pPr>
              <w:spacing w:after="0"/>
              <w:rPr>
                <w:rFonts w:ascii="Arial" w:cs="Arial" w:eastAsia="Arial" w:hAnsi="Arial"/>
                <w:sz w:val="18"/>
                <w:szCs w:val="18"/>
                <w:color w:val="auto"/>
              </w:rPr>
            </w:pPr>
            <w:hyperlink w:anchor="page56">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2020, 2019 and 2018</w:t>
            </w:r>
          </w:p>
        </w:tc>
        <w:tc>
          <w:tcPr>
            <w:tcW w:w="218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56</w:t>
              </w:r>
            </w:hyperlink>
          </w:p>
        </w:tc>
      </w:tr>
      <w:tr>
        <w:trPr>
          <w:trHeight w:val="230"/>
        </w:trPr>
        <w:tc>
          <w:tcPr>
            <w:tcW w:w="8880" w:type="dxa"/>
            <w:vAlign w:val="bottom"/>
          </w:tcPr>
          <w:p>
            <w:pPr>
              <w:spacing w:after="0"/>
              <w:rPr>
                <w:rFonts w:ascii="Arial" w:cs="Arial" w:eastAsia="Arial" w:hAnsi="Arial"/>
                <w:sz w:val="18"/>
                <w:szCs w:val="18"/>
                <w:color w:val="auto"/>
              </w:rPr>
            </w:pPr>
            <w:hyperlink w:anchor="page57">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2020, 2019 and 2018</w:t>
            </w:r>
          </w:p>
        </w:tc>
        <w:tc>
          <w:tcPr>
            <w:tcW w:w="21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57</w:t>
              </w:r>
            </w:hyperlink>
          </w:p>
        </w:tc>
      </w:tr>
      <w:tr>
        <w:trPr>
          <w:trHeight w:val="230"/>
        </w:trPr>
        <w:tc>
          <w:tcPr>
            <w:tcW w:w="8880" w:type="dxa"/>
            <w:vAlign w:val="bottom"/>
          </w:tcPr>
          <w:p>
            <w:pPr>
              <w:spacing w:after="0"/>
              <w:rPr>
                <w:rFonts w:ascii="Arial" w:cs="Arial" w:eastAsia="Arial" w:hAnsi="Arial"/>
                <w:sz w:val="18"/>
                <w:szCs w:val="18"/>
                <w:color w:val="auto"/>
              </w:rPr>
            </w:pPr>
            <w:hyperlink w:anchor="page59">
              <w:r>
                <w:rPr>
                  <w:rFonts w:ascii="Arial" w:cs="Arial" w:eastAsia="Arial" w:hAnsi="Arial"/>
                  <w:sz w:val="18"/>
                  <w:szCs w:val="18"/>
                  <w:color w:val="auto"/>
                </w:rPr>
                <w:t>Notes to Consolidated Financial Statements</w:t>
              </w:r>
            </w:hyperlink>
          </w:p>
        </w:tc>
        <w:tc>
          <w:tcPr>
            <w:tcW w:w="21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30"/>
        </w:trPr>
        <w:tc>
          <w:tcPr>
            <w:tcW w:w="888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Schedule II-Valuation and Qualifying Accounts</w:t>
              </w:r>
            </w:hyperlink>
          </w:p>
        </w:tc>
        <w:tc>
          <w:tcPr>
            <w:tcW w:w="218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ICU Medical,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ICU Medical, Inc. and subsidiaries (the "Company") as of December 31, 2020 and 2019, the related consolidated statements of operations, comprehensive income, stockholders' equity, and cash flows, for each of the three years in the period ended December 31, 2020, and the related notes and the schedule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2021, expressed an unqualified opinion on the Company's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 Chargeback Reserve— Refer to Note 1 and Note 4 to the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39"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Company recognizes revenue for product sales net of a reserve for estimated chargebacks. Chargebacks are the difference between prices the Company charges distribution customers and contracted prices the Company has with the end-customer which are processed as credits to the distribution customers.</w:t>
      </w:r>
    </w:p>
    <w:p>
      <w:pPr>
        <w:spacing w:after="0" w:line="15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Chargebacks are accounted for as variable consideration when determining the transaction price for purposes of recognizing revenue. The Company estimates and reserves for chargebacks as a reduction of revenue at the time of sale to its distribution customers using information available at that time, including historical experience. Accounts receivable as of December 31, 2020 of $124 million and total revenues for the year ended December 31, 2020 of $1,271 million are recorded net of estimated chargebacks.</w:t>
      </w:r>
    </w:p>
    <w:p>
      <w:pPr>
        <w:spacing w:after="0" w:line="215"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color w:val="auto"/>
        </w:rPr>
        <w:t>Given the subjectivity and complexity of evaluating management’s assumptions used in the determination of the chargeback reserve, including the chargeback amounts related to monthly sales to distribution customers and the time to settle chargeback obligations, auditing the chargeback reserve requires a high degree of auditor judgment and an increased extent of effort.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chargeback reserve included the following, among others:</w:t>
      </w:r>
    </w:p>
    <w:p>
      <w:pPr>
        <w:spacing w:after="0" w:line="23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Management’s assessment of assumptions related to estimating the provision for chargeback reserves.</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provisioning, processing and monitoring of chargeback transactions.</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reconciliation of chargeback reserves.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tested chargeback estimates for purposes of determining whether revenues recognized at the time of sale were recorded in the proper period.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chargeback reserve by:</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Analyzing trends in the chargeback provision as a percent of revenues and the chargeback reserve as a percent of revenues.</w:t>
      </w:r>
    </w:p>
    <w:p>
      <w:pPr>
        <w:spacing w:after="0" w:line="250" w:lineRule="exact"/>
        <w:rPr>
          <w:rFonts w:ascii="Arial" w:cs="Arial" w:eastAsia="Arial" w:hAnsi="Arial"/>
          <w:sz w:val="17"/>
          <w:szCs w:val="17"/>
          <w:color w:val="auto"/>
        </w:rPr>
      </w:pPr>
    </w:p>
    <w:p>
      <w:pPr>
        <w:ind w:left="1300" w:right="160" w:hanging="320"/>
        <w:spacing w:after="0" w:line="291" w:lineRule="auto"/>
        <w:tabs>
          <w:tab w:leader="none" w:pos="1296" w:val="left"/>
        </w:tabs>
        <w:numPr>
          <w:ilvl w:val="1"/>
          <w:numId w:val="34"/>
        </w:numPr>
        <w:rPr>
          <w:rFonts w:ascii="Arial" w:cs="Arial" w:eastAsia="Arial" w:hAnsi="Arial"/>
          <w:sz w:val="17"/>
          <w:szCs w:val="17"/>
          <w:color w:val="auto"/>
        </w:rPr>
      </w:pPr>
      <w:r>
        <w:rPr>
          <w:rFonts w:ascii="Arial" w:cs="Arial" w:eastAsia="Arial" w:hAnsi="Arial"/>
          <w:sz w:val="17"/>
          <w:szCs w:val="17"/>
          <w:color w:val="auto"/>
        </w:rPr>
        <w:t>Testing the underlying data, including historical sales to distribution customers and chargeback settlements with distribution customers, that are utilized as the basis for the chargeback reserve, to test whether the inputs to the estimate were reasonable.</w:t>
      </w:r>
    </w:p>
    <w:p>
      <w:pPr>
        <w:spacing w:after="0" w:line="173" w:lineRule="exact"/>
        <w:rPr>
          <w:rFonts w:ascii="Arial" w:cs="Arial" w:eastAsia="Arial" w:hAnsi="Arial"/>
          <w:sz w:val="17"/>
          <w:szCs w:val="17"/>
          <w:color w:val="auto"/>
        </w:rPr>
      </w:pPr>
    </w:p>
    <w:p>
      <w:pPr>
        <w:ind w:left="1300" w:hanging="320"/>
        <w:spacing w:after="0" w:line="291" w:lineRule="auto"/>
        <w:tabs>
          <w:tab w:leader="none" w:pos="1296"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Developing an expectation of the chargeback reserve based on monthly sales to distribution customers, historical experience, and the time to settle chargeback obligations, and comparing our expectation to the amount recorded by management.</w:t>
      </w:r>
    </w:p>
    <w:p>
      <w:pPr>
        <w:spacing w:after="0" w:line="173" w:lineRule="exact"/>
        <w:rPr>
          <w:rFonts w:ascii="Arial" w:cs="Arial" w:eastAsia="Arial" w:hAnsi="Arial"/>
          <w:sz w:val="17"/>
          <w:szCs w:val="17"/>
          <w:color w:val="auto"/>
        </w:rPr>
      </w:pPr>
    </w:p>
    <w:p>
      <w:pPr>
        <w:ind w:left="1300" w:right="280" w:hanging="320"/>
        <w:spacing w:after="0" w:line="248" w:lineRule="auto"/>
        <w:tabs>
          <w:tab w:leader="none" w:pos="12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Performing retrospective reviews comparing management’s estimates of expected chargeback reserves to actual amounts incurred subsequent to the dates of estimation, to assess management’s ability to reasonably estimate these obligations and to identify potential bias in management’s assessment of the reserve.</w:t>
      </w: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49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 except par value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268,670</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Short-term investment securities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23,967</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CASH EQUIVALENTS AND SHORT-TERM 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292,637</w:t>
            </w:r>
          </w:p>
        </w:tc>
        <w:tc>
          <w:tcPr>
            <w:tcW w:w="0" w:type="dxa"/>
            <w:vAlign w:val="bottom"/>
          </w:tcPr>
          <w:p>
            <w:pPr>
              <w:spacing w:after="0"/>
              <w:rPr>
                <w:sz w:val="1"/>
                <w:szCs w:val="1"/>
                <w:color w:val="auto"/>
              </w:rPr>
            </w:pPr>
          </w:p>
        </w:tc>
      </w:tr>
      <w:tr>
        <w:trPr>
          <w:trHeight w:val="176"/>
        </w:trPr>
        <w:tc>
          <w:tcPr>
            <w:tcW w:w="8380" w:type="dxa"/>
            <w:vAlign w:val="bottom"/>
          </w:tcPr>
          <w:p>
            <w:pPr>
              <w:ind w:left="140"/>
              <w:spacing w:after="0" w:line="176" w:lineRule="exact"/>
              <w:rPr>
                <w:sz w:val="20"/>
                <w:szCs w:val="20"/>
                <w:color w:val="auto"/>
              </w:rPr>
            </w:pPr>
            <w:r>
              <w:rPr>
                <w:rFonts w:ascii="Arial" w:cs="Arial" w:eastAsia="Arial" w:hAnsi="Arial"/>
                <w:sz w:val="18"/>
                <w:szCs w:val="18"/>
                <w:color w:val="auto"/>
                <w:w w:val="92"/>
              </w:rPr>
              <w:t>Accounts receivable, net of allowance for doubtful accounts of $21,490 and $20,219 at December 31, 2020 and</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124,093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202,219</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2019, respectively</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337,640</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15,720</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33,981</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920,777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882,197</w:t>
            </w: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466,628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456,085</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34,465</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LONG-TERM INVESTMENT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31,245</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197,231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211,408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27,998</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48,984</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1,763,691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1,692,382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340"/>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71,864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128,629</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117,776</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earn-out liability</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195,488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248,468</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CONTINGENT EARN-OUT LIABILITY</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32,820</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Convertible preferred stock, $1.00 par value Authorized—500 shares; Issued and outstanding— none</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Common stock, $0.10 par value — Authorized—80,000 shares; Issued and outstanding — 21,058 shares at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December 31, 2020 and issued 20,743 at December 31, 2019 and outstanding — 20,742 shares at December 31,</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693,068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668,947</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(209 and 850 shares, respectively)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808,652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721,782</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1,502,265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1,377,244</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1,763,691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1,692,382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1,400,040</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830,012</w:t>
            </w:r>
          </w:p>
        </w:tc>
      </w:tr>
      <w:tr>
        <w:trPr>
          <w:trHeight w:val="223"/>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570,028</w:t>
            </w: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320,002</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52,867</w:t>
            </w: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strategic transaction and integration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105,390</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Change in fair value of contingent earn-out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20,400</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settlement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41,613</w:t>
            </w:r>
          </w:p>
        </w:tc>
      </w:tr>
      <w:tr>
        <w:trPr>
          <w:trHeight w:val="223"/>
        </w:trPr>
        <w:tc>
          <w:tcPr>
            <w:tcW w:w="6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540,272</w:t>
            </w:r>
          </w:p>
        </w:tc>
      </w:tr>
      <w:tr>
        <w:trPr>
          <w:trHeight w:val="223"/>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29,756</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22,374</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90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20,394</w:t>
            </w:r>
          </w:p>
        </w:tc>
      </w:tr>
      <w:tr>
        <w:trPr>
          <w:trHeight w:val="230"/>
        </w:trPr>
        <w:tc>
          <w:tcPr>
            <w:tcW w:w="69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21,601</w:t>
            </w: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flow hedge adjustments, net of tax of $285, $392 and $317 for the years ended</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 2019 and 2018, respectively</w:t>
            </w: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 net of tax of $0 for all periods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12,929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adjustments, net of tax of $0 for all periods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100,750</w:t>
            </w:r>
          </w:p>
        </w:tc>
        <w:tc>
          <w:tcPr>
            <w:tcW w:w="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102,578</w:t>
            </w:r>
          </w:p>
        </w:tc>
        <w:tc>
          <w:tcPr>
            <w:tcW w:w="1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1640" w:type="dxa"/>
            <w:vAlign w:val="bottom"/>
            <w:gridSpan w:val="5"/>
          </w:tcPr>
          <w:p>
            <w:pPr>
              <w:ind w:left="24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line="168" w:lineRule="exact"/>
              <w:rPr>
                <w:sz w:val="20"/>
                <w:szCs w:val="20"/>
                <w:color w:val="auto"/>
              </w:rPr>
            </w:pPr>
            <w:r>
              <w:rPr>
                <w:rFonts w:ascii="Arial" w:cs="Arial" w:eastAsia="Arial" w:hAnsi="Arial"/>
                <w:sz w:val="16"/>
                <w:szCs w:val="16"/>
                <w:b w:val="1"/>
                <w:bCs w:val="1"/>
                <w:color w:val="auto"/>
                <w:w w:val="97"/>
              </w:rPr>
              <w:t>Paid-In</w:t>
            </w:r>
          </w:p>
        </w:tc>
        <w:tc>
          <w:tcPr>
            <w:tcW w:w="740" w:type="dxa"/>
            <w:vAlign w:val="bottom"/>
            <w:gridSpan w:val="3"/>
          </w:tcPr>
          <w:p>
            <w:pPr>
              <w:ind w:left="20"/>
              <w:spacing w:after="0" w:line="168" w:lineRule="exact"/>
              <w:rPr>
                <w:sz w:val="20"/>
                <w:szCs w:val="20"/>
                <w:color w:val="auto"/>
              </w:rPr>
            </w:pPr>
            <w:r>
              <w:rPr>
                <w:rFonts w:ascii="Arial" w:cs="Arial" w:eastAsia="Arial" w:hAnsi="Arial"/>
                <w:sz w:val="16"/>
                <w:szCs w:val="16"/>
                <w:b w:val="1"/>
                <w:bCs w:val="1"/>
                <w:color w:val="auto"/>
              </w:rPr>
              <w:t>Treasury</w:t>
            </w:r>
          </w:p>
        </w:tc>
        <w:tc>
          <w:tcPr>
            <w:tcW w:w="900" w:type="dxa"/>
            <w:vAlign w:val="bottom"/>
            <w:gridSpan w:val="3"/>
          </w:tcPr>
          <w:p>
            <w:pPr>
              <w:ind w:left="100"/>
              <w:spacing w:after="0" w:line="168" w:lineRule="exact"/>
              <w:rPr>
                <w:sz w:val="20"/>
                <w:szCs w:val="20"/>
                <w:color w:val="auto"/>
              </w:rPr>
            </w:pPr>
            <w:r>
              <w:rPr>
                <w:rFonts w:ascii="Arial" w:cs="Arial" w:eastAsia="Arial" w:hAnsi="Arial"/>
                <w:sz w:val="16"/>
                <w:szCs w:val="16"/>
                <w:b w:val="1"/>
                <w:bCs w:val="1"/>
                <w:color w:val="auto"/>
              </w:rPr>
              <w:t>Retained</w:t>
            </w:r>
          </w:p>
        </w:tc>
        <w:tc>
          <w:tcPr>
            <w:tcW w:w="1200" w:type="dxa"/>
            <w:vAlign w:val="bottom"/>
            <w:gridSpan w:val="3"/>
          </w:tcPr>
          <w:p>
            <w:pPr>
              <w:jc w:val="center"/>
              <w:ind w:right="80"/>
              <w:spacing w:after="0" w:line="168" w:lineRule="exact"/>
              <w:rPr>
                <w:sz w:val="20"/>
                <w:szCs w:val="20"/>
                <w:color w:val="auto"/>
              </w:rPr>
            </w:pPr>
            <w:r>
              <w:rPr>
                <w:rFonts w:ascii="Arial" w:cs="Arial" w:eastAsia="Arial" w:hAnsi="Arial"/>
                <w:sz w:val="16"/>
                <w:szCs w:val="16"/>
                <w:b w:val="1"/>
                <w:bCs w:val="1"/>
                <w:color w:val="auto"/>
                <w:w w:val="89"/>
              </w:rPr>
              <w:t>Comprehensive</w:t>
            </w:r>
          </w:p>
        </w:tc>
        <w:tc>
          <w:tcPr>
            <w:tcW w:w="8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w:t>
            </w:r>
          </w:p>
        </w:tc>
        <w:tc>
          <w:tcPr>
            <w:tcW w:w="90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(Loss) Income</w:t>
            </w: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January 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2,021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625,568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585,624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(14,959)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$1,198,254</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Cumulative effect of accounting change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6,330</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and 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14,275</w:t>
            </w:r>
          </w:p>
        </w:tc>
        <w:tc>
          <w:tcPr>
            <w:tcW w:w="0" w:type="dxa"/>
            <w:vAlign w:val="bottom"/>
          </w:tcPr>
          <w:p>
            <w:pPr>
              <w:spacing w:after="0"/>
              <w:rPr>
                <w:sz w:val="1"/>
                <w:szCs w:val="1"/>
                <w:color w:val="auto"/>
              </w:rPr>
            </w:pPr>
          </w:p>
        </w:tc>
      </w:tr>
      <w:tr>
        <w:trPr>
          <w:trHeight w:val="166"/>
        </w:trPr>
        <w:tc>
          <w:tcPr>
            <w:tcW w:w="4900" w:type="dxa"/>
            <w:vAlign w:val="bottom"/>
          </w:tcPr>
          <w:p>
            <w:pPr>
              <w:ind w:left="20"/>
              <w:spacing w:after="0" w:line="166" w:lineRule="exact"/>
              <w:rPr>
                <w:sz w:val="20"/>
                <w:szCs w:val="20"/>
                <w:color w:val="auto"/>
              </w:rPr>
            </w:pPr>
            <w:r>
              <w:rPr>
                <w:rFonts w:ascii="Arial" w:cs="Arial" w:eastAsia="Arial" w:hAnsi="Arial"/>
                <w:sz w:val="16"/>
                <w:szCs w:val="16"/>
                <w:color w:val="auto"/>
              </w:rPr>
              <w:t>Tax withholding payments related to net share settlement of equity</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w w:val="98"/>
              </w:rPr>
              <w:t>(6,252)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(6,252)</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awards</w:t>
            </w: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24,241</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 comprehensive loss, net of tax</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28,793</w:t>
            </w:r>
          </w:p>
        </w:tc>
        <w:tc>
          <w:tcPr>
            <w:tcW w:w="0" w:type="dxa"/>
            <w:vAlign w:val="bottom"/>
          </w:tcPr>
          <w:p>
            <w:pPr>
              <w:spacing w:after="0"/>
              <w:rPr>
                <w:sz w:val="1"/>
                <w:szCs w:val="1"/>
                <w:color w:val="auto"/>
              </w:rPr>
            </w:pPr>
          </w:p>
        </w:tc>
      </w:tr>
      <w:tr>
        <w:trPr>
          <w:trHeight w:val="207"/>
        </w:trPr>
        <w:tc>
          <w:tcPr>
            <w:tcW w:w="4900" w:type="dxa"/>
            <w:vAlign w:val="bottom"/>
          </w:tcPr>
          <w:p>
            <w:pPr>
              <w:ind w:left="140"/>
              <w:spacing w:after="0"/>
              <w:rPr>
                <w:sz w:val="20"/>
                <w:szCs w:val="20"/>
                <w:color w:val="auto"/>
              </w:rPr>
            </w:pPr>
            <w:r>
              <w:rPr>
                <w:rFonts w:ascii="Arial" w:cs="Arial" w:eastAsia="Arial" w:hAnsi="Arial"/>
                <w:sz w:val="16"/>
                <w:szCs w:val="16"/>
                <w:b w:val="1"/>
                <w:bCs w:val="1"/>
                <w:color w:val="auto"/>
              </w:rPr>
              <w:t>Balance, December 31, 2018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20,491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2,049</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657,899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620,747</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(16,945)</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1,263,655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and 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18,577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w:t>
            </w:r>
          </w:p>
        </w:tc>
        <w:tc>
          <w:tcPr>
            <w:tcW w:w="0" w:type="dxa"/>
            <w:vAlign w:val="bottom"/>
          </w:tcPr>
          <w:p>
            <w:pPr>
              <w:spacing w:after="0"/>
              <w:rPr>
                <w:sz w:val="1"/>
                <w:szCs w:val="1"/>
                <w:color w:val="auto"/>
              </w:rPr>
            </w:pPr>
          </w:p>
        </w:tc>
      </w:tr>
      <w:tr>
        <w:trPr>
          <w:trHeight w:val="166"/>
        </w:trPr>
        <w:tc>
          <w:tcPr>
            <w:tcW w:w="4900" w:type="dxa"/>
            <w:vAlign w:val="bottom"/>
          </w:tcPr>
          <w:p>
            <w:pPr>
              <w:ind w:left="20"/>
              <w:spacing w:after="0" w:line="166" w:lineRule="exact"/>
              <w:rPr>
                <w:sz w:val="20"/>
                <w:szCs w:val="20"/>
                <w:color w:val="auto"/>
              </w:rPr>
            </w:pPr>
            <w:r>
              <w:rPr>
                <w:rFonts w:ascii="Arial" w:cs="Arial" w:eastAsia="Arial" w:hAnsi="Arial"/>
                <w:sz w:val="16"/>
                <w:szCs w:val="16"/>
                <w:color w:val="auto"/>
              </w:rPr>
              <w:t>Tax withholding payments related to net share settlement of equity</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(18,639)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(18,639)</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awards</w:t>
            </w: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21,918</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101,035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101,035</w:t>
            </w:r>
          </w:p>
        </w:tc>
        <w:tc>
          <w:tcPr>
            <w:tcW w:w="0" w:type="dxa"/>
            <w:vAlign w:val="bottom"/>
          </w:tcPr>
          <w:p>
            <w:pPr>
              <w:spacing w:after="0"/>
              <w:rPr>
                <w:sz w:val="1"/>
                <w:szCs w:val="1"/>
                <w:color w:val="auto"/>
              </w:rPr>
            </w:pPr>
          </w:p>
        </w:tc>
      </w:tr>
      <w:tr>
        <w:trPr>
          <w:trHeight w:val="207"/>
        </w:trPr>
        <w:tc>
          <w:tcPr>
            <w:tcW w:w="4900" w:type="dxa"/>
            <w:vAlign w:val="bottom"/>
          </w:tcPr>
          <w:p>
            <w:pPr>
              <w:ind w:left="140"/>
              <w:spacing w:after="0"/>
              <w:rPr>
                <w:sz w:val="20"/>
                <w:szCs w:val="20"/>
                <w:color w:val="auto"/>
              </w:rPr>
            </w:pPr>
            <w:r>
              <w:rPr>
                <w:rFonts w:ascii="Arial" w:cs="Arial" w:eastAsia="Arial" w:hAnsi="Arial"/>
                <w:sz w:val="16"/>
                <w:szCs w:val="16"/>
                <w:b w:val="1"/>
                <w:bCs w:val="1"/>
                <w:color w:val="auto"/>
              </w:rPr>
              <w:t>Balance, December 31, 2019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20,742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2,074</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668,947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(157)</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721,782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(15,402)</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1,377,244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and exercise of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12,994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13,193</w:t>
            </w:r>
          </w:p>
        </w:tc>
        <w:tc>
          <w:tcPr>
            <w:tcW w:w="0" w:type="dxa"/>
            <w:vAlign w:val="bottom"/>
          </w:tcPr>
          <w:p>
            <w:pPr>
              <w:spacing w:after="0"/>
              <w:rPr>
                <w:sz w:val="1"/>
                <w:szCs w:val="1"/>
                <w:color w:val="auto"/>
              </w:rPr>
            </w:pPr>
          </w:p>
        </w:tc>
      </w:tr>
      <w:tr>
        <w:trPr>
          <w:trHeight w:val="166"/>
        </w:trPr>
        <w:tc>
          <w:tcPr>
            <w:tcW w:w="4900" w:type="dxa"/>
            <w:vAlign w:val="bottom"/>
          </w:tcPr>
          <w:p>
            <w:pPr>
              <w:ind w:left="20"/>
              <w:spacing w:after="0" w:line="166" w:lineRule="exact"/>
              <w:rPr>
                <w:sz w:val="20"/>
                <w:szCs w:val="20"/>
                <w:color w:val="auto"/>
              </w:rPr>
            </w:pPr>
            <w:r>
              <w:rPr>
                <w:rFonts w:ascii="Arial" w:cs="Arial" w:eastAsia="Arial" w:hAnsi="Arial"/>
                <w:sz w:val="16"/>
                <w:szCs w:val="16"/>
                <w:color w:val="auto"/>
              </w:rPr>
              <w:t>Tax withholding payments related to net share settlement of equity</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(12,876)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(12,876)</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awards</w:t>
            </w: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23,954</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13,880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13,880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86,870</w:t>
            </w:r>
          </w:p>
        </w:tc>
        <w:tc>
          <w:tcPr>
            <w:tcW w:w="0" w:type="dxa"/>
            <w:vAlign w:val="bottom"/>
          </w:tcPr>
          <w:p>
            <w:pPr>
              <w:spacing w:after="0"/>
              <w:rPr>
                <w:sz w:val="1"/>
                <w:szCs w:val="1"/>
                <w:color w:val="auto"/>
              </w:rPr>
            </w:pPr>
          </w:p>
        </w:tc>
      </w:tr>
      <w:tr>
        <w:trPr>
          <w:trHeight w:val="212"/>
        </w:trPr>
        <w:tc>
          <w:tcPr>
            <w:tcW w:w="4900" w:type="dxa"/>
            <w:vAlign w:val="bottom"/>
          </w:tcPr>
          <w:p>
            <w:pPr>
              <w:ind w:left="140"/>
              <w:spacing w:after="0"/>
              <w:rPr>
                <w:sz w:val="20"/>
                <w:szCs w:val="20"/>
                <w:color w:val="auto"/>
              </w:rPr>
            </w:pPr>
            <w:r>
              <w:rPr>
                <w:rFonts w:ascii="Arial" w:cs="Arial" w:eastAsia="Arial" w:hAnsi="Arial"/>
                <w:sz w:val="16"/>
                <w:szCs w:val="16"/>
                <w:b w:val="1"/>
                <w:bCs w:val="1"/>
                <w:color w:val="auto"/>
              </w:rPr>
              <w:t>Balance, December 31,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21,058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2,106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693,068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808,652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(1,522)</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1,502,265</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184"/>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6"/>
        </w:trPr>
        <w:tc>
          <w:tcPr>
            <w:tcW w:w="69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86,870</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101,035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28,793</w:t>
            </w:r>
          </w:p>
        </w:tc>
      </w:tr>
      <w:tr>
        <w:trPr>
          <w:trHeight w:val="192"/>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85,631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76,916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74,735</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right-of-use assets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Provision for doubtful accounts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781</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warranty and returns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Stock compensation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23,954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21,918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24,241</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loss on disposal or write-off of property, plant and equipment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8,867</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Contract settlement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12,696</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Write-off of acquired intangibles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Bond premium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issuance cost amortization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Impairment of assets held-for-sale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of contingent earn-out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20,400</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Product-related charges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Usage of spare parts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7,310</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3,856</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Changes in operating assets and liabilities, net of amounts acquired:</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00" w:type="dxa"/>
            <w:vAlign w:val="bottom"/>
          </w:tcPr>
          <w:p>
            <w:pPr>
              <w:ind w:left="340"/>
              <w:spacing w:after="0"/>
              <w:rPr>
                <w:sz w:val="20"/>
                <w:szCs w:val="20"/>
                <w:color w:val="auto"/>
              </w:rPr>
            </w:pPr>
            <w:r>
              <w:rPr>
                <w:rFonts w:ascii="Arial" w:cs="Arial" w:eastAsia="Arial" w:hAnsi="Arial"/>
                <w:sz w:val="14"/>
                <w:szCs w:val="14"/>
                <w:color w:val="auto"/>
              </w:rPr>
              <w:t>Accounts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78,049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(76,742)</w:t>
            </w:r>
          </w:p>
        </w:tc>
      </w:tr>
      <w:tr>
        <w:trPr>
          <w:trHeight w:val="192"/>
        </w:trPr>
        <w:tc>
          <w:tcPr>
            <w:tcW w:w="6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(21,770)</w:t>
            </w:r>
          </w:p>
        </w:tc>
      </w:tr>
      <w:tr>
        <w:trPr>
          <w:trHeight w:val="186"/>
        </w:trPr>
        <w:tc>
          <w:tcPr>
            <w:tcW w:w="6900" w:type="dxa"/>
            <w:vAlign w:val="bottom"/>
          </w:tcPr>
          <w:p>
            <w:pPr>
              <w:ind w:left="340"/>
              <w:spacing w:after="0"/>
              <w:rPr>
                <w:sz w:val="20"/>
                <w:szCs w:val="20"/>
                <w:color w:val="auto"/>
              </w:rPr>
            </w:pPr>
            <w:r>
              <w:rPr>
                <w:rFonts w:ascii="Arial" w:cs="Arial" w:eastAsia="Arial" w:hAnsi="Arial"/>
                <w:sz w:val="14"/>
                <w:szCs w:val="14"/>
                <w:color w:val="auto"/>
              </w:rPr>
              <w:t>Prepaid expenses and 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(4,311)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3,719</w:t>
            </w:r>
          </w:p>
        </w:tc>
      </w:tr>
      <w:tr>
        <w:trPr>
          <w:trHeight w:val="192"/>
        </w:trPr>
        <w:tc>
          <w:tcPr>
            <w:tcW w:w="6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Related-party receivables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97,443</w:t>
            </w:r>
          </w:p>
        </w:tc>
      </w:tr>
      <w:tr>
        <w:trPr>
          <w:trHeight w:val="186"/>
        </w:trPr>
        <w:tc>
          <w:tcPr>
            <w:tcW w:w="690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(29,837)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(9,086)</w:t>
            </w:r>
          </w:p>
        </w:tc>
      </w:tr>
      <w:tr>
        <w:trPr>
          <w:trHeight w:val="192"/>
        </w:trPr>
        <w:tc>
          <w:tcPr>
            <w:tcW w:w="6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(46,415)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23,270</w:t>
            </w:r>
          </w:p>
        </w:tc>
      </w:tr>
      <w:tr>
        <w:trPr>
          <w:trHeight w:val="186"/>
        </w:trPr>
        <w:tc>
          <w:tcPr>
            <w:tcW w:w="6900" w:type="dxa"/>
            <w:vAlign w:val="bottom"/>
          </w:tcPr>
          <w:p>
            <w:pPr>
              <w:ind w:left="340"/>
              <w:spacing w:after="0"/>
              <w:rPr>
                <w:sz w:val="20"/>
                <w:szCs w:val="20"/>
                <w:color w:val="auto"/>
              </w:rPr>
            </w:pPr>
            <w:r>
              <w:rPr>
                <w:rFonts w:ascii="Arial" w:cs="Arial" w:eastAsia="Arial" w:hAnsi="Arial"/>
                <w:sz w:val="14"/>
                <w:szCs w:val="14"/>
                <w:color w:val="auto"/>
              </w:rPr>
              <w:t>Accrued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(43,689)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(29,553)</w:t>
            </w:r>
          </w:p>
        </w:tc>
      </w:tr>
      <w:tr>
        <w:trPr>
          <w:trHeight w:val="192"/>
        </w:trPr>
        <w:tc>
          <w:tcPr>
            <w:tcW w:w="6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(19,997)</w:t>
            </w:r>
          </w:p>
        </w:tc>
      </w:tr>
      <w:tr>
        <w:trPr>
          <w:trHeight w:val="179"/>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222,752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160,215</w:t>
            </w:r>
          </w:p>
        </w:tc>
      </w:tr>
      <w:tr>
        <w:trPr>
          <w:trHeight w:val="186"/>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(92,005)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(97,312)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(92,720)</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assets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Proceeds from the disposal of assets held-for-sale,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13,000</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 additions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(8,059)</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Business acquisitions, net of cash acquired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(1,300)</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investment securities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(30,496)</w:t>
            </w:r>
          </w:p>
        </w:tc>
      </w:tr>
      <w:tr>
        <w:trPr>
          <w:trHeight w:val="186"/>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sale of investment securities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28,900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41,292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15,440</w:t>
            </w:r>
          </w:p>
        </w:tc>
      </w:tr>
      <w:tr>
        <w:trPr>
          <w:trHeight w:val="186"/>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(98,139)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(166,888)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(103,370)</w:t>
            </w:r>
          </w:p>
        </w:tc>
      </w:tr>
      <w:tr>
        <w:trPr>
          <w:trHeight w:val="177"/>
        </w:trPr>
        <w:tc>
          <w:tcPr>
            <w:tcW w:w="69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short-term debt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Repayment of short-term debt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14,275</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Payments on finance leases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withholding payments related to net share settlement of equity awards</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(12,876)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(6,252)</w:t>
            </w:r>
          </w:p>
        </w:tc>
      </w:tr>
      <w:tr>
        <w:trPr>
          <w:trHeight w:val="179"/>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8,023</w:t>
            </w:r>
          </w:p>
        </w:tc>
      </w:tr>
      <w:tr>
        <w:trPr>
          <w:trHeight w:val="186"/>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(10,159)</w:t>
            </w:r>
          </w:p>
        </w:tc>
      </w:tr>
      <w:tr>
        <w:trPr>
          <w:trHeight w:val="179"/>
        </w:trPr>
        <w:tc>
          <w:tcPr>
            <w:tcW w:w="690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127,427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54,709</w:t>
            </w:r>
          </w:p>
        </w:tc>
      </w:tr>
      <w:tr>
        <w:trPr>
          <w:trHeight w:val="192"/>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268,670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344,781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290,072</w:t>
            </w:r>
          </w:p>
        </w:tc>
      </w:tr>
      <w:tr>
        <w:trPr>
          <w:trHeight w:val="183"/>
        </w:trPr>
        <w:tc>
          <w:tcPr>
            <w:tcW w:w="690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396,097</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268,670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344,781</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74"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69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r>
      <w:tr>
        <w:trPr>
          <w:trHeight w:val="19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6900" w:type="dxa"/>
            <w:vAlign w:val="bottom"/>
          </w:tcPr>
          <w:p>
            <w:pPr>
              <w:ind w:left="100"/>
              <w:spacing w:after="0"/>
              <w:rPr>
                <w:sz w:val="20"/>
                <w:szCs w:val="20"/>
                <w:color w:val="auto"/>
              </w:rPr>
            </w:pPr>
            <w:r>
              <w:rPr>
                <w:rFonts w:ascii="Arial" w:cs="Arial" w:eastAsia="Arial" w:hAnsi="Arial"/>
                <w:sz w:val="16"/>
                <w:szCs w:val="16"/>
                <w:color w:val="auto"/>
              </w:rPr>
              <w:t>Cash paid during the year for income taxes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31,628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12,598</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during the year for interest</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70"/>
        </w:trPr>
        <w:tc>
          <w:tcPr>
            <w:tcW w:w="69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900" w:type="dxa"/>
            <w:vAlign w:val="bottom"/>
          </w:tcPr>
          <w:p>
            <w:pPr>
              <w:ind w:left="100"/>
              <w:spacing w:after="0"/>
              <w:rPr>
                <w:sz w:val="20"/>
                <w:szCs w:val="20"/>
                <w:color w:val="auto"/>
              </w:rPr>
            </w:pPr>
            <w:r>
              <w:rPr>
                <w:rFonts w:ascii="Arial" w:cs="Arial" w:eastAsia="Arial" w:hAnsi="Arial"/>
                <w:sz w:val="16"/>
                <w:szCs w:val="16"/>
                <w:color w:val="auto"/>
              </w:rPr>
              <w:t>Accounts payable for property, plant and equipment</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2,211</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13,912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26,522</w:t>
            </w:r>
          </w:p>
        </w:tc>
      </w:tr>
      <w:tr>
        <w:trPr>
          <w:trHeight w:val="273"/>
        </w:trPr>
        <w:tc>
          <w:tcPr>
            <w:tcW w:w="69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13"/>
        </w:trPr>
        <w:tc>
          <w:tcPr>
            <w:tcW w:w="6900" w:type="dxa"/>
            <w:vAlign w:val="bottom"/>
          </w:tcPr>
          <w:p>
            <w:pPr>
              <w:ind w:left="100"/>
              <w:spacing w:after="0"/>
              <w:rPr>
                <w:sz w:val="20"/>
                <w:szCs w:val="20"/>
                <w:color w:val="auto"/>
              </w:rPr>
            </w:pPr>
            <w:r>
              <w:rPr>
                <w:rFonts w:ascii="Arial" w:cs="Arial" w:eastAsia="Arial" w:hAnsi="Arial"/>
                <w:sz w:val="16"/>
                <w:szCs w:val="16"/>
                <w:color w:val="auto"/>
              </w:rPr>
              <w:t>Detail of assets acquired and liabilities assumed in acquisitions:</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Fair value of assets acquired</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(76,133)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Goodwill, acquired during period</w:t>
            </w:r>
          </w:p>
        </w:tc>
        <w:tc>
          <w:tcPr>
            <w:tcW w:w="8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r>
      <w:tr>
        <w:trPr>
          <w:trHeight w:val="233"/>
        </w:trPr>
        <w:tc>
          <w:tcPr>
            <w:tcW w:w="69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Liabilities assumed/Adjustments to liabilities assumed</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Preparation</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ICU Medical, Inc. ("ICU" or "we"), a Delaware corporation, operates in one business segment engaged in the development, manufacturing and sale of innovative medical devices used in infusion therapy, and critical care applications. We are one of the world's leading pure-play infusion therapy companies with a wide-ranging product portfolio that includes IV solutions, IV smart pumps with pain management and safety software technology, dedicated and non-dedicated IV sets and needlefree connectors designed to help meet clinical, safety and workflow goals. We sell the majority of our products through our direct sales force and through independent distributors throughout the U. S. and internationally. Additionally, we sell our products on an original equipment manufacturer basis to other medical device manufacturers. The manufacturing for all product groups occurs in Salt Lake City, Utah, Austin, Texas, Mexico and Costa Rica.</w:t>
      </w:r>
    </w:p>
    <w:p>
      <w:pPr>
        <w:spacing w:after="0" w:line="22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All subsidiaries are wholly owned and are included in the consolidated financial statements. All intercompany accounts and transactions have been eliminated. Results of operations of companies purchased are included from the dates of acquisition.</w:t>
      </w:r>
    </w:p>
    <w:p>
      <w:pPr>
        <w:spacing w:after="0" w:line="1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consolidated financial statements reflect all adjustments, which are normal and recurring in nature, necessary for fair financial statement presentation. These consolidated financial statements were prepared in accordance with accounting principles generally accepted in the United States of America ("GAAP"). 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Cash Equivalents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known amounts of cash and have original maturities of three months or less from the date of purchase as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Accounts receivable are stated at net realizable value. An allowance is provided for estimated collection losses based on an assessment of various factors. We consider prior payment trends, the age of the accounts receivable balances, financial status and other factors to estimate the cash which ultimately will be received. Such amounts cannot be known with certainty at the financial statement date. We regularly review individual past due balances for collectability.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at December 31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right"/>
              <w:ind w:right="691"/>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tcPr>
          <w:p>
            <w:pPr>
              <w:spacing w:after="0"/>
              <w:rPr>
                <w:sz w:val="18"/>
                <w:szCs w:val="18"/>
                <w:color w:val="auto"/>
              </w:rPr>
            </w:pPr>
          </w:p>
        </w:tc>
        <w:tc>
          <w:tcPr>
            <w:tcW w:w="6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119,709</w:t>
            </w:r>
          </w:p>
        </w:tc>
        <w:tc>
          <w:tcPr>
            <w:tcW w:w="0" w:type="dxa"/>
            <w:vAlign w:val="bottom"/>
          </w:tcPr>
          <w:p>
            <w:pPr>
              <w:spacing w:after="0"/>
              <w:rPr>
                <w:sz w:val="1"/>
                <w:szCs w:val="1"/>
                <w:color w:val="auto"/>
              </w:rPr>
            </w:pPr>
          </w:p>
        </w:tc>
      </w:tr>
      <w:tr>
        <w:trPr>
          <w:trHeight w:val="230"/>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39,515</w:t>
            </w:r>
          </w:p>
        </w:tc>
        <w:tc>
          <w:tcPr>
            <w:tcW w:w="0" w:type="dxa"/>
            <w:vAlign w:val="bottom"/>
          </w:tcPr>
          <w:p>
            <w:pPr>
              <w:spacing w:after="0"/>
              <w:rPr>
                <w:sz w:val="1"/>
                <w:szCs w:val="1"/>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178,416</w:t>
            </w:r>
          </w:p>
        </w:tc>
        <w:tc>
          <w:tcPr>
            <w:tcW w:w="0" w:type="dxa"/>
            <w:vAlign w:val="bottom"/>
          </w:tcPr>
          <w:p>
            <w:pPr>
              <w:spacing w:after="0"/>
              <w:rPr>
                <w:sz w:val="1"/>
                <w:szCs w:val="1"/>
                <w:color w:val="auto"/>
              </w:rPr>
            </w:pPr>
          </w:p>
        </w:tc>
      </w:tr>
      <w:tr>
        <w:trPr>
          <w:trHeight w:val="22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337,640</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w w:val="89"/>
              </w:rPr>
              <w:t>Property, Plant and Equipment</w:t>
            </w:r>
          </w:p>
        </w:tc>
        <w:tc>
          <w:tcPr>
            <w:tcW w:w="6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8"/>
        </w:trPr>
        <w:tc>
          <w:tcPr>
            <w:tcW w:w="2220" w:type="dxa"/>
            <w:vAlign w:val="bottom"/>
            <w:tcBorders>
              <w:bottom w:val="single" w:sz="8" w:color="auto"/>
            </w:tcBorders>
            <w:vMerge w:val="continue"/>
          </w:tcPr>
          <w:p>
            <w:pPr>
              <w:spacing w:after="0"/>
              <w:rPr>
                <w:sz w:val="24"/>
                <w:szCs w:val="24"/>
                <w:color w:val="auto"/>
              </w:rPr>
            </w:pPr>
          </w:p>
        </w:tc>
        <w:tc>
          <w:tcPr>
            <w:tcW w:w="61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320" w:type="dxa"/>
            <w:vAlign w:val="bottom"/>
            <w:gridSpan w:val="2"/>
          </w:tcPr>
          <w:p>
            <w:pPr>
              <w:ind w:left="660"/>
              <w:spacing w:after="0"/>
              <w:rPr>
                <w:sz w:val="20"/>
                <w:szCs w:val="20"/>
                <w:color w:val="auto"/>
              </w:rPr>
            </w:pPr>
            <w:r>
              <w:rPr>
                <w:rFonts w:ascii="Arial" w:cs="Arial" w:eastAsia="Arial" w:hAnsi="Arial"/>
                <w:sz w:val="18"/>
                <w:szCs w:val="18"/>
                <w:color w:val="auto"/>
              </w:rPr>
              <w:t>Property, plant and equipment consist of the following at December 31 (in thousands):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22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671"/>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2220" w:type="dxa"/>
            <w:vAlign w:val="bottom"/>
            <w:tcBorders>
              <w:bottom w:val="single" w:sz="8" w:color="CCEEFF"/>
            </w:tcBorders>
          </w:tcPr>
          <w:p>
            <w:pPr>
              <w:spacing w:after="0"/>
              <w:rPr>
                <w:sz w:val="18"/>
                <w:szCs w:val="18"/>
                <w:color w:val="auto"/>
              </w:rPr>
            </w:pPr>
          </w:p>
        </w:tc>
        <w:tc>
          <w:tcPr>
            <w:tcW w:w="6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291,331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219,057</w:t>
            </w:r>
          </w:p>
        </w:tc>
        <w:tc>
          <w:tcPr>
            <w:tcW w:w="0" w:type="dxa"/>
            <w:vAlign w:val="bottom"/>
          </w:tcPr>
          <w:p>
            <w:pPr>
              <w:spacing w:after="0"/>
              <w:rPr>
                <w:sz w:val="1"/>
                <w:szCs w:val="1"/>
                <w:color w:val="auto"/>
              </w:rPr>
            </w:pP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Land, building and building improvements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241,199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230,454</w:t>
            </w:r>
          </w:p>
        </w:tc>
        <w:tc>
          <w:tcPr>
            <w:tcW w:w="0" w:type="dxa"/>
            <w:vAlign w:val="bottom"/>
          </w:tcPr>
          <w:p>
            <w:pPr>
              <w:spacing w:after="0"/>
              <w:rPr>
                <w:sz w:val="1"/>
                <w:szCs w:val="1"/>
                <w:color w:val="auto"/>
              </w:rPr>
            </w:pPr>
          </w:p>
        </w:tc>
      </w:tr>
      <w:tr>
        <w:trPr>
          <w:trHeight w:val="23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Molds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60,155</w:t>
            </w:r>
          </w:p>
        </w:tc>
        <w:tc>
          <w:tcPr>
            <w:tcW w:w="0" w:type="dxa"/>
            <w:vAlign w:val="bottom"/>
          </w:tcPr>
          <w:p>
            <w:pPr>
              <w:spacing w:after="0"/>
              <w:rPr>
                <w:sz w:val="1"/>
                <w:szCs w:val="1"/>
                <w:color w:val="auto"/>
              </w:rPr>
            </w:pP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Computer equipment and software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98,311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83,217</w:t>
            </w:r>
          </w:p>
        </w:tc>
        <w:tc>
          <w:tcPr>
            <w:tcW w:w="0" w:type="dxa"/>
            <w:vAlign w:val="bottom"/>
          </w:tcPr>
          <w:p>
            <w:pPr>
              <w:spacing w:after="0"/>
              <w:rPr>
                <w:sz w:val="1"/>
                <w:szCs w:val="1"/>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42"/>
        </w:trPr>
        <w:tc>
          <w:tcPr>
            <w:tcW w:w="8320" w:type="dxa"/>
            <w:vAlign w:val="bottom"/>
            <w:gridSpan w:val="2"/>
          </w:tcPr>
          <w:p>
            <w:pPr>
              <w:ind w:left="20"/>
              <w:spacing w:after="0" w:line="242" w:lineRule="exact"/>
              <w:rPr>
                <w:sz w:val="20"/>
                <w:szCs w:val="20"/>
                <w:color w:val="auto"/>
              </w:rPr>
            </w:pPr>
            <w:r>
              <w:rPr>
                <w:rFonts w:ascii="Arial" w:cs="Arial" w:eastAsia="Arial" w:hAnsi="Arial"/>
                <w:sz w:val="18"/>
                <w:szCs w:val="18"/>
                <w:color w:val="auto"/>
              </w:rPr>
              <w:t>Instruments placed with customers</w:t>
            </w:r>
            <w:r>
              <w:rPr>
                <w:rFonts w:ascii="Arial" w:cs="Arial" w:eastAsia="Arial" w:hAnsi="Arial"/>
                <w:sz w:val="23"/>
                <w:szCs w:val="23"/>
                <w:color w:val="auto"/>
                <w:vertAlign w:val="superscript"/>
              </w:rPr>
              <w:t>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90,383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74,434</w:t>
            </w:r>
          </w:p>
        </w:tc>
        <w:tc>
          <w:tcPr>
            <w:tcW w:w="0" w:type="dxa"/>
            <w:vAlign w:val="bottom"/>
          </w:tcPr>
          <w:p>
            <w:pPr>
              <w:spacing w:after="0"/>
              <w:rPr>
                <w:sz w:val="1"/>
                <w:szCs w:val="1"/>
                <w:color w:val="auto"/>
              </w:rPr>
            </w:pPr>
          </w:p>
        </w:tc>
      </w:tr>
      <w:tr>
        <w:trPr>
          <w:trHeight w:val="23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101,425</w:t>
            </w:r>
          </w:p>
        </w:tc>
        <w:tc>
          <w:tcPr>
            <w:tcW w:w="0" w:type="dxa"/>
            <w:vAlign w:val="bottom"/>
          </w:tcPr>
          <w:p>
            <w:pPr>
              <w:spacing w:after="0"/>
              <w:rPr>
                <w:sz w:val="1"/>
                <w:szCs w:val="1"/>
                <w:color w:val="auto"/>
              </w:rPr>
            </w:pPr>
          </w:p>
        </w:tc>
      </w:tr>
      <w:tr>
        <w:trPr>
          <w:trHeight w:val="22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Total property, plant and equipment, cost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843,096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776,240</w:t>
            </w:r>
          </w:p>
        </w:tc>
        <w:tc>
          <w:tcPr>
            <w:tcW w:w="0" w:type="dxa"/>
            <w:vAlign w:val="bottom"/>
          </w:tcPr>
          <w:p>
            <w:pPr>
              <w:spacing w:after="0"/>
              <w:rPr>
                <w:sz w:val="1"/>
                <w:szCs w:val="1"/>
                <w:color w:val="auto"/>
              </w:rPr>
            </w:pPr>
          </w:p>
        </w:tc>
      </w:tr>
      <w:tr>
        <w:trPr>
          <w:trHeight w:val="23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(376,468)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(320,155)</w:t>
            </w:r>
          </w:p>
        </w:tc>
        <w:tc>
          <w:tcPr>
            <w:tcW w:w="0" w:type="dxa"/>
            <w:vAlign w:val="bottom"/>
          </w:tcPr>
          <w:p>
            <w:pPr>
              <w:spacing w:after="0"/>
              <w:rPr>
                <w:sz w:val="1"/>
                <w:szCs w:val="1"/>
                <w:color w:val="auto"/>
              </w:rPr>
            </w:pPr>
          </w:p>
        </w:tc>
      </w:tr>
      <w:tr>
        <w:trPr>
          <w:trHeight w:val="223"/>
        </w:trPr>
        <w:tc>
          <w:tcPr>
            <w:tcW w:w="832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466,628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456,085</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55" w:lineRule="exact"/>
        <w:rPr>
          <w:sz w:val="20"/>
          <w:szCs w:val="20"/>
          <w:color w:val="auto"/>
        </w:rPr>
      </w:pPr>
    </w:p>
    <w:p>
      <w:pPr>
        <w:ind w:left="80" w:hanging="72"/>
        <w:spacing w:after="0"/>
        <w:tabs>
          <w:tab w:leader="none" w:pos="8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Instruments placed with customers consist of drug-delivery and monitoring systems placed with customers under operating leases.</w:t>
      </w:r>
    </w:p>
    <w:p>
      <w:pPr>
        <w:spacing w:after="0" w:line="22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All property, plant and equipment are stated at cost. We use the straight-line method for depreciating property, plant and equipment over their estimated useful lives. Estimated useful lives 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84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15 - 30 years</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Building improvements</w:t>
            </w:r>
          </w:p>
        </w:tc>
        <w:tc>
          <w:tcPr>
            <w:tcW w:w="4840" w:type="dxa"/>
            <w:vAlign w:val="bottom"/>
            <w:gridSpan w:val="2"/>
          </w:tcPr>
          <w:p>
            <w:pPr>
              <w:ind w:left="3480"/>
              <w:spacing w:after="0"/>
              <w:rPr>
                <w:sz w:val="20"/>
                <w:szCs w:val="20"/>
                <w:color w:val="auto"/>
              </w:rPr>
            </w:pPr>
            <w:r>
              <w:rPr>
                <w:rFonts w:ascii="Arial" w:cs="Arial" w:eastAsia="Arial" w:hAnsi="Arial"/>
                <w:sz w:val="18"/>
                <w:szCs w:val="18"/>
                <w:color w:val="auto"/>
              </w:rPr>
              <w:t>15 - 30 years</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equipment and molds</w:t>
            </w:r>
          </w:p>
        </w:tc>
        <w:tc>
          <w:tcPr>
            <w:tcW w:w="360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99"/>
              </w:rPr>
              <w:t>2</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 years</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600" w:type="dxa"/>
            <w:vAlign w:val="bottom"/>
          </w:tcPr>
          <w:p>
            <w:pPr>
              <w:ind w:left="3480"/>
              <w:spacing w:after="0"/>
              <w:rPr>
                <w:sz w:val="20"/>
                <w:szCs w:val="20"/>
                <w:color w:val="auto"/>
              </w:rPr>
            </w:pPr>
            <w:r>
              <w:rPr>
                <w:rFonts w:ascii="Arial" w:cs="Arial" w:eastAsia="Arial" w:hAnsi="Arial"/>
                <w:sz w:val="18"/>
                <w:szCs w:val="18"/>
                <w:color w:val="auto"/>
                <w:w w:val="99"/>
              </w:rPr>
              <w:t>2</w:t>
            </w:r>
          </w:p>
        </w:tc>
        <w:tc>
          <w:tcPr>
            <w:tcW w:w="124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Instruments placed with customers</w:t>
            </w:r>
          </w:p>
        </w:tc>
        <w:tc>
          <w:tcPr>
            <w:tcW w:w="3600" w:type="dxa"/>
            <w:vAlign w:val="bottom"/>
          </w:tcPr>
          <w:p>
            <w:pPr>
              <w:ind w:left="3480"/>
              <w:spacing w:after="0"/>
              <w:rPr>
                <w:sz w:val="20"/>
                <w:szCs w:val="20"/>
                <w:color w:val="auto"/>
              </w:rPr>
            </w:pPr>
            <w:r>
              <w:rPr>
                <w:rFonts w:ascii="Arial" w:cs="Arial" w:eastAsia="Arial" w:hAnsi="Arial"/>
                <w:sz w:val="18"/>
                <w:szCs w:val="18"/>
                <w:color w:val="auto"/>
                <w:w w:val="99"/>
              </w:rPr>
              <w:t>3</w:t>
            </w:r>
          </w:p>
        </w:tc>
        <w:tc>
          <w:tcPr>
            <w:tcW w:w="1240" w:type="dxa"/>
            <w:vAlign w:val="bottom"/>
          </w:tcPr>
          <w:p>
            <w:pPr>
              <w:ind w:left="20"/>
              <w:spacing w:after="0"/>
              <w:rPr>
                <w:sz w:val="20"/>
                <w:szCs w:val="20"/>
                <w:color w:val="auto"/>
              </w:rPr>
            </w:pPr>
            <w:r>
              <w:rPr>
                <w:rFonts w:ascii="Arial" w:cs="Arial" w:eastAsia="Arial" w:hAnsi="Arial"/>
                <w:sz w:val="18"/>
                <w:szCs w:val="18"/>
                <w:color w:val="auto"/>
              </w:rPr>
              <w:t>- 10 years</w:t>
            </w:r>
          </w:p>
        </w:tc>
      </w:tr>
    </w:tbl>
    <w:p>
      <w:pPr>
        <w:spacing w:after="0" w:line="29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capitalize expenditures that materially increase the life of the related assets; maintenance and repairs are expensed as incurred. The costs and related accumulated depreciation applicable to property, plant and equipment sold or retired are removed from the accounts and any gain or loss is reflected in the statements of operations at the time of disposal. Depreciation expense was $62.4 million, $59.3 million and $58.1 million in the years ended December 31, 2020, 2019 and 2018,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ind w:right="160" w:firstLine="177"/>
        <w:spacing w:after="0" w:line="263" w:lineRule="auto"/>
        <w:rPr>
          <w:sz w:val="20"/>
          <w:szCs w:val="20"/>
          <w:color w:val="auto"/>
        </w:rPr>
      </w:pPr>
      <w:r>
        <w:rPr>
          <w:rFonts w:ascii="Arial" w:cs="Arial" w:eastAsia="Arial" w:hAnsi="Arial"/>
          <w:sz w:val="18"/>
          <w:szCs w:val="18"/>
          <w:color w:val="auto"/>
        </w:rPr>
        <w:t>We test goodwill for impairment on an annual basis in the month of November. If the carrying amount of goodwill exceeds the implied estimated fair value, an impairment charge to current operations is recorded to reduce the carrying value to the implied estimated fair value. There were no accumulated impairment losses as of December 31, 2020, 2019 and 2018.</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changes in the carrying amount of our goodwill for 2020, 2019 and 2018 (in thousands):</w:t>
      </w:r>
    </w:p>
    <w:p>
      <w:pPr>
        <w:spacing w:after="0" w:line="14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85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Total</w:t>
            </w:r>
          </w:p>
        </w:tc>
      </w:tr>
      <w:tr>
        <w:trPr>
          <w:trHeight w:val="223"/>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r>
      <w:tr>
        <w:trPr>
          <w:trHeight w:val="230"/>
        </w:trPr>
        <w:tc>
          <w:tcPr>
            <w:tcW w:w="8580" w:type="dxa"/>
            <w:vAlign w:val="bottom"/>
          </w:tcPr>
          <w:p>
            <w:pPr>
              <w:ind w:left="140"/>
              <w:spacing w:after="0" w:line="230" w:lineRule="exact"/>
              <w:rPr>
                <w:sz w:val="20"/>
                <w:szCs w:val="20"/>
                <w:color w:val="auto"/>
              </w:rPr>
            </w:pPr>
            <w:r>
              <w:rPr>
                <w:rFonts w:ascii="Arial" w:cs="Arial" w:eastAsia="Arial" w:hAnsi="Arial"/>
                <w:sz w:val="18"/>
                <w:szCs w:val="18"/>
                <w:color w:val="auto"/>
              </w:rPr>
              <w:t>Goodwill acquired</w:t>
            </w:r>
            <w:r>
              <w:rPr>
                <w:rFonts w:ascii="Arial" w:cs="Arial" w:eastAsia="Arial" w:hAnsi="Arial"/>
                <w:sz w:val="23"/>
                <w:szCs w:val="23"/>
                <w:color w:val="auto"/>
                <w:vertAlign w:val="superscript"/>
              </w:rPr>
              <w:t>(1)</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85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11,195</w:t>
            </w:r>
          </w:p>
        </w:tc>
      </w:tr>
      <w:tr>
        <w:trPr>
          <w:trHeight w:val="229"/>
        </w:trPr>
        <w:tc>
          <w:tcPr>
            <w:tcW w:w="85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Goodwill acquired</w:t>
            </w:r>
            <w:r>
              <w:rPr>
                <w:rFonts w:ascii="Arial" w:cs="Arial" w:eastAsia="Arial" w:hAnsi="Arial"/>
                <w:sz w:val="23"/>
                <w:szCs w:val="23"/>
                <w:color w:val="auto"/>
                <w:vertAlign w:val="superscript"/>
              </w:rPr>
              <w:t>(3)</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20,026</w:t>
            </w:r>
          </w:p>
        </w:tc>
      </w:tr>
      <w:tr>
        <w:trPr>
          <w:trHeight w:val="229"/>
        </w:trPr>
        <w:tc>
          <w:tcPr>
            <w:tcW w:w="8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31,245</w:t>
            </w:r>
          </w:p>
        </w:tc>
      </w:tr>
      <w:tr>
        <w:trPr>
          <w:trHeight w:val="229"/>
        </w:trPr>
        <w:tc>
          <w:tcPr>
            <w:tcW w:w="858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(4)</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r>
      <w:tr>
        <w:trPr>
          <w:trHeight w:val="248"/>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______________________________</w:t>
      </w:r>
    </w:p>
    <w:p>
      <w:pPr>
        <w:spacing w:after="0" w:line="106"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In 2018, we acquired the consulting arm of a small software company, which resulted in $1.3 million of goodwill.</w:t>
      </w:r>
    </w:p>
    <w:p>
      <w:pPr>
        <w:spacing w:after="0" w:line="217"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In 2018, "Other" relates to a $1.9 million measurement period adjustment on our Medical Australia Limited acquisition and foreign currency translation.</w:t>
      </w:r>
    </w:p>
    <w:p>
      <w:pPr>
        <w:spacing w:after="0" w:line="228" w:lineRule="exact"/>
        <w:rPr>
          <w:rFonts w:ascii="Arial" w:cs="Arial" w:eastAsia="Arial" w:hAnsi="Arial"/>
          <w:sz w:val="21"/>
          <w:szCs w:val="21"/>
          <w:color w:val="auto"/>
          <w:vertAlign w:val="superscript"/>
        </w:rPr>
      </w:pPr>
    </w:p>
    <w:p>
      <w:pPr>
        <w:ind w:right="140" w:firstLine="8"/>
        <w:spacing w:after="0" w:line="317" w:lineRule="auto"/>
        <w:tabs>
          <w:tab w:leader="none" w:pos="165"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In 2019, we acquired Pursuit Vascular, Inc. ("Pursuit"), which resulted in $19.1 million of goodwill. We also acquired a small foreign distributor, which resulted in $0.9 million of goodwill.</w:t>
      </w:r>
    </w:p>
    <w:p>
      <w:pPr>
        <w:spacing w:after="0" w:line="158" w:lineRule="exact"/>
        <w:rPr>
          <w:rFonts w:ascii="Arial" w:cs="Arial" w:eastAsia="Arial" w:hAnsi="Arial"/>
          <w:sz w:val="19"/>
          <w:szCs w:val="19"/>
          <w:color w:val="auto"/>
          <w:vertAlign w:val="superscript"/>
        </w:rPr>
      </w:pPr>
    </w:p>
    <w:p>
      <w:pPr>
        <w:ind w:right="580" w:firstLine="8"/>
        <w:spacing w:after="0" w:line="267" w:lineRule="auto"/>
        <w:tabs>
          <w:tab w:leader="none" w:pos="181"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In 2020, "Other" relates to a $1.3 million measurement period adjustment to deferred taxes related to the Pursuit acquisition and foreign currency translation.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440" w:type="dxa"/>
            <w:vAlign w:val="bottom"/>
          </w:tcPr>
          <w:p>
            <w:pPr>
              <w:spacing w:after="0"/>
              <w:rPr>
                <w:sz w:val="3"/>
                <w:szCs w:val="3"/>
                <w:color w:val="auto"/>
              </w:rPr>
            </w:pPr>
          </w:p>
        </w:tc>
        <w:tc>
          <w:tcPr>
            <w:tcW w:w="14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544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4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1"/>
                <w:szCs w:val="11"/>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vMerge w:val="restart"/>
          </w:tcPr>
          <w:p>
            <w:pPr>
              <w:jc w:val="right"/>
              <w:ind w:right="49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115,966</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1,528</w:t>
            </w:r>
          </w:p>
        </w:tc>
        <w:tc>
          <w:tcPr>
            <w:tcW w:w="0" w:type="dxa"/>
            <w:vAlign w:val="bottom"/>
          </w:tcPr>
          <w:p>
            <w:pPr>
              <w:spacing w:after="0"/>
              <w:rPr>
                <w:sz w:val="1"/>
                <w:szCs w:val="1"/>
                <w:color w:val="auto"/>
              </w:rPr>
            </w:pPr>
          </w:p>
        </w:tc>
      </w:tr>
      <w:tr>
        <w:trPr>
          <w:trHeight w:val="223"/>
        </w:trPr>
        <w:tc>
          <w:tcPr>
            <w:tcW w:w="5440" w:type="dxa"/>
            <w:vAlign w:val="bottom"/>
          </w:tcPr>
          <w:p>
            <w:pPr>
              <w:ind w:left="200"/>
              <w:spacing w:after="0"/>
              <w:rPr>
                <w:sz w:val="20"/>
                <w:szCs w:val="20"/>
                <w:color w:val="auto"/>
              </w:rPr>
            </w:pPr>
            <w:r>
              <w:rPr>
                <w:rFonts w:ascii="Arial" w:cs="Arial" w:eastAsia="Arial" w:hAnsi="Arial"/>
                <w:sz w:val="18"/>
                <w:szCs w:val="18"/>
                <w:color w:val="auto"/>
              </w:rPr>
              <w:t>Total amortized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267,311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89,443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177,868</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286,674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197,231</w:t>
            </w:r>
          </w:p>
        </w:tc>
        <w:tc>
          <w:tcPr>
            <w:tcW w:w="0" w:type="dxa"/>
            <w:vAlign w:val="bottom"/>
          </w:tcPr>
          <w:p>
            <w:pPr>
              <w:spacing w:after="0"/>
              <w:rPr>
                <w:sz w:val="1"/>
                <w:szCs w:val="1"/>
                <w:color w:val="auto"/>
              </w:rPr>
            </w:pPr>
          </w:p>
        </w:tc>
      </w:tr>
      <w:tr>
        <w:trPr>
          <w:trHeight w:val="21"/>
        </w:trPr>
        <w:tc>
          <w:tcPr>
            <w:tcW w:w="54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Internally developed software will be amortized when the projects are complete and the assets are ready for their intended use.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14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5"/>
              </w:rPr>
              <w:t>Amortization</w:t>
            </w:r>
          </w:p>
        </w:tc>
        <w:tc>
          <w:tcPr>
            <w:tcW w:w="340" w:type="dxa"/>
            <w:vAlign w:val="bottom"/>
          </w:tcPr>
          <w:p>
            <w:pPr>
              <w:spacing w:after="0"/>
              <w:rPr>
                <w:sz w:val="11"/>
                <w:szCs w:val="11"/>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1"/>
                <w:szCs w:val="11"/>
                <w:color w:val="auto"/>
              </w:rPr>
            </w:pPr>
          </w:p>
        </w:tc>
        <w:tc>
          <w:tcPr>
            <w:tcW w:w="12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1"/>
                <w:szCs w:val="11"/>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Amortization</w:t>
            </w:r>
          </w:p>
        </w:tc>
        <w:tc>
          <w:tcPr>
            <w:tcW w:w="3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37,509</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152,354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128,126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263,275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65,858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197,417</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277,266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211,408</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left="660" w:right="1980" w:hanging="652"/>
        <w:spacing w:after="0" w:line="581" w:lineRule="auto"/>
        <w:tabs>
          <w:tab w:leader="none" w:pos="147"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Internally developed software will be amortized when the projects are complete and the assets are ready for their intended use. Amortization expense in 2020, 2019 and 2018 was $23.2 million, $17.7 million and $16.6 million, respectively.</w:t>
      </w:r>
    </w:p>
    <w:p>
      <w:pPr>
        <w:ind w:left="660"/>
        <w:spacing w:after="0"/>
        <w:rPr>
          <w:sz w:val="20"/>
          <w:szCs w:val="20"/>
          <w:color w:val="auto"/>
        </w:rPr>
      </w:pPr>
      <w:r>
        <w:rPr>
          <w:rFonts w:ascii="Arial" w:cs="Arial" w:eastAsia="Arial" w:hAnsi="Arial"/>
          <w:sz w:val="16"/>
          <w:szCs w:val="16"/>
          <w:color w:val="auto"/>
        </w:rPr>
        <w:t>As of December 31, 2020 estimated annual amortization for our intangible assets for each of the next five years is approximately (in thousands):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23,563</w:t>
            </w:r>
          </w:p>
        </w:tc>
      </w:tr>
      <w:tr>
        <w:trPr>
          <w:trHeight w:val="229"/>
        </w:trPr>
        <w:tc>
          <w:tcPr>
            <w:tcW w:w="9000" w:type="dxa"/>
            <w:vAlign w:val="bottom"/>
          </w:tcPr>
          <w:p>
            <w:pPr>
              <w:spacing w:after="0"/>
              <w:rPr>
                <w:sz w:val="20"/>
                <w:szCs w:val="20"/>
                <w:color w:val="auto"/>
              </w:rPr>
            </w:pPr>
            <w:r>
              <w:rPr>
                <w:rFonts w:ascii="Arial" w:cs="Arial" w:eastAsia="Arial" w:hAnsi="Arial"/>
                <w:sz w:val="18"/>
                <w:szCs w:val="18"/>
                <w:color w:val="auto"/>
              </w:rPr>
              <w:t>2022</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22,747</w:t>
            </w: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2024</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21,635</w:t>
            </w: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17,095</w:t>
            </w:r>
          </w:p>
        </w:tc>
      </w:tr>
      <w:tr>
        <w:trPr>
          <w:trHeight w:val="229"/>
        </w:trPr>
        <w:tc>
          <w:tcPr>
            <w:tcW w:w="9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71,104</w:t>
            </w:r>
          </w:p>
        </w:tc>
      </w:tr>
      <w:tr>
        <w:trPr>
          <w:trHeight w:val="248"/>
        </w:trPr>
        <w:tc>
          <w:tcPr>
            <w:tcW w:w="9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177,868</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firstLine="180"/>
        <w:spacing w:after="0" w:line="263" w:lineRule="auto"/>
        <w:rPr>
          <w:sz w:val="20"/>
          <w:szCs w:val="20"/>
          <w:color w:val="auto"/>
        </w:rPr>
      </w:pPr>
      <w:r>
        <w:rPr>
          <w:rFonts w:ascii="Arial" w:cs="Arial" w:eastAsia="Arial" w:hAnsi="Arial"/>
          <w:sz w:val="18"/>
          <w:szCs w:val="18"/>
          <w:color w:val="auto"/>
        </w:rPr>
        <w:t>Our intangible assets that are not subject to amortization are reviewed annually for impairment or more often if there are indications of possible impairment. We perform our annual intangible assets impairment test in November of each year. We did not have any intangible asset impairments in 2020, 2019 or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ind w:right="120" w:firstLine="177"/>
        <w:spacing w:after="0" w:line="255" w:lineRule="auto"/>
        <w:rPr>
          <w:sz w:val="20"/>
          <w:szCs w:val="20"/>
          <w:color w:val="auto"/>
        </w:rPr>
      </w:pPr>
      <w:r>
        <w:rPr>
          <w:rFonts w:ascii="Arial" w:cs="Arial" w:eastAsia="Arial" w:hAnsi="Arial"/>
          <w:sz w:val="18"/>
          <w:szCs w:val="18"/>
          <w:color w:val="auto"/>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 We did not have any long-lived asset impairments in 2020, 2019 or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Short-term investments, exclusive of cash equivalents, are marketable securities intended to be sold within one year and may include trading securities, available-for-sale securities, and held-to-maturity securities (if maturing within one year at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time of acquisition). Long-term investments are marketable securities intended to be sold after one year and may include trading securities, available-for-sale securities, and held-to-maturity securities.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investment securities are considered available-for-sale and are “investment grade” and carried at fair value. Our investments currently consist of corporate bonds.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For debt securities, management also evaluates whether we have the intent to sell or will likely be required to sell before its anticipated recovery. Realized gains and losses are accounted for on the specific identification method. There have been no realized gains or losses on the disposal of investments. Our investments mature in 2021 and 2022. All short-term investment securities are all callable within one year.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 securities consist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6"/>
                <w:szCs w:val="16"/>
                <w:b w:val="1"/>
                <w:bCs w:val="1"/>
                <w:color w:val="auto"/>
                <w:w w:val="91"/>
              </w:rPr>
              <w:t>As of December 31, 2020</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Amortized Cost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Holding Gains</w:t>
            </w:r>
          </w:p>
        </w:tc>
        <w:tc>
          <w:tcPr>
            <w:tcW w:w="200" w:type="dxa"/>
            <w:vAlign w:val="bottom"/>
          </w:tcPr>
          <w:p>
            <w:pPr>
              <w:spacing w:after="0"/>
              <w:rPr>
                <w:sz w:val="14"/>
                <w:szCs w:val="14"/>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(Losses)</w:t>
            </w: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corporate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Long-term corporate bonds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investment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6"/>
                <w:szCs w:val="16"/>
                <w:b w:val="1"/>
                <w:bCs w:val="1"/>
                <w:color w:val="auto"/>
                <w:w w:val="91"/>
              </w:rPr>
              <w:t>As of December 31, 2019</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Amortized Cost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Holding Gains</w:t>
            </w:r>
          </w:p>
        </w:tc>
        <w:tc>
          <w:tcPr>
            <w:tcW w:w="200" w:type="dxa"/>
            <w:vAlign w:val="bottom"/>
          </w:tcPr>
          <w:p>
            <w:pPr>
              <w:spacing w:after="0"/>
              <w:rPr>
                <w:sz w:val="14"/>
                <w:szCs w:val="14"/>
                <w:color w:val="auto"/>
              </w:rPr>
            </w:pPr>
          </w:p>
        </w:tc>
        <w:tc>
          <w:tcPr>
            <w:tcW w:w="116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(Losses)</w:t>
            </w: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corporate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in the tax provision.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not recorded any material interest or penalties during any of the years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52" w:lineRule="exact"/>
        <w:rPr>
          <w:sz w:val="20"/>
          <w:szCs w:val="20"/>
          <w:color w:val="auto"/>
        </w:rPr>
      </w:pPr>
    </w:p>
    <w:p>
      <w:pPr>
        <w:ind w:right="300" w:firstLine="180"/>
        <w:spacing w:after="0" w:line="272" w:lineRule="auto"/>
        <w:rPr>
          <w:sz w:val="20"/>
          <w:szCs w:val="20"/>
          <w:color w:val="auto"/>
        </w:rPr>
      </w:pPr>
      <w:r>
        <w:rPr>
          <w:rFonts w:ascii="Arial" w:cs="Arial" w:eastAsia="Arial" w:hAnsi="Arial"/>
          <w:sz w:val="17"/>
          <w:szCs w:val="17"/>
          <w:color w:val="auto"/>
        </w:rPr>
        <w:t>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as a component of accumulated other comprehensive (loss) income,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currency of the entity are included in our statements of operations in other income (expense), net. Foreign currency transaction losses (gains), net were $7.2 million in 2020, $(0.7) million in 2019 and $7.9 million in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60" w:firstLine="222"/>
        <w:spacing w:after="0" w:line="268" w:lineRule="auto"/>
        <w:rPr>
          <w:sz w:val="20"/>
          <w:szCs w:val="20"/>
          <w:color w:val="auto"/>
        </w:rPr>
      </w:pPr>
      <w:r>
        <w:rPr>
          <w:rFonts w:ascii="Arial" w:cs="Arial" w:eastAsia="Arial" w:hAnsi="Arial"/>
          <w:sz w:val="16"/>
          <w:szCs w:val="16"/>
          <w:color w:val="auto"/>
        </w:rPr>
        <w:t>We recognize revenues when we transfer control of promised goods to our customers in an amount that reflects the consideration to which we expect to be entitled in exchange for those goods. We offer certain volume-based rebates to our distribution customers, which we consider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Chargebacks are the difference between prices we charge our distribution customers and contracted prices we have with the end customer which are processed as credits to our distribution customers. In estimating the expected value of chargeback amounts for use in determining the transaction price, we use information available at the time, including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199" w:lineRule="exact"/>
        <w:rPr>
          <w:sz w:val="20"/>
          <w:szCs w:val="20"/>
          <w:color w:val="auto"/>
        </w:rPr>
      </w:pPr>
    </w:p>
    <w:p>
      <w:pPr>
        <w:ind w:right="280" w:firstLine="177"/>
        <w:spacing w:after="0" w:line="277" w:lineRule="auto"/>
        <w:rPr>
          <w:sz w:val="20"/>
          <w:szCs w:val="20"/>
          <w:color w:val="auto"/>
        </w:rPr>
      </w:pPr>
      <w:r>
        <w:rPr>
          <w:rFonts w:ascii="Arial" w:cs="Arial" w:eastAsia="Arial" w:hAnsi="Arial"/>
          <w:sz w:val="18"/>
          <w:szCs w:val="18"/>
          <w:color w:val="auto"/>
        </w:rPr>
        <w:t>The vast majority of our sales of Infusion Consumables, Infusion Systems, IV Solutions and Critical Care products are sold on a standalone basis and control of these products transfers to the customer upon shipment.</w:t>
      </w:r>
    </w:p>
    <w:p>
      <w:pPr>
        <w:spacing w:after="0" w:line="19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software license renewals are considered to be transferred to a customer at a point in time at the start of each renewal period, therefore revenue is recognized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Deliverables</w:t>
      </w:r>
    </w:p>
    <w:p>
      <w:pPr>
        <w:spacing w:after="0" w:line="252" w:lineRule="exact"/>
        <w:rPr>
          <w:sz w:val="20"/>
          <w:szCs w:val="20"/>
          <w:color w:val="auto"/>
        </w:rPr>
      </w:pPr>
    </w:p>
    <w:p>
      <w:pPr>
        <w:ind w:right="80" w:firstLine="180"/>
        <w:spacing w:after="0" w:line="255" w:lineRule="auto"/>
        <w:rPr>
          <w:sz w:val="20"/>
          <w:szCs w:val="20"/>
          <w:color w:val="auto"/>
        </w:rPr>
      </w:pPr>
      <w:r>
        <w:rPr>
          <w:rFonts w:ascii="Arial" w:cs="Arial" w:eastAsia="Arial" w:hAnsi="Arial"/>
          <w:sz w:val="18"/>
          <w:szCs w:val="18"/>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are typically combined into a single performance obligation and recognized upon implementation. As annual software licenses are renewed, we recognize revenue for the license at a point in time, at the start of each annual renewal period. The transaction price allocated to the extended service-type warranty is recognized as revenue over the period the warranty service is provided. Consumables and solutions are separate performance obligations, recognized at a point in time.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Costs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Costs to ship finished goods to our customers are included in cost of goods sold on the 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Expenses</w:t>
      </w:r>
    </w:p>
    <w:p>
      <w:pPr>
        <w:spacing w:after="0" w:line="252" w:lineRule="exact"/>
        <w:rPr>
          <w:sz w:val="20"/>
          <w:szCs w:val="20"/>
          <w:color w:val="auto"/>
        </w:rPr>
      </w:pPr>
    </w:p>
    <w:p>
      <w:pPr>
        <w:ind w:right="80" w:firstLine="170"/>
        <w:spacing w:after="0" w:line="277" w:lineRule="auto"/>
        <w:rPr>
          <w:sz w:val="20"/>
          <w:szCs w:val="20"/>
          <w:color w:val="auto"/>
        </w:rPr>
      </w:pPr>
      <w:r>
        <w:rPr>
          <w:rFonts w:ascii="Arial" w:cs="Arial" w:eastAsia="Arial" w:hAnsi="Arial"/>
          <w:sz w:val="18"/>
          <w:szCs w:val="18"/>
          <w:color w:val="auto"/>
        </w:rPr>
        <w:t>Advertising expenses are expensed as incurred and reflected in selling, general and administrative expenses in our consolidated statements of operations and were $0.2 million in 2020, $0.1 million in 2019 and $0.6 million in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Post-retirement and Post-employment Benefits</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sponsor a Section 401(k) retirement plan ("plan") for employees. Our contributions to our 401(k) plan were approximately $10.7 million in 2020, $11.4 million in 2019 and $11.4 million in 2018. We also have post-retirement and post-employment obligations related to employees located in certain international countries. These obligations are immaterial to our financial statements taken as a whole.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majority of our research and development costs are expensed as incurred. In certain circumstances when an asset will have an alternative future use we capitalize the costs related to those assets. Research and development costs include salaries and related benefits, consulting fees, production supplies, samples, travel costs, utilities and other miscellaneous administrative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Per Share</w:t>
      </w:r>
    </w:p>
    <w:p>
      <w:pPr>
        <w:spacing w:after="0" w:line="25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Net income per share is computed by dividing net income by the weighted average number of common shares outstanding. Diluted net income per share is computed by dividing net income by the weighted average number of common shares outstanding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Restricted stock units that are anti-dilutive are not included in the treasury stock method. There were 12,083, 10,760 and 5,300 anti-dilutive shares in 2020, 2019 and 2018, respectively.</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 presents the calculation of net earnings per common share (“EPS”) — basic and diluted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99060</wp:posOffset>
            </wp:positionV>
            <wp:extent cx="27349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34945" cy="8255"/>
                    </a:xfrm>
                    <a:prstGeom prst="rect">
                      <a:avLst/>
                    </a:prstGeom>
                    <a:noFill/>
                  </pic:spPr>
                </pic:pic>
              </a:graphicData>
            </a:graphic>
          </wp:anchor>
        </w:drawing>
      </w:r>
    </w:p>
    <w:p>
      <w:pPr>
        <w:spacing w:after="0" w:line="146"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Year ended December 31,</w:t>
      </w:r>
    </w:p>
    <w:p>
      <w:pPr>
        <w:jc w:val="center"/>
        <w:ind w:left="6860"/>
        <w:spacing w:after="0"/>
        <w:rPr>
          <w:sz w:val="20"/>
          <w:szCs w:val="20"/>
          <w:color w:val="auto"/>
        </w:rPr>
      </w:pPr>
      <w:r>
        <w:rPr>
          <w:rFonts w:ascii="Arial" w:cs="Arial" w:eastAsia="Arial" w:hAnsi="Arial"/>
          <w:sz w:val="16"/>
          <w:szCs w:val="16"/>
          <w:b w:val="1"/>
          <w:bCs w:val="1"/>
          <w:color w:val="auto"/>
        </w:rPr>
        <w:t>(in thousands, except per share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1"/>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common shares outstanding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20,907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20,629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20,394</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Weighted average common and common equivalent shares outstanding (diluted)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 - 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ind w:right="40" w:firstLine="180"/>
        <w:spacing w:after="0" w:line="286" w:lineRule="auto"/>
        <w:rPr>
          <w:sz w:val="20"/>
          <w:szCs w:val="20"/>
          <w:color w:val="auto"/>
        </w:rPr>
      </w:pPr>
      <w:r>
        <w:rPr>
          <w:rFonts w:ascii="Arial" w:cs="Arial" w:eastAsia="Arial" w:hAnsi="Arial"/>
          <w:sz w:val="16"/>
          <w:szCs w:val="16"/>
          <w:color w:val="auto"/>
        </w:rPr>
        <w:t>In August 2018, the FASB issued ASU No. 2018-15, Intangibles-Goodwill and Other-Internal-Use Software (Topic 350): Customer's Accounting for Implementation Costs Incurred in a Cloud Computing Arrangement That Is a Service Contract. The amendments in this update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Costs to develop or obtain internal-use software that cannot be capitalized under subtopic 350-40, such as training costs and certain data conversion costs, also cannot be capitalized for a hosting arrangement that is a service contract. Therefore, an entity in a hosting arrangement that is a service contract determines which project stage (that is, preliminary project stage, application development stage, or post-implementation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The amendments in this update require the entity to expense the capitalized implementation costs of a hosting arrangement that is a service contract over the term of the hosting arrangement. The amendments in this update are effective for fiscal years beginning after December 15, 2019, and interim periods within those fiscal years. The amendments in this update should be applied either retrospectively or prospectively to all implementation costs incurred after the date of adoption. We adopted this ASU effective January 1, 2020. This ASU did not have a material impact on our consolidated financial statements or related disclosures.</w:t>
      </w:r>
    </w:p>
    <w:p>
      <w:pPr>
        <w:spacing w:after="0" w:line="20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 Changes to the Disclosure Requirements for Fair Value Measurement. The amendments in this update modify the disclosure requirements in Topic 820. The amendments remove from disclosure: the amount of and reasons for transfers between Level 1</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Level 2 of the fair value hierarchy; the policy for timing of transfers between levels; and the valuation processes for Level 3 fair value measurements. The amendments also made the following disclosure modifications: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and the amendments clarify that the measurement uncertainty disclosure is to communicate information about the uncertainty in measurement as of the reporting date. The amendments also added the following disclosure requirements: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amendments in ASU 2018-02 are effective for fiscal years beginning after December 15, 2019. Early adoption is permitted. We adopted this ASU effective January 1, 2020. This ASU did not have a material impact on our consolidated financial statements or related disclosures.</w:t>
      </w:r>
    </w:p>
    <w:p>
      <w:pPr>
        <w:spacing w:after="0" w:line="20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In April 2019, the FASB issued ASU No. 2019-04 - Codification Improvements to Topic 326, Financial Instruments - Credit Losses and in May 2019, the FASB issued ASU No. 2019-05, Financial Instruments-Credit Losses to (Topic 326)- Targeted Transition Relief. ASU 2019-04 clarifies and corrects certain areas of the Codification and ASU 2019-05 provides entities with an option to irrevocably elect the fair value option in Subtopic 825-10, Financial Instruments—Overall, applied on an instrument-by-instrument basis for eligible instruments, upon adoption of Topic 326. The amendments in these updates are effective for fiscal years beginning after December 15, 2019. The updated guidance requires a modified retrospective adoption. We adopted this ASU effective January 1, 2020. This ASU did not have a material impact on our consolidated financial statements or related disclosures.</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60" w:firstLine="180"/>
        <w:spacing w:after="0" w:line="269" w:lineRule="auto"/>
        <w:rPr>
          <w:sz w:val="20"/>
          <w:szCs w:val="20"/>
          <w:color w:val="auto"/>
        </w:rPr>
      </w:pPr>
      <w:r>
        <w:rPr>
          <w:rFonts w:ascii="Arial" w:cs="Arial" w:eastAsia="Arial" w:hAnsi="Arial"/>
          <w:sz w:val="17"/>
          <w:szCs w:val="17"/>
          <w:color w:val="auto"/>
        </w:rPr>
        <w:t>In March 2020, the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The impact of this ASU on our contracts has not been material.</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52" w:lineRule="exact"/>
        <w:rPr>
          <w:sz w:val="20"/>
          <w:szCs w:val="20"/>
          <w:color w:val="auto"/>
        </w:rPr>
      </w:pPr>
    </w:p>
    <w:p>
      <w:pPr>
        <w:ind w:firstLine="180"/>
        <w:spacing w:after="0" w:line="275" w:lineRule="auto"/>
        <w:rPr>
          <w:sz w:val="20"/>
          <w:szCs w:val="20"/>
          <w:color w:val="auto"/>
        </w:rPr>
      </w:pPr>
      <w:r>
        <w:rPr>
          <w:rFonts w:ascii="Arial" w:cs="Arial" w:eastAsia="Arial" w:hAnsi="Arial"/>
          <w:sz w:val="17"/>
          <w:szCs w:val="17"/>
          <w:color w:val="auto"/>
        </w:rPr>
        <w:t>On November 2, 2019, we acquired 100% interest in Pursuit for cash consideration of approximately $75.0 million. Additionally, Pursuit's equity holders are potentially entitled up to $50.0 million in additional cash consideration contingent upon the achievement of certain sales and gross profit targets for specific customers. The earn-out paid will be calculated as a percentage of gross profit achieved during the earn-out period against a pre-determined target gross profit. However, the earn-out is not to exceed $50.0 million. The acquisition of Pursuit and their ClearGuard HD is a natural extension of our needlefree IV connector and other infection control technologies, which together provides us the best of breed solutions.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Purchase Price</w:t>
      </w:r>
    </w:p>
    <w:p>
      <w:pPr>
        <w:spacing w:after="0" w:line="225" w:lineRule="exact"/>
        <w:rPr>
          <w:sz w:val="20"/>
          <w:szCs w:val="20"/>
          <w:color w:val="auto"/>
        </w:rPr>
      </w:pPr>
    </w:p>
    <w:p>
      <w:pPr>
        <w:ind w:right="240" w:firstLine="177"/>
        <w:spacing w:after="0" w:line="277" w:lineRule="auto"/>
        <w:rPr>
          <w:sz w:val="20"/>
          <w:szCs w:val="20"/>
          <w:color w:val="auto"/>
        </w:rPr>
      </w:pPr>
      <w:r>
        <w:rPr>
          <w:rFonts w:ascii="Arial" w:cs="Arial" w:eastAsia="Arial" w:hAnsi="Arial"/>
          <w:sz w:val="18"/>
          <w:szCs w:val="18"/>
          <w:color w:val="auto"/>
        </w:rPr>
        <w:t>The following table summarizes the final purchase price and the final allocation of the purchase price related to the assets and liabilities purchased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 for acquired assets, net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71,533</w:t>
            </w:r>
          </w:p>
        </w:tc>
      </w:tr>
      <w:tr>
        <w:trPr>
          <w:trHeight w:val="230"/>
        </w:trPr>
        <w:tc>
          <w:tcPr>
            <w:tcW w:w="9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Fair value of contingent consideration</w:t>
            </w: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17,300</w:t>
            </w: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Final Purchase Price Allocation:</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Trade receivables</w:t>
            </w:r>
          </w:p>
        </w:tc>
        <w:tc>
          <w:tcPr>
            <w:tcW w:w="10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9"/>
        </w:trPr>
        <w:tc>
          <w:tcPr>
            <w:tcW w:w="9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(1)</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82,300</w:t>
            </w: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9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liabilities</w:t>
            </w: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r>
      <w:tr>
        <w:trPr>
          <w:trHeight w:val="223"/>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identifiable 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84,140</w:t>
            </w:r>
          </w:p>
        </w:tc>
      </w:tr>
      <w:tr>
        <w:trPr>
          <w:trHeight w:val="22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Goodwill - not tax deductible</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20,462</w:t>
            </w: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8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(15,769)</w:t>
            </w:r>
          </w:p>
        </w:tc>
      </w:tr>
      <w:tr>
        <w:trPr>
          <w:trHeight w:val="22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Purchase Consideration</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88,833</w:t>
            </w:r>
          </w:p>
        </w:tc>
      </w:tr>
      <w:tr>
        <w:trPr>
          <w:trHeight w:val="20"/>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w:t>
      </w:r>
    </w:p>
    <w:p>
      <w:pPr>
        <w:spacing w:after="0" w:line="43" w:lineRule="exact"/>
        <w:rPr>
          <w:sz w:val="20"/>
          <w:szCs w:val="20"/>
          <w:color w:val="auto"/>
        </w:rPr>
      </w:pPr>
    </w:p>
    <w:p>
      <w:pPr>
        <w:ind w:right="160" w:firstLine="8"/>
        <w:spacing w:after="0" w:line="300" w:lineRule="auto"/>
        <w:tabs>
          <w:tab w:leader="none" w:pos="165"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Identifiable intangible assets included $69.0 million of developed technology, $10.8 million of trade name and $2.5 million of non-compete agreement. The weighted amortization period for the total identifiable intangible assets is approximately fifteen years for developed technology, and trade name the weighted amortization period is fifteen years, and for the non-compete agreement the weighted amortization period is three years.</w:t>
      </w:r>
    </w:p>
    <w:p>
      <w:pPr>
        <w:spacing w:after="0" w:line="187" w:lineRule="exact"/>
        <w:rPr>
          <w:sz w:val="20"/>
          <w:szCs w:val="20"/>
          <w:color w:val="auto"/>
        </w:rPr>
      </w:pPr>
    </w:p>
    <w:p>
      <w:pPr>
        <w:ind w:right="20" w:firstLine="177"/>
        <w:spacing w:after="0" w:line="293" w:lineRule="auto"/>
        <w:rPr>
          <w:sz w:val="20"/>
          <w:szCs w:val="20"/>
          <w:color w:val="auto"/>
        </w:rPr>
      </w:pPr>
      <w:r>
        <w:rPr>
          <w:rFonts w:ascii="Arial" w:cs="Arial" w:eastAsia="Arial" w:hAnsi="Arial"/>
          <w:sz w:val="16"/>
          <w:szCs w:val="16"/>
          <w:color w:val="auto"/>
        </w:rPr>
        <w:t>The identifiable intangible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and estimated useful lives. Fixed assets were valued with the consideration of remaining economic lives. The raw materials inventory was valued at historical cost and adjusted for any obsolescence and finished goods inventory was valued at estimated sales proceeds less a nominal profit and costs to sell. The trade receivables, prepaid expenses and other current assets and assumed liabilities were recorded at their carrying values as of the date of the acquisition, as their carrying values approximated their fair values due to their short-term nature.</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2019, we also acquired a small foreign distributor for approximately $4.6 million in cash.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STRATEGIC TRANSACTION AND INTEGRATION</w:t>
      </w:r>
    </w:p>
    <w:p>
      <w:pPr>
        <w:spacing w:after="0" w:line="256" w:lineRule="exact"/>
        <w:rPr>
          <w:sz w:val="20"/>
          <w:szCs w:val="20"/>
          <w:color w:val="auto"/>
        </w:rPr>
      </w:pPr>
    </w:p>
    <w:p>
      <w:pPr>
        <w:ind w:right="360" w:firstLine="180"/>
        <w:spacing w:after="0" w:line="277" w:lineRule="auto"/>
        <w:rPr>
          <w:sz w:val="20"/>
          <w:szCs w:val="20"/>
          <w:color w:val="auto"/>
        </w:rPr>
      </w:pPr>
      <w:r>
        <w:rPr>
          <w:rFonts w:ascii="Arial" w:cs="Arial" w:eastAsia="Arial" w:hAnsi="Arial"/>
          <w:sz w:val="18"/>
          <w:szCs w:val="18"/>
          <w:color w:val="auto"/>
        </w:rPr>
        <w:t>Restructuring, strategic transaction and integration expenses were $28.4 million, $80.6 million and $105.4 million for the years ended December 31, 2020,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52" w:lineRule="exact"/>
        <w:rPr>
          <w:sz w:val="20"/>
          <w:szCs w:val="20"/>
          <w:color w:val="auto"/>
        </w:rPr>
      </w:pPr>
    </w:p>
    <w:p>
      <w:pPr>
        <w:ind w:right="360" w:firstLine="180"/>
        <w:spacing w:after="0" w:line="308" w:lineRule="auto"/>
        <w:rPr>
          <w:sz w:val="20"/>
          <w:szCs w:val="20"/>
          <w:color w:val="auto"/>
        </w:rPr>
      </w:pPr>
      <w:r>
        <w:rPr>
          <w:rFonts w:ascii="Arial" w:cs="Arial" w:eastAsia="Arial" w:hAnsi="Arial"/>
          <w:sz w:val="17"/>
          <w:szCs w:val="17"/>
          <w:color w:val="auto"/>
        </w:rPr>
        <w:t>Restructuring charges were $7.9 million, $8.4 million and $4.5 million for the years ended December 31, 2020, 2019 and 2018, respectively, and are included in the above restructuring, strategic transaction and integration expenses in our consolidated statement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2020, restructuring charges were primarily related to severance and costs related to office and other facility closures.</w:t>
      </w:r>
    </w:p>
    <w:p>
      <w:pPr>
        <w:spacing w:after="0" w:line="252" w:lineRule="exact"/>
        <w:rPr>
          <w:sz w:val="20"/>
          <w:szCs w:val="20"/>
          <w:color w:val="auto"/>
        </w:rPr>
      </w:pPr>
    </w:p>
    <w:p>
      <w:pPr>
        <w:ind w:right="40" w:firstLine="180"/>
        <w:spacing w:after="0" w:line="277" w:lineRule="auto"/>
        <w:rPr>
          <w:sz w:val="20"/>
          <w:szCs w:val="20"/>
          <w:color w:val="auto"/>
        </w:rPr>
      </w:pPr>
      <w:r>
        <w:rPr>
          <w:rFonts w:ascii="Arial" w:cs="Arial" w:eastAsia="Arial" w:hAnsi="Arial"/>
          <w:sz w:val="18"/>
          <w:szCs w:val="18"/>
          <w:color w:val="auto"/>
        </w:rPr>
        <w:t>In 2019, restructuring charges were primarily related to severance and facility closure costs. These charges were primarily related to a one-time charge to move our U.S. pump service depot to our existing Salt Lake City facility and other plant restructuring.</w:t>
      </w:r>
    </w:p>
    <w:p>
      <w:pPr>
        <w:spacing w:after="0" w:line="197"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In 2018, we incurred restructuring charges related our 2017 acquisition of Hospira Infusion Systems ("HIS"). The restructuring charges were incurred as a result of integrating the acquired operations into our business and include severance costs related to involuntary employee terminations and facility exit costs related to the closure of the Dominican Republic manufacturing facilities acquired from Pfizer.</w:t>
      </w:r>
    </w:p>
    <w:p>
      <w:pPr>
        <w:spacing w:after="0" w:line="211" w:lineRule="exact"/>
        <w:rPr>
          <w:sz w:val="20"/>
          <w:szCs w:val="20"/>
          <w:color w:val="auto"/>
        </w:rPr>
      </w:pPr>
    </w:p>
    <w:p>
      <w:pPr>
        <w:ind w:right="180" w:firstLine="180"/>
        <w:spacing w:after="0" w:line="311" w:lineRule="auto"/>
        <w:rPr>
          <w:sz w:val="20"/>
          <w:szCs w:val="20"/>
          <w:color w:val="auto"/>
        </w:rPr>
      </w:pPr>
      <w:r>
        <w:rPr>
          <w:rFonts w:ascii="Arial" w:cs="Arial" w:eastAsia="Arial" w:hAnsi="Arial"/>
          <w:sz w:val="16"/>
          <w:szCs w:val="16"/>
          <w:color w:val="auto"/>
        </w:rPr>
        <w:t>In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were paid in equal monthly installments until December 2020. This has been fully paid as of December 31, 2020.</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for the restructuring-related charges discussed above and related accrual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Accrued Balance</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Accrued Balance</w:t>
            </w: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Charges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January 1,</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incurred</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incurred</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11"/>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pay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13"/>
        </w:trPr>
        <w:tc>
          <w:tcPr>
            <w:tcW w:w="2560" w:type="dxa"/>
            <w:vAlign w:val="bottom"/>
          </w:tcPr>
          <w:p>
            <w:pPr>
              <w:ind w:left="20"/>
              <w:spacing w:after="0"/>
              <w:rPr>
                <w:sz w:val="20"/>
                <w:szCs w:val="20"/>
                <w:color w:val="auto"/>
              </w:rPr>
            </w:pPr>
            <w:r>
              <w:rPr>
                <w:rFonts w:ascii="Arial" w:cs="Arial" w:eastAsia="Arial" w:hAnsi="Arial"/>
                <w:sz w:val="16"/>
                <w:szCs w:val="16"/>
                <w:color w:val="auto"/>
              </w:rPr>
              <w:t>Employment agreement buyout</w:t>
            </w:r>
          </w:p>
        </w:tc>
        <w:tc>
          <w:tcPr>
            <w:tcW w:w="140" w:type="dxa"/>
            <w:vAlign w:val="bottom"/>
          </w:tcPr>
          <w:p>
            <w:pPr>
              <w:spacing w:after="0"/>
              <w:rPr>
                <w:sz w:val="18"/>
                <w:szCs w:val="18"/>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Retention and facility closure</w:t>
            </w:r>
          </w:p>
        </w:tc>
        <w:tc>
          <w:tcPr>
            <w:tcW w:w="14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3,641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8,375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7,929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52"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During the years ended December 31, 2020, 2019 and 2018, we incurred $20.5 million, $72.2 million and $100.9 million, respectively, in strategic transaction and integration expenses, which are included in restructuring, strategic transaction and integration expenses in our consolidated statement of operations. The integration expenses during 2020 were related to the integration of HIS and included expenses for the migration of IT systems at our Austin facility. The strategic transaction and integration expenses during 2019 were primarily related to HIS, included a one-time strategic supply chain restructuring charge of $22.1 million, which reduced our contracted commitments to our third party manufacturer and charges related to our Pfizer separation costs, which included a $12.7 million non-cash write-off of related assets. In 2018, our integration expenses were also primarily related to HIS. During 2018, in connection with the sale of the 2.5 million of the shares Pfizer held in our common stock, we incurred a one-time fee payable to Pfizer in the amount of $8.0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 Our software licenses and renewals are considered to be transferred to a customer at a point in time therefore revenue is recognized at the start of the license term.</w:t>
      </w:r>
    </w:p>
    <w:p>
      <w:pPr>
        <w:spacing w:after="0" w:line="214" w:lineRule="exact"/>
        <w:rPr>
          <w:sz w:val="20"/>
          <w:szCs w:val="20"/>
          <w:color w:val="auto"/>
        </w:rPr>
      </w:pPr>
    </w:p>
    <w:p>
      <w:pPr>
        <w:ind w:right="40" w:firstLine="180"/>
        <w:spacing w:after="0" w:line="293" w:lineRule="auto"/>
        <w:rPr>
          <w:sz w:val="20"/>
          <w:szCs w:val="20"/>
          <w:color w:val="auto"/>
        </w:rPr>
      </w:pPr>
      <w:r>
        <w:rPr>
          <w:rFonts w:ascii="Arial" w:cs="Arial" w:eastAsia="Arial" w:hAnsi="Arial"/>
          <w:sz w:val="16"/>
          <w:szCs w:val="16"/>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end-customers at prices determined under a contract between us and the end-customer. We use information available at the time, including our historical experience to estimate the expected value in recording provisions for chargebacks.</w:t>
      </w:r>
    </w:p>
    <w:p>
      <w:pPr>
        <w:spacing w:after="0" w:line="191" w:lineRule="exact"/>
        <w:rPr>
          <w:sz w:val="20"/>
          <w:szCs w:val="20"/>
          <w:color w:val="auto"/>
        </w:rPr>
      </w:pPr>
    </w:p>
    <w:p>
      <w:pPr>
        <w:ind w:right="40" w:firstLine="177"/>
        <w:spacing w:after="0" w:line="275" w:lineRule="auto"/>
        <w:rPr>
          <w:sz w:val="20"/>
          <w:szCs w:val="20"/>
          <w:color w:val="auto"/>
        </w:rPr>
      </w:pPr>
      <w:r>
        <w:rPr>
          <w:rFonts w:ascii="Arial" w:cs="Arial" w:eastAsia="Arial" w:hAnsi="Arial"/>
          <w:sz w:val="17"/>
          <w:szCs w:val="17"/>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52" w:lineRule="exact"/>
        <w:rPr>
          <w:sz w:val="20"/>
          <w:szCs w:val="20"/>
          <w:color w:val="auto"/>
        </w:rPr>
      </w:pPr>
    </w:p>
    <w:p>
      <w:pPr>
        <w:ind w:right="700" w:firstLine="177"/>
        <w:spacing w:after="0" w:line="277" w:lineRule="auto"/>
        <w:rPr>
          <w:sz w:val="20"/>
          <w:szCs w:val="20"/>
          <w:color w:val="auto"/>
        </w:rPr>
      </w:pPr>
      <w:r>
        <w:rPr>
          <w:rFonts w:ascii="Arial" w:cs="Arial" w:eastAsia="Arial" w:hAnsi="Arial"/>
          <w:sz w:val="18"/>
          <w:szCs w:val="18"/>
          <w:color w:val="auto"/>
        </w:rPr>
        <w:t>We also enter into arrangements which include multiple performance obligations, see Note 1, Basis of Presentation and Summary of Significant Accounting Policies.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most significant judgments related to these arrangements include:</w:t>
      </w:r>
    </w:p>
    <w:p>
      <w:pPr>
        <w:spacing w:after="0" w:line="25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the various performance obligations of these arrangements.</w:t>
      </w:r>
    </w:p>
    <w:p>
      <w:pPr>
        <w:spacing w:after="0" w:line="23" w:lineRule="exact"/>
        <w:rPr>
          <w:rFonts w:ascii="Arial" w:cs="Arial" w:eastAsia="Arial" w:hAnsi="Arial"/>
          <w:sz w:val="18"/>
          <w:szCs w:val="18"/>
          <w:color w:val="auto"/>
        </w:rPr>
      </w:pPr>
    </w:p>
    <w:p>
      <w:pPr>
        <w:ind w:left="660" w:right="100" w:hanging="328"/>
        <w:spacing w:after="0" w:line="26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Estimating the relative standalone selling price of each performance obligation, typically using directly observable method or calculated on a cost plus margin basis method.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disaggregated</w:t>
      </w:r>
    </w:p>
    <w:p>
      <w:pPr>
        <w:spacing w:after="0" w:line="252" w:lineRule="exact"/>
        <w:rPr>
          <w:sz w:val="20"/>
          <w:szCs w:val="20"/>
          <w:color w:val="auto"/>
        </w:rPr>
      </w:pPr>
    </w:p>
    <w:p>
      <w:pPr>
        <w:ind w:right="140" w:firstLine="177"/>
        <w:spacing w:after="0" w:line="277" w:lineRule="auto"/>
        <w:rPr>
          <w:sz w:val="20"/>
          <w:szCs w:val="20"/>
          <w:color w:val="auto"/>
        </w:rPr>
      </w:pPr>
      <w:r>
        <w:rPr>
          <w:rFonts w:ascii="Arial" w:cs="Arial" w:eastAsia="Arial" w:hAnsi="Arial"/>
          <w:sz w:val="18"/>
          <w:szCs w:val="18"/>
          <w:color w:val="auto"/>
        </w:rPr>
        <w:t>The following table represents our revenues disaggregated by product line (in thousands) and our disaggregated product line revenue as a percentage of total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 line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133"/>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133"/>
              <w:spacing w:after="0"/>
              <w:rPr>
                <w:sz w:val="20"/>
                <w:szCs w:val="20"/>
                <w:color w:val="auto"/>
              </w:rPr>
            </w:pPr>
            <w:r>
              <w:rPr>
                <w:rFonts w:ascii="Arial" w:cs="Arial" w:eastAsia="Arial" w:hAnsi="Arial"/>
                <w:sz w:val="18"/>
                <w:szCs w:val="18"/>
                <w:b w:val="1"/>
                <w:bCs w:val="1"/>
                <w:color w:val="auto"/>
                <w:w w:val="84"/>
              </w:rPr>
              <w:t>2018</w:t>
            </w:r>
          </w:p>
        </w:tc>
        <w:tc>
          <w:tcPr>
            <w:tcW w:w="0" w:type="dxa"/>
            <w:vAlign w:val="bottom"/>
          </w:tcPr>
          <w:p>
            <w:pPr>
              <w:spacing w:after="0"/>
              <w:rPr>
                <w:sz w:val="1"/>
                <w:szCs w:val="1"/>
                <w:color w:val="auto"/>
              </w:rPr>
            </w:pPr>
          </w:p>
        </w:tc>
      </w:tr>
      <w:tr>
        <w:trPr>
          <w:trHeight w:val="210"/>
        </w:trPr>
        <w:tc>
          <w:tcPr>
            <w:tcW w:w="2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Revenue</w:t>
            </w: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 of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91"/>
              <w:spacing w:after="0"/>
              <w:rPr>
                <w:sz w:val="20"/>
                <w:szCs w:val="20"/>
                <w:color w:val="auto"/>
              </w:rPr>
            </w:pPr>
            <w:r>
              <w:rPr>
                <w:rFonts w:ascii="Arial" w:cs="Arial" w:eastAsia="Arial" w:hAnsi="Arial"/>
                <w:sz w:val="16"/>
                <w:szCs w:val="16"/>
                <w:b w:val="1"/>
                <w:bCs w:val="1"/>
                <w:color w:val="auto"/>
              </w:rPr>
              <w:t>Revenue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6"/>
                <w:szCs w:val="16"/>
                <w:b w:val="1"/>
                <w:bCs w:val="1"/>
                <w:color w:val="auto"/>
              </w:rPr>
              <w:t>Revenue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6"/>
                <w:szCs w:val="16"/>
                <w:b w:val="1"/>
                <w:bCs w:val="1"/>
                <w:color w:val="auto"/>
              </w:rPr>
              <w:t>% of Revenue</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Infusion Consumables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477,611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483,039</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Infusion Systems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359,691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328,282</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355,484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IV Solutions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414,971</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507,985</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Critical Care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45,344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53,532</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1,266,208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1,400,040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60" w:firstLine="177"/>
        <w:spacing w:after="0" w:line="277" w:lineRule="auto"/>
        <w:rPr>
          <w:sz w:val="20"/>
          <w:szCs w:val="20"/>
          <w:color w:val="auto"/>
        </w:rPr>
      </w:pPr>
      <w:r>
        <w:rPr>
          <w:rFonts w:ascii="Arial" w:cs="Arial" w:eastAsia="Arial" w:hAnsi="Arial"/>
          <w:sz w:val="18"/>
          <w:szCs w:val="18"/>
          <w:color w:val="auto"/>
        </w:rPr>
        <w:t>We report revenue on a "where sold" basis, which reflects the revenue within the country or region in which the ultimate sale is made to our external customer.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w w:val="94"/>
              </w:rPr>
              <w:t>The following table represents our revenues disaggregated by geography (in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6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Geography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Europe, the Middle East and Africa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134,363</w:t>
            </w:r>
          </w:p>
        </w:tc>
      </w:tr>
      <w:tr>
        <w:trPr>
          <w:trHeight w:val="230"/>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Foreign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210,996</w:t>
            </w:r>
          </w:p>
        </w:tc>
      </w:tr>
      <w:tr>
        <w:trPr>
          <w:trHeight w:val="22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Foreign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360,377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345,359</w:t>
            </w:r>
          </w:p>
        </w:tc>
      </w:tr>
      <w:tr>
        <w:trPr>
          <w:trHeight w:val="223"/>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910,627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1,054,681</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1,266,208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1,400,040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Domestic sales accounted for 72%, 73% and 75% of total revenue in 2020, 2019 and 2018, respectively. International sales accounted for 28%, 27% and 25% of total revenue in 2020,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right="20" w:firstLine="180"/>
        <w:spacing w:after="0" w:line="263" w:lineRule="auto"/>
        <w:rPr>
          <w:sz w:val="20"/>
          <w:szCs w:val="20"/>
          <w:color w:val="auto"/>
        </w:rPr>
      </w:pPr>
      <w:r>
        <w:rPr>
          <w:rFonts w:ascii="Arial" w:cs="Arial" w:eastAsia="Arial" w:hAnsi="Arial"/>
          <w:sz w:val="18"/>
          <w:szCs w:val="18"/>
          <w:color w:val="auto"/>
        </w:rPr>
        <w:t>Our contract balances (deferred revenue) are recorded in accrued liabilities and other long-term liabilities in our consolidated balance sheet (see Note 10, Accrued Liabilities and Other Long-term liabilities). The following table presents our changes in the contract balances for the years ended December 31, 2020 and 2019, (in thousands):</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Contract Liabilities</w:t>
            </w:r>
          </w:p>
        </w:tc>
      </w:tr>
      <w:tr>
        <w:trPr>
          <w:trHeight w:val="223"/>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 2019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29"/>
        </w:trPr>
        <w:tc>
          <w:tcPr>
            <w:tcW w:w="9000" w:type="dxa"/>
            <w:vAlign w:val="bottom"/>
          </w:tcPr>
          <w:p>
            <w:pPr>
              <w:ind w:left="120"/>
              <w:spacing w:after="0"/>
              <w:rPr>
                <w:sz w:val="20"/>
                <w:szCs w:val="20"/>
                <w:color w:val="auto"/>
              </w:rPr>
            </w:pPr>
            <w:r>
              <w:rPr>
                <w:rFonts w:ascii="Arial" w:cs="Arial" w:eastAsia="Arial" w:hAnsi="Arial"/>
                <w:sz w:val="18"/>
                <w:szCs w:val="18"/>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8,807</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w:t>
            </w:r>
          </w:p>
        </w:tc>
      </w:tr>
      <w:tr>
        <w:trPr>
          <w:trHeight w:val="230"/>
        </w:trPr>
        <w:tc>
          <w:tcPr>
            <w:tcW w:w="9000" w:type="dxa"/>
            <w:vAlign w:val="bottom"/>
          </w:tcPr>
          <w:p>
            <w:pPr>
              <w:ind w:left="120"/>
              <w:spacing w:after="0"/>
              <w:rPr>
                <w:sz w:val="20"/>
                <w:szCs w:val="20"/>
                <w:color w:val="auto"/>
              </w:rPr>
            </w:pPr>
            <w:r>
              <w:rPr>
                <w:rFonts w:ascii="Arial" w:cs="Arial" w:eastAsia="Arial" w:hAnsi="Arial"/>
                <w:sz w:val="18"/>
                <w:szCs w:val="18"/>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revenue deferred due to implementation</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w:t>
            </w:r>
          </w:p>
        </w:tc>
      </w:tr>
      <w:tr>
        <w:trPr>
          <w:trHeight w:val="223"/>
        </w:trPr>
        <w:tc>
          <w:tcPr>
            <w:tcW w:w="9000" w:type="dxa"/>
            <w:vAlign w:val="bottom"/>
          </w:tcPr>
          <w:p>
            <w:pPr>
              <w:spacing w:after="0"/>
              <w:rPr>
                <w:sz w:val="20"/>
                <w:szCs w:val="20"/>
                <w:color w:val="auto"/>
              </w:rPr>
            </w:pPr>
            <w:r>
              <w:rPr>
                <w:rFonts w:ascii="Arial" w:cs="Arial" w:eastAsia="Arial" w:hAnsi="Arial"/>
                <w:sz w:val="18"/>
                <w:szCs w:val="18"/>
                <w:color w:val="auto"/>
              </w:rPr>
              <w:t>Ending balance, December 31, 2019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(4,855)</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Equipment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14,408</w:t>
            </w:r>
          </w:p>
        </w:tc>
      </w:tr>
      <w:tr>
        <w:trPr>
          <w:trHeight w:val="229"/>
        </w:trPr>
        <w:tc>
          <w:tcPr>
            <w:tcW w:w="9000" w:type="dxa"/>
            <w:vAlign w:val="bottom"/>
          </w:tcPr>
          <w:p>
            <w:pPr>
              <w:ind w:left="120"/>
              <w:spacing w:after="0"/>
              <w:rPr>
                <w:sz w:val="20"/>
                <w:szCs w:val="20"/>
                <w:color w:val="auto"/>
              </w:rPr>
            </w:pPr>
            <w:r>
              <w:rPr>
                <w:rFonts w:ascii="Arial" w:cs="Arial" w:eastAsia="Arial" w:hAnsi="Arial"/>
                <w:sz w:val="18"/>
                <w:szCs w:val="18"/>
                <w:color w:val="auto"/>
              </w:rPr>
              <w:t>Equipment revenue deferred due to implementation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(14,341)</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30"/>
        </w:trPr>
        <w:tc>
          <w:tcPr>
            <w:tcW w:w="9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Software revenue deferred due to implementation</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(7,363)</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 December 31, 2020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firstLine="180"/>
        <w:spacing w:after="0" w:line="279" w:lineRule="auto"/>
        <w:rPr>
          <w:sz w:val="20"/>
          <w:szCs w:val="20"/>
          <w:color w:val="auto"/>
        </w:rPr>
      </w:pPr>
      <w:r>
        <w:rPr>
          <w:rFonts w:ascii="Arial" w:cs="Arial" w:eastAsia="Arial" w:hAnsi="Arial"/>
          <w:sz w:val="17"/>
          <w:szCs w:val="17"/>
          <w:color w:val="auto"/>
        </w:rPr>
        <w:t>During 2020, we recognized $4.7 million in revenue that was included in the opening contract balances for the year ended December 31, 2019. As of December 31, 2020, revenue from remaining performance obligations related to implementation of software and equipment is $4.8 million. We expect to recognize substantially all of this revenue within the next three to six months. Revenue from remaining performance obligations related to annual software licenses is $1.7 million. We expect to recognize substantially all of this revenue over the next twelve months.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52" w:lineRule="exact"/>
        <w:rPr>
          <w:sz w:val="20"/>
          <w:szCs w:val="20"/>
          <w:color w:val="auto"/>
        </w:rPr>
      </w:pPr>
    </w:p>
    <w:p>
      <w:pPr>
        <w:ind w:right="160" w:firstLine="170"/>
        <w:spacing w:after="0" w:line="258" w:lineRule="auto"/>
        <w:rPr>
          <w:sz w:val="20"/>
          <w:szCs w:val="20"/>
          <w:color w:val="auto"/>
        </w:rPr>
      </w:pPr>
      <w:r>
        <w:rPr>
          <w:rFonts w:ascii="Arial" w:cs="Arial" w:eastAsia="Arial" w:hAnsi="Arial"/>
          <w:sz w:val="18"/>
          <w:szCs w:val="18"/>
          <w:color w:val="auto"/>
        </w:rPr>
        <w:t>As part of the cost to obtain a contract, we may pay incremental commissions to sales employees upon entering into a sales contract. Under ASC Topic 606, we have elected to expense these costs as incurred as the period of benefit is less than one 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8" w:lineRule="exact"/>
        <w:rPr>
          <w:sz w:val="20"/>
          <w:szCs w:val="20"/>
          <w:color w:val="auto"/>
        </w:rPr>
      </w:pPr>
    </w:p>
    <w:p>
      <w:pPr>
        <w:ind w:right="200" w:firstLine="180"/>
        <w:spacing w:after="0" w:line="263" w:lineRule="auto"/>
        <w:rPr>
          <w:sz w:val="20"/>
          <w:szCs w:val="20"/>
          <w:color w:val="auto"/>
        </w:rPr>
      </w:pPr>
      <w:r>
        <w:rPr>
          <w:rFonts w:ascii="Arial" w:cs="Arial" w:eastAsia="Arial" w:hAnsi="Arial"/>
          <w:sz w:val="18"/>
          <w:szCs w:val="18"/>
          <w:color w:val="auto"/>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842, "Lease Accounting"</w:t>
      </w:r>
    </w:p>
    <w:p>
      <w:pPr>
        <w:spacing w:after="0" w:line="252" w:lineRule="exact"/>
        <w:rPr>
          <w:sz w:val="20"/>
          <w:szCs w:val="20"/>
          <w:color w:val="auto"/>
        </w:rPr>
      </w:pPr>
    </w:p>
    <w:p>
      <w:pPr>
        <w:ind w:right="60" w:firstLine="177"/>
        <w:spacing w:after="0" w:line="254" w:lineRule="auto"/>
        <w:rPr>
          <w:sz w:val="20"/>
          <w:szCs w:val="20"/>
          <w:color w:val="auto"/>
        </w:rPr>
      </w:pPr>
      <w:r>
        <w:rPr>
          <w:rFonts w:ascii="Arial" w:cs="Arial" w:eastAsia="Arial" w:hAnsi="Arial"/>
          <w:sz w:val="18"/>
          <w:szCs w:val="18"/>
          <w:color w:val="auto"/>
        </w:rPr>
        <w:t>We adopted ASU No. 2016-02, Leases (ASC Topic 842), effective January 1, 2019 on a modified retrospective transition method through a cumulative-effect adjustment at the beginning of the first quarter of 2019. We elected the 'package of practical expedients', which permitted us not to reassess our prior conclusions about lease identification, lease classification and initial direct costs. We did not elect the use-of-hindsight or the practical expedient pertaining to land easements; the latter not being applicable to us. We elected the short-term lease recognition exemption for all leases that qualify. This means, for those leases that qualify, we did not recognize right-of-use ("ROU") assets or lease liabilities, and this includes not recognizing ROU assets or lease liabilities for existing short-term leases of those assets in transition. Furthermore, we elected the practical expedient to not separate lease and non-lease components for all of our leases, non-lease components are primarily common area maintenance charges that we combine with the lease component when applying this ASU.</w:t>
      </w:r>
    </w:p>
    <w:p>
      <w:pPr>
        <w:spacing w:after="0" w:line="219" w:lineRule="exact"/>
        <w:rPr>
          <w:sz w:val="20"/>
          <w:szCs w:val="20"/>
          <w:color w:val="auto"/>
        </w:rPr>
      </w:pPr>
    </w:p>
    <w:p>
      <w:pPr>
        <w:ind w:right="320" w:firstLine="177"/>
        <w:spacing w:after="0" w:line="277" w:lineRule="auto"/>
        <w:rPr>
          <w:sz w:val="20"/>
          <w:szCs w:val="20"/>
          <w:color w:val="auto"/>
        </w:rPr>
      </w:pPr>
      <w:r>
        <w:rPr>
          <w:rFonts w:ascii="Arial" w:cs="Arial" w:eastAsia="Arial" w:hAnsi="Arial"/>
          <w:sz w:val="18"/>
          <w:szCs w:val="18"/>
          <w:color w:val="auto"/>
        </w:rPr>
        <w:t>The impact of adopting this standard was the recognition of ROU assets and lease liabilities for our operating leases of $40.4 million as of January 1, 2019. The adoption of ASC 842 did not have a material impact on our consolidated earnings or on our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We determine if an arrangement is a lease at inception. Our operating leases with a term greater than one year are included in operating lease ROU assets and our financing lease assets are included in other assets. Our lease liabilities are included in accrued liabilities, and other long-term liabilities on our consolidated balance sheets.</w:t>
      </w:r>
    </w:p>
    <w:p>
      <w:pPr>
        <w:spacing w:after="0" w:line="211" w:lineRule="exact"/>
        <w:rPr>
          <w:sz w:val="20"/>
          <w:szCs w:val="20"/>
          <w:color w:val="auto"/>
        </w:rPr>
      </w:pPr>
    </w:p>
    <w:p>
      <w:pPr>
        <w:ind w:right="80" w:firstLine="180"/>
        <w:spacing w:after="0" w:line="255" w:lineRule="auto"/>
        <w:rPr>
          <w:sz w:val="20"/>
          <w:szCs w:val="20"/>
          <w:color w:val="auto"/>
        </w:rPr>
      </w:pPr>
      <w:r>
        <w:rPr>
          <w:rFonts w:ascii="Arial" w:cs="Arial" w:eastAsia="Arial" w:hAnsi="Arial"/>
          <w:sz w:val="18"/>
          <w:szCs w:val="18"/>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The lease ROU asset excludes initial direct costs incurred. Our lease terms include options to extend when it is reasonably certain that we will exercise that option. All of our operating leases have stated lease payments, which may include fixed rental increases. Lease expense for minimum lease payments is recognized on a straight-line basis over the lease term.</w:t>
      </w:r>
    </w:p>
    <w:p>
      <w:pPr>
        <w:spacing w:after="0" w:line="192" w:lineRule="exact"/>
        <w:rPr>
          <w:sz w:val="20"/>
          <w:szCs w:val="20"/>
          <w:color w:val="auto"/>
        </w:rPr>
      </w:pPr>
    </w:p>
    <w:p>
      <w:pPr>
        <w:ind w:right="80" w:firstLine="177"/>
        <w:spacing w:after="0" w:line="311" w:lineRule="auto"/>
        <w:rPr>
          <w:sz w:val="20"/>
          <w:szCs w:val="20"/>
          <w:color w:val="auto"/>
        </w:rPr>
      </w:pPr>
      <w:r>
        <w:rPr>
          <w:rFonts w:ascii="Arial" w:cs="Arial" w:eastAsia="Arial" w:hAnsi="Arial"/>
          <w:sz w:val="16"/>
          <w:szCs w:val="16"/>
          <w:color w:val="auto"/>
        </w:rPr>
        <w:t>We have operating leases for corporate, R&amp;D and sales and support offices, a distribution facility,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components of our lease cost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2019</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Finance lease cost -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 - amortization of ROU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supplemental cash flow information related to our leases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2019</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10,344</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20,847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3,230</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2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presents the supplemental balance sheet information related to our operating leases (in thousands, except lease term and discount rate):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40" w:type="dxa"/>
            <w:vAlign w:val="bottom"/>
            <w:tcBorders>
              <w:bottom w:val="single" w:sz="8" w:color="auto"/>
            </w:tcBorders>
          </w:tcPr>
          <w:p>
            <w:pPr>
              <w:spacing w:after="0"/>
              <w:rPr>
                <w:sz w:val="18"/>
                <w:szCs w:val="18"/>
                <w:color w:val="auto"/>
              </w:rPr>
            </w:pPr>
          </w:p>
        </w:tc>
      </w:tr>
      <w:tr>
        <w:trPr>
          <w:trHeight w:val="226"/>
        </w:trPr>
        <w:tc>
          <w:tcPr>
            <w:tcW w:w="80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w w:val="84"/>
              </w:rPr>
              <w:t>2019</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46,571</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34,465</w:t>
            </w:r>
          </w:p>
        </w:tc>
      </w:tr>
      <w:tr>
        <w:trPr>
          <w:trHeight w:val="270"/>
        </w:trPr>
        <w:tc>
          <w:tcPr>
            <w:tcW w:w="8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8,740</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7,362</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41,019</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28,896</w:t>
            </w:r>
          </w:p>
        </w:tc>
      </w:tr>
      <w:tr>
        <w:trPr>
          <w:trHeight w:val="223"/>
        </w:trPr>
        <w:tc>
          <w:tcPr>
            <w:tcW w:w="800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49,759</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36,258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40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0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6.7 years</w:t>
            </w: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6 years</w:t>
            </w:r>
          </w:p>
        </w:tc>
      </w:tr>
      <w:tr>
        <w:trPr>
          <w:trHeight w:val="270"/>
        </w:trPr>
        <w:tc>
          <w:tcPr>
            <w:tcW w:w="608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40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08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4040" w:type="dxa"/>
            <w:vAlign w:val="bottom"/>
          </w:tcPr>
          <w:p>
            <w:pPr>
              <w:jc w:val="right"/>
              <w:ind w:right="490"/>
              <w:spacing w:after="0"/>
              <w:rPr>
                <w:sz w:val="20"/>
                <w:szCs w:val="20"/>
                <w:color w:val="auto"/>
              </w:rPr>
            </w:pPr>
            <w:r>
              <w:rPr>
                <w:rFonts w:ascii="Arial" w:cs="Arial" w:eastAsia="Arial" w:hAnsi="Arial"/>
                <w:sz w:val="18"/>
                <w:szCs w:val="18"/>
                <w:color w:val="auto"/>
              </w:rPr>
              <w:t>5.02 %</w:t>
            </w:r>
          </w:p>
        </w:tc>
        <w:tc>
          <w:tcPr>
            <w:tcW w:w="1120" w:type="dxa"/>
            <w:vAlign w:val="bottom"/>
          </w:tcPr>
          <w:p>
            <w:pPr>
              <w:ind w:left="580"/>
              <w:spacing w:after="0"/>
              <w:rPr>
                <w:sz w:val="20"/>
                <w:szCs w:val="20"/>
                <w:color w:val="auto"/>
              </w:rPr>
            </w:pPr>
            <w:r>
              <w:rPr>
                <w:rFonts w:ascii="Arial" w:cs="Arial" w:eastAsia="Arial" w:hAnsi="Arial"/>
                <w:sz w:val="18"/>
                <w:szCs w:val="18"/>
                <w:color w:val="auto"/>
                <w:w w:val="92"/>
              </w:rPr>
              <w:t>5.57 %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presents the supplemental balance sheet information related to our finance leases (in thousands, except lease term and discount rate):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72"/>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9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90"/>
              </w:rPr>
              <w:t>December 31,</w:t>
            </w:r>
          </w:p>
        </w:tc>
      </w:tr>
      <w:tr>
        <w:trPr>
          <w:trHeight w:val="226"/>
        </w:trPr>
        <w:tc>
          <w:tcPr>
            <w:tcW w:w="96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Finance lease right-of-use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2,915</w:t>
            </w:r>
          </w:p>
        </w:tc>
      </w:tr>
      <w:tr>
        <w:trPr>
          <w:trHeight w:val="270"/>
        </w:trPr>
        <w:tc>
          <w:tcPr>
            <w:tcW w:w="9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554</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2,388</w:t>
            </w:r>
          </w:p>
        </w:tc>
      </w:tr>
      <w:tr>
        <w:trPr>
          <w:trHeight w:val="223"/>
        </w:trPr>
        <w:tc>
          <w:tcPr>
            <w:tcW w:w="9640" w:type="dxa"/>
            <w:vAlign w:val="bottom"/>
          </w:tcPr>
          <w:p>
            <w:pPr>
              <w:ind w:left="140"/>
              <w:spacing w:after="0"/>
              <w:rPr>
                <w:sz w:val="20"/>
                <w:szCs w:val="20"/>
                <w:color w:val="auto"/>
              </w:rPr>
            </w:pPr>
            <w:r>
              <w:rPr>
                <w:rFonts w:ascii="Arial" w:cs="Arial" w:eastAsia="Arial" w:hAnsi="Arial"/>
                <w:sz w:val="18"/>
                <w:szCs w:val="18"/>
                <w:color w:val="auto"/>
              </w:rPr>
              <w:t>Total finance lease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2,942</w:t>
            </w:r>
          </w:p>
        </w:tc>
      </w:tr>
      <w:tr>
        <w:trPr>
          <w:trHeight w:val="20"/>
        </w:trPr>
        <w:tc>
          <w:tcPr>
            <w:tcW w:w="9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9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9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years</w:t>
            </w:r>
          </w:p>
        </w:tc>
      </w:tr>
      <w:tr>
        <w:trPr>
          <w:trHeight w:val="270"/>
        </w:trPr>
        <w:tc>
          <w:tcPr>
            <w:tcW w:w="9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964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4.27 %</w:t>
            </w:r>
          </w:p>
        </w:tc>
      </w:tr>
    </w:tbl>
    <w:p>
      <w:pPr>
        <w:spacing w:after="0" w:line="200" w:lineRule="exact"/>
        <w:rPr>
          <w:sz w:val="20"/>
          <w:szCs w:val="20"/>
          <w:color w:val="auto"/>
        </w:rPr>
      </w:pPr>
    </w:p>
    <w:p>
      <w:pPr>
        <w:spacing w:after="0" w:line="3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2020, the maturities of our lease liabilities for each of the next five years are approximately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Operating Leases</w:t>
            </w:r>
          </w:p>
        </w:tc>
        <w:tc>
          <w:tcPr>
            <w:tcW w:w="1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Finance Leases</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 BASED AWARDS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have a stock incentive plan for employees and directors and an employee stock purchase plan. Shares to be issued under these plans will be issued either from authorized but unissued shares or from treasury shares.</w:t>
      </w:r>
    </w:p>
    <w:p>
      <w:pPr>
        <w:spacing w:after="0" w:line="19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incur stock compensation expense for stock options, restricted stock units ("RSU"), performance restricted stock units ("PRSU") and in years prior to 2018 stock purchased under our employee stock purchase plan ("ESPP"), which was suspended in 2017. We receive a tax benefit on stock compensation expense and direct tax benefits from the exercise of stock options and vesting of restricted stock units. We also have indirect tax benefits upon exercise of stock options and vesting of restricted stock units related to research and development tax credits which are recorded as a reduction of income tax expense.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compensation costs and related tax benefits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26"/>
        </w:trPr>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24,241</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Tax benefit from stock-based compensation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5,564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5,706</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Indirect tax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r>
    </w:tbl>
    <w:p>
      <w:pPr>
        <w:spacing w:after="0" w:line="310"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As of December 31, 2020, we had $26.3 million of unamortized stock compensation cost which we will recognize as an expense over a weighted-average period of approximately 0.9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Incentive and Stock Option Plans</w:t>
      </w:r>
    </w:p>
    <w:p>
      <w:pPr>
        <w:spacing w:after="0" w:line="2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2011 Stock Incentive Plan ("2011 Plan") replaced our 2003 Stock Option Plan (“2003 Plan”). Our 2011 Plan initially had 650,000 shares available for issuance, plus the remaining available shares for grant from the 2003 Plan and any shares that were forfeited, terminated or expired that would have otherwise returned to the 2003 Plan. In 2012, 2014 and 2017, our stockholders approved amendments to the 2011 plan that increased the shares available for issuance by 3,275,000, bringing the initial shares available for issuance to 3,925,000, plus the remaining 248,700 shares that remained available for grant from the 2003 Plan. As of December 31, 2020, the 2011 Plan has 4,188,300 shares of common stock reserved for issuance to employees, which includes 263,300 shares that transferred from the 2003 Plan. Shares issued as options or stock appreciation rights ("SARs") are charged against the 2011 Plan's share reserve as one share for one share issued. Shares subject to awards other than options and SARs are charged against the 2011 Plan's share reserve as 2.09 shares for 1 share issued. Options may be granted with exercise prices at no less than fair market value at date of grant. Options granted under the 2011 Plan may be “non-statutory stock options” which expire no more than ten years from date of grant or “incentive stock options” as defined in Section 422 of the Internal Revenue Code of 1986, as amended.</w:t>
      </w:r>
    </w:p>
    <w:p>
      <w:pPr>
        <w:spacing w:after="0" w:line="21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2014, our Compensation Committee of the Board of Directors awarded our then new Chief Executive Officer an employment inducement option to purchase 182,366 shares of our common stock and an employment inducement grant of restricted stock units with respect to 68,039 shares of our common stock. The inducement grants were made out of our 2014 Inducement Incentive Plan ("2014 Plan").</w:t>
      </w:r>
    </w:p>
    <w:p>
      <w:pPr>
        <w:spacing w:after="0" w:line="192"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Our 2001 Directors’ Stock Option Plan (the “Directors’ Plan”), initially had 750,000 shares reserved for issuance to members of our Board of Directors, expired in November 2011. Although no new grants may be made under the Director's Plan, grants made under the Director's Plan prior to its expiration continue to remain outstanding. Options not vested terminate if the directorship is terminated.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Stock Options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To date, all options granted under the 2014 Plan, 2011 Plan, 2003 Plan and Directors' Plan have been non-statutory stock options. The majority of the time-based outstanding employee option grants vest 25% after one year from the grant date and the balance vests ratably on a monthly basis over 36 months. The majority of the outstanding options granted to non-employee directors vest one year from the grant date. The options generally expire 10 years from the grant date.</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fair value of time-based option grants is calculated using the Black-Scholes option valuation model. The expected term for the option grants was based on historical experience and expected future employee behavior. We estimate the volatility of our common stock at the date of grant based on the historical volatility of our common stock, based on the average expected exercise term.</w:t>
      </w:r>
    </w:p>
    <w:p>
      <w:pPr>
        <w:spacing w:after="0" w:line="31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table below summarizes the total time-based stock options granted, total valuation and the weighted average assumptions (dollars in thousands, except per option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226"/>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time-based options granted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5,815</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Grant date fair value of options granted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425</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1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Weighted average assumptions for stock option valuation:</w:t>
            </w:r>
          </w:p>
        </w:tc>
        <w:tc>
          <w:tcPr>
            <w:tcW w:w="24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Weighted average grant price per option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181.99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225.27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269.80</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 date fair value per option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73.14</w:t>
            </w: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summary of our stock option activity as of and for the year ended December 31, 2020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4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Exercise Price Per</w:t>
            </w: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Intrinsic Value (in</w:t>
            </w:r>
          </w:p>
        </w:tc>
        <w:tc>
          <w:tcPr>
            <w:tcW w:w="0" w:type="dxa"/>
            <w:vAlign w:val="bottom"/>
          </w:tcPr>
          <w:p>
            <w:pPr>
              <w:spacing w:after="0"/>
              <w:rPr>
                <w:sz w:val="1"/>
                <w:szCs w:val="1"/>
                <w:color w:val="auto"/>
              </w:rPr>
            </w:pPr>
          </w:p>
        </w:tc>
      </w:tr>
      <w:tr>
        <w:trPr>
          <w:trHeight w:val="213"/>
        </w:trPr>
        <w:tc>
          <w:tcPr>
            <w:tcW w:w="54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Pr>
          <w:p>
            <w:pPr>
              <w:spacing w:after="0"/>
              <w:rPr>
                <w:sz w:val="18"/>
                <w:szCs w:val="18"/>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22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1,047,854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7,190</w:t>
            </w:r>
          </w:p>
        </w:tc>
        <w:tc>
          <w:tcPr>
            <w:tcW w:w="40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181.99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(237,244)</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817,800</w:t>
            </w:r>
          </w:p>
        </w:tc>
        <w:tc>
          <w:tcPr>
            <w:tcW w:w="4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118,444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69.14</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118,210</w:t>
            </w: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810,616</w:t>
            </w:r>
          </w:p>
        </w:tc>
        <w:tc>
          <w:tcPr>
            <w:tcW w:w="40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817,800</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118,444</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460" w:firstLine="177"/>
        <w:spacing w:after="0" w:line="277" w:lineRule="auto"/>
        <w:rPr>
          <w:sz w:val="20"/>
          <w:szCs w:val="20"/>
          <w:color w:val="auto"/>
        </w:rPr>
      </w:pPr>
      <w:r>
        <w:rPr>
          <w:rFonts w:ascii="Arial" w:cs="Arial" w:eastAsia="Arial" w:hAnsi="Arial"/>
          <w:sz w:val="18"/>
          <w:szCs w:val="18"/>
          <w:color w:val="auto"/>
        </w:rPr>
        <w:t>The intrinsic values for options exercisable, outstanding and vested or expected to vest at December 31, 2020 is based on our closing stock price of $214.49 at December 31, 2020 and are before applicable taxes.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information regarding stock option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69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26"/>
        </w:trPr>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51,105</w:t>
            </w: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Cash received from exercise of stock options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14,275</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from stock option exercises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2020, we granted PRSUs to our executive officers. For the executive officers other than the Chief Executive Officer ("CEO"), Chief Financial Officer ("CFO") and the Chief Operations Officer ("COO"), the PRSUs will vest subject to a three-year time vesting and further subject to a determination by the Compensation Committee that the officers have met their individual performance goals for the applicable years. For the CEO, CFO and the COO, the performance shares will cliff-vest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ending on March 6, 2023 and further be subject to the achievement of minimum three-year cumulative revenue and EPS targets, which when reviewed against a predetermined vesting matrix could result in 0% to 250% of the awarded units that could vest.</w:t>
      </w:r>
    </w:p>
    <w:p>
      <w:pPr>
        <w:spacing w:after="0" w:line="197" w:lineRule="exact"/>
        <w:rPr>
          <w:sz w:val="20"/>
          <w:szCs w:val="20"/>
          <w:color w:val="auto"/>
        </w:rPr>
      </w:pPr>
    </w:p>
    <w:p>
      <w:pPr>
        <w:ind w:firstLine="180"/>
        <w:spacing w:after="0" w:line="271" w:lineRule="auto"/>
        <w:rPr>
          <w:sz w:val="20"/>
          <w:szCs w:val="20"/>
          <w:color w:val="auto"/>
        </w:rPr>
      </w:pPr>
      <w:r>
        <w:rPr>
          <w:rFonts w:ascii="Arial" w:cs="Arial" w:eastAsia="Arial" w:hAnsi="Arial"/>
          <w:sz w:val="17"/>
          <w:szCs w:val="17"/>
          <w:color w:val="auto"/>
        </w:rPr>
        <w:t>In 2019, we granted PRSUs to our executive officers. For the executive officers other than the CEO and the COO, the PRSUs will vest subject to a three-year time vesting and further subject to a determination by the Compensation Committee that the officers have met their individual performance goals for the applicable years. For the CEO and the COO, the performance shares will cliff-vest ending on March 6, 2022 and further subject to the achievement of a minimum Cumulative Adjusted EBITDA. If for the three year period ending on December 31, 2021 the Cumulative Adjusted EBITDA has a growth of at least 6% to 8%, 50% of the awarded units will vest. If on the vesting date the Cumulative Adjusted EBITDA has a growth of between 8% to 10%, 100% of the awarded units will vest. If on the vesting date the Cumulative Adjusted EBITDA has a growth of over 10%, 200% of the awarded units will vest. In 2019, we also granted PRSUs to one of our non-executive employees. These PRSUs will vest at the end of a three-year period ending on March 31, 2022, if certain minimum performance goals are met.</w:t>
      </w:r>
    </w:p>
    <w:p>
      <w:pPr>
        <w:spacing w:after="0" w:line="205" w:lineRule="exact"/>
        <w:rPr>
          <w:sz w:val="20"/>
          <w:szCs w:val="20"/>
          <w:color w:val="auto"/>
        </w:rPr>
      </w:pPr>
    </w:p>
    <w:p>
      <w:pPr>
        <w:ind w:firstLine="180"/>
        <w:spacing w:after="0" w:line="293" w:lineRule="auto"/>
        <w:rPr>
          <w:sz w:val="20"/>
          <w:szCs w:val="20"/>
          <w:color w:val="auto"/>
        </w:rPr>
      </w:pPr>
      <w:r>
        <w:rPr>
          <w:rFonts w:ascii="Arial" w:cs="Arial" w:eastAsia="Arial" w:hAnsi="Arial"/>
          <w:sz w:val="16"/>
          <w:szCs w:val="16"/>
          <w:color w:val="auto"/>
        </w:rPr>
        <w:t>In 2018, we granted PRSUs to our executive officers. For the executive officers other than the CEO and the COO, the PRSUs will vest subject to a three-year time vesting and further subject to a determination by the Compensation Committee that the officers have met their individual performance goals for the applicable year. For the CEO and the COO, the performance shares will cliff-vest ending on February 15, 2021 and further subject to the achievement of a minimum Cumulative Adjusted EBITDA. If for the three year period ending on December 31, 2020 the Cumulative Adjusted EBITDA has a growth of at least 6% to 8%, 50% of the awarded units will vest. If on the vesting date the Cumulative Adjusted EBITDA has a growth of between 8% to 10%, 100% of the awarded units will vest. If on the vesting date the Cumulative Adjusted EBITDA has a growth of over 10%, 200% of the awarded units will vest.</w:t>
      </w:r>
    </w:p>
    <w:p>
      <w:pPr>
        <w:spacing w:after="0" w:line="19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2017, we granted PRSUs to our executive officers. The PRSUs were scheduled to vest, if at all, upon the achievement of a minimum Cumulative Adjusted EBITDA, subject to a three-year cliff vesting ending on December 31, 2019. If at that date, our Cumulative Adjusted EBITDA is at least $600 million but less than $650 million, 100% of the awarded units will vest. If our Cumulative Adjusted EBITDA is at least $650 million but less than $700 million, 200% of the awarded units will vest. If our Cumulative Adjusted EBITDA is at least $700 million, 300% of the awarded units will vest. On January 17, 2020, the Compensation Committee made the determination that the 2017 PRSU shares were earned by our executive officers at the 300% achievement level.</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2016, we granted PRSUs to our executive officers, which vested on December 31, 2018. During the first quarter of 2019, the Compensation Committee determined the award granted vested at 300%, as a minimum specified compound annual growth rate ("CAGR") in adjusted EBITDA per share of greater than 12% was reached for the 3-year performance period January 1, 2016 through December 31, 2018.</w:t>
      </w:r>
    </w:p>
    <w:p>
      <w:pPr>
        <w:spacing w:after="0" w:line="19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Restricted stock units are granted annually to our Board of Directors and vest on the first anniversary of the grant date, or the date of our annual meeting, whichever occurs first.</w:t>
      </w:r>
    </w:p>
    <w:p>
      <w:pPr>
        <w:spacing w:after="0" w:line="19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2020, 2019 and 2018, we granted RSUs to certain employees that vest ratably on the anniversary of the grant over three years. We recognize forfeitures as they occur.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grant date fair market value of our PRSUs and RSUs is determined by our stock price on the grant date.</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restricted stock award activity (dollars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shares and per share amounts)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226"/>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PRSU</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Shares granted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30,348</w:t>
            </w:r>
          </w:p>
        </w:tc>
      </w:tr>
      <w:tr>
        <w:trPr>
          <w:trHeight w:val="230"/>
        </w:trPr>
        <w:tc>
          <w:tcPr>
            <w:tcW w:w="6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Shares earned </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Grant date fair value per share</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188.34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231.63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248.65</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Intrinsic value vested</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15,627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26,445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RSU</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63,094</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Grant date fair value per share</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227.42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252.42</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date fair value</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Intrinsic value vested</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12,314</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16,753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17,086</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ind w:right="260" w:firstLine="8"/>
        <w:spacing w:after="0" w:line="350" w:lineRule="auto"/>
        <w:tabs>
          <w:tab w:leader="none" w:pos="143" w:val="left"/>
        </w:tabs>
        <w:numPr>
          <w:ilvl w:val="0"/>
          <w:numId w:val="41"/>
        </w:numPr>
        <w:rPr>
          <w:rFonts w:ascii="Arial" w:cs="Arial" w:eastAsia="Arial" w:hAnsi="Arial"/>
          <w:sz w:val="16"/>
          <w:szCs w:val="16"/>
          <w:color w:val="auto"/>
          <w:vertAlign w:val="superscript"/>
        </w:rPr>
      </w:pPr>
      <w:r>
        <w:rPr>
          <w:rFonts w:ascii="Arial" w:cs="Arial" w:eastAsia="Arial" w:hAnsi="Arial"/>
          <w:sz w:val="12"/>
          <w:szCs w:val="12"/>
          <w:color w:val="auto"/>
        </w:rPr>
        <w:t>PRSU shares earned in 2019 were related to performance awards granted to executives in 2016 and 2018 and PRSU shares earned in 2020 were related to performance awards granted to executives in 2017, 2018, and 2019.</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our PRSU and RSU activity as of and for the year ended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Grant Date Fair</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6"/>
                <w:szCs w:val="16"/>
                <w:color w:val="auto"/>
              </w:rPr>
            </w:pPr>
          </w:p>
        </w:tc>
        <w:tc>
          <w:tcPr>
            <w:tcW w:w="1220" w:type="dxa"/>
            <w:vAlign w:val="bottom"/>
            <w:vMerge w:val="restart"/>
          </w:tcPr>
          <w:p>
            <w:pPr>
              <w:jc w:val="center"/>
              <w:ind w:right="56"/>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9"/>
              </w:rPr>
              <w:t>Number of Units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4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Value Per 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140" w:type="dxa"/>
            <w:vAlign w:val="bottom"/>
          </w:tcPr>
          <w:p>
            <w:pPr>
              <w:spacing w:after="0"/>
              <w:rPr>
                <w:sz w:val="18"/>
                <w:szCs w:val="18"/>
                <w:color w:val="auto"/>
              </w:rPr>
            </w:pPr>
          </w:p>
        </w:tc>
        <w:tc>
          <w:tcPr>
            <w:tcW w:w="1220" w:type="dxa"/>
            <w:vAlign w:val="bottom"/>
          </w:tcPr>
          <w:p>
            <w:pPr>
              <w:jc w:val="center"/>
              <w:ind w:right="56"/>
              <w:spacing w:after="0"/>
              <w:rPr>
                <w:sz w:val="20"/>
                <w:szCs w:val="20"/>
                <w:color w:val="auto"/>
              </w:rPr>
            </w:pPr>
            <w:r>
              <w:rPr>
                <w:rFonts w:ascii="Arial" w:cs="Arial" w:eastAsia="Arial" w:hAnsi="Arial"/>
                <w:sz w:val="16"/>
                <w:szCs w:val="16"/>
                <w:b w:val="1"/>
                <w:bCs w:val="1"/>
                <w:color w:val="auto"/>
                <w:w w:val="95"/>
              </w:rPr>
              <w:t>Intrinsic Value</w:t>
            </w:r>
          </w:p>
        </w:tc>
        <w:tc>
          <w:tcPr>
            <w:tcW w:w="0" w:type="dxa"/>
            <w:vAlign w:val="bottom"/>
          </w:tcPr>
          <w:p>
            <w:pPr>
              <w:spacing w:after="0"/>
              <w:rPr>
                <w:sz w:val="1"/>
                <w:szCs w:val="1"/>
                <w:color w:val="auto"/>
              </w:rPr>
            </w:pPr>
          </w:p>
        </w:tc>
      </w:tr>
      <w:tr>
        <w:trPr>
          <w:trHeight w:val="22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232,527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Change in units due to performance expectations </w:t>
            </w:r>
            <w:r>
              <w:rPr>
                <w:rFonts w:ascii="Arial" w:cs="Arial" w:eastAsia="Arial" w:hAnsi="Arial"/>
                <w:sz w:val="23"/>
                <w:szCs w:val="23"/>
                <w:color w:val="auto"/>
                <w:vertAlign w:val="superscript"/>
              </w:rPr>
              <w:t>(a)</w:t>
            </w:r>
          </w:p>
        </w:tc>
        <w:tc>
          <w:tcPr>
            <w:tcW w:w="1360" w:type="dxa"/>
            <w:vAlign w:val="bottom"/>
          </w:tcPr>
          <w:p>
            <w:pPr>
              <w:jc w:val="right"/>
              <w:spacing w:after="0"/>
              <w:rPr>
                <w:sz w:val="20"/>
                <w:szCs w:val="20"/>
                <w:color w:val="auto"/>
              </w:rPr>
            </w:pPr>
            <w:r>
              <w:rPr>
                <w:rFonts w:ascii="Arial" w:cs="Arial" w:eastAsia="Arial" w:hAnsi="Arial"/>
                <w:sz w:val="18"/>
                <w:szCs w:val="18"/>
                <w:color w:val="auto"/>
              </w:rPr>
              <w:t>15,454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238.66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(145,820)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187.97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Non-vested and expected to vest at December 31, 2020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209.77</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47,351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68" w:lineRule="exact"/>
        <w:rPr>
          <w:sz w:val="20"/>
          <w:szCs w:val="20"/>
          <w:color w:val="auto"/>
        </w:rPr>
      </w:pPr>
    </w:p>
    <w:p>
      <w:pPr>
        <w:ind w:right="60" w:firstLine="8"/>
        <w:spacing w:after="0" w:line="257" w:lineRule="auto"/>
        <w:tabs>
          <w:tab w:leader="none" w:pos="143"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Relates to 2018 CEO and COO PRSUs granted and 2019 and 2020 PRSUs granted to a non-executive employee, assumes attainment of an increased payout rate based on performance expectations.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ESPP</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have an ESPP under which U.S. employees may purchase up to $25,000 annually of common stock at 85% of its fair market value at the beginning or the end of a six-month offering period, whichever is lower. There are 750,000 shares of common stock reserved for issuance under the ESPP, which is subject to an annual increase of the least of 300,000 shares, two percent of the shares outstanding or such a number as determined by the Board. To date, there have been no increases. As of December 31, 2020, there were 133,487 shares available for future issuance. The ESPP is intended to constitute an “employee stock purchase plan” within the meaning of Section 423 of the Internal Revenue Code. We suspended our ESPP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DERIVATIVES AND HEDGING ACTIVITIES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52"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color w:val="auto"/>
        </w:rPr>
        <w:t>The purpose of our cash flow hedging program is to manage the foreign currency exchange rate risk on forecasted expenses denominated in currencies other than the functional currency of the operating unit. We do not issue derivatives for trading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Consolidated Balance Sheets and is classified based on the instrument's maturity date. We record changes in the fair value of the effective portion of the derivative instrument as a component of Other Comprehensive Income (Loss) and we reclassify that gain or loss into earnings in the same line item associated with the forecasted transaction and in the same period during which the hedged transaction affects earnings.</w:t>
      </w:r>
    </w:p>
    <w:p>
      <w:pPr>
        <w:spacing w:after="0" w:line="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began hedging a portion of our Mexico forecasted expenses denominated in Pesos ("MXN") in May 2017 by entering into a two-year cross-currency par forward contract. The term of this currency forward contract was May 1, 2017 to May 1, 2019. The derivative instrument had a fixed forward rate of 20.01 MXN/USD over the term of the two-year contract.</w:t>
      </w:r>
    </w:p>
    <w:p>
      <w:pPr>
        <w:spacing w:after="0" w:line="217" w:lineRule="exact"/>
        <w:rPr>
          <w:sz w:val="20"/>
          <w:szCs w:val="20"/>
          <w:color w:val="auto"/>
        </w:rPr>
      </w:pPr>
    </w:p>
    <w:p>
      <w:pPr>
        <w:ind w:right="60" w:firstLine="180"/>
        <w:spacing w:after="0" w:line="277" w:lineRule="auto"/>
        <w:rPr>
          <w:sz w:val="20"/>
          <w:szCs w:val="20"/>
          <w:color w:val="auto"/>
        </w:rPr>
      </w:pPr>
      <w:r>
        <w:rPr>
          <w:rFonts w:ascii="Arial" w:cs="Arial" w:eastAsia="Arial" w:hAnsi="Arial"/>
          <w:sz w:val="18"/>
          <w:szCs w:val="18"/>
          <w:color w:val="auto"/>
        </w:rPr>
        <w:t>In January 2018, we entered into a six-month cross-currency par forward contract. The term of this six-month contract was May 1, 2019 to November 1, 2019. The derivative instrument had a fixed forward rate of 20.43 MXN/USD over the term of the six-month contract.</w:t>
      </w:r>
    </w:p>
    <w:p>
      <w:pPr>
        <w:spacing w:after="0" w:line="197"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In November 2018, we entered into a one-year cross-currency par forward contract. The term of the one-year hedge was November 1, 2019 to November 3, 2020. The derivative instrument matured in equal monthly amounts at a fixed forward rate of 22.109 MXN/USD.</w:t>
      </w:r>
    </w:p>
    <w:p>
      <w:pPr>
        <w:spacing w:after="0" w:line="19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March 2020, we entered into a one-year cross-currency par forward contract. The total notional amount of this outstanding derivative as of December 31, 2020 was approximately 436.8 million MXN. The term of the one-year contract is November 3, 2020 to December 1, 2021. The derivative instrument matures in equal monthly amounts at a fixed forward rate of 24.26 MXN/USD.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fair values of our derivative instruments included within the Consolidated Balance Sheets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3620" w:type="dxa"/>
            <w:vAlign w:val="bottom"/>
            <w:tcBorders>
              <w:bottom w:val="single" w:sz="8" w:color="auto"/>
            </w:tcBorders>
            <w:gridSpan w:val="2"/>
          </w:tcPr>
          <w:p>
            <w:pPr>
              <w:ind w:left="2820"/>
              <w:spacing w:after="0"/>
              <w:rPr>
                <w:sz w:val="20"/>
                <w:szCs w:val="20"/>
                <w:color w:val="auto"/>
              </w:rPr>
            </w:pPr>
            <w:r>
              <w:rPr>
                <w:rFonts w:ascii="Arial" w:cs="Arial" w:eastAsia="Arial" w:hAnsi="Arial"/>
                <w:sz w:val="16"/>
                <w:szCs w:val="16"/>
                <w:b w:val="1"/>
                <w:bCs w:val="1"/>
                <w:color w:val="auto"/>
                <w:w w:val="91"/>
              </w:rPr>
              <w:t>Derivatives</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As of December 31,</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3520" w:type="dxa"/>
            <w:vAlign w:val="bottom"/>
          </w:tcPr>
          <w:p>
            <w:pPr>
              <w:ind w:left="780"/>
              <w:spacing w:after="0" w:line="158" w:lineRule="exact"/>
              <w:rPr>
                <w:sz w:val="20"/>
                <w:szCs w:val="20"/>
                <w:color w:val="auto"/>
              </w:rPr>
            </w:pPr>
            <w:r>
              <w:rPr>
                <w:rFonts w:ascii="Arial" w:cs="Arial" w:eastAsia="Arial" w:hAnsi="Arial"/>
                <w:sz w:val="16"/>
                <w:szCs w:val="16"/>
                <w:b w:val="1"/>
                <w:bCs w:val="1"/>
                <w:color w:val="auto"/>
              </w:rPr>
              <w:t>Consolidated Balance Sheet</w:t>
            </w: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800" w:type="dxa"/>
            <w:vAlign w:val="bottom"/>
          </w:tcPr>
          <w:p>
            <w:pPr>
              <w:spacing w:after="0"/>
              <w:rPr>
                <w:sz w:val="18"/>
                <w:szCs w:val="18"/>
                <w:color w:val="auto"/>
              </w:rPr>
            </w:pPr>
          </w:p>
        </w:tc>
        <w:tc>
          <w:tcPr>
            <w:tcW w:w="3620" w:type="dxa"/>
            <w:vAlign w:val="bottom"/>
            <w:gridSpan w:val="2"/>
          </w:tcPr>
          <w:p>
            <w:pPr>
              <w:ind w:left="1460"/>
              <w:spacing w:after="0"/>
              <w:rPr>
                <w:sz w:val="20"/>
                <w:szCs w:val="20"/>
                <w:color w:val="auto"/>
              </w:rPr>
            </w:pPr>
            <w:r>
              <w:rPr>
                <w:rFonts w:ascii="Arial" w:cs="Arial" w:eastAsia="Arial" w:hAnsi="Arial"/>
                <w:sz w:val="16"/>
                <w:szCs w:val="16"/>
                <w:b w:val="1"/>
                <w:bCs w:val="1"/>
                <w:color w:val="auto"/>
              </w:rPr>
              <w:t>Location</w:t>
            </w:r>
          </w:p>
        </w:tc>
        <w:tc>
          <w:tcPr>
            <w:tcW w:w="8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3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exchange forward contract:</w:t>
            </w:r>
          </w:p>
        </w:tc>
        <w:tc>
          <w:tcPr>
            <w:tcW w:w="3620" w:type="dxa"/>
            <w:vAlign w:val="bottom"/>
            <w:tcBorders>
              <w:bottom w:val="single" w:sz="8" w:color="CCEEFF"/>
            </w:tcBorders>
            <w:gridSpan w:val="2"/>
          </w:tcPr>
          <w:p>
            <w:pPr>
              <w:ind w:left="820"/>
              <w:spacing w:after="0"/>
              <w:rPr>
                <w:sz w:val="20"/>
                <w:szCs w:val="20"/>
                <w:color w:val="auto"/>
              </w:rPr>
            </w:pPr>
            <w:r>
              <w:rPr>
                <w:rFonts w:ascii="Arial" w:cs="Arial" w:eastAsia="Arial" w:hAnsi="Arial"/>
                <w:sz w:val="16"/>
                <w:szCs w:val="16"/>
                <w:color w:val="auto"/>
                <w:w w:val="91"/>
              </w:rPr>
              <w:t>Prepaid expenses and other current assets</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3,555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2,366</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3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3,555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2,366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amounts affecting the Consolidated Statements of Operations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28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2"/>
              </w:rPr>
              <w:t>Location of Gain in the</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32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Consolidated Statements of Operations</w:t>
            </w: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w w:val="92"/>
              </w:rPr>
              <w:t>Derivatives designated as cash flow hedging instruments</w:t>
            </w:r>
          </w:p>
        </w:tc>
        <w:tc>
          <w:tcPr>
            <w:tcW w:w="2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40"/>
              <w:spacing w:after="0"/>
              <w:rPr>
                <w:sz w:val="20"/>
                <w:szCs w:val="20"/>
                <w:color w:val="auto"/>
              </w:rPr>
            </w:pPr>
            <w:r>
              <w:rPr>
                <w:rFonts w:ascii="Arial" w:cs="Arial" w:eastAsia="Arial" w:hAnsi="Arial"/>
                <w:sz w:val="16"/>
                <w:szCs w:val="16"/>
                <w:color w:val="auto"/>
              </w:rPr>
              <w:t>Foreign exchange forward contracts</w:t>
            </w:r>
          </w:p>
        </w:tc>
        <w:tc>
          <w:tcPr>
            <w:tcW w:w="3280" w:type="dxa"/>
            <w:vAlign w:val="bottom"/>
            <w:gridSpan w:val="3"/>
          </w:tcPr>
          <w:p>
            <w:pPr>
              <w:ind w:left="1600"/>
              <w:spacing w:after="0"/>
              <w:rPr>
                <w:sz w:val="20"/>
                <w:szCs w:val="20"/>
                <w:color w:val="auto"/>
              </w:rPr>
            </w:pPr>
            <w:r>
              <w:rPr>
                <w:rFonts w:ascii="Arial" w:cs="Arial" w:eastAsia="Arial" w:hAnsi="Arial"/>
                <w:sz w:val="16"/>
                <w:szCs w:val="16"/>
                <w:color w:val="auto"/>
              </w:rPr>
              <w:t>Cost of goods sold  $</w:t>
            </w:r>
          </w:p>
        </w:tc>
        <w:tc>
          <w:tcPr>
            <w:tcW w:w="114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 designated as a cash flow hedge (in thousands):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3700" w:type="dxa"/>
            <w:vAlign w:val="bottom"/>
            <w:gridSpan w:val="8"/>
          </w:tcPr>
          <w:p>
            <w:pPr>
              <w:jc w:val="center"/>
              <w:spacing w:after="0"/>
              <w:rPr>
                <w:sz w:val="20"/>
                <w:szCs w:val="20"/>
                <w:color w:val="auto"/>
              </w:rPr>
            </w:pPr>
            <w:r>
              <w:rPr>
                <w:rFonts w:ascii="Arial" w:cs="Arial" w:eastAsia="Arial" w:hAnsi="Arial"/>
                <w:sz w:val="16"/>
                <w:szCs w:val="16"/>
                <w:b w:val="1"/>
                <w:bCs w:val="1"/>
                <w:color w:val="auto"/>
                <w:w w:val="92"/>
              </w:rPr>
              <w:t>Amount of Gain Recognized in Other</w:t>
            </w:r>
          </w:p>
        </w:tc>
        <w:tc>
          <w:tcPr>
            <w:tcW w:w="100" w:type="dxa"/>
            <w:vAlign w:val="bottom"/>
          </w:tcPr>
          <w:p>
            <w:pPr>
              <w:spacing w:after="0"/>
              <w:rPr>
                <w:sz w:val="16"/>
                <w:szCs w:val="16"/>
                <w:color w:val="auto"/>
              </w:rPr>
            </w:pPr>
          </w:p>
        </w:tc>
        <w:tc>
          <w:tcPr>
            <w:tcW w:w="5120" w:type="dxa"/>
            <w:vAlign w:val="bottom"/>
            <w:gridSpan w:val="10"/>
          </w:tcPr>
          <w:p>
            <w:pPr>
              <w:jc w:val="right"/>
              <w:ind w:right="5"/>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370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w w:val="90"/>
              </w:rPr>
              <w:t>Comprehensive Income on Derivatives</w:t>
            </w: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Income into Income</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center"/>
              <w:ind w:left="5"/>
              <w:spacing w:after="0"/>
              <w:rPr>
                <w:sz w:val="20"/>
                <w:szCs w:val="20"/>
                <w:color w:val="auto"/>
              </w:rPr>
            </w:pPr>
            <w:r>
              <w:rPr>
                <w:rFonts w:ascii="Arial" w:cs="Arial" w:eastAsia="Arial" w:hAnsi="Arial"/>
                <w:sz w:val="16"/>
                <w:szCs w:val="16"/>
                <w:b w:val="1"/>
                <w:bCs w:val="1"/>
                <w:color w:val="auto"/>
                <w:w w:val="91"/>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ind w:left="680"/>
              <w:spacing w:after="0"/>
              <w:rPr>
                <w:sz w:val="20"/>
                <w:szCs w:val="20"/>
                <w:color w:val="auto"/>
              </w:rPr>
            </w:pPr>
            <w:r>
              <w:rPr>
                <w:rFonts w:ascii="Arial" w:cs="Arial" w:eastAsia="Arial" w:hAnsi="Arial"/>
                <w:sz w:val="16"/>
                <w:szCs w:val="16"/>
                <w:b w:val="1"/>
                <w:bCs w:val="1"/>
                <w:color w:val="auto"/>
                <w:w w:val="94"/>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4"/>
              </w:rPr>
              <w:t>Location of Gain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jc w:val="center"/>
              <w:ind w:right="268"/>
              <w:spacing w:after="0" w:line="135" w:lineRule="exact"/>
              <w:rPr>
                <w:sz w:val="20"/>
                <w:szCs w:val="20"/>
                <w:color w:val="auto"/>
              </w:rPr>
            </w:pPr>
            <w:r>
              <w:rPr>
                <w:rFonts w:ascii="Arial" w:cs="Arial" w:eastAsia="Arial" w:hAnsi="Arial"/>
                <w:sz w:val="14"/>
                <w:szCs w:val="14"/>
                <w:b w:val="1"/>
                <w:bCs w:val="1"/>
                <w:color w:val="auto"/>
                <w:w w:val="91"/>
              </w:rPr>
              <w:t>Reclassified From</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jc w:val="center"/>
              <w:ind w:right="268"/>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center"/>
              <w:ind w:right="205"/>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vMerge w:val="restart"/>
          </w:tcPr>
          <w:p>
            <w:pPr>
              <w:jc w:val="right"/>
              <w:ind w:right="34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1"/>
                <w:szCs w:val="11"/>
                <w:color w:val="auto"/>
              </w:rPr>
            </w:pPr>
          </w:p>
        </w:tc>
        <w:tc>
          <w:tcPr>
            <w:tcW w:w="1720" w:type="dxa"/>
            <w:vAlign w:val="bottom"/>
            <w:gridSpan w:val="3"/>
          </w:tcPr>
          <w:p>
            <w:pPr>
              <w:jc w:val="center"/>
              <w:ind w:right="28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4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vMerge w:val="restart"/>
          </w:tcPr>
          <w:p>
            <w:pPr>
              <w:jc w:val="right"/>
              <w:ind w:right="345"/>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w w:val="92"/>
              </w:rPr>
              <w:t>Income into Income</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26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6"/>
                <w:szCs w:val="16"/>
                <w:color w:val="auto"/>
              </w:rPr>
              <w:t>Derivatives designated as cash</w:t>
            </w:r>
          </w:p>
        </w:tc>
        <w:tc>
          <w:tcPr>
            <w:tcW w:w="7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spacing w:after="0"/>
              <w:rPr>
                <w:sz w:val="20"/>
                <w:szCs w:val="20"/>
                <w:color w:val="auto"/>
              </w:rPr>
            </w:pPr>
            <w:r>
              <w:rPr>
                <w:rFonts w:ascii="Arial" w:cs="Arial" w:eastAsia="Arial" w:hAnsi="Arial"/>
                <w:sz w:val="16"/>
                <w:szCs w:val="16"/>
                <w:color w:val="auto"/>
              </w:rPr>
              <w:t>flow hedges: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60" w:type="dxa"/>
            <w:vAlign w:val="bottom"/>
          </w:tcPr>
          <w:p>
            <w:pPr>
              <w:ind w:left="120"/>
              <w:spacing w:after="0" w:line="166" w:lineRule="exact"/>
              <w:rPr>
                <w:sz w:val="20"/>
                <w:szCs w:val="20"/>
                <w:color w:val="auto"/>
              </w:rPr>
            </w:pPr>
            <w:r>
              <w:rPr>
                <w:rFonts w:ascii="Arial" w:cs="Arial" w:eastAsia="Arial" w:hAnsi="Arial"/>
                <w:sz w:val="16"/>
                <w:szCs w:val="16"/>
                <w:color w:val="auto"/>
              </w:rPr>
              <w:t>Foreign exchange forward</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vMerge w:val="restart"/>
          </w:tcPr>
          <w:p>
            <w:pPr>
              <w:jc w:val="right"/>
              <w:ind w:right="88"/>
              <w:spacing w:after="0"/>
              <w:rPr>
                <w:sz w:val="20"/>
                <w:szCs w:val="20"/>
                <w:color w:val="auto"/>
              </w:rPr>
            </w:pPr>
            <w:r>
              <w:rPr>
                <w:rFonts w:ascii="Arial" w:cs="Arial" w:eastAsia="Arial" w:hAnsi="Arial"/>
                <w:sz w:val="16"/>
                <w:szCs w:val="16"/>
                <w:color w:val="auto"/>
              </w:rPr>
              <w:t xml:space="preserve">Cost of goods sold   </w:t>
            </w: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120"/>
              <w:spacing w:after="0"/>
              <w:rPr>
                <w:sz w:val="20"/>
                <w:szCs w:val="20"/>
                <w:color w:val="auto"/>
              </w:rPr>
            </w:pPr>
            <w:r>
              <w:rPr>
                <w:rFonts w:ascii="Arial" w:cs="Arial" w:eastAsia="Arial" w:hAnsi="Arial"/>
                <w:sz w:val="16"/>
                <w:szCs w:val="16"/>
                <w:color w:val="auto"/>
              </w:rPr>
              <w:t>contract</w:t>
            </w:r>
          </w:p>
        </w:tc>
        <w:tc>
          <w:tcPr>
            <w:tcW w:w="760" w:type="dxa"/>
            <w:vAlign w:val="bottom"/>
          </w:tcPr>
          <w:p>
            <w:pPr>
              <w:jc w:val="right"/>
              <w:ind w:right="603"/>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91"/>
              </w:rPr>
              <w:t>1,980</w:t>
            </w:r>
          </w:p>
        </w:tc>
        <w:tc>
          <w:tcPr>
            <w:tcW w:w="1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5"/>
              <w:spacing w:after="0"/>
              <w:rPr>
                <w:sz w:val="20"/>
                <w:szCs w:val="20"/>
                <w:color w:val="auto"/>
              </w:rPr>
            </w:pPr>
            <w:r>
              <w:rPr>
                <w:rFonts w:ascii="Arial" w:cs="Arial" w:eastAsia="Arial" w:hAnsi="Arial"/>
                <w:sz w:val="14"/>
                <w:szCs w:val="14"/>
                <w:color w:val="auto"/>
              </w:rPr>
              <w:t>2,550</w:t>
            </w:r>
          </w:p>
        </w:tc>
        <w:tc>
          <w:tcPr>
            <w:tcW w:w="10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2,063</w:t>
            </w:r>
          </w:p>
        </w:tc>
        <w:tc>
          <w:tcPr>
            <w:tcW w:w="10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5"/>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49"/>
        </w:trPr>
        <w:tc>
          <w:tcPr>
            <w:tcW w:w="226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6"/>
                <w:szCs w:val="16"/>
                <w:color w:val="auto"/>
              </w:rPr>
              <w:t>Total derivatives designated as</w:t>
            </w:r>
          </w:p>
        </w:tc>
        <w:tc>
          <w:tcPr>
            <w:tcW w:w="760" w:type="dxa"/>
            <w:vAlign w:val="bottom"/>
            <w:tcBorders>
              <w:top w:val="single" w:sz="8" w:color="auto"/>
            </w:tcBorders>
            <w:vMerge w:val="restart"/>
            <w:shd w:val="clear" w:color="auto" w:fill="CCEEFF"/>
          </w:tcPr>
          <w:p>
            <w:pPr>
              <w:jc w:val="right"/>
              <w:ind w:right="603"/>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1,980</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4"/>
                <w:szCs w:val="14"/>
                <w:color w:val="auto"/>
              </w:rPr>
              <w:t>2,550</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2,063</w:t>
            </w:r>
          </w:p>
        </w:tc>
        <w:tc>
          <w:tcPr>
            <w:tcW w:w="1580" w:type="dxa"/>
            <w:vAlign w:val="bottom"/>
            <w:tcBorders>
              <w:top w:val="single" w:sz="8" w:color="CCEEFF"/>
            </w:tcBorders>
            <w:gridSpan w:val="3"/>
            <w:vMerge w:val="restart"/>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4"/>
                <w:szCs w:val="14"/>
                <w:color w:val="auto"/>
              </w:rPr>
              <w:t>916</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205"/>
        </w:trPr>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 hedging instruments</w:t>
            </w: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5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170"/>
        <w:spacing w:after="0" w:line="263" w:lineRule="auto"/>
        <w:rPr>
          <w:sz w:val="20"/>
          <w:szCs w:val="20"/>
          <w:color w:val="auto"/>
        </w:rPr>
      </w:pPr>
      <w:r>
        <w:rPr>
          <w:rFonts w:ascii="Arial" w:cs="Arial" w:eastAsia="Arial" w:hAnsi="Arial"/>
          <w:sz w:val="18"/>
          <w:szCs w:val="18"/>
          <w:color w:val="auto"/>
        </w:rPr>
        <w:t>As of December 31, 2020, we expect approximately $3.6 million of the deferred gain on the outstanding derivatives in accumulated other comprehensive (loss) income to be reclassified to net income during the next 12 months concurrent with the underlying hedged transactions also being reported in net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56" w:lineRule="exact"/>
        <w:rPr>
          <w:sz w:val="20"/>
          <w:szCs w:val="20"/>
          <w:color w:val="auto"/>
        </w:rPr>
      </w:pPr>
    </w:p>
    <w:p>
      <w:pPr>
        <w:jc w:val="both"/>
        <w:ind w:right="120" w:firstLine="180"/>
        <w:spacing w:after="0" w:line="311"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7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liabilities</w:t>
      </w:r>
    </w:p>
    <w:p>
      <w:pPr>
        <w:spacing w:after="0" w:line="252" w:lineRule="exact"/>
        <w:rPr>
          <w:sz w:val="20"/>
          <w:szCs w:val="20"/>
          <w:color w:val="auto"/>
        </w:rPr>
      </w:pPr>
    </w:p>
    <w:p>
      <w:pPr>
        <w:ind w:right="80" w:firstLine="180"/>
        <w:spacing w:after="0" w:line="269" w:lineRule="auto"/>
        <w:rPr>
          <w:sz w:val="20"/>
          <w:szCs w:val="20"/>
          <w:color w:val="auto"/>
        </w:rPr>
      </w:pPr>
      <w:r>
        <w:rPr>
          <w:rFonts w:ascii="Arial" w:cs="Arial" w:eastAsia="Arial" w:hAnsi="Arial"/>
          <w:sz w:val="17"/>
          <w:szCs w:val="17"/>
          <w:color w:val="auto"/>
        </w:rPr>
        <w:t>In 2017, we recognized an earn-out liability upon the acquisition of HIS from Pfizer. Pfizer was entitled to receive between $191.3 million and $225.0 million in additional cash consideration based on the achievement of certain performance targets for the combined company for the three years ending December 31, 2019.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included other assumptions including the market price of risk, which was calculated as the weighted average cost of capital ("WACC") less the long term risk free rate. The initial value assigned to the contingent consideration was a result of forecasted product demand of our HIS business. At each reporting date subsequent to the acquisition we remeasured the earn-out using the same methodology above and recognized any changes in value. As of December 31, 2019, we determined that we did not meet the necessary performance targets that would require payout of any of the HIS earn-out liability. As of the date of this filing, Pfizer has disputed our determination that the performance targets requiring payout of the HIS earn-out liability were not met. We expect the dispute will be resolved by binding arbitration unless both parties are able to come to an agreement on this issue, that will likely be concluded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80" w:firstLine="180"/>
        <w:spacing w:after="0" w:line="269" w:lineRule="auto"/>
        <w:rPr>
          <w:sz w:val="20"/>
          <w:szCs w:val="20"/>
          <w:color w:val="auto"/>
        </w:rPr>
      </w:pPr>
      <w:r>
        <w:rPr>
          <w:rFonts w:ascii="Arial" w:cs="Arial" w:eastAsia="Arial" w:hAnsi="Arial"/>
          <w:sz w:val="17"/>
          <w:szCs w:val="17"/>
          <w:color w:val="auto"/>
        </w:rPr>
        <w:t>In the fourth quarter of 2019, we recognized an earn-out liability related to the acquisition of Pursuit (see Note 2, Acquisitions). Pursuit's equity holders are potentially entitled up to $50.0 million in additional cash consideration contingent upon the achievement of certain sales and gross profit targets for specific customers. The earn-out paid will be calculated as a percentage of gross profit achieved during the earn-out period against a pre-determined target gross profit, not to exceed $50.0 million. We used a Monte Carlo simulation model to determine the fair value of the earn-out. The Monte Carlo simulation model utilizes multiple input variables to determine the value of the earn-out including historical volatility, a risk free interest rate, counter party credit risk and projected future gross profit, see below simulation input table related to Pursuit. The historical volatility was based on the median of ICU and a certain peer group. The risk-free interest rate is equal to the yield, as of the valuation date, of the zero-coupon U.S. Treasury bill that is commensurate with the term of the earn-out. The counter party credit risk is based on a synthetic credit rating of B1. If the probabilities in the model significantly change from what we initially and subsequently anticipate, the change could have a significant impact on our financial statements in the period recognized. Our contingent earn-out liability is separately stated in our consolidated balance sheets.</w:t>
      </w:r>
    </w:p>
    <w:p>
      <w:pPr>
        <w:spacing w:after="0" w:line="212" w:lineRule="exact"/>
        <w:rPr>
          <w:sz w:val="20"/>
          <w:szCs w:val="20"/>
          <w:color w:val="auto"/>
        </w:rPr>
      </w:pPr>
    </w:p>
    <w:p>
      <w:pPr>
        <w:ind w:right="20" w:firstLine="177"/>
        <w:spacing w:after="0" w:line="277" w:lineRule="auto"/>
        <w:rPr>
          <w:sz w:val="20"/>
          <w:szCs w:val="20"/>
          <w:color w:val="auto"/>
        </w:rPr>
      </w:pPr>
      <w:r>
        <w:rPr>
          <w:rFonts w:ascii="Arial" w:cs="Arial" w:eastAsia="Arial" w:hAnsi="Arial"/>
          <w:sz w:val="18"/>
          <w:szCs w:val="18"/>
          <w:color w:val="auto"/>
        </w:rPr>
        <w:t>The following table provides a reconciliation of our Level 3 earn-out liabilities measured at estimated fair value based on an initial valuation and updated quarterly for the years ended December 31, 2020, 2019 and 2018 (in thousands):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Earn-out Liability</w:t>
            </w:r>
          </w:p>
        </w:tc>
      </w:tr>
      <w:tr>
        <w:trPr>
          <w:trHeight w:val="212"/>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Contingent earn-out liability, January 1, 2018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r>
      <w:tr>
        <w:trPr>
          <w:trHeight w:val="216"/>
        </w:trPr>
        <w:tc>
          <w:tcPr>
            <w:tcW w:w="89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Change in fair value of contingent earn-out (included in income from operations as a separate line item)</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20,400</w:t>
            </w:r>
          </w:p>
        </w:tc>
      </w:tr>
      <w:tr>
        <w:trPr>
          <w:trHeight w:val="210"/>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Contingent earn-out liability, December 31, 2018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47,400</w:t>
            </w:r>
          </w:p>
        </w:tc>
      </w:tr>
      <w:tr>
        <w:trPr>
          <w:trHeight w:val="216"/>
        </w:trPr>
        <w:tc>
          <w:tcPr>
            <w:tcW w:w="8960" w:type="dxa"/>
            <w:vAlign w:val="bottom"/>
          </w:tcPr>
          <w:p>
            <w:pPr>
              <w:ind w:left="140"/>
              <w:spacing w:after="0" w:line="216" w:lineRule="exact"/>
              <w:rPr>
                <w:sz w:val="20"/>
                <w:szCs w:val="20"/>
                <w:color w:val="auto"/>
              </w:rPr>
            </w:pPr>
            <w:r>
              <w:rPr>
                <w:rFonts w:ascii="Arial" w:cs="Arial" w:eastAsia="Arial" w:hAnsi="Arial"/>
                <w:sz w:val="16"/>
                <w:szCs w:val="16"/>
                <w:color w:val="auto"/>
              </w:rPr>
              <w:t>Acquisition date fair value estimate of earn-out</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17,300</w:t>
            </w:r>
          </w:p>
        </w:tc>
      </w:tr>
      <w:tr>
        <w:trPr>
          <w:trHeight w:val="216"/>
        </w:trPr>
        <w:tc>
          <w:tcPr>
            <w:tcW w:w="89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Change in fair value of contingent earn-out (included in income from operations as a separate line item)</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(47,400)</w:t>
            </w:r>
          </w:p>
        </w:tc>
      </w:tr>
      <w:tr>
        <w:trPr>
          <w:trHeight w:val="207"/>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Contingent earn-out liability, December 31, 2019</w:t>
            </w:r>
          </w:p>
        </w:tc>
        <w:tc>
          <w:tcPr>
            <w:tcW w:w="28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17,300</w:t>
            </w:r>
          </w:p>
        </w:tc>
      </w:tr>
      <w:tr>
        <w:trPr>
          <w:trHeight w:val="219"/>
        </w:trPr>
        <w:tc>
          <w:tcPr>
            <w:tcW w:w="89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Change in fair value of contingent earn-out (included in income from operations as a separate line item)</w:t>
            </w:r>
            <w:r>
              <w:rPr>
                <w:rFonts w:ascii="Arial" w:cs="Arial" w:eastAsia="Arial" w:hAnsi="Arial"/>
                <w:sz w:val="21"/>
                <w:szCs w:val="21"/>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r>
      <w:tr>
        <w:trPr>
          <w:trHeight w:val="209"/>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Contingent earn-out liability, December 31, 2020</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26,300</w:t>
            </w:r>
          </w:p>
        </w:tc>
      </w:tr>
      <w:tr>
        <w:trPr>
          <w:trHeight w:val="21"/>
        </w:trPr>
        <w:tc>
          <w:tcPr>
            <w:tcW w:w="8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right="660" w:firstLine="8"/>
        <w:spacing w:after="0" w:line="267" w:lineRule="auto"/>
        <w:tabs>
          <w:tab w:leader="none" w:pos="181"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Changes in the fair value of the HIS earn-out during the performance period are due to a change in the forecast of the underlying target, adjusted EBITDA, and due to changes in other assumptions used in the Monte Carlo simulation.</w:t>
      </w:r>
    </w:p>
    <w:p>
      <w:pPr>
        <w:spacing w:after="0" w:line="19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Relates to our acquisition of Pursuit, (see Note 2, Acquisitions).</w:t>
      </w:r>
    </w:p>
    <w:p>
      <w:pPr>
        <w:spacing w:after="0" w:line="217"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The change in the fair value of the HIS earn-out was based on actual results as compared to the earn-out performance targets.</w:t>
      </w:r>
    </w:p>
    <w:p>
      <w:pPr>
        <w:spacing w:after="0" w:line="217"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The fair value of the Pursuit earn-out increased during 2020 primarily due to changes in the probabilities within the valuation model.</w:t>
      </w:r>
    </w:p>
    <w:p>
      <w:pPr>
        <w:spacing w:after="0" w:line="202" w:lineRule="exact"/>
        <w:rPr>
          <w:sz w:val="20"/>
          <w:szCs w:val="20"/>
          <w:color w:val="auto"/>
        </w:rPr>
      </w:pPr>
    </w:p>
    <w:p>
      <w:pPr>
        <w:ind w:firstLine="177"/>
        <w:spacing w:after="0" w:line="342" w:lineRule="auto"/>
        <w:rPr>
          <w:sz w:val="20"/>
          <w:szCs w:val="20"/>
          <w:color w:val="auto"/>
        </w:rPr>
      </w:pPr>
      <w:r>
        <w:rPr>
          <w:rFonts w:ascii="Arial" w:cs="Arial" w:eastAsia="Arial" w:hAnsi="Arial"/>
          <w:sz w:val="16"/>
          <w:szCs w:val="16"/>
          <w:color w:val="auto"/>
        </w:rPr>
        <w:t>The following tables provide quantitative information about Level 3 inputs for fair value measurement of our earn-out liabilities as of the acquisition date to December 31, 2020. Significant increases or decreases in these inputs in isolation could result in a significant impact on our fair value measurement.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 Earn-out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Simulation Input</w:t>
            </w:r>
          </w:p>
        </w:tc>
        <w:tc>
          <w:tcPr>
            <w:tcW w:w="4600" w:type="dxa"/>
            <w:vAlign w:val="bottom"/>
            <w:gridSpan w:val="2"/>
          </w:tcPr>
          <w:p>
            <w:pPr>
              <w:jc w:val="center"/>
              <w:ind w:left="2399"/>
              <w:spacing w:after="0"/>
              <w:rPr>
                <w:sz w:val="20"/>
                <w:szCs w:val="20"/>
                <w:color w:val="auto"/>
              </w:rPr>
            </w:pPr>
            <w:r>
              <w:rPr>
                <w:rFonts w:ascii="Arial" w:cs="Arial" w:eastAsia="Arial" w:hAnsi="Arial"/>
                <w:sz w:val="16"/>
                <w:szCs w:val="16"/>
                <w:b w:val="1"/>
                <w:bCs w:val="1"/>
                <w:color w:val="auto"/>
                <w:w w:val="89"/>
              </w:rPr>
              <w:t>As of</w:t>
            </w:r>
          </w:p>
        </w:tc>
        <w:tc>
          <w:tcPr>
            <w:tcW w:w="18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At January 1, 2018</w:t>
            </w:r>
          </w:p>
        </w:tc>
        <w:tc>
          <w:tcPr>
            <w:tcW w:w="0" w:type="dxa"/>
            <w:vAlign w:val="bottom"/>
          </w:tcPr>
          <w:p>
            <w:pPr>
              <w:spacing w:after="0"/>
              <w:rPr>
                <w:sz w:val="1"/>
                <w:szCs w:val="1"/>
                <w:color w:val="auto"/>
              </w:rPr>
            </w:pPr>
          </w:p>
        </w:tc>
      </w:tr>
      <w:tr>
        <w:trPr>
          <w:trHeight w:val="213"/>
        </w:trPr>
        <w:tc>
          <w:tcPr>
            <w:tcW w:w="4800" w:type="dxa"/>
            <w:vAlign w:val="bottom"/>
            <w:vMerge w:val="continue"/>
          </w:tcPr>
          <w:p>
            <w:pPr>
              <w:spacing w:after="0"/>
              <w:rPr>
                <w:sz w:val="18"/>
                <w:szCs w:val="18"/>
                <w:color w:val="auto"/>
              </w:rPr>
            </w:pPr>
          </w:p>
        </w:tc>
        <w:tc>
          <w:tcPr>
            <w:tcW w:w="4600" w:type="dxa"/>
            <w:vAlign w:val="bottom"/>
            <w:gridSpan w:val="2"/>
          </w:tcPr>
          <w:p>
            <w:pPr>
              <w:jc w:val="center"/>
              <w:ind w:left="2459"/>
              <w:spacing w:after="0"/>
              <w:rPr>
                <w:sz w:val="20"/>
                <w:szCs w:val="20"/>
                <w:color w:val="auto"/>
              </w:rPr>
            </w:pPr>
            <w:r>
              <w:rPr>
                <w:rFonts w:ascii="Arial" w:cs="Arial" w:eastAsia="Arial" w:hAnsi="Arial"/>
                <w:sz w:val="16"/>
                <w:szCs w:val="16"/>
                <w:b w:val="1"/>
                <w:bCs w:val="1"/>
                <w:color w:val="auto"/>
                <w:w w:val="90"/>
              </w:rPr>
              <w:t>December 31, 2018</w:t>
            </w: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Adjusted EBITDA Volatility</w:t>
            </w:r>
          </w:p>
        </w:tc>
        <w:tc>
          <w:tcPr>
            <w:tcW w:w="4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26.00 %</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WACC</w:t>
            </w:r>
          </w:p>
        </w:tc>
        <w:tc>
          <w:tcPr>
            <w:tcW w:w="4500" w:type="dxa"/>
            <w:vAlign w:val="bottom"/>
          </w:tcPr>
          <w:p>
            <w:pPr>
              <w:jc w:val="right"/>
              <w:spacing w:after="0"/>
              <w:rPr>
                <w:sz w:val="20"/>
                <w:szCs w:val="20"/>
                <w:color w:val="auto"/>
              </w:rPr>
            </w:pPr>
            <w:r>
              <w:rPr>
                <w:rFonts w:ascii="Arial" w:cs="Arial" w:eastAsia="Arial" w:hAnsi="Arial"/>
                <w:sz w:val="16"/>
                <w:szCs w:val="16"/>
                <w:color w:val="auto"/>
              </w:rPr>
              <w:t>8.25 %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8.75 %</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20-year risk free rate</w:t>
            </w:r>
          </w:p>
        </w:tc>
        <w:tc>
          <w:tcPr>
            <w:tcW w:w="4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Market price of risk</w:t>
            </w:r>
          </w:p>
        </w:tc>
        <w:tc>
          <w:tcPr>
            <w:tcW w:w="4500" w:type="dxa"/>
            <w:vAlign w:val="bottom"/>
          </w:tcPr>
          <w:p>
            <w:pPr>
              <w:jc w:val="right"/>
              <w:spacing w:after="0"/>
              <w:rPr>
                <w:sz w:val="20"/>
                <w:szCs w:val="20"/>
                <w:color w:val="auto"/>
              </w:rPr>
            </w:pPr>
            <w:r>
              <w:rPr>
                <w:rFonts w:ascii="Arial" w:cs="Arial" w:eastAsia="Arial" w:hAnsi="Arial"/>
                <w:sz w:val="16"/>
                <w:szCs w:val="16"/>
                <w:color w:val="auto"/>
              </w:rPr>
              <w:t>5.24 %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5.99 %</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debt</w:t>
            </w:r>
          </w:p>
        </w:tc>
        <w:tc>
          <w:tcPr>
            <w:tcW w:w="4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5.25 %</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Pursuit Earn-out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2600" w:type="dxa"/>
            <w:vAlign w:val="bottom"/>
            <w:tcBorders>
              <w:bottom w:val="single" w:sz="8" w:color="auto"/>
            </w:tcBorders>
            <w:gridSpan w:val="3"/>
          </w:tcPr>
          <w:p>
            <w:pPr>
              <w:ind w:left="1200"/>
              <w:spacing w:after="0"/>
              <w:rPr>
                <w:sz w:val="20"/>
                <w:szCs w:val="20"/>
                <w:color w:val="auto"/>
              </w:rPr>
            </w:pPr>
            <w:r>
              <w:rPr>
                <w:rFonts w:ascii="Arial" w:cs="Arial" w:eastAsia="Arial" w:hAnsi="Arial"/>
                <w:sz w:val="16"/>
                <w:szCs w:val="16"/>
                <w:b w:val="1"/>
                <w:bCs w:val="1"/>
                <w:color w:val="auto"/>
                <w:w w:val="92"/>
              </w:rPr>
              <w:t>As of December 31,</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339"/>
              <w:spacing w:after="0"/>
              <w:rPr>
                <w:sz w:val="20"/>
                <w:szCs w:val="20"/>
                <w:color w:val="auto"/>
              </w:rPr>
            </w:pPr>
            <w:r>
              <w:rPr>
                <w:rFonts w:ascii="Arial" w:cs="Arial" w:eastAsia="Arial" w:hAnsi="Arial"/>
                <w:sz w:val="16"/>
                <w:szCs w:val="16"/>
                <w:b w:val="1"/>
                <w:bCs w:val="1"/>
                <w:color w:val="auto"/>
              </w:rPr>
              <w:t>At Acquisition</w:t>
            </w:r>
          </w:p>
        </w:tc>
      </w:tr>
      <w:tr>
        <w:trPr>
          <w:trHeight w:val="21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Simulation Input</w:t>
            </w:r>
          </w:p>
        </w:tc>
        <w:tc>
          <w:tcPr>
            <w:tcW w:w="18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November 2, 2019</w:t>
            </w: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Revenue/Gross Profit Volatility</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25.00 %</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20.00 %</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1820" w:type="dxa"/>
            <w:vAlign w:val="bottom"/>
          </w:tcPr>
          <w:p>
            <w:pPr>
              <w:jc w:val="right"/>
              <w:spacing w:after="0"/>
              <w:rPr>
                <w:sz w:val="20"/>
                <w:szCs w:val="20"/>
                <w:color w:val="auto"/>
              </w:rPr>
            </w:pPr>
            <w:r>
              <w:rPr>
                <w:rFonts w:ascii="Arial" w:cs="Arial" w:eastAsia="Arial" w:hAnsi="Arial"/>
                <w:sz w:val="16"/>
                <w:szCs w:val="16"/>
                <w:color w:val="auto"/>
              </w:rPr>
              <w:t>12.50 %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15.00 %</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free rate</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Counter Party Risk</w:t>
            </w:r>
          </w:p>
        </w:tc>
        <w:tc>
          <w:tcPr>
            <w:tcW w:w="182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6.00 %</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and foreign currency contracts</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fair value of our investments, which consists of corporate bonds, is estimated using observable market based inputs such as quoted prices, interest rates and yield curves or Level 2 inputs.</w:t>
      </w:r>
    </w:p>
    <w:p>
      <w:pPr>
        <w:spacing w:after="0" w:line="197" w:lineRule="exact"/>
        <w:rPr>
          <w:sz w:val="20"/>
          <w:szCs w:val="20"/>
          <w:color w:val="auto"/>
        </w:rPr>
      </w:pPr>
    </w:p>
    <w:p>
      <w:pPr>
        <w:ind w:right="200" w:firstLine="177"/>
        <w:spacing w:after="0" w:line="342" w:lineRule="auto"/>
        <w:rPr>
          <w:sz w:val="20"/>
          <w:szCs w:val="20"/>
          <w:color w:val="auto"/>
        </w:rPr>
      </w:pPr>
      <w:r>
        <w:rPr>
          <w:rFonts w:ascii="Arial" w:cs="Arial" w:eastAsia="Arial" w:hAnsi="Arial"/>
          <w:sz w:val="16"/>
          <w:szCs w:val="16"/>
          <w:color w:val="auto"/>
        </w:rPr>
        <w:t>The fair value of our Level 2 forward currency contract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were no transfers between levels in 2020 or 2019.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assets and liabilities measured at fair value on a recurring basis consisted of the following (Level 1, 2 and 3 inputs as defined above)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w w:val="93"/>
              </w:rPr>
              <w:t>Fair value measurements as of December 31, 2020</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9"/>
              </w:rPr>
              <w:t>Quoted prices</w:t>
            </w:r>
          </w:p>
        </w:tc>
        <w:tc>
          <w:tcPr>
            <w:tcW w:w="240" w:type="dxa"/>
            <w:vAlign w:val="bottom"/>
          </w:tcPr>
          <w:p>
            <w:pPr>
              <w:spacing w:after="0"/>
              <w:rPr>
                <w:sz w:val="13"/>
                <w:szCs w:val="13"/>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2"/>
              </w:rPr>
              <w:t>Significant</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restart"/>
          </w:tcPr>
          <w:p>
            <w:pPr>
              <w:jc w:val="center"/>
              <w:ind w:right="360"/>
              <w:spacing w:after="0" w:line="162" w:lineRule="exact"/>
              <w:rPr>
                <w:sz w:val="20"/>
                <w:szCs w:val="20"/>
                <w:color w:val="auto"/>
              </w:rPr>
            </w:pPr>
            <w:r>
              <w:rPr>
                <w:rFonts w:ascii="Arial" w:cs="Arial" w:eastAsia="Arial" w:hAnsi="Arial"/>
                <w:sz w:val="16"/>
                <w:szCs w:val="16"/>
                <w:b w:val="1"/>
                <w:bCs w:val="1"/>
                <w:color w:val="auto"/>
                <w:w w:val="90"/>
              </w:rPr>
              <w:t>in active</w:t>
            </w:r>
          </w:p>
        </w:tc>
        <w:tc>
          <w:tcPr>
            <w:tcW w:w="24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vMerge w:val="restart"/>
          </w:tcPr>
          <w:p>
            <w:pPr>
              <w:jc w:val="center"/>
              <w:ind w:right="173"/>
              <w:spacing w:after="0" w:line="162"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94"/>
              </w:rPr>
              <w:t>Total carrying</w:t>
            </w: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62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other</w:t>
            </w:r>
          </w:p>
        </w:tc>
        <w:tc>
          <w:tcPr>
            <w:tcW w:w="2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restart"/>
          </w:tcPr>
          <w:p>
            <w:pPr>
              <w:jc w:val="center"/>
              <w:ind w:right="360"/>
              <w:spacing w:after="0" w:line="162" w:lineRule="exact"/>
              <w:rPr>
                <w:sz w:val="20"/>
                <w:szCs w:val="20"/>
                <w:color w:val="auto"/>
              </w:rPr>
            </w:pPr>
            <w:r>
              <w:rPr>
                <w:rFonts w:ascii="Arial" w:cs="Arial" w:eastAsia="Arial" w:hAnsi="Arial"/>
                <w:sz w:val="16"/>
                <w:szCs w:val="16"/>
                <w:b w:val="1"/>
                <w:bCs w:val="1"/>
                <w:color w:val="auto"/>
                <w:w w:val="94"/>
              </w:rPr>
              <w:t>markets for</w:t>
            </w:r>
          </w:p>
        </w:tc>
        <w:tc>
          <w:tcPr>
            <w:tcW w:w="24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vMerge w:val="restart"/>
          </w:tcPr>
          <w:p>
            <w:pPr>
              <w:jc w:val="center"/>
              <w:ind w:right="153"/>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87"/>
              </w:rPr>
              <w:t>value</w:t>
            </w: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62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observable</w:t>
            </w:r>
          </w:p>
        </w:tc>
        <w:tc>
          <w:tcPr>
            <w:tcW w:w="2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identical</w:t>
            </w:r>
          </w:p>
        </w:tc>
        <w:tc>
          <w:tcPr>
            <w:tcW w:w="24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vMerge w:val="restart"/>
          </w:tcPr>
          <w:p>
            <w:pPr>
              <w:jc w:val="center"/>
              <w:ind w:right="173"/>
              <w:spacing w:after="0" w:line="162" w:lineRule="exact"/>
              <w:rPr>
                <w:sz w:val="20"/>
                <w:szCs w:val="20"/>
                <w:color w:val="auto"/>
              </w:rPr>
            </w:pPr>
            <w:r>
              <w:rPr>
                <w:rFonts w:ascii="Arial" w:cs="Arial" w:eastAsia="Arial" w:hAnsi="Arial"/>
                <w:sz w:val="16"/>
                <w:szCs w:val="16"/>
                <w:b w:val="1"/>
                <w:bCs w:val="1"/>
                <w:color w:val="auto"/>
                <w:w w:val="90"/>
              </w:rPr>
              <w:t>inputs (level 3)</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9"/>
              </w:rPr>
              <w:t>inputs (level 2)</w:t>
            </w:r>
          </w:p>
        </w:tc>
        <w:tc>
          <w:tcPr>
            <w:tcW w:w="2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86"/>
              </w:rPr>
              <w:t>assets (level 1)</w:t>
            </w:r>
          </w:p>
        </w:tc>
        <w:tc>
          <w:tcPr>
            <w:tcW w:w="2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9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Arial" w:cs="Arial" w:eastAsia="Arial" w:hAnsi="Arial"/>
                <w:sz w:val="18"/>
                <w:szCs w:val="18"/>
                <w:color w:val="auto"/>
              </w:rPr>
              <w:t>Available for sale debt securities: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12,974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26,300</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26,300</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w w:val="93"/>
              </w:rPr>
              <w:t>Fair value measurements as of December 31, 2019</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9"/>
              </w:rPr>
              <w:t>Quoted prices</w:t>
            </w:r>
          </w:p>
        </w:tc>
        <w:tc>
          <w:tcPr>
            <w:tcW w:w="240" w:type="dxa"/>
            <w:vAlign w:val="bottom"/>
          </w:tcPr>
          <w:p>
            <w:pPr>
              <w:spacing w:after="0"/>
              <w:rPr>
                <w:sz w:val="13"/>
                <w:szCs w:val="13"/>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Significant</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gridSpan w:val="2"/>
            <w:vMerge w:val="restart"/>
          </w:tcPr>
          <w:p>
            <w:pPr>
              <w:jc w:val="center"/>
              <w:ind w:right="320"/>
              <w:spacing w:after="0" w:line="162" w:lineRule="exact"/>
              <w:rPr>
                <w:sz w:val="20"/>
                <w:szCs w:val="20"/>
                <w:color w:val="auto"/>
              </w:rPr>
            </w:pPr>
            <w:r>
              <w:rPr>
                <w:rFonts w:ascii="Arial" w:cs="Arial" w:eastAsia="Arial" w:hAnsi="Arial"/>
                <w:sz w:val="16"/>
                <w:szCs w:val="16"/>
                <w:b w:val="1"/>
                <w:bCs w:val="1"/>
                <w:color w:val="auto"/>
                <w:w w:val="90"/>
              </w:rPr>
              <w:t>in active</w:t>
            </w:r>
          </w:p>
        </w:tc>
        <w:tc>
          <w:tcPr>
            <w:tcW w:w="24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vMerge w:val="restart"/>
          </w:tcPr>
          <w:p>
            <w:pPr>
              <w:jc w:val="center"/>
              <w:ind w:right="173"/>
              <w:spacing w:after="0" w:line="162" w:lineRule="exact"/>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Total carrying</w:t>
            </w:r>
          </w:p>
        </w:tc>
        <w:tc>
          <w:tcPr>
            <w:tcW w:w="24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94"/>
              </w:rPr>
              <w:t>other</w:t>
            </w:r>
          </w:p>
        </w:tc>
        <w:tc>
          <w:tcPr>
            <w:tcW w:w="2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gridSpan w:val="2"/>
            <w:vMerge w:val="restart"/>
          </w:tcPr>
          <w:p>
            <w:pPr>
              <w:jc w:val="center"/>
              <w:ind w:right="320"/>
              <w:spacing w:after="0" w:line="162" w:lineRule="exact"/>
              <w:rPr>
                <w:sz w:val="20"/>
                <w:szCs w:val="20"/>
                <w:color w:val="auto"/>
              </w:rPr>
            </w:pPr>
            <w:r>
              <w:rPr>
                <w:rFonts w:ascii="Arial" w:cs="Arial" w:eastAsia="Arial" w:hAnsi="Arial"/>
                <w:sz w:val="16"/>
                <w:szCs w:val="16"/>
                <w:b w:val="1"/>
                <w:bCs w:val="1"/>
                <w:color w:val="auto"/>
                <w:w w:val="94"/>
              </w:rPr>
              <w:t>markets for</w:t>
            </w:r>
          </w:p>
        </w:tc>
        <w:tc>
          <w:tcPr>
            <w:tcW w:w="24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vMerge w:val="restart"/>
          </w:tcPr>
          <w:p>
            <w:pPr>
              <w:jc w:val="center"/>
              <w:ind w:right="153"/>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value</w:t>
            </w:r>
          </w:p>
        </w:tc>
        <w:tc>
          <w:tcPr>
            <w:tcW w:w="24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87"/>
              </w:rPr>
              <w:t>observable</w:t>
            </w:r>
          </w:p>
        </w:tc>
        <w:tc>
          <w:tcPr>
            <w:tcW w:w="2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gridSpan w:val="2"/>
            <w:vMerge w:val="restart"/>
          </w:tcPr>
          <w:p>
            <w:pPr>
              <w:jc w:val="center"/>
              <w:ind w:right="340"/>
              <w:spacing w:after="0" w:line="162" w:lineRule="exact"/>
              <w:rPr>
                <w:sz w:val="20"/>
                <w:szCs w:val="20"/>
                <w:color w:val="auto"/>
              </w:rPr>
            </w:pPr>
            <w:r>
              <w:rPr>
                <w:rFonts w:ascii="Arial" w:cs="Arial" w:eastAsia="Arial" w:hAnsi="Arial"/>
                <w:sz w:val="16"/>
                <w:szCs w:val="16"/>
                <w:b w:val="1"/>
                <w:bCs w:val="1"/>
                <w:color w:val="auto"/>
                <w:w w:val="92"/>
              </w:rPr>
              <w:t>identical</w:t>
            </w:r>
          </w:p>
        </w:tc>
        <w:tc>
          <w:tcPr>
            <w:tcW w:w="24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vMerge w:val="restart"/>
          </w:tcPr>
          <w:p>
            <w:pPr>
              <w:jc w:val="center"/>
              <w:ind w:right="173"/>
              <w:spacing w:after="0" w:line="162" w:lineRule="exact"/>
              <w:rPr>
                <w:sz w:val="20"/>
                <w:szCs w:val="20"/>
                <w:color w:val="auto"/>
              </w:rPr>
            </w:pPr>
            <w:r>
              <w:rPr>
                <w:rFonts w:ascii="Arial" w:cs="Arial" w:eastAsia="Arial" w:hAnsi="Arial"/>
                <w:sz w:val="16"/>
                <w:szCs w:val="16"/>
                <w:b w:val="1"/>
                <w:bCs w:val="1"/>
                <w:color w:val="auto"/>
                <w:w w:val="90"/>
              </w:rPr>
              <w:t>inputs (level 3)</w:t>
            </w: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0"/>
              </w:rPr>
              <w:t>inputs (level 2)</w:t>
            </w:r>
          </w:p>
        </w:tc>
        <w:tc>
          <w:tcPr>
            <w:tcW w:w="24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8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6"/>
              </w:rPr>
              <w:t>assets (level 1)</w:t>
            </w:r>
          </w:p>
        </w:tc>
        <w:tc>
          <w:tcPr>
            <w:tcW w:w="24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Available for sale debt securities: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Foreign exchange forwards: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PREPAID EXPENSES AND OTHER CURRENT ASSETS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20" w:type="dxa"/>
            <w:vAlign w:val="bottom"/>
            <w:tcBorders>
              <w:bottom w:val="single" w:sz="8" w:color="auto"/>
            </w:tcBorders>
          </w:tcPr>
          <w:p>
            <w:pPr>
              <w:spacing w:after="0"/>
              <w:rPr>
                <w:sz w:val="18"/>
                <w:szCs w:val="18"/>
                <w:color w:val="auto"/>
              </w:rPr>
            </w:pPr>
          </w:p>
        </w:tc>
      </w:tr>
      <w:tr>
        <w:trPr>
          <w:trHeight w:val="237"/>
        </w:trPr>
        <w:tc>
          <w:tcPr>
            <w:tcW w:w="60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w w:val="84"/>
              </w:rPr>
              <w:t>2019</w:t>
            </w:r>
          </w:p>
        </w:tc>
      </w:tr>
      <w:tr>
        <w:trPr>
          <w:trHeight w:val="25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expenses and receivables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13,778</w:t>
            </w: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6,402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3,332</w:t>
            </w:r>
          </w:p>
        </w:tc>
      </w:tr>
      <w:tr>
        <w:trPr>
          <w:trHeight w:val="27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 and property taxes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VAT/GST receivable</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4,422</w:t>
            </w:r>
          </w:p>
        </w:tc>
      </w:tr>
      <w:tr>
        <w:trPr>
          <w:trHeight w:val="27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charge</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70"/>
        </w:trPr>
        <w:tc>
          <w:tcPr>
            <w:tcW w:w="6040" w:type="dxa"/>
            <w:vAlign w:val="bottom"/>
          </w:tcPr>
          <w:p>
            <w:pPr>
              <w:ind w:left="20"/>
              <w:spacing w:after="0"/>
              <w:rPr>
                <w:sz w:val="20"/>
                <w:szCs w:val="20"/>
                <w:color w:val="auto"/>
              </w:rPr>
            </w:pPr>
            <w:r>
              <w:rPr>
                <w:rFonts w:ascii="Arial" w:cs="Arial" w:eastAsia="Arial" w:hAnsi="Arial"/>
                <w:sz w:val="18"/>
                <w:szCs w:val="18"/>
                <w:color w:val="auto"/>
              </w:rPr>
              <w:t>Foreign exchange forward contract</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7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7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w:t>
            </w:r>
          </w:p>
        </w:tc>
      </w:tr>
      <w:tr>
        <w:trPr>
          <w:trHeight w:val="248"/>
        </w:trPr>
        <w:tc>
          <w:tcPr>
            <w:tcW w:w="6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 AND OTHER LONG-TERM LIABILITIES</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As of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1100" w:type="dxa"/>
            <w:vAlign w:val="bottom"/>
            <w:gridSpan w:val="2"/>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Incentive compensation</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supply chain restructuring costs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liability-ST</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product field action</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accrual</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sales taxes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and returns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taxes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Distribution fees</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freight</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Restructuring accrual</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liabilities-ST</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Contract settlement</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117,776</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660"/>
              <w:spacing w:after="0"/>
              <w:rPr>
                <w:sz w:val="20"/>
                <w:szCs w:val="20"/>
                <w:color w:val="auto"/>
              </w:rPr>
            </w:pPr>
            <w:r>
              <w:rPr>
                <w:rFonts w:ascii="Arial" w:cs="Arial" w:eastAsia="Arial" w:hAnsi="Arial"/>
                <w:sz w:val="18"/>
                <w:szCs w:val="18"/>
                <w:color w:val="auto"/>
              </w:rPr>
              <w:t>Other long-term liabilities consist of the following (in thousands):</w:t>
            </w: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As of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liabilities-LT</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Finance lease liability-LT</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Contract liabilities</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Accrued rent</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52"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Consists of contracts with customers and suppliers that were valued at below market at the time of the HIS acquisition.</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22"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52" w:lineRule="exact"/>
        <w:rPr>
          <w:sz w:val="20"/>
          <w:szCs w:val="20"/>
          <w:color w:val="auto"/>
        </w:rPr>
      </w:pPr>
    </w:p>
    <w:p>
      <w:pPr>
        <w:ind w:right="20" w:firstLine="180"/>
        <w:spacing w:after="0" w:line="275" w:lineRule="auto"/>
        <w:rPr>
          <w:sz w:val="20"/>
          <w:szCs w:val="20"/>
          <w:color w:val="auto"/>
        </w:rPr>
      </w:pPr>
      <w:r>
        <w:rPr>
          <w:rFonts w:ascii="Arial" w:cs="Arial" w:eastAsia="Arial" w:hAnsi="Arial"/>
          <w:sz w:val="17"/>
          <w:szCs w:val="17"/>
          <w:color w:val="auto"/>
        </w:rPr>
        <w:t>On November 8, 2017, we entered into a five-year Revolving Credit Facility ("Credit Facility") with various lenders for $150 million, with Wells Fargo Bank, N.A. as the administrative agent, swingline lender and issuing lender. During March 2020, as a result of market uncertainty caused by the COVID-19 pandemic, we preemptively borrowed $150.0 million on our Credit Facility as a conservative measure to manage any potential short-term liquidity risk. As of December 31, 2020, we had fully repaid all amounts borrowed. As of December 31, 2020 and 2019, we had no borrowings and $150 million of availability under the Credit Facility. The Credit Facility matures on November 8, 2022.</w:t>
      </w:r>
    </w:p>
    <w:p>
      <w:pPr>
        <w:spacing w:after="0" w:line="203" w:lineRule="exact"/>
        <w:rPr>
          <w:sz w:val="20"/>
          <w:szCs w:val="20"/>
          <w:color w:val="auto"/>
        </w:rPr>
      </w:pPr>
    </w:p>
    <w:p>
      <w:pPr>
        <w:ind w:right="440" w:firstLine="177"/>
        <w:spacing w:after="0" w:line="277" w:lineRule="auto"/>
        <w:rPr>
          <w:sz w:val="20"/>
          <w:szCs w:val="20"/>
          <w:color w:val="auto"/>
        </w:rPr>
      </w:pPr>
      <w:r>
        <w:rPr>
          <w:rFonts w:ascii="Arial" w:cs="Arial" w:eastAsia="Arial" w:hAnsi="Arial"/>
          <w:sz w:val="18"/>
          <w:szCs w:val="18"/>
          <w:color w:val="auto"/>
        </w:rPr>
        <w:t>The Credit Facility has an accordion feature that would enable us to increase the borrowing capacity of the Credit Facility by the greater of (i) $100 million and (ii) 2.00x Total Leverage.</w:t>
      </w:r>
    </w:p>
    <w:p>
      <w:pPr>
        <w:spacing w:after="0" w:line="197" w:lineRule="exact"/>
        <w:rPr>
          <w:sz w:val="20"/>
          <w:szCs w:val="20"/>
          <w:color w:val="auto"/>
        </w:rPr>
      </w:pPr>
    </w:p>
    <w:p>
      <w:pPr>
        <w:ind w:firstLine="180"/>
        <w:spacing w:after="0" w:line="286" w:lineRule="auto"/>
        <w:rPr>
          <w:sz w:val="20"/>
          <w:szCs w:val="20"/>
          <w:color w:val="auto"/>
        </w:rPr>
      </w:pPr>
      <w:r>
        <w:rPr>
          <w:rFonts w:ascii="Arial" w:cs="Arial" w:eastAsia="Arial" w:hAnsi="Arial"/>
          <w:sz w:val="17"/>
          <w:szCs w:val="17"/>
          <w:color w:val="auto"/>
        </w:rPr>
        <w:t>In connection with the Credit Facility, for the year ended December 31, 2017, we incurred $1.4 million in financing costs, which were capitalized and are included in prepaid expenses and other current assets and other assets in our consolidated balance sheets, in accordance with the appropriate short-term or long-term classification. These fees are being amortized to interest expense over the remaining term of the Credit Facility.</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Principal payments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payments, when drawn on the Credit Facility, are made at our discretion with the entire unpaid amount due at maturity.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w:t>
      </w:r>
    </w:p>
    <w:p>
      <w:pPr>
        <w:spacing w:after="0" w:line="252" w:lineRule="exact"/>
        <w:rPr>
          <w:sz w:val="20"/>
          <w:szCs w:val="20"/>
          <w:color w:val="auto"/>
        </w:rPr>
      </w:pPr>
    </w:p>
    <w:p>
      <w:pPr>
        <w:ind w:right="140" w:firstLine="180"/>
        <w:spacing w:after="0" w:line="277" w:lineRule="auto"/>
        <w:rPr>
          <w:sz w:val="20"/>
          <w:szCs w:val="20"/>
          <w:color w:val="auto"/>
        </w:rPr>
      </w:pPr>
      <w:r>
        <w:rPr>
          <w:rFonts w:ascii="Arial" w:cs="Arial" w:eastAsia="Arial" w:hAnsi="Arial"/>
          <w:sz w:val="18"/>
          <w:szCs w:val="18"/>
          <w:color w:val="auto"/>
        </w:rPr>
        <w:t>In general, borrowing under the Credit Facility (other than Swingline loans) bears interest, at our option, based on the Base Rate plus applicable margin or the London Interbank Offered Rate ("LIBOR") rate plus applicable margin, as defined below:</w:t>
      </w:r>
    </w:p>
    <w:p>
      <w:pPr>
        <w:spacing w:after="0" w:line="197" w:lineRule="exact"/>
        <w:rPr>
          <w:sz w:val="20"/>
          <w:szCs w:val="20"/>
          <w:color w:val="auto"/>
        </w:rPr>
      </w:pPr>
    </w:p>
    <w:p>
      <w:pPr>
        <w:ind w:right="160" w:firstLine="188"/>
        <w:spacing w:after="0" w:line="277" w:lineRule="auto"/>
        <w:tabs>
          <w:tab w:leader="none" w:pos="4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 Rate is defined as the highest of: (a) the Prime Rate; (b) the Federal Funds Rate plus 0.50%; and (c) the daily LIBOR (as defined below) for a one month Interest Period plus 1%.</w:t>
      </w:r>
    </w:p>
    <w:p>
      <w:pPr>
        <w:spacing w:after="0" w:line="197" w:lineRule="exact"/>
        <w:rPr>
          <w:rFonts w:ascii="Arial" w:cs="Arial" w:eastAsia="Arial" w:hAnsi="Arial"/>
          <w:sz w:val="18"/>
          <w:szCs w:val="18"/>
          <w:color w:val="auto"/>
        </w:rPr>
      </w:pPr>
    </w:p>
    <w:p>
      <w:pPr>
        <w:ind w:right="140" w:firstLine="188"/>
        <w:spacing w:after="0" w:line="277" w:lineRule="auto"/>
        <w:tabs>
          <w:tab w:leader="none" w:pos="4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LIBOR Rate, as determined by the Administrative Agent, is defined as the rate per annum obtained by dividing (1) LIBOR by (2) 1.00 - Eurodollar Reserve Percentage.</w:t>
      </w:r>
    </w:p>
    <w:p>
      <w:pPr>
        <w:spacing w:after="0" w:line="197" w:lineRule="exact"/>
        <w:rPr>
          <w:sz w:val="20"/>
          <w:szCs w:val="20"/>
          <w:color w:val="auto"/>
        </w:rPr>
      </w:pPr>
    </w:p>
    <w:p>
      <w:pPr>
        <w:ind w:right="260" w:firstLine="180"/>
        <w:spacing w:after="0" w:line="277" w:lineRule="auto"/>
        <w:rPr>
          <w:sz w:val="20"/>
          <w:szCs w:val="20"/>
          <w:color w:val="auto"/>
        </w:rPr>
      </w:pPr>
      <w:r>
        <w:rPr>
          <w:rFonts w:ascii="Arial" w:cs="Arial" w:eastAsia="Arial" w:hAnsi="Arial"/>
          <w:sz w:val="18"/>
          <w:szCs w:val="18"/>
          <w:color w:val="auto"/>
        </w:rPr>
        <w:t>Swingline loans will bear interest at the Base Rate plus the applicable Interest Margin. The Credit Facility has a per annum commitment fee (see table below) that will accrue on the unused amounts of the commitments under the Credit Facility.</w:t>
      </w:r>
    </w:p>
    <w:p>
      <w:pPr>
        <w:spacing w:after="0" w:line="197" w:lineRule="exact"/>
        <w:rPr>
          <w:sz w:val="20"/>
          <w:szCs w:val="20"/>
          <w:color w:val="auto"/>
        </w:rPr>
      </w:pPr>
    </w:p>
    <w:p>
      <w:pPr>
        <w:ind w:right="320" w:firstLine="177"/>
        <w:spacing w:after="0" w:line="277" w:lineRule="auto"/>
        <w:rPr>
          <w:sz w:val="20"/>
          <w:szCs w:val="20"/>
          <w:color w:val="auto"/>
        </w:rPr>
      </w:pPr>
      <w:r>
        <w:rPr>
          <w:rFonts w:ascii="Arial" w:cs="Arial" w:eastAsia="Arial" w:hAnsi="Arial"/>
          <w:sz w:val="18"/>
          <w:szCs w:val="18"/>
          <w:color w:val="auto"/>
        </w:rPr>
        <w:t>The applicable interest margins and the commitment fee with respect to the Credit Facility shall be based on the Total Leverage Ratio pursuant to the following pricing grid:</w:t>
      </w:r>
    </w:p>
    <w:p>
      <w:pPr>
        <w:spacing w:after="0" w:line="5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Level</w:t>
            </w:r>
          </w:p>
        </w:tc>
        <w:tc>
          <w:tcPr>
            <w:tcW w:w="29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Consolidated Total</w:t>
            </w:r>
          </w:p>
        </w:tc>
        <w:tc>
          <w:tcPr>
            <w:tcW w:w="26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Commitment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rPr>
              <w:t>LIBOR</w:t>
            </w:r>
          </w:p>
        </w:tc>
        <w:tc>
          <w:tcPr>
            <w:tcW w:w="1540" w:type="dxa"/>
            <w:vAlign w:val="bottom"/>
          </w:tcPr>
          <w:p>
            <w:pPr>
              <w:jc w:val="center"/>
              <w:ind w:left="690"/>
              <w:spacing w:after="0"/>
              <w:rPr>
                <w:sz w:val="20"/>
                <w:szCs w:val="20"/>
                <w:color w:val="auto"/>
              </w:rPr>
            </w:pPr>
            <w:r>
              <w:rPr>
                <w:rFonts w:ascii="Arial" w:cs="Arial" w:eastAsia="Arial" w:hAnsi="Arial"/>
                <w:sz w:val="18"/>
                <w:szCs w:val="18"/>
                <w:b w:val="1"/>
                <w:bCs w:val="1"/>
                <w:color w:val="auto"/>
                <w:w w:val="87"/>
              </w:rPr>
              <w:t>Base Rate</w:t>
            </w:r>
          </w:p>
        </w:tc>
        <w:tc>
          <w:tcPr>
            <w:tcW w:w="0" w:type="dxa"/>
            <w:vAlign w:val="bottom"/>
          </w:tcPr>
          <w:p>
            <w:pPr>
              <w:spacing w:after="0"/>
              <w:rPr>
                <w:sz w:val="1"/>
                <w:szCs w:val="1"/>
                <w:color w:val="auto"/>
              </w:rPr>
            </w:pPr>
          </w:p>
        </w:tc>
      </w:tr>
      <w:tr>
        <w:trPr>
          <w:trHeight w:val="234"/>
        </w:trPr>
        <w:tc>
          <w:tcPr>
            <w:tcW w:w="1080" w:type="dxa"/>
            <w:vAlign w:val="bottom"/>
            <w:vMerge w:val="continue"/>
          </w:tcPr>
          <w:p>
            <w:pPr>
              <w:spacing w:after="0"/>
              <w:rPr>
                <w:sz w:val="20"/>
                <w:szCs w:val="20"/>
                <w:color w:val="auto"/>
              </w:rPr>
            </w:pPr>
          </w:p>
        </w:tc>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Leverage Ratio</w:t>
            </w:r>
          </w:p>
        </w:tc>
        <w:tc>
          <w:tcPr>
            <w:tcW w:w="2600" w:type="dxa"/>
            <w:vAlign w:val="bottom"/>
          </w:tcPr>
          <w:p>
            <w:pPr>
              <w:jc w:val="center"/>
              <w:ind w:left="90"/>
              <w:spacing w:after="0"/>
              <w:rPr>
                <w:sz w:val="20"/>
                <w:szCs w:val="20"/>
                <w:color w:val="auto"/>
              </w:rPr>
            </w:pPr>
            <w:r>
              <w:rPr>
                <w:rFonts w:ascii="Arial" w:cs="Arial" w:eastAsia="Arial" w:hAnsi="Arial"/>
                <w:sz w:val="18"/>
                <w:szCs w:val="18"/>
                <w:b w:val="1"/>
                <w:bCs w:val="1"/>
                <w:color w:val="auto"/>
                <w:w w:val="83"/>
              </w:rPr>
              <w:t>Fee</w:t>
            </w:r>
          </w:p>
        </w:tc>
        <w:tc>
          <w:tcPr>
            <w:tcW w:w="2060" w:type="dxa"/>
            <w:vAlign w:val="bottom"/>
          </w:tcPr>
          <w:p>
            <w:pPr>
              <w:jc w:val="right"/>
              <w:ind w:right="89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II</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 than 1.00 to 1.00</w:t>
      </w:r>
    </w:p>
    <w:p>
      <w:pPr>
        <w:spacing w:after="0" w:line="23"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Greater than or equal to 1.00 to 1.00 but less than 2.00 to 1.00</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Greater than or equal to 2.00 to 1.00 but less than 2.50 to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Greater than or equal to 2.50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ind w:right="790"/>
              <w:spacing w:after="0"/>
              <w:rPr>
                <w:sz w:val="20"/>
                <w:szCs w:val="20"/>
                <w:color w:val="auto"/>
              </w:rPr>
            </w:pPr>
            <w:r>
              <w:rPr>
                <w:rFonts w:ascii="Arial" w:cs="Arial" w:eastAsia="Arial" w:hAnsi="Arial"/>
                <w:sz w:val="18"/>
                <w:szCs w:val="18"/>
                <w:color w:val="auto"/>
                <w:w w:val="86"/>
              </w:rPr>
              <w:t>0.15%</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1.25%</w:t>
            </w:r>
          </w:p>
        </w:tc>
        <w:tc>
          <w:tcPr>
            <w:tcW w:w="134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10"/>
        </w:trPr>
        <w:tc>
          <w:tcPr>
            <w:tcW w:w="1340" w:type="dxa"/>
            <w:vAlign w:val="bottom"/>
          </w:tcPr>
          <w:p>
            <w:pPr>
              <w:jc w:val="right"/>
              <w:ind w:right="790"/>
              <w:spacing w:after="0"/>
              <w:rPr>
                <w:sz w:val="20"/>
                <w:szCs w:val="20"/>
                <w:color w:val="auto"/>
              </w:rPr>
            </w:pPr>
            <w:r>
              <w:rPr>
                <w:rFonts w:ascii="Arial" w:cs="Arial" w:eastAsia="Arial" w:hAnsi="Arial"/>
                <w:sz w:val="18"/>
                <w:szCs w:val="18"/>
                <w:color w:val="auto"/>
                <w:w w:val="86"/>
              </w:rPr>
              <w:t>0.20%</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1.50%</w:t>
            </w:r>
          </w:p>
        </w:tc>
        <w:tc>
          <w:tcPr>
            <w:tcW w:w="13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05"/>
        </w:trPr>
        <w:tc>
          <w:tcPr>
            <w:tcW w:w="1340" w:type="dxa"/>
            <w:vAlign w:val="bottom"/>
          </w:tcPr>
          <w:p>
            <w:pPr>
              <w:jc w:val="right"/>
              <w:ind w:right="790"/>
              <w:spacing w:after="0"/>
              <w:rPr>
                <w:sz w:val="20"/>
                <w:szCs w:val="20"/>
                <w:color w:val="auto"/>
              </w:rPr>
            </w:pPr>
            <w:r>
              <w:rPr>
                <w:rFonts w:ascii="Arial" w:cs="Arial" w:eastAsia="Arial" w:hAnsi="Arial"/>
                <w:sz w:val="18"/>
                <w:szCs w:val="18"/>
                <w:color w:val="auto"/>
                <w:w w:val="86"/>
              </w:rPr>
              <w:t>0.25%</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1.75%</w:t>
            </w:r>
          </w:p>
        </w:tc>
        <w:tc>
          <w:tcPr>
            <w:tcW w:w="134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1340" w:type="dxa"/>
            <w:vAlign w:val="bottom"/>
          </w:tcPr>
          <w:p>
            <w:pPr>
              <w:jc w:val="right"/>
              <w:ind w:right="790"/>
              <w:spacing w:after="0"/>
              <w:rPr>
                <w:sz w:val="20"/>
                <w:szCs w:val="20"/>
                <w:color w:val="auto"/>
              </w:rPr>
            </w:pPr>
            <w:r>
              <w:rPr>
                <w:rFonts w:ascii="Arial" w:cs="Arial" w:eastAsia="Arial" w:hAnsi="Arial"/>
                <w:sz w:val="18"/>
                <w:szCs w:val="18"/>
                <w:color w:val="auto"/>
                <w:w w:val="86"/>
              </w:rPr>
              <w:t>0.30%</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2.00%</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-401955</wp:posOffset>
            </wp:positionV>
            <wp:extent cx="7132320"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40" w:space="380"/>
            <w:col w:w="3800" w:space="720"/>
            <w:col w:w="5800"/>
          </w:cols>
          <w:pgMar w:left="320" w:top="607" w:right="339" w:bottom="1440" w:gutter="0" w:footer="0" w:header="0"/>
          <w:type w:val="continuous"/>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Guarantors and Collateral</w:t>
      </w:r>
    </w:p>
    <w:p>
      <w:pPr>
        <w:spacing w:after="0" w:line="252" w:lineRule="exact"/>
        <w:rPr>
          <w:sz w:val="20"/>
          <w:szCs w:val="20"/>
          <w:color w:val="auto"/>
        </w:rPr>
      </w:pPr>
    </w:p>
    <w:p>
      <w:pPr>
        <w:ind w:right="260" w:firstLine="180"/>
        <w:spacing w:after="0" w:line="277" w:lineRule="auto"/>
        <w:rPr>
          <w:sz w:val="20"/>
          <w:szCs w:val="20"/>
          <w:color w:val="auto"/>
        </w:rPr>
      </w:pPr>
      <w:r>
        <w:rPr>
          <w:rFonts w:ascii="Arial" w:cs="Arial" w:eastAsia="Arial" w:hAnsi="Arial"/>
          <w:sz w:val="18"/>
          <w:szCs w:val="18"/>
          <w:color w:val="auto"/>
        </w:rPr>
        <w:t>Our obligations under the Credit Facility are unconditionally guaranteed, on a joint and several basis, by ICU Medical, Inc. and certain of our existing subsidiaries. Our obligations are secured by: (i) 100% of the equity interests of our guarantor</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subsidiaries; and (ii) all of the tangible and intangible personal property and assets related to us and our guarantor subsidiaries (including, without limitation, all accounts, equipment, inventory and other goods, all instruments, intellectual property and other general intangibles, deposit accounts, securities accounts and other investment property and cash), and (iii) all products, profits and proceeds of the foregoing. Notwithstanding the foregoing, the collateral shall not include certain excluded property.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right="60" w:firstLine="177"/>
        <w:spacing w:after="0" w:line="296"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88" w:lineRule="exact"/>
        <w:rPr>
          <w:sz w:val="20"/>
          <w:szCs w:val="20"/>
          <w:color w:val="auto"/>
        </w:rPr>
      </w:pPr>
    </w:p>
    <w:p>
      <w:pPr>
        <w:jc w:val="both"/>
        <w:ind w:right="40" w:firstLine="177"/>
        <w:spacing w:after="0" w:line="263"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Consolidated Fixed Charge Coverage Ratio is defined as the ratio of: (a) Consolidated Adjusted EBITDA less the sum of (i) capital expenditures,</w:t>
      </w:r>
    </w:p>
    <w:p>
      <w:pPr>
        <w:spacing w:after="0" w:line="46" w:lineRule="exact"/>
        <w:rPr>
          <w:sz w:val="20"/>
          <w:szCs w:val="20"/>
          <w:color w:val="auto"/>
        </w:rPr>
      </w:pPr>
    </w:p>
    <w:p>
      <w:pPr>
        <w:ind w:right="100" w:firstLine="8"/>
        <w:spacing w:after="0" w:line="255"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were in compliance with all financial covenants as of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from continuing operations before taxes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30,974</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The provision (benefit) for income taxes consisted of the following (in thousands):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6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8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6,032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6,851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w:t>
            </w:r>
          </w:p>
        </w:tc>
        <w:tc>
          <w:tcPr>
            <w:tcW w:w="0" w:type="dxa"/>
            <w:vAlign w:val="bottom"/>
          </w:tcPr>
          <w:p>
            <w:pPr>
              <w:spacing w:after="0"/>
              <w:rPr>
                <w:sz w:val="1"/>
                <w:szCs w:val="1"/>
                <w:color w:val="auto"/>
              </w:rPr>
            </w:pPr>
          </w:p>
        </w:tc>
      </w:tr>
      <w:tr>
        <w:trPr>
          <w:trHeight w:val="223"/>
        </w:trPr>
        <w:tc>
          <w:tcPr>
            <w:tcW w:w="6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0" w:type="dxa"/>
            <w:vAlign w:val="bottom"/>
          </w:tcPr>
          <w:p>
            <w:pPr>
              <w:spacing w:after="0"/>
              <w:rPr>
                <w:sz w:val="1"/>
                <w:szCs w:val="1"/>
                <w:color w:val="auto"/>
              </w:rPr>
            </w:pPr>
          </w:p>
        </w:tc>
      </w:tr>
      <w:tr>
        <w:trPr>
          <w:trHeight w:val="230"/>
        </w:trPr>
        <w:tc>
          <w:tcPr>
            <w:tcW w:w="6900" w:type="dxa"/>
            <w:vAlign w:val="bottom"/>
          </w:tcPr>
          <w:p>
            <w:pPr>
              <w:ind w:left="8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(17,912)</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have accrued for tax contingencies for potential tax assessments, and in 2020 we recognized a $3.2 million net increase, most of which related to various federal, state and foreign tax reserves.</w:t>
      </w: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provision for income taxes at the statutory rate to our effective tax rate is as follows (dollars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6"/>
                <w:szCs w:val="16"/>
                <w:b w:val="1"/>
                <w:bCs w:val="1"/>
                <w:color w:val="auto"/>
                <w:w w:val="91"/>
              </w:rPr>
              <w:t>Year Ended December 31,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1000" w:type="dxa"/>
            <w:vAlign w:val="bottom"/>
            <w:tcBorders>
              <w:bottom w:val="single" w:sz="8" w:color="auto"/>
            </w:tcBorders>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151"/>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151"/>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131"/>
              <w:spacing w:after="0"/>
              <w:rPr>
                <w:sz w:val="20"/>
                <w:szCs w:val="20"/>
                <w:color w:val="auto"/>
              </w:rPr>
            </w:pPr>
            <w:r>
              <w:rPr>
                <w:rFonts w:ascii="Arial" w:cs="Arial" w:eastAsia="Arial" w:hAnsi="Arial"/>
                <w:sz w:val="16"/>
                <w:szCs w:val="16"/>
                <w:b w:val="1"/>
                <w:bCs w:val="1"/>
                <w:color w:val="auto"/>
              </w:rPr>
              <w:t>Percent</w:t>
            </w:r>
          </w:p>
        </w:tc>
      </w:tr>
      <w:tr>
        <w:trPr>
          <w:trHeight w:val="22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at the expected statutory rate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24,088</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State income tax, net of federal effect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Global intangible low-taxed income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10.6 %</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income tax differential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(8,446)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the Tax Act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IP installment sale and repatriation</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14.5 %</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Section 162(m)</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3"/>
        </w:trPr>
        <w:tc>
          <w:tcPr>
            <w:tcW w:w="37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1"/>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Tax credits in 2020, 2019 and 2018 consist principally of research and developmental tax credits.</w:t>
      </w:r>
    </w:p>
    <w:p>
      <w:pPr>
        <w:spacing w:after="0" w:line="252" w:lineRule="exact"/>
        <w:rPr>
          <w:sz w:val="20"/>
          <w:szCs w:val="20"/>
          <w:color w:val="auto"/>
        </w:rPr>
      </w:pPr>
    </w:p>
    <w:p>
      <w:pPr>
        <w:ind w:left="20" w:right="580" w:firstLine="180"/>
        <w:spacing w:after="0" w:line="277" w:lineRule="auto"/>
        <w:rPr>
          <w:sz w:val="20"/>
          <w:szCs w:val="20"/>
          <w:color w:val="auto"/>
        </w:rPr>
      </w:pPr>
      <w:r>
        <w:rPr>
          <w:rFonts w:ascii="Arial" w:cs="Arial" w:eastAsia="Arial" w:hAnsi="Arial"/>
          <w:sz w:val="18"/>
          <w:szCs w:val="18"/>
          <w:color w:val="auto"/>
        </w:rPr>
        <w:t>Certain intellectual property and assets were repatriated in 2019 from a liquidation of foreign subsidiaries to the U.S. parent. The tax effect of the repatriation is included as IP installment sale and repatriation.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components of our deferred income tax assets (liabilities)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212"/>
        </w:trPr>
        <w:tc>
          <w:tcPr>
            <w:tcW w:w="20" w:type="dxa"/>
            <w:vAlign w:val="bottom"/>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560"/>
              <w:spacing w:after="0"/>
              <w:rPr>
                <w:sz w:val="20"/>
                <w:szCs w:val="20"/>
                <w:color w:val="auto"/>
              </w:rPr>
            </w:pPr>
            <w:r>
              <w:rPr>
                <w:rFonts w:ascii="Arial" w:cs="Arial" w:eastAsia="Arial" w:hAnsi="Arial"/>
                <w:sz w:val="18"/>
                <w:szCs w:val="18"/>
                <w:color w:val="auto"/>
              </w:rPr>
              <w:t>Accruals/other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2,632</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Acquired future tax deductions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w:t>
            </w:r>
          </w:p>
        </w:tc>
      </w:tr>
      <w:tr>
        <w:trPr>
          <w:trHeight w:val="229"/>
        </w:trPr>
        <w:tc>
          <w:tcPr>
            <w:tcW w:w="20" w:type="dxa"/>
            <w:vAlign w:val="bottom"/>
          </w:tcPr>
          <w:p>
            <w:pPr>
              <w:spacing w:after="0"/>
              <w:rPr>
                <w:sz w:val="19"/>
                <w:szCs w:val="19"/>
                <w:color w:val="auto"/>
              </w:rPr>
            </w:pPr>
          </w:p>
        </w:tc>
        <w:tc>
          <w:tcPr>
            <w:tcW w:w="8380" w:type="dxa"/>
            <w:vAlign w:val="bottom"/>
          </w:tcPr>
          <w:p>
            <w:pPr>
              <w:ind w:left="56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9,654</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30"/>
        </w:trPr>
        <w:tc>
          <w:tcPr>
            <w:tcW w:w="20" w:type="dxa"/>
            <w:vAlign w:val="bottom"/>
          </w:tcPr>
          <w:p>
            <w:pPr>
              <w:spacing w:after="0"/>
              <w:rPr>
                <w:sz w:val="19"/>
                <w:szCs w:val="19"/>
                <w:color w:val="auto"/>
              </w:rPr>
            </w:pPr>
          </w:p>
        </w:tc>
        <w:tc>
          <w:tcPr>
            <w:tcW w:w="8380" w:type="dxa"/>
            <w:vAlign w:val="bottom"/>
          </w:tcPr>
          <w:p>
            <w:pPr>
              <w:ind w:left="560"/>
              <w:spacing w:after="0"/>
              <w:rPr>
                <w:sz w:val="20"/>
                <w:szCs w:val="20"/>
                <w:color w:val="auto"/>
              </w:rPr>
            </w:pPr>
            <w:r>
              <w:rPr>
                <w:rFonts w:ascii="Arial" w:cs="Arial" w:eastAsia="Arial" w:hAnsi="Arial"/>
                <w:sz w:val="18"/>
                <w:szCs w:val="18"/>
                <w:color w:val="auto"/>
              </w:rPr>
              <w:t>Tax credits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11,331</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Inventory reserves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r>
      <w:tr>
        <w:trPr>
          <w:trHeight w:val="229"/>
        </w:trPr>
        <w:tc>
          <w:tcPr>
            <w:tcW w:w="20" w:type="dxa"/>
            <w:vAlign w:val="bottom"/>
          </w:tcPr>
          <w:p>
            <w:pPr>
              <w:spacing w:after="0"/>
              <w:rPr>
                <w:sz w:val="19"/>
                <w:szCs w:val="19"/>
                <w:color w:val="auto"/>
              </w:rPr>
            </w:pPr>
          </w:p>
        </w:tc>
        <w:tc>
          <w:tcPr>
            <w:tcW w:w="8380" w:type="dxa"/>
            <w:vAlign w:val="bottom"/>
          </w:tcPr>
          <w:p>
            <w:pPr>
              <w:ind w:left="56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Accrued restructuring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r>
      <w:tr>
        <w:trPr>
          <w:trHeight w:val="230"/>
        </w:trPr>
        <w:tc>
          <w:tcPr>
            <w:tcW w:w="20" w:type="dxa"/>
            <w:vAlign w:val="bottom"/>
          </w:tcPr>
          <w:p>
            <w:pPr>
              <w:spacing w:after="0"/>
              <w:rPr>
                <w:sz w:val="19"/>
                <w:szCs w:val="19"/>
                <w:color w:val="auto"/>
              </w:rPr>
            </w:pPr>
          </w:p>
        </w:tc>
        <w:tc>
          <w:tcPr>
            <w:tcW w:w="8380" w:type="dxa"/>
            <w:vAlign w:val="bottom"/>
          </w:tcPr>
          <w:p>
            <w:pPr>
              <w:ind w:left="560"/>
              <w:spacing w:after="0"/>
              <w:rPr>
                <w:sz w:val="20"/>
                <w:szCs w:val="20"/>
                <w:color w:val="auto"/>
              </w:rPr>
            </w:pPr>
            <w:r>
              <w:rPr>
                <w:rFonts w:ascii="Arial" w:cs="Arial" w:eastAsia="Arial" w:hAnsi="Arial"/>
                <w:sz w:val="18"/>
                <w:szCs w:val="18"/>
                <w:color w:val="auto"/>
              </w:rPr>
              <w:t>Chargebacks, discounts, customer concessions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20,975</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67,961</w:t>
            </w:r>
          </w:p>
        </w:tc>
      </w:tr>
      <w:tr>
        <w:trPr>
          <w:trHeight w:val="20"/>
        </w:trPr>
        <w:tc>
          <w:tcPr>
            <w:tcW w:w="20" w:type="dxa"/>
            <w:vAlign w:val="bottom"/>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560"/>
              <w:spacing w:after="0"/>
              <w:rPr>
                <w:sz w:val="20"/>
                <w:szCs w:val="20"/>
                <w:color w:val="auto"/>
              </w:rPr>
            </w:pPr>
            <w:r>
              <w:rPr>
                <w:rFonts w:ascii="Arial" w:cs="Arial" w:eastAsia="Arial" w:hAnsi="Arial"/>
                <w:sz w:val="18"/>
                <w:szCs w:val="18"/>
                <w:color w:val="auto"/>
              </w:rPr>
              <w:t>State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30"/>
        </w:trPr>
        <w:tc>
          <w:tcPr>
            <w:tcW w:w="20" w:type="dxa"/>
            <w:vAlign w:val="bottom"/>
          </w:tcPr>
          <w:p>
            <w:pPr>
              <w:spacing w:after="0"/>
              <w:rPr>
                <w:sz w:val="19"/>
                <w:szCs w:val="19"/>
                <w:color w:val="auto"/>
              </w:rPr>
            </w:pPr>
          </w:p>
        </w:tc>
        <w:tc>
          <w:tcPr>
            <w:tcW w:w="838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23,839</w:t>
            </w:r>
          </w:p>
        </w:tc>
      </w:tr>
      <w:tr>
        <w:trPr>
          <w:trHeight w:val="229"/>
        </w:trPr>
        <w:tc>
          <w:tcPr>
            <w:tcW w:w="20" w:type="dxa"/>
            <w:vAlign w:val="bottom"/>
          </w:tcPr>
          <w:p>
            <w:pPr>
              <w:spacing w:after="0"/>
              <w:rPr>
                <w:sz w:val="19"/>
                <w:szCs w:val="19"/>
                <w:color w:val="auto"/>
              </w:rPr>
            </w:pPr>
          </w:p>
        </w:tc>
        <w:tc>
          <w:tcPr>
            <w:tcW w:w="8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Section 481(a) adjustment - change in accounting method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14,618</w:t>
            </w:r>
          </w:p>
        </w:tc>
      </w:tr>
      <w:tr>
        <w:trPr>
          <w:trHeight w:val="277"/>
        </w:trPr>
        <w:tc>
          <w:tcPr>
            <w:tcW w:w="20" w:type="dxa"/>
            <w:vAlign w:val="bottom"/>
          </w:tcPr>
          <w:p>
            <w:pPr>
              <w:spacing w:after="0"/>
              <w:rPr>
                <w:sz w:val="24"/>
                <w:szCs w:val="24"/>
                <w:color w:val="auto"/>
              </w:rPr>
            </w:pPr>
          </w:p>
        </w:tc>
        <w:tc>
          <w:tcPr>
            <w:tcW w:w="83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42,054</w:t>
            </w: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Deferred tax asset,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25,907</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0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00" w:top="607" w:right="35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Holidays and Carryforwards</w:t>
      </w:r>
    </w:p>
    <w:p>
      <w:pPr>
        <w:spacing w:after="0" w:line="252" w:lineRule="exact"/>
        <w:rPr>
          <w:sz w:val="20"/>
          <w:szCs w:val="20"/>
          <w:color w:val="auto"/>
        </w:rPr>
      </w:pPr>
    </w:p>
    <w:p>
      <w:pPr>
        <w:ind w:right="360" w:firstLine="180"/>
        <w:spacing w:after="0" w:line="257" w:lineRule="auto"/>
        <w:rPr>
          <w:sz w:val="20"/>
          <w:szCs w:val="20"/>
          <w:color w:val="auto"/>
        </w:rPr>
      </w:pPr>
      <w:r>
        <w:rPr>
          <w:rFonts w:ascii="Arial" w:cs="Arial" w:eastAsia="Arial" w:hAnsi="Arial"/>
          <w:sz w:val="18"/>
          <w:szCs w:val="18"/>
          <w:color w:val="auto"/>
        </w:rPr>
        <w:t>Net operating loss ("NOL") carryforwards consist of: (a) federal NOL carryforwards of $7.0 million which will expire at various dates from 2023 to indefinite carryforward periods, (b) state NOL carryforwards of $6.1 million which will expire at various dates from 2026 to indefinite carryforward periods and (c) foreign NOL carryforwards of $19.7 million which will expire at various dates from 2021 to indefinite carryforward periods. Under Section 382 of the Internal Revenue Code, certain ownership changes limit the utilization of the NOL carryforwards, and the amount of federal NOL carryforwards recorded is the net federal benefit available.</w:t>
      </w:r>
    </w:p>
    <w:p>
      <w:pPr>
        <w:spacing w:after="0" w:line="215" w:lineRule="exact"/>
        <w:rPr>
          <w:sz w:val="20"/>
          <w:szCs w:val="20"/>
          <w:color w:val="auto"/>
        </w:rPr>
      </w:pPr>
    </w:p>
    <w:p>
      <w:pPr>
        <w:ind w:right="160" w:firstLine="180"/>
        <w:spacing w:after="0" w:line="277" w:lineRule="auto"/>
        <w:rPr>
          <w:sz w:val="20"/>
          <w:szCs w:val="20"/>
          <w:color w:val="auto"/>
        </w:rPr>
      </w:pPr>
      <w:r>
        <w:rPr>
          <w:rFonts w:ascii="Arial" w:cs="Arial" w:eastAsia="Arial" w:hAnsi="Arial"/>
          <w:sz w:val="18"/>
          <w:szCs w:val="18"/>
          <w:color w:val="auto"/>
        </w:rPr>
        <w:t>Other carryforwards include state research and development (“R&amp;D”) tax credit carryforwards of $16.7 million, which have an indefinite carryforward period.</w:t>
      </w:r>
    </w:p>
    <w:p>
      <w:pPr>
        <w:spacing w:after="0" w:line="197" w:lineRule="exact"/>
        <w:rPr>
          <w:sz w:val="20"/>
          <w:szCs w:val="20"/>
          <w:color w:val="auto"/>
        </w:rPr>
      </w:pPr>
    </w:p>
    <w:p>
      <w:pPr>
        <w:ind w:right="40" w:firstLine="170"/>
        <w:spacing w:after="0" w:line="311" w:lineRule="auto"/>
        <w:rPr>
          <w:sz w:val="20"/>
          <w:szCs w:val="20"/>
          <w:color w:val="auto"/>
        </w:rPr>
      </w:pPr>
      <w:r>
        <w:rPr>
          <w:rFonts w:ascii="Arial" w:cs="Arial" w:eastAsia="Arial" w:hAnsi="Arial"/>
          <w:sz w:val="16"/>
          <w:szCs w:val="16"/>
          <w:color w:val="auto"/>
        </w:rPr>
        <w:t>A substantial portion of our manufacturing operations in Costa Rica operate under various tax holiday and tax incentive programs due to expire in whole or in part in 2027. Certain of the holidays may be extended if specific conditions are met. The net impact of these tax holiday and tax incentives was an increase to our net earnings by $8.0 million or $0.37 per diluted share in 2020 and by $7.8 million or $0.36 per diluted share in 2019.</w:t>
      </w:r>
    </w:p>
    <w:p>
      <w:pPr>
        <w:spacing w:after="0" w:line="17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Foreign currency translation adjustments, and related tax effects, are an element of “other comprehensive income” and are not included in net income other than the revaluation of the associated deferred tax asset due to the Tax Act.</w:t>
      </w:r>
    </w:p>
    <w:p>
      <w:pPr>
        <w:spacing w:after="0" w:line="170" w:lineRule="exact"/>
        <w:rPr>
          <w:sz w:val="20"/>
          <w:szCs w:val="20"/>
          <w:color w:val="auto"/>
        </w:rPr>
      </w:pPr>
    </w:p>
    <w:p>
      <w:pPr>
        <w:ind w:right="120" w:firstLine="170"/>
        <w:spacing w:after="0" w:line="279" w:lineRule="auto"/>
        <w:rPr>
          <w:sz w:val="20"/>
          <w:szCs w:val="20"/>
          <w:color w:val="auto"/>
        </w:rPr>
      </w:pPr>
      <w:r>
        <w:rPr>
          <w:rFonts w:ascii="Arial" w:cs="Arial" w:eastAsia="Arial" w:hAnsi="Arial"/>
          <w:sz w:val="17"/>
          <w:szCs w:val="17"/>
          <w:color w:val="auto"/>
        </w:rPr>
        <w:t>As of December 31, 2020, we have estimated $97.8 million of undistributed foreign earnings and profits. Such earnings were previously subject to U.S. tax as a result of the Tax Act and much of any future remittances would generally be subject to no U.S. tax as a result of dividends received deductions and/or foreign tax credit relief. We intend to invest substantially all of our foreign subsidiary earnings, as well as our capital in our foreign subsidiaries, indefinitely outside of the U.S. in those jurisdictions in which we incur significant additional costs upon repatriation of such amounts.</w:t>
      </w:r>
    </w:p>
    <w:p>
      <w:pPr>
        <w:spacing w:after="0" w:line="198"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are subject to taxation in the United States and various states and foreign jurisdictions. Our United States federal income tax returns for tax years 2017 and forward are subject to examination by the Internal Revenue Service. Our principal state income tax returns for tax years 2012 and forward are subject to examination by the state tax authorities. The total gross amount of unrecognized tax benefits as of December 31, 2020 was $18.4 million which, if recognized, would impact the effective tax rate. We believe that adequate provision has been made for any adjustments that may result from tax examinations. However, the outcome of tax examinations cannot be predicted with certainty. As of December 31, 2020, it is not possible to estimate the amount of change, if any, in the unrecognized tax benefits that is reasonably possible within the next twelve months. We recognize accrued interest and penalties related to unrecognized tax benefits as a component of income tax expense. We have not accrued any penalties or interest as of December 31, 2020 or December 31,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cumulative gross unrecognized tax benefits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Increases to prior year tax positions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to current year tax positions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Decreases to prior year tax positions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lapse of statute of limitations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10,824</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GEOGRAPHIC INFORMATION AND SIGNIFICANT CUSTOMERS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sell products worldwide, on credit terms on an unsecured basis, as an OEM supplier, to independent medical supply distributors and directly to the end customer. The manufacturers and distributors, in turn, sell our products to healthcare providers. We do not currently derive a significant portion of our revenues from any one customer.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our gross long-lived assets, consisting of property, plant and equipment, by country or region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Costa 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96,442</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69,141</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LATAM</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31,905</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Spain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6,411</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Europe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17,200</w:t>
            </w: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Foreign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236,924</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539,316</w:t>
            </w:r>
          </w:p>
        </w:tc>
      </w:tr>
      <w:tr>
        <w:trPr>
          <w:trHeight w:val="248"/>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Worldwide 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776,240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52" w:lineRule="exact"/>
        <w:rPr>
          <w:sz w:val="20"/>
          <w:szCs w:val="20"/>
          <w:color w:val="auto"/>
        </w:rPr>
      </w:pPr>
    </w:p>
    <w:p>
      <w:pPr>
        <w:ind w:right="180" w:firstLine="180"/>
        <w:spacing w:after="0" w:line="259" w:lineRule="auto"/>
        <w:rPr>
          <w:sz w:val="20"/>
          <w:szCs w:val="20"/>
          <w:color w:val="auto"/>
        </w:rPr>
      </w:pPr>
      <w:r>
        <w:rPr>
          <w:rFonts w:ascii="Arial" w:cs="Arial" w:eastAsia="Arial" w:hAnsi="Arial"/>
          <w:sz w:val="18"/>
          <w:szCs w:val="18"/>
          <w:color w:val="auto"/>
        </w:rPr>
        <w:t>In August 2019, our Board of Directors approved a common stock purchase plan to purchase up to $100.0 million of our common stock. This plan has no expiration date. We have $100.0 million remaining on this purchase plan. We did not purchase any of our common stock under our common stock purchase plan in 2020, 2019 or 2018. We are currently limited on share purchases in accordance with the terms and conditions of our Credit Facility, (see Note 11, Long-Term Obligations).</w:t>
      </w:r>
    </w:p>
    <w:p>
      <w:pPr>
        <w:spacing w:after="0" w:line="214" w:lineRule="exact"/>
        <w:rPr>
          <w:sz w:val="20"/>
          <w:szCs w:val="20"/>
          <w:color w:val="auto"/>
        </w:rPr>
      </w:pPr>
    </w:p>
    <w:p>
      <w:pPr>
        <w:ind w:right="60" w:firstLine="180"/>
        <w:spacing w:after="0" w:line="308" w:lineRule="auto"/>
        <w:rPr>
          <w:sz w:val="20"/>
          <w:szCs w:val="20"/>
          <w:color w:val="auto"/>
        </w:rPr>
      </w:pPr>
      <w:r>
        <w:rPr>
          <w:rFonts w:ascii="Arial" w:cs="Arial" w:eastAsia="Arial" w:hAnsi="Arial"/>
          <w:sz w:val="17"/>
          <w:szCs w:val="17"/>
          <w:color w:val="auto"/>
        </w:rPr>
        <w:t>In 2020, we withheld 67,041 shares of our common stock from employee vested restricted stock units in consideration for $12.9 million in payments for the employee's share award income tax withholding obligations. We had 209 shares remaining in treasury at December 31, 2020.</w:t>
      </w:r>
    </w:p>
    <w:p>
      <w:pPr>
        <w:spacing w:after="0" w:line="173"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In 2019, we withheld 80,186 shares of our common stock from employee vested restricted stock units in consideration for $18.6 million in payments for the employee's share award income tax withholding obligations. We have 850 shares remaining in treasury at December 31, 2019.</w:t>
      </w:r>
    </w:p>
    <w:p>
      <w:pPr>
        <w:spacing w:after="0" w:line="151"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In 2018, we withheld 26,307 shares of our common stock from employee vested restricted stock units in consideration for $6.3 million in payments for the employee's share award income tax withholding obligations. We had 408 shares remaining in treasury at December 31, 2018.</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treasury stock to issue shares for stock option exercises and restricted stock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Income ("AOCI")</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components of AOCI, net of tax, were as follows (in thousands):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68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Gains on Cash Flow</w:t>
            </w:r>
          </w:p>
        </w:tc>
        <w:tc>
          <w:tcPr>
            <w:tcW w:w="100" w:type="dxa"/>
            <w:vAlign w:val="bottom"/>
          </w:tcPr>
          <w:p>
            <w:pPr>
              <w:spacing w:after="0"/>
              <w:rPr>
                <w:sz w:val="14"/>
                <w:szCs w:val="1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 Adjustments</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Hedges</w:t>
            </w: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w w:val="96"/>
              </w:rPr>
              <w:t>Other comprehensive (loss) income before reclassifications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14,481</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52"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ind w:right="60" w:firstLine="180"/>
        <w:spacing w:after="0" w:line="255" w:lineRule="auto"/>
        <w:rPr>
          <w:sz w:val="20"/>
          <w:szCs w:val="20"/>
          <w:color w:val="auto"/>
        </w:rPr>
      </w:pPr>
      <w:r>
        <w:rPr>
          <w:rFonts w:ascii="Arial" w:cs="Arial" w:eastAsia="Arial" w:hAnsi="Arial"/>
          <w:sz w:val="18"/>
          <w:szCs w:val="18"/>
          <w:color w:val="auto"/>
        </w:rPr>
        <w:t>We had a contractual earn-out arrangement in connection with our 2017 acquisition of HIS, which as of December 31, 2019 we determined did not meet the necessary performance targets that would require payout of any of the HIS earn-out liability. Pfizer was entitled to receive between $191.3 million and $225.0 million in additional cash consideration based on the achievement of certain performance targets for the combined company for the three years ending December 31, 2019. As of the date of this filing, Pfizer has disputed our determination that the performance targets requiring payout of the HIS earn-out liability were not met. We expect the dispute will be resolved by binding arbitration unless both parties are able to come to an agreement on this issue (see Note 8, Fair Value Measurements).</w:t>
      </w:r>
    </w:p>
    <w:p>
      <w:pPr>
        <w:spacing w:after="0" w:line="219" w:lineRule="exact"/>
        <w:rPr>
          <w:sz w:val="20"/>
          <w:szCs w:val="20"/>
          <w:color w:val="auto"/>
        </w:rPr>
      </w:pPr>
    </w:p>
    <w:p>
      <w:pPr>
        <w:ind w:right="120" w:firstLine="180"/>
        <w:spacing w:after="0" w:line="308" w:lineRule="auto"/>
        <w:rPr>
          <w:sz w:val="20"/>
          <w:szCs w:val="20"/>
          <w:color w:val="auto"/>
        </w:rPr>
      </w:pPr>
      <w:r>
        <w:rPr>
          <w:rFonts w:ascii="Arial" w:cs="Arial" w:eastAsia="Arial" w:hAnsi="Arial"/>
          <w:sz w:val="17"/>
          <w:szCs w:val="17"/>
          <w:color w:val="auto"/>
        </w:rPr>
        <w:t>During November 2019, we acquired Pursuit (see Note 2, Acquisitions). Total consideration for the acquisition includes a potential contractual earn-out of up to $50.0 million calculated based upon the achievement of certain performance targets during the earn-out period.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COLLABORATIVE AND OTHER ARRANGEMENTS</w:t>
      </w:r>
    </w:p>
    <w:p>
      <w:pPr>
        <w:spacing w:after="0" w:line="229" w:lineRule="exact"/>
        <w:rPr>
          <w:sz w:val="20"/>
          <w:szCs w:val="20"/>
          <w:color w:val="auto"/>
        </w:rPr>
      </w:pPr>
    </w:p>
    <w:p>
      <w:pPr>
        <w:ind w:firstLine="180"/>
        <w:spacing w:after="0" w:line="296" w:lineRule="auto"/>
        <w:rPr>
          <w:sz w:val="20"/>
          <w:szCs w:val="20"/>
          <w:color w:val="auto"/>
        </w:rPr>
      </w:pPr>
      <w:r>
        <w:rPr>
          <w:rFonts w:ascii="Arial" w:cs="Arial" w:eastAsia="Arial" w:hAnsi="Arial"/>
          <w:sz w:val="16"/>
          <w:szCs w:val="16"/>
          <w:color w:val="auto"/>
        </w:rPr>
        <w:t>On February 3, 2017, we entered into two manufacturing and supply agreements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Related-party revenue for goods manufactured for Pfizer under our Manufacturing and Supply Agreements with Pfizer was $78.2 million during 2018, and the cost of product manufactured by Pfizer for us under those agreements was $81.0 million during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QUARTERLY FINANCIAL DATA -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Mar. 31</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Jun. 30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Sept. 30</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Dec. 31</w:t>
            </w:r>
          </w:p>
        </w:tc>
      </w:tr>
      <w:tr>
        <w:trPr>
          <w:trHeight w:val="226"/>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jc w:val="right"/>
              <w:ind w:right="51"/>
              <w:spacing w:after="0"/>
              <w:rPr>
                <w:sz w:val="20"/>
                <w:szCs w:val="20"/>
                <w:color w:val="auto"/>
              </w:rPr>
            </w:pPr>
            <w:r>
              <w:rPr>
                <w:rFonts w:ascii="Arial" w:cs="Arial" w:eastAsia="Arial" w:hAnsi="Arial"/>
                <w:sz w:val="18"/>
                <w:szCs w:val="18"/>
                <w:color w:val="auto"/>
                <w:w w:val="87"/>
              </w:rPr>
              <w:t>(in thousands except per share data)</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9"/>
        </w:trPr>
        <w:tc>
          <w:tcPr>
            <w:tcW w:w="544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328,607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303,379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318,567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320,451</w:t>
            </w:r>
          </w:p>
        </w:tc>
      </w:tr>
      <w:tr>
        <w:trPr>
          <w:trHeight w:val="230"/>
        </w:trPr>
        <w:tc>
          <w:tcPr>
            <w:tcW w:w="20" w:type="dxa"/>
            <w:vAlign w:val="bottom"/>
          </w:tcPr>
          <w:p>
            <w:pPr>
              <w:spacing w:after="0"/>
              <w:rPr>
                <w:sz w:val="19"/>
                <w:szCs w:val="19"/>
                <w:color w:val="auto"/>
              </w:rPr>
            </w:pP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121,415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106,284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113,924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119,874</w:t>
            </w: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18,908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24,986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26,142</w:t>
            </w:r>
          </w:p>
        </w:tc>
      </w:tr>
      <w:tr>
        <w:trPr>
          <w:trHeight w:val="229"/>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20" w:type="dxa"/>
            <w:vAlign w:val="bottom"/>
          </w:tcPr>
          <w:p>
            <w:pPr>
              <w:spacing w:after="0"/>
              <w:rPr>
                <w:sz w:val="19"/>
                <w:szCs w:val="19"/>
                <w:color w:val="auto"/>
              </w:rPr>
            </w:pP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0.88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189"/>
        </w:trPr>
        <w:tc>
          <w:tcPr>
            <w:tcW w:w="20" w:type="dxa"/>
            <w:vAlign w:val="bottom"/>
            <w:shd w:val="clear" w:color="auto" w:fill="CCEEFF"/>
          </w:tcPr>
          <w:p>
            <w:pPr>
              <w:spacing w:after="0"/>
              <w:rPr>
                <w:sz w:val="16"/>
                <w:szCs w:val="16"/>
                <w:color w:val="auto"/>
              </w:rPr>
            </w:pPr>
          </w:p>
        </w:tc>
        <w:tc>
          <w:tcPr>
            <w:tcW w:w="5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2019</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330,932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312,282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307,471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315,523</w:t>
            </w: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135,303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103,869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118,552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114,140</w:t>
            </w:r>
          </w:p>
        </w:tc>
      </w:tr>
      <w:tr>
        <w:trPr>
          <w:trHeight w:val="230"/>
        </w:trPr>
        <w:tc>
          <w:tcPr>
            <w:tcW w:w="20" w:type="dxa"/>
            <w:vAlign w:val="bottom"/>
          </w:tcPr>
          <w:p>
            <w:pPr>
              <w:spacing w:after="0"/>
              <w:rPr>
                <w:sz w:val="19"/>
                <w:szCs w:val="19"/>
                <w:color w:val="auto"/>
              </w:rPr>
            </w:pP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30,998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22,833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26,563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20,641</w:t>
            </w:r>
          </w:p>
        </w:tc>
      </w:tr>
      <w:tr>
        <w:trPr>
          <w:trHeight w:val="22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Regulations 13a-15(e) and 15(d)-15(e) under the Securities Exchange Act of 1934)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Securities Exchange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ind w:right="80" w:firstLine="177"/>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of the Company is responsible for establishing and maintaining adequate internal control over the Company’s financial reporting.</w:t>
      </w:r>
    </w:p>
    <w:p>
      <w:pPr>
        <w:spacing w:after="0" w:line="2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Management has used the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to evaluate the effectiveness of its internal control over financial reporting.</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Based on this criteria, management of the Company has concluded that the Company has maintained effective internal control over its financial reporting as of December 31, 2020.</w:t>
      </w:r>
    </w:p>
    <w:p>
      <w:pPr>
        <w:spacing w:after="0" w:line="197" w:lineRule="exact"/>
        <w:rPr>
          <w:sz w:val="20"/>
          <w:szCs w:val="20"/>
          <w:color w:val="auto"/>
        </w:rPr>
      </w:pPr>
    </w:p>
    <w:p>
      <w:pPr>
        <w:ind w:right="20" w:firstLine="180"/>
        <w:spacing w:after="0" w:line="277" w:lineRule="auto"/>
        <w:rPr>
          <w:sz w:val="20"/>
          <w:szCs w:val="20"/>
          <w:color w:val="auto"/>
        </w:rPr>
      </w:pPr>
      <w:r>
        <w:rPr>
          <w:rFonts w:ascii="Arial" w:cs="Arial" w:eastAsia="Arial" w:hAnsi="Arial"/>
          <w:sz w:val="18"/>
          <w:szCs w:val="18"/>
          <w:color w:val="auto"/>
        </w:rPr>
        <w:t>Our independent registered public accounting firm that audited the December 31, 2020 financial statements included in this Annual Report on Form 10-K has independently assessed the effectiveness of our internal control over financial reporting and its report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ICU Medical,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ICU Medical, Inc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9"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February 26, 2021, expressed an unqualified opinion on those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The information required by this Item 10 of Form 10-K is set forth under the captions </w:t>
      </w:r>
      <w:r>
        <w:rPr>
          <w:rFonts w:ascii="Arial" w:cs="Arial" w:eastAsia="Arial" w:hAnsi="Arial"/>
          <w:sz w:val="18"/>
          <w:szCs w:val="18"/>
          <w:i w:val="1"/>
          <w:iCs w:val="1"/>
          <w:color w:val="auto"/>
        </w:rPr>
        <w:t>Executive Officers, Election of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and </w:t>
      </w:r>
      <w:r>
        <w:rPr>
          <w:rFonts w:ascii="Arial" w:cs="Arial" w:eastAsia="Arial" w:hAnsi="Arial"/>
          <w:sz w:val="18"/>
          <w:szCs w:val="18"/>
          <w:i w:val="1"/>
          <w:iCs w:val="1"/>
          <w:color w:val="auto"/>
        </w:rPr>
        <w:t>Compliance with Section 16(a) Beneficial Ownership Reporting Compliance</w:t>
      </w:r>
      <w:r>
        <w:rPr>
          <w:rFonts w:ascii="Arial" w:cs="Arial" w:eastAsia="Arial" w:hAnsi="Arial"/>
          <w:sz w:val="18"/>
          <w:szCs w:val="18"/>
          <w:color w:val="auto"/>
        </w:rPr>
        <w:t xml:space="preserve"> in our definitive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Proxy Statement to be filed in connection with our 2021 Annual Meeting of Stockholders, and such information is incorporated herein by reference.</w:t>
      </w:r>
    </w:p>
    <w:p>
      <w:pPr>
        <w:spacing w:after="0" w:line="222"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have a Code of Business Conduct and Ethics for Directors and Officers. A copy is available on our website, www.icumed.com. We will disclose any future amendments to, or waivers from, the Code of Business Conduct and Ethics for Directors and Officers on our website.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The information required by this Item 11 of Form 10-K is set forth under the caption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Compensation Committee Interlocks and Insider Participation </w:t>
      </w:r>
      <w:r>
        <w:rPr>
          <w:rFonts w:ascii="Arial" w:cs="Arial" w:eastAsia="Arial" w:hAnsi="Arial"/>
          <w:sz w:val="18"/>
          <w:szCs w:val="18"/>
          <w:color w:val="auto"/>
        </w:rPr>
        <w:t>in our definitive Proxy Statement to be filed in connection with our 2021</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and such information is incorporated herein by reference.</w:t>
      </w:r>
    </w:p>
    <w:p>
      <w:pPr>
        <w:spacing w:after="0" w:line="18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by this Item 12 of Form 10-K is set forth under the caption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 Information </w:t>
      </w:r>
      <w:r>
        <w:rPr>
          <w:rFonts w:ascii="Arial" w:cs="Arial" w:eastAsia="Arial" w:hAnsi="Arial"/>
          <w:sz w:val="18"/>
          <w:szCs w:val="18"/>
          <w:color w:val="auto"/>
        </w:rPr>
        <w:t>in our definitive Proxy Statement to be filed in connection with our 2021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such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 xml:space="preserve">The information required by this Item 13 of Form 10-K is set forth under the caption </w:t>
      </w:r>
      <w:r>
        <w:rPr>
          <w:rFonts w:ascii="Arial" w:cs="Arial" w:eastAsia="Arial" w:hAnsi="Arial"/>
          <w:sz w:val="18"/>
          <w:szCs w:val="18"/>
          <w:i w:val="1"/>
          <w:iCs w:val="1"/>
          <w:color w:val="auto"/>
        </w:rPr>
        <w:t>Transactions with Related Persons</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Procedures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Regarding Transactions with Related Persons </w:t>
      </w:r>
      <w:r>
        <w:rPr>
          <w:rFonts w:ascii="Arial" w:cs="Arial" w:eastAsia="Arial" w:hAnsi="Arial"/>
          <w:sz w:val="18"/>
          <w:szCs w:val="18"/>
          <w:color w:val="auto"/>
        </w:rPr>
        <w:t>and</w:t>
      </w:r>
      <w:r>
        <w:rPr>
          <w:rFonts w:ascii="Arial" w:cs="Arial" w:eastAsia="Arial" w:hAnsi="Arial"/>
          <w:sz w:val="18"/>
          <w:szCs w:val="18"/>
          <w:i w:val="1"/>
          <w:iCs w:val="1"/>
          <w:color w:val="auto"/>
        </w:rPr>
        <w:t xml:space="preserve"> Director Independence </w:t>
      </w:r>
      <w:r>
        <w:rPr>
          <w:rFonts w:ascii="Arial" w:cs="Arial" w:eastAsia="Arial" w:hAnsi="Arial"/>
          <w:sz w:val="18"/>
          <w:szCs w:val="18"/>
          <w:color w:val="auto"/>
        </w:rPr>
        <w:t>in our definitive Proxy Statement to be filed in connection with our 2021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 xml:space="preserve">The information required by this Item 14 of Form 10-K is set forth under the caption </w:t>
      </w:r>
      <w:r>
        <w:rPr>
          <w:rFonts w:ascii="Arial" w:cs="Arial" w:eastAsia="Arial" w:hAnsi="Arial"/>
          <w:sz w:val="17"/>
          <w:szCs w:val="17"/>
          <w:i w:val="1"/>
          <w:iCs w:val="1"/>
          <w:color w:val="auto"/>
        </w:rPr>
        <w:t>Ratification of Auditors</w:t>
      </w:r>
      <w:r>
        <w:rPr>
          <w:rFonts w:ascii="Arial" w:cs="Arial" w:eastAsia="Arial" w:hAnsi="Arial"/>
          <w:sz w:val="17"/>
          <w:szCs w:val="17"/>
          <w:color w:val="auto"/>
        </w:rPr>
        <w:t xml:space="preserve"> in our definitive Proxy Statement to be filed in connection with our 2021 Annual Meeting of Stockholders, and such information is incorporated herein by reference.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Form 10-K Page No.</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520" w:type="dxa"/>
            <w:vAlign w:val="bottom"/>
          </w:tcPr>
          <w:p>
            <w:pPr>
              <w:ind w:left="180"/>
              <w:spacing w:after="0"/>
              <w:rPr>
                <w:sz w:val="20"/>
                <w:szCs w:val="20"/>
                <w:color w:val="auto"/>
              </w:rPr>
            </w:pPr>
            <w:r>
              <w:rPr>
                <w:rFonts w:ascii="Arial" w:cs="Arial" w:eastAsia="Arial" w:hAnsi="Arial"/>
                <w:sz w:val="18"/>
                <w:szCs w:val="18"/>
                <w:color w:val="auto"/>
              </w:rPr>
              <w:t>The following documents are filed as part of this report: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9520" w:type="dxa"/>
            <w:vAlign w:val="bottom"/>
          </w:tcPr>
          <w:p>
            <w:pPr>
              <w:ind w:left="180"/>
              <w:spacing w:after="0"/>
              <w:rPr>
                <w:sz w:val="20"/>
                <w:szCs w:val="20"/>
                <w:color w:val="auto"/>
              </w:rPr>
            </w:pPr>
            <w:r>
              <w:rPr>
                <w:rFonts w:ascii="Arial" w:cs="Arial" w:eastAsia="Arial" w:hAnsi="Arial"/>
                <w:sz w:val="18"/>
                <w:szCs w:val="18"/>
                <w:color w:val="auto"/>
                <w:w w:val="97"/>
              </w:rPr>
              <w:t>Consolidated Financial Statements. See Index to Consolidated Financial Statements in Part II, Item 8 of this Form 10-K.</w:t>
            </w:r>
          </w:p>
        </w:tc>
        <w:tc>
          <w:tcPr>
            <w:tcW w:w="136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405"/>
        </w:trPr>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2.</w:t>
            </w:r>
          </w:p>
        </w:tc>
        <w:tc>
          <w:tcPr>
            <w:tcW w:w="9520" w:type="dxa"/>
            <w:vAlign w:val="bottom"/>
          </w:tcPr>
          <w:p>
            <w:pPr>
              <w:ind w:left="180"/>
              <w:spacing w:after="0"/>
              <w:rPr>
                <w:rFonts w:ascii="Arial" w:cs="Arial" w:eastAsia="Arial" w:hAnsi="Arial"/>
                <w:sz w:val="18"/>
                <w:szCs w:val="18"/>
                <w:color w:val="auto"/>
                <w:w w:val="97"/>
              </w:rPr>
            </w:pPr>
            <w:hyperlink w:anchor="page95">
              <w:r>
                <w:rPr>
                  <w:rFonts w:ascii="Arial" w:cs="Arial" w:eastAsia="Arial" w:hAnsi="Arial"/>
                  <w:sz w:val="18"/>
                  <w:szCs w:val="18"/>
                  <w:color w:val="auto"/>
                  <w:w w:val="97"/>
                </w:rPr>
                <w:t xml:space="preserve">Exhibits. </w:t>
              </w:r>
            </w:hyperlink>
            <w:r>
              <w:rPr>
                <w:rFonts w:ascii="Arial" w:cs="Arial" w:eastAsia="Arial" w:hAnsi="Arial"/>
                <w:sz w:val="18"/>
                <w:szCs w:val="18"/>
                <w:color w:val="auto"/>
                <w:w w:val="97"/>
              </w:rPr>
              <w:t>The exhibits listed in the accompanying Exhibit Index are filed or incorporated by reference as part of this Form</w:t>
            </w:r>
          </w:p>
        </w:tc>
        <w:tc>
          <w:tcPr>
            <w:tcW w:w="1360" w:type="dxa"/>
            <w:vAlign w:val="bottom"/>
            <w:vMerge w:val="restart"/>
          </w:tcPr>
          <w:p>
            <w:pPr>
              <w:jc w:val="right"/>
              <w:spacing w:after="0"/>
              <w:rPr>
                <w:rFonts w:ascii="Arial" w:cs="Arial" w:eastAsia="Arial" w:hAnsi="Arial"/>
                <w:sz w:val="18"/>
                <w:szCs w:val="18"/>
                <w:color w:val="auto"/>
              </w:rPr>
            </w:pPr>
            <w:hyperlink w:anchor="page95">
              <w:r>
                <w:rPr>
                  <w:rFonts w:ascii="Arial" w:cs="Arial" w:eastAsia="Arial" w:hAnsi="Arial"/>
                  <w:sz w:val="18"/>
                  <w:szCs w:val="18"/>
                  <w:color w:val="auto"/>
                </w:rPr>
                <w:t>94</w:t>
              </w:r>
            </w:hyperlink>
          </w:p>
        </w:tc>
        <w:tc>
          <w:tcPr>
            <w:tcW w:w="0" w:type="dxa"/>
            <w:vAlign w:val="bottom"/>
          </w:tcPr>
          <w:p>
            <w:pPr>
              <w:spacing w:after="0"/>
              <w:rPr>
                <w:sz w:val="1"/>
                <w:szCs w:val="1"/>
                <w:color w:val="auto"/>
              </w:rPr>
            </w:pPr>
          </w:p>
        </w:tc>
      </w:tr>
      <w:tr>
        <w:trPr>
          <w:trHeight w:val="230"/>
        </w:trPr>
        <w:tc>
          <w:tcPr>
            <w:tcW w:w="300" w:type="dxa"/>
            <w:vAlign w:val="bottom"/>
            <w:vMerge w:val="continue"/>
          </w:tcPr>
          <w:p>
            <w:pPr>
              <w:spacing w:after="0"/>
              <w:rPr>
                <w:sz w:val="20"/>
                <w:szCs w:val="20"/>
                <w:color w:val="auto"/>
              </w:rPr>
            </w:pPr>
          </w:p>
        </w:tc>
        <w:tc>
          <w:tcPr>
            <w:tcW w:w="9520" w:type="dxa"/>
            <w:vAlign w:val="bottom"/>
          </w:tcPr>
          <w:p>
            <w:pPr>
              <w:ind w:left="180"/>
              <w:spacing w:after="0"/>
              <w:rPr>
                <w:sz w:val="20"/>
                <w:szCs w:val="20"/>
                <w:color w:val="auto"/>
              </w:rPr>
            </w:pPr>
            <w:r>
              <w:rPr>
                <w:rFonts w:ascii="Arial" w:cs="Arial" w:eastAsia="Arial" w:hAnsi="Arial"/>
                <w:sz w:val="18"/>
                <w:szCs w:val="18"/>
                <w:color w:val="auto"/>
              </w:rPr>
              <w:t>10-K.</w:t>
            </w: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00" w:hanging="474"/>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Financial Statement Schedules. The Financial Statement Schedules required to be filed as a part of this Report are:</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060" w:type="dxa"/>
            <w:vAlign w:val="bottom"/>
          </w:tcPr>
          <w:p>
            <w:pPr>
              <w:spacing w:after="0"/>
              <w:rPr>
                <w:rFonts w:ascii="Arial" w:cs="Arial" w:eastAsia="Arial" w:hAnsi="Arial"/>
                <w:sz w:val="18"/>
                <w:szCs w:val="18"/>
                <w:color w:val="auto"/>
              </w:rPr>
            </w:pPr>
            <w:hyperlink w:anchor="page97">
              <w:r>
                <w:rPr>
                  <w:rFonts w:ascii="Arial" w:cs="Arial" w:eastAsia="Arial" w:hAnsi="Arial"/>
                  <w:sz w:val="18"/>
                  <w:szCs w:val="18"/>
                  <w:color w:val="auto"/>
                </w:rPr>
                <w:t>Schedule II — Valuation and Qualifying Accounts</w:t>
              </w:r>
            </w:hyperlink>
          </w:p>
        </w:tc>
        <w:tc>
          <w:tcPr>
            <w:tcW w:w="3620" w:type="dxa"/>
            <w:vAlign w:val="bottom"/>
          </w:tcPr>
          <w:p>
            <w:pPr>
              <w:jc w:val="right"/>
              <w:spacing w:after="0"/>
              <w:rPr>
                <w:rFonts w:ascii="Arial" w:cs="Arial" w:eastAsia="Arial" w:hAnsi="Arial"/>
                <w:sz w:val="18"/>
                <w:szCs w:val="18"/>
                <w:color w:val="auto"/>
              </w:rPr>
            </w:pPr>
            <w:hyperlink w:anchor="page97">
              <w:r>
                <w:rPr>
                  <w:rFonts w:ascii="Arial" w:cs="Arial" w:eastAsia="Arial" w:hAnsi="Arial"/>
                  <w:sz w:val="18"/>
                  <w:szCs w:val="18"/>
                  <w:color w:val="auto"/>
                </w:rPr>
                <w:t>97</w:t>
              </w:r>
            </w:hyperlink>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3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6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Exhibit</w:t>
            </w:r>
          </w:p>
        </w:tc>
        <w:tc>
          <w:tcPr>
            <w:tcW w:w="954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29"/>
        </w:trPr>
        <w:tc>
          <w:tcPr>
            <w:tcW w:w="16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Number</w:t>
            </w:r>
          </w:p>
        </w:tc>
        <w:tc>
          <w:tcPr>
            <w:tcW w:w="9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40" w:type="dxa"/>
            <w:vAlign w:val="bottom"/>
            <w:tcBorders>
              <w:top w:val="single" w:sz="8" w:color="auto"/>
            </w:tcBorders>
          </w:tcPr>
          <w:p>
            <w:pPr>
              <w:jc w:val="right"/>
              <w:spacing w:after="0" w:line="169" w:lineRule="exact"/>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2.1</w:t>
              </w:r>
            </w:hyperlink>
          </w:p>
        </w:tc>
        <w:tc>
          <w:tcPr>
            <w:tcW w:w="420" w:type="dxa"/>
            <w:vAlign w:val="bottom"/>
          </w:tcPr>
          <w:p>
            <w:pPr>
              <w:spacing w:after="0"/>
              <w:rPr>
                <w:sz w:val="14"/>
                <w:szCs w:val="14"/>
                <w:color w:val="auto"/>
              </w:rPr>
            </w:pPr>
          </w:p>
        </w:tc>
        <w:tc>
          <w:tcPr>
            <w:tcW w:w="95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0"/>
              </w:rPr>
              <w:t>Amended and Restated Stock and Asset Purchase Agreement, dated as of January 5, 2017, by and between Pfizer Inc., a Delaware</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Pr>
          <w:p>
            <w:pPr>
              <w:ind w:left="20"/>
              <w:spacing w:after="0" w:line="176" w:lineRule="exact"/>
              <w:rPr>
                <w:sz w:val="20"/>
                <w:szCs w:val="20"/>
                <w:color w:val="auto"/>
              </w:rPr>
            </w:pPr>
            <w:r>
              <w:rPr>
                <w:rFonts w:ascii="Arial" w:cs="Arial" w:eastAsia="Arial" w:hAnsi="Arial"/>
                <w:sz w:val="18"/>
                <w:szCs w:val="18"/>
                <w:color w:val="auto"/>
                <w:w w:val="93"/>
              </w:rPr>
              <w:t>corporation, and ICU Medical, Inc., a Delaware corporation. Filed as Exhibit 2.1 to Registrant’s Current Report on Form 8-K filed</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January 5, 2017, and incorporated herein by reference.</w:t>
            </w:r>
          </w:p>
        </w:tc>
        <w:tc>
          <w:tcPr>
            <w:tcW w:w="0" w:type="dxa"/>
            <w:vAlign w:val="bottom"/>
          </w:tcPr>
          <w:p>
            <w:pPr>
              <w:spacing w:after="0"/>
              <w:rPr>
                <w:sz w:val="1"/>
                <w:szCs w:val="1"/>
                <w:color w:val="auto"/>
              </w:rPr>
            </w:pPr>
          </w:p>
        </w:tc>
      </w:tr>
      <w:tr>
        <w:trPr>
          <w:trHeight w:val="269"/>
        </w:trPr>
        <w:tc>
          <w:tcPr>
            <w:tcW w:w="1240" w:type="dxa"/>
            <w:vAlign w:val="bottom"/>
          </w:tcPr>
          <w:p>
            <w:pPr>
              <w:jc w:val="right"/>
              <w:spacing w:after="0"/>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3.1</w:t>
              </w:r>
            </w:hyperlink>
          </w:p>
        </w:tc>
        <w:tc>
          <w:tcPr>
            <w:tcW w:w="420" w:type="dxa"/>
            <w:vAlign w:val="bottom"/>
          </w:tcPr>
          <w:p>
            <w:pPr>
              <w:spacing w:after="0"/>
              <w:rPr>
                <w:sz w:val="23"/>
                <w:szCs w:val="23"/>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2"/>
              </w:rPr>
              <w:t>Registrant's Certificate of Incorporation, as amended and restated. Filed as an exhibit to Registrant's Current Report on Form 8-K</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filed on June 10, 2014, and incorporated herein by reference.</w:t>
            </w:r>
          </w:p>
        </w:tc>
        <w:tc>
          <w:tcPr>
            <w:tcW w:w="0" w:type="dxa"/>
            <w:vAlign w:val="bottom"/>
          </w:tcPr>
          <w:p>
            <w:pPr>
              <w:spacing w:after="0"/>
              <w:rPr>
                <w:sz w:val="1"/>
                <w:szCs w:val="1"/>
                <w:color w:val="auto"/>
              </w:rPr>
            </w:pPr>
          </w:p>
        </w:tc>
      </w:tr>
      <w:tr>
        <w:trPr>
          <w:trHeight w:val="404"/>
        </w:trPr>
        <w:tc>
          <w:tcPr>
            <w:tcW w:w="1240" w:type="dxa"/>
            <w:vAlign w:val="bottom"/>
          </w:tcPr>
          <w:p>
            <w:pPr>
              <w:jc w:val="right"/>
              <w:spacing w:after="0"/>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3.2</w:t>
              </w:r>
            </w:hyperlink>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0"/>
              </w:rPr>
              <w:t>Registrant's Bylaws, as amended and restated. Filed as an Exhibit to Registrant's Current Report on Form 8-K filed August 3, 2016,</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404"/>
        </w:trPr>
        <w:tc>
          <w:tcPr>
            <w:tcW w:w="1240" w:type="dxa"/>
            <w:vAlign w:val="bottom"/>
          </w:tcPr>
          <w:p>
            <w:pPr>
              <w:jc w:val="right"/>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4.1</w:t>
              </w:r>
            </w:hyperlink>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3"/>
              </w:rPr>
              <w:t>Description of Securities Registered Under Section 12 of the Exchange Act. Filed as an Exhibit to Registrant's Annual Report of</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10-K for the year ended December 31, 2019, filed March 2, 3020, and incorporated herein by reference.</w:t>
            </w:r>
          </w:p>
        </w:tc>
        <w:tc>
          <w:tcPr>
            <w:tcW w:w="0" w:type="dxa"/>
            <w:vAlign w:val="bottom"/>
          </w:tcPr>
          <w:p>
            <w:pPr>
              <w:spacing w:after="0"/>
              <w:rPr>
                <w:sz w:val="1"/>
                <w:szCs w:val="1"/>
                <w:color w:val="auto"/>
              </w:rPr>
            </w:pPr>
          </w:p>
        </w:tc>
      </w:tr>
      <w:tr>
        <w:trPr>
          <w:trHeight w:val="269"/>
        </w:trPr>
        <w:tc>
          <w:tcPr>
            <w:tcW w:w="1240" w:type="dxa"/>
            <w:vAlign w:val="bottom"/>
          </w:tcPr>
          <w:p>
            <w:pPr>
              <w:jc w:val="right"/>
              <w:spacing w:after="0"/>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10.1</w:t>
              </w:r>
            </w:hyperlink>
          </w:p>
        </w:tc>
        <w:tc>
          <w:tcPr>
            <w:tcW w:w="420" w:type="dxa"/>
            <w:vAlign w:val="bottom"/>
          </w:tcPr>
          <w:p>
            <w:pPr>
              <w:spacing w:after="0"/>
              <w:rPr>
                <w:sz w:val="23"/>
                <w:szCs w:val="23"/>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3"/>
              </w:rPr>
              <w:t>Form of Indemnification Agreement with Directors and Executive Officers. Filed as an Exhibit to Registrant's Quarterly Report on</w:t>
            </w:r>
          </w:p>
        </w:tc>
        <w:tc>
          <w:tcPr>
            <w:tcW w:w="0" w:type="dxa"/>
            <w:vAlign w:val="bottom"/>
          </w:tcPr>
          <w:p>
            <w:pPr>
              <w:spacing w:after="0"/>
              <w:rPr>
                <w:sz w:val="1"/>
                <w:szCs w:val="1"/>
                <w:color w:val="auto"/>
              </w:rPr>
            </w:pPr>
          </w:p>
        </w:tc>
      </w:tr>
      <w:tr>
        <w:trPr>
          <w:trHeight w:val="175"/>
        </w:trPr>
        <w:tc>
          <w:tcPr>
            <w:tcW w:w="1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40" w:type="dxa"/>
            <w:vAlign w:val="bottom"/>
          </w:tcPr>
          <w:p>
            <w:pPr>
              <w:ind w:left="20"/>
              <w:spacing w:after="0" w:line="176" w:lineRule="exact"/>
              <w:rPr>
                <w:sz w:val="20"/>
                <w:szCs w:val="20"/>
                <w:color w:val="auto"/>
              </w:rPr>
            </w:pPr>
            <w:r>
              <w:rPr>
                <w:rFonts w:ascii="Arial" w:cs="Arial" w:eastAsia="Arial" w:hAnsi="Arial"/>
                <w:sz w:val="18"/>
                <w:szCs w:val="18"/>
                <w:color w:val="auto"/>
                <w:w w:val="93"/>
              </w:rPr>
              <w:t>Form 10-Q for the Quarter ended September 30, 2010, filed October 22, 2010 (File No. 001-34634), and incorporated herein by</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04"/>
        </w:trPr>
        <w:tc>
          <w:tcPr>
            <w:tcW w:w="1240" w:type="dxa"/>
            <w:vAlign w:val="bottom"/>
          </w:tcPr>
          <w:p>
            <w:pPr>
              <w:jc w:val="right"/>
              <w:spacing w:after="0"/>
              <w:rPr>
                <w:rFonts w:ascii="Arial" w:cs="Arial" w:eastAsia="Arial" w:hAnsi="Arial"/>
                <w:sz w:val="18"/>
                <w:szCs w:val="18"/>
                <w:color w:val="0000FF"/>
              </w:rPr>
            </w:pPr>
            <w:hyperlink r:id="rId111">
              <w:r>
                <w:rPr>
                  <w:rFonts w:ascii="Arial" w:cs="Arial" w:eastAsia="Arial" w:hAnsi="Arial"/>
                  <w:sz w:val="18"/>
                  <w:szCs w:val="18"/>
                  <w:u w:val="single" w:color="auto"/>
                  <w:color w:val="0000FF"/>
                </w:rPr>
                <w:t>10.</w:t>
              </w:r>
            </w:hyperlink>
            <w:r>
              <w:rPr>
                <w:rFonts w:ascii="Arial" w:cs="Arial" w:eastAsia="Arial" w:hAnsi="Arial"/>
                <w:sz w:val="18"/>
                <w:szCs w:val="18"/>
                <w:color w:val="000000"/>
              </w:rPr>
              <w:t>2</w:t>
            </w:r>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5"/>
              </w:rPr>
              <w:t>Registrant's 2001 Directors' Stock Option Plan.* Filed as an Exhibit to Registrant's definitive Proxy Statement filed pursuant to</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Regulation 14A on April 3, 2002 (File No. 000-19974), and incorporated herein by reference.</w:t>
            </w:r>
          </w:p>
        </w:tc>
        <w:tc>
          <w:tcPr>
            <w:tcW w:w="0" w:type="dxa"/>
            <w:vAlign w:val="bottom"/>
          </w:tcPr>
          <w:p>
            <w:pPr>
              <w:spacing w:after="0"/>
              <w:rPr>
                <w:sz w:val="1"/>
                <w:szCs w:val="1"/>
                <w:color w:val="auto"/>
              </w:rPr>
            </w:pPr>
          </w:p>
        </w:tc>
      </w:tr>
      <w:tr>
        <w:trPr>
          <w:trHeight w:val="404"/>
        </w:trPr>
        <w:tc>
          <w:tcPr>
            <w:tcW w:w="1240" w:type="dxa"/>
            <w:vAlign w:val="bottom"/>
          </w:tcPr>
          <w:p>
            <w:pPr>
              <w:jc w:val="right"/>
              <w:spacing w:after="0"/>
              <w:rPr>
                <w:rFonts w:ascii="Arial" w:cs="Arial" w:eastAsia="Arial" w:hAnsi="Arial"/>
                <w:sz w:val="18"/>
                <w:szCs w:val="18"/>
                <w:color w:val="0000FF"/>
              </w:rPr>
            </w:pPr>
            <w:hyperlink r:id="rId111">
              <w:r>
                <w:rPr>
                  <w:rFonts w:ascii="Arial" w:cs="Arial" w:eastAsia="Arial" w:hAnsi="Arial"/>
                  <w:sz w:val="18"/>
                  <w:szCs w:val="18"/>
                  <w:u w:val="single" w:color="auto"/>
                  <w:color w:val="0000FF"/>
                </w:rPr>
                <w:t>10.</w:t>
              </w:r>
            </w:hyperlink>
            <w:r>
              <w:rPr>
                <w:rFonts w:ascii="Arial" w:cs="Arial" w:eastAsia="Arial" w:hAnsi="Arial"/>
                <w:sz w:val="18"/>
                <w:szCs w:val="18"/>
                <w:color w:val="000000"/>
              </w:rPr>
              <w:t>3</w:t>
            </w:r>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2"/>
              </w:rPr>
              <w:t>Registrant's 2002 Employee Stock Purchase Plan.* Filed as an Exhibit to Registrant's definitive Proxy Statement filed pursuant to</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Regulation 14A on April 3, 2002 (File No. 000-19974), and incorporated herein by reference.</w:t>
            </w:r>
          </w:p>
        </w:tc>
        <w:tc>
          <w:tcPr>
            <w:tcW w:w="0" w:type="dxa"/>
            <w:vAlign w:val="bottom"/>
          </w:tcPr>
          <w:p>
            <w:pPr>
              <w:spacing w:after="0"/>
              <w:rPr>
                <w:sz w:val="1"/>
                <w:szCs w:val="1"/>
                <w:color w:val="auto"/>
              </w:rPr>
            </w:pPr>
          </w:p>
        </w:tc>
      </w:tr>
      <w:tr>
        <w:trPr>
          <w:trHeight w:val="404"/>
        </w:trPr>
        <w:tc>
          <w:tcPr>
            <w:tcW w:w="1240" w:type="dxa"/>
            <w:vAlign w:val="bottom"/>
          </w:tcPr>
          <w:p>
            <w:pPr>
              <w:jc w:val="right"/>
              <w:spacing w:after="0"/>
              <w:rPr>
                <w:rFonts w:ascii="Arial" w:cs="Arial" w:eastAsia="Arial" w:hAnsi="Arial"/>
                <w:sz w:val="18"/>
                <w:szCs w:val="18"/>
                <w:color w:val="0000FF"/>
              </w:rPr>
            </w:pPr>
            <w:hyperlink r:id="rId112">
              <w:r>
                <w:rPr>
                  <w:rFonts w:ascii="Arial" w:cs="Arial" w:eastAsia="Arial" w:hAnsi="Arial"/>
                  <w:sz w:val="18"/>
                  <w:szCs w:val="18"/>
                  <w:u w:val="single" w:color="auto"/>
                  <w:color w:val="0000FF"/>
                </w:rPr>
                <w:t>10.</w:t>
              </w:r>
            </w:hyperlink>
            <w:r>
              <w:rPr>
                <w:rFonts w:ascii="Arial" w:cs="Arial" w:eastAsia="Arial" w:hAnsi="Arial"/>
                <w:sz w:val="18"/>
                <w:szCs w:val="18"/>
                <w:color w:val="000000"/>
              </w:rPr>
              <w:t>4</w:t>
            </w:r>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4"/>
              </w:rPr>
              <w:t>Registrant's 2003 Stock Option Plan.* Filed as an Exhibit to Registrant's definitive Proxy Statement filed pursuant to Regulation</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14A on April 25, 2003 (File No. 000-19974), and incorporated herein by reference.</w:t>
            </w:r>
          </w:p>
        </w:tc>
        <w:tc>
          <w:tcPr>
            <w:tcW w:w="0" w:type="dxa"/>
            <w:vAlign w:val="bottom"/>
          </w:tcPr>
          <w:p>
            <w:pPr>
              <w:spacing w:after="0"/>
              <w:rPr>
                <w:sz w:val="1"/>
                <w:szCs w:val="1"/>
                <w:color w:val="auto"/>
              </w:rPr>
            </w:pPr>
          </w:p>
        </w:tc>
      </w:tr>
      <w:tr>
        <w:trPr>
          <w:trHeight w:val="458"/>
        </w:trPr>
        <w:tc>
          <w:tcPr>
            <w:tcW w:w="1240" w:type="dxa"/>
            <w:vAlign w:val="bottom"/>
          </w:tcPr>
          <w:p>
            <w:pPr>
              <w:jc w:val="right"/>
              <w:spacing w:after="0"/>
              <w:rPr>
                <w:rFonts w:ascii="Arial" w:cs="Arial" w:eastAsia="Arial" w:hAnsi="Arial"/>
                <w:sz w:val="18"/>
                <w:szCs w:val="18"/>
                <w:u w:val="single" w:color="auto"/>
                <w:color w:val="0000FF"/>
              </w:rPr>
            </w:pPr>
            <w:hyperlink w:anchor="page100">
              <w:r>
                <w:rPr>
                  <w:rFonts w:ascii="Arial" w:cs="Arial" w:eastAsia="Arial" w:hAnsi="Arial"/>
                  <w:sz w:val="18"/>
                  <w:szCs w:val="18"/>
                  <w:u w:val="single" w:color="auto"/>
                  <w:color w:val="0000FF"/>
                </w:rPr>
                <w:t>10.5</w:t>
              </w:r>
            </w:hyperlink>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Executive officer compensation*</w:t>
            </w:r>
          </w:p>
        </w:tc>
        <w:tc>
          <w:tcPr>
            <w:tcW w:w="0" w:type="dxa"/>
            <w:vAlign w:val="bottom"/>
          </w:tcPr>
          <w:p>
            <w:pPr>
              <w:spacing w:after="0"/>
              <w:rPr>
                <w:sz w:val="1"/>
                <w:szCs w:val="1"/>
                <w:color w:val="auto"/>
              </w:rPr>
            </w:pPr>
          </w:p>
        </w:tc>
      </w:tr>
      <w:tr>
        <w:trPr>
          <w:trHeight w:val="459"/>
        </w:trPr>
        <w:tc>
          <w:tcPr>
            <w:tcW w:w="1240" w:type="dxa"/>
            <w:vAlign w:val="bottom"/>
          </w:tcPr>
          <w:p>
            <w:pPr>
              <w:jc w:val="right"/>
              <w:spacing w:after="0"/>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10.6</w:t>
              </w:r>
            </w:hyperlink>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Non-employee director compensation*</w:t>
            </w:r>
          </w:p>
        </w:tc>
        <w:tc>
          <w:tcPr>
            <w:tcW w:w="0" w:type="dxa"/>
            <w:vAlign w:val="bottom"/>
          </w:tcPr>
          <w:p>
            <w:pPr>
              <w:spacing w:after="0"/>
              <w:rPr>
                <w:sz w:val="1"/>
                <w:szCs w:val="1"/>
                <w:color w:val="auto"/>
              </w:rPr>
            </w:pPr>
          </w:p>
        </w:tc>
      </w:tr>
      <w:tr>
        <w:trPr>
          <w:trHeight w:val="270"/>
        </w:trPr>
        <w:tc>
          <w:tcPr>
            <w:tcW w:w="1240" w:type="dxa"/>
            <w:vAlign w:val="bottom"/>
          </w:tcPr>
          <w:p>
            <w:pPr>
              <w:jc w:val="right"/>
              <w:spacing w:after="0"/>
              <w:rPr>
                <w:rFonts w:ascii="Arial" w:cs="Arial" w:eastAsia="Arial" w:hAnsi="Arial"/>
                <w:sz w:val="18"/>
                <w:szCs w:val="18"/>
                <w:color w:val="0000FF"/>
              </w:rPr>
            </w:pPr>
            <w:hyperlink r:id="rId113">
              <w:r>
                <w:rPr>
                  <w:rFonts w:ascii="Arial" w:cs="Arial" w:eastAsia="Arial" w:hAnsi="Arial"/>
                  <w:sz w:val="18"/>
                  <w:szCs w:val="18"/>
                  <w:u w:val="single" w:color="auto"/>
                  <w:color w:val="0000FF"/>
                </w:rPr>
                <w:t>10.</w:t>
              </w:r>
            </w:hyperlink>
            <w:r>
              <w:rPr>
                <w:rFonts w:ascii="Arial" w:cs="Arial" w:eastAsia="Arial" w:hAnsi="Arial"/>
                <w:sz w:val="18"/>
                <w:szCs w:val="18"/>
                <w:color w:val="000000"/>
              </w:rPr>
              <w:t>7</w:t>
            </w:r>
          </w:p>
        </w:tc>
        <w:tc>
          <w:tcPr>
            <w:tcW w:w="420" w:type="dxa"/>
            <w:vAlign w:val="bottom"/>
          </w:tcPr>
          <w:p>
            <w:pPr>
              <w:spacing w:after="0"/>
              <w:rPr>
                <w:sz w:val="23"/>
                <w:szCs w:val="23"/>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2"/>
              </w:rPr>
              <w:t>2008 Performance-Based Incentive Plan, as amended.* Filed as Annex A to Registrant's proxy statement filed April 3, 2013 (File</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No. 001-34634),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95" w:name="page96"/>
    <w:bookmarkEnd w:id="95"/>
    <w:p>
      <w:pPr>
        <w:ind w:left="860" w:right="240" w:hanging="768"/>
        <w:spacing w:after="0" w:line="289" w:lineRule="auto"/>
        <w:tabs>
          <w:tab w:leader="none" w:pos="840" w:val="left"/>
        </w:tabs>
        <w:rPr>
          <w:rFonts w:ascii="Arial" w:cs="Arial" w:eastAsia="Arial" w:hAnsi="Arial"/>
          <w:sz w:val="18"/>
          <w:szCs w:val="18"/>
          <w:color w:val="0000FF"/>
        </w:rPr>
      </w:pPr>
      <w:hyperlink r:id="rId115">
        <w:r>
          <w:rPr>
            <w:rFonts w:ascii="Arial" w:cs="Arial" w:eastAsia="Arial" w:hAnsi="Arial"/>
            <w:sz w:val="18"/>
            <w:szCs w:val="18"/>
            <w:u w:val="single" w:color="auto"/>
            <w:color w:val="0000FF"/>
          </w:rPr>
          <w:t>10.</w:t>
        </w:r>
      </w:hyperlink>
      <w:r>
        <w:rPr>
          <w:rFonts w:ascii="Arial" w:cs="Arial" w:eastAsia="Arial" w:hAnsi="Arial"/>
          <w:sz w:val="18"/>
          <w:szCs w:val="18"/>
          <w:color w:val="000000"/>
        </w:rPr>
        <w:t>8</w:t>
      </w:r>
      <w:r>
        <w:rPr>
          <w:rFonts w:ascii="Arial" w:cs="Arial" w:eastAsia="Arial" w:hAnsi="Arial"/>
          <w:sz w:val="18"/>
          <w:szCs w:val="18"/>
          <w:color w:val="0000FF"/>
        </w:rPr>
        <w:tab/>
      </w:r>
      <w:r>
        <w:rPr>
          <w:rFonts w:ascii="Arial" w:cs="Arial" w:eastAsia="Arial" w:hAnsi="Arial"/>
          <w:sz w:val="16"/>
          <w:szCs w:val="16"/>
          <w:color w:val="0000FF"/>
        </w:rPr>
        <w:t>Amendment No. 1 to 2001 Directors' Stock Option Plan.* Filed as an Exhibit to Registrant's Quarterly Report on Form 10-Q for the Quarter ended September 30, 2009, filed October 22, 2009 (File No. 000-19974), and incorporated herein by reference.</w:t>
      </w:r>
    </w:p>
    <w:p>
      <w:pPr>
        <w:spacing w:after="0" w:line="191" w:lineRule="exact"/>
        <w:rPr>
          <w:sz w:val="20"/>
          <w:szCs w:val="20"/>
          <w:color w:val="auto"/>
        </w:rPr>
      </w:pPr>
    </w:p>
    <w:p>
      <w:pPr>
        <w:ind w:left="860" w:right="240" w:hanging="768"/>
        <w:spacing w:after="0" w:line="289" w:lineRule="auto"/>
        <w:tabs>
          <w:tab w:leader="none" w:pos="840" w:val="left"/>
        </w:tabs>
        <w:rPr>
          <w:rFonts w:ascii="Arial" w:cs="Arial" w:eastAsia="Arial" w:hAnsi="Arial"/>
          <w:sz w:val="18"/>
          <w:szCs w:val="18"/>
          <w:color w:val="0000FF"/>
        </w:rPr>
      </w:pPr>
      <w:hyperlink r:id="rId116">
        <w:r>
          <w:rPr>
            <w:rFonts w:ascii="Arial" w:cs="Arial" w:eastAsia="Arial" w:hAnsi="Arial"/>
            <w:sz w:val="18"/>
            <w:szCs w:val="18"/>
            <w:u w:val="single" w:color="auto"/>
            <w:color w:val="0000FF"/>
          </w:rPr>
          <w:t>10.</w:t>
        </w:r>
      </w:hyperlink>
      <w:r>
        <w:rPr>
          <w:rFonts w:ascii="Arial" w:cs="Arial" w:eastAsia="Arial" w:hAnsi="Arial"/>
          <w:sz w:val="18"/>
          <w:szCs w:val="18"/>
          <w:color w:val="000000"/>
        </w:rPr>
        <w:t>9</w:t>
      </w:r>
      <w:r>
        <w:rPr>
          <w:rFonts w:ascii="Arial" w:cs="Arial" w:eastAsia="Arial" w:hAnsi="Arial"/>
          <w:sz w:val="18"/>
          <w:szCs w:val="18"/>
          <w:color w:val="0000FF"/>
        </w:rPr>
        <w:tab/>
      </w:r>
      <w:r>
        <w:rPr>
          <w:rFonts w:ascii="Arial" w:cs="Arial" w:eastAsia="Arial" w:hAnsi="Arial"/>
          <w:sz w:val="16"/>
          <w:szCs w:val="16"/>
          <w:color w:val="0000FF"/>
        </w:rPr>
        <w:t>Amendment No. 2 to 2001 Directors' Stock Option Plan.* Filed as an Exhibit to Registrant's Quarterly Report on Form 10-Q for the Quarter ended September 30, 2009, filed October 22, 2009 (File No. 000-19974), and incorporated herein by reference.</w:t>
      </w:r>
    </w:p>
    <w:p>
      <w:pPr>
        <w:spacing w:after="0" w:line="191" w:lineRule="exact"/>
        <w:rPr>
          <w:sz w:val="20"/>
          <w:szCs w:val="20"/>
          <w:color w:val="auto"/>
        </w:rPr>
      </w:pPr>
    </w:p>
    <w:p>
      <w:pPr>
        <w:ind w:left="860" w:right="240" w:hanging="858"/>
        <w:spacing w:after="0" w:line="289" w:lineRule="auto"/>
        <w:tabs>
          <w:tab w:leader="none" w:pos="840" w:val="left"/>
        </w:tabs>
        <w:rPr>
          <w:rFonts w:ascii="Arial" w:cs="Arial" w:eastAsia="Arial" w:hAnsi="Arial"/>
          <w:sz w:val="18"/>
          <w:szCs w:val="18"/>
          <w:color w:val="0000FF"/>
        </w:rPr>
      </w:pPr>
      <w:hyperlink r:id="rId117">
        <w:r>
          <w:rPr>
            <w:rFonts w:ascii="Arial" w:cs="Arial" w:eastAsia="Arial" w:hAnsi="Arial"/>
            <w:sz w:val="18"/>
            <w:szCs w:val="18"/>
            <w:u w:val="single" w:color="auto"/>
            <w:color w:val="0000FF"/>
          </w:rPr>
          <w:t>10</w:t>
        </w:r>
        <w:r>
          <w:rPr>
            <w:rFonts w:ascii="Arial" w:cs="Arial" w:eastAsia="Arial" w:hAnsi="Arial"/>
            <w:sz w:val="18"/>
            <w:szCs w:val="18"/>
            <w:color w:val="0000FF"/>
          </w:rPr>
          <w:t>.</w:t>
        </w:r>
      </w:hyperlink>
      <w:r>
        <w:rPr>
          <w:rFonts w:ascii="Arial" w:cs="Arial" w:eastAsia="Arial" w:hAnsi="Arial"/>
          <w:sz w:val="18"/>
          <w:szCs w:val="18"/>
          <w:color w:val="000000"/>
        </w:rPr>
        <w:t>10</w:t>
      </w:r>
      <w:r>
        <w:rPr>
          <w:rFonts w:ascii="Arial" w:cs="Arial" w:eastAsia="Arial" w:hAnsi="Arial"/>
          <w:sz w:val="18"/>
          <w:szCs w:val="18"/>
          <w:color w:val="0000FF"/>
        </w:rPr>
        <w:tab/>
      </w:r>
      <w:r>
        <w:rPr>
          <w:rFonts w:ascii="Arial" w:cs="Arial" w:eastAsia="Arial" w:hAnsi="Arial"/>
          <w:sz w:val="16"/>
          <w:szCs w:val="16"/>
          <w:color w:val="0000FF"/>
        </w:rPr>
        <w:t>Amendment No. 3 to 2001 Directors' Stock Option Plan.* Filed as an Exhibit to Registrant's Quarterly Report on Form 10-Q for the Quarter ended September 30, 2009, filed October 22, 2009 (File No. 000-19974), and incorporated herein by reference.</w:t>
      </w:r>
    </w:p>
    <w:p>
      <w:pPr>
        <w:spacing w:after="0" w:line="191" w:lineRule="exact"/>
        <w:rPr>
          <w:sz w:val="20"/>
          <w:szCs w:val="20"/>
          <w:color w:val="auto"/>
        </w:rPr>
      </w:pPr>
    </w:p>
    <w:p>
      <w:pPr>
        <w:ind w:left="860" w:right="420" w:hanging="851"/>
        <w:spacing w:after="0" w:line="235" w:lineRule="auto"/>
        <w:tabs>
          <w:tab w:leader="none" w:pos="840" w:val="left"/>
        </w:tabs>
        <w:rPr>
          <w:rFonts w:ascii="Arial" w:cs="Arial" w:eastAsia="Arial" w:hAnsi="Arial"/>
          <w:sz w:val="18"/>
          <w:szCs w:val="18"/>
          <w:color w:val="0000FF"/>
        </w:rPr>
      </w:pPr>
      <w:hyperlink r:id="rId118">
        <w:r>
          <w:rPr>
            <w:rFonts w:ascii="Arial" w:cs="Arial" w:eastAsia="Arial" w:hAnsi="Arial"/>
            <w:sz w:val="18"/>
            <w:szCs w:val="18"/>
            <w:u w:val="single" w:color="auto"/>
            <w:color w:val="0000FF"/>
          </w:rPr>
          <w:t>10.</w:t>
        </w:r>
      </w:hyperlink>
      <w:r>
        <w:rPr>
          <w:rFonts w:ascii="Arial" w:cs="Arial" w:eastAsia="Arial" w:hAnsi="Arial"/>
          <w:sz w:val="18"/>
          <w:szCs w:val="18"/>
          <w:color w:val="000000"/>
        </w:rPr>
        <w:t>11</w:t>
      </w:r>
      <w:r>
        <w:rPr>
          <w:rFonts w:ascii="Arial" w:cs="Arial" w:eastAsia="Arial" w:hAnsi="Arial"/>
          <w:sz w:val="18"/>
          <w:szCs w:val="18"/>
          <w:color w:val="0000FF"/>
        </w:rPr>
        <w:tab/>
        <w:t>Amended and Restated ICU Medical, Inc. 2011 Stock Incentive Plan.* Filed as an Exhibit to Registrant's Quarterly Report on Form 10-Q for the Quarter ended March 31, 2018, and incorporated herein by reference.</w:t>
      </w:r>
    </w:p>
    <w:p>
      <w:pPr>
        <w:spacing w:after="0" w:line="54" w:lineRule="exact"/>
        <w:rPr>
          <w:sz w:val="20"/>
          <w:szCs w:val="20"/>
          <w:color w:val="auto"/>
        </w:rPr>
      </w:pPr>
    </w:p>
    <w:p>
      <w:pPr>
        <w:ind w:left="860" w:right="220" w:hanging="858"/>
        <w:spacing w:after="0" w:line="224" w:lineRule="auto"/>
        <w:tabs>
          <w:tab w:leader="none" w:pos="840" w:val="left"/>
        </w:tabs>
        <w:rPr>
          <w:rFonts w:ascii="Arial" w:cs="Arial" w:eastAsia="Arial" w:hAnsi="Arial"/>
          <w:sz w:val="18"/>
          <w:szCs w:val="18"/>
          <w:color w:val="0000FF"/>
        </w:rPr>
      </w:pPr>
      <w:hyperlink r:id="rId119">
        <w:r>
          <w:rPr>
            <w:rFonts w:ascii="Arial" w:cs="Arial" w:eastAsia="Arial" w:hAnsi="Arial"/>
            <w:sz w:val="18"/>
            <w:szCs w:val="18"/>
            <w:u w:val="single" w:color="auto"/>
            <w:color w:val="0000FF"/>
          </w:rPr>
          <w:t>10.12</w:t>
        </w:r>
      </w:hyperlink>
      <w:r>
        <w:rPr>
          <w:rFonts w:ascii="Arial" w:cs="Arial" w:eastAsia="Arial" w:hAnsi="Arial"/>
          <w:sz w:val="18"/>
          <w:szCs w:val="18"/>
          <w:color w:val="0000FF"/>
        </w:rPr>
        <w:tab/>
        <w:t>First Amendment to ICU Medical, Inc. Amended and Restated 2011 Stock Incentive Plan. Filed as an exhibit to Registrant's Annual Report on Form 10-K for the year ended December 31, 2019, filed March 2, 2020 (File No.001-34634) and incorporated herein by reference.</w:t>
      </w:r>
    </w:p>
    <w:p>
      <w:pPr>
        <w:spacing w:after="0" w:line="55" w:lineRule="exact"/>
        <w:rPr>
          <w:sz w:val="20"/>
          <w:szCs w:val="20"/>
          <w:color w:val="auto"/>
        </w:rPr>
      </w:pPr>
    </w:p>
    <w:p>
      <w:pPr>
        <w:ind w:left="860" w:right="220" w:hanging="858"/>
        <w:spacing w:after="0" w:line="235" w:lineRule="auto"/>
        <w:tabs>
          <w:tab w:leader="none" w:pos="840" w:val="left"/>
        </w:tabs>
        <w:rPr>
          <w:rFonts w:ascii="Arial" w:cs="Arial" w:eastAsia="Arial" w:hAnsi="Arial"/>
          <w:sz w:val="18"/>
          <w:szCs w:val="18"/>
          <w:color w:val="0000FF"/>
        </w:rPr>
      </w:pPr>
      <w:hyperlink r:id="rId120">
        <w:r>
          <w:rPr>
            <w:rFonts w:ascii="Arial" w:cs="Arial" w:eastAsia="Arial" w:hAnsi="Arial"/>
            <w:sz w:val="18"/>
            <w:szCs w:val="18"/>
            <w:u w:val="single" w:color="auto"/>
            <w:color w:val="0000FF"/>
          </w:rPr>
          <w:t>10</w:t>
        </w:r>
        <w:r>
          <w:rPr>
            <w:rFonts w:ascii="Arial" w:cs="Arial" w:eastAsia="Arial" w:hAnsi="Arial"/>
            <w:sz w:val="18"/>
            <w:szCs w:val="18"/>
            <w:color w:val="0000FF"/>
          </w:rPr>
          <w:t>.</w:t>
        </w:r>
      </w:hyperlink>
      <w:r>
        <w:rPr>
          <w:rFonts w:ascii="Arial" w:cs="Arial" w:eastAsia="Arial" w:hAnsi="Arial"/>
          <w:sz w:val="18"/>
          <w:szCs w:val="18"/>
          <w:color w:val="000000"/>
        </w:rPr>
        <w:t>13</w:t>
      </w:r>
      <w:r>
        <w:rPr>
          <w:rFonts w:ascii="Arial" w:cs="Arial" w:eastAsia="Arial" w:hAnsi="Arial"/>
          <w:sz w:val="18"/>
          <w:szCs w:val="18"/>
          <w:color w:val="0000FF"/>
        </w:rPr>
        <w:tab/>
        <w:t>2014 Inducement Stock Incentive Plan.* Filed as an Exhibit to Registrant's Current Report on Form 8-K filed February 26, 2014 (File No. 001-34634) and incorporated herein by reference.</w:t>
      </w:r>
    </w:p>
    <w:p>
      <w:pPr>
        <w:spacing w:after="0" w:line="94" w:lineRule="exact"/>
        <w:rPr>
          <w:sz w:val="20"/>
          <w:szCs w:val="20"/>
          <w:color w:val="auto"/>
        </w:rPr>
      </w:pPr>
    </w:p>
    <w:p>
      <w:pPr>
        <w:ind w:left="860" w:right="40" w:hanging="858"/>
        <w:spacing w:after="0" w:line="289" w:lineRule="auto"/>
        <w:tabs>
          <w:tab w:leader="none" w:pos="840" w:val="left"/>
        </w:tabs>
        <w:rPr>
          <w:rFonts w:ascii="Arial" w:cs="Arial" w:eastAsia="Arial" w:hAnsi="Arial"/>
          <w:sz w:val="18"/>
          <w:szCs w:val="18"/>
          <w:color w:val="0000FF"/>
        </w:rPr>
      </w:pPr>
      <w:hyperlink r:id="rId121">
        <w:r>
          <w:rPr>
            <w:rFonts w:ascii="Arial" w:cs="Arial" w:eastAsia="Arial" w:hAnsi="Arial"/>
            <w:sz w:val="18"/>
            <w:szCs w:val="18"/>
            <w:u w:val="single" w:color="auto"/>
            <w:color w:val="0000FF"/>
          </w:rPr>
          <w:t>10</w:t>
        </w:r>
      </w:hyperlink>
      <w:r>
        <w:rPr>
          <w:rFonts w:ascii="Arial" w:cs="Arial" w:eastAsia="Arial" w:hAnsi="Arial"/>
          <w:sz w:val="18"/>
          <w:szCs w:val="18"/>
          <w:color w:val="000000"/>
        </w:rPr>
        <w:t>.14</w:t>
      </w:r>
      <w:r>
        <w:rPr>
          <w:rFonts w:ascii="Arial" w:cs="Arial" w:eastAsia="Arial" w:hAnsi="Arial"/>
          <w:sz w:val="18"/>
          <w:szCs w:val="18"/>
          <w:color w:val="0000FF"/>
        </w:rPr>
        <w:tab/>
      </w:r>
      <w:r>
        <w:rPr>
          <w:rFonts w:ascii="Arial" w:cs="Arial" w:eastAsia="Arial" w:hAnsi="Arial"/>
          <w:sz w:val="16"/>
          <w:szCs w:val="16"/>
          <w:color w:val="0000FF"/>
        </w:rPr>
        <w:t>Amended and Restated Executive Employment Agreement, dated as of May 8, 2017, by and between ICU Medical, Inc. and Vivek Jain.* Filed as an Exhibit to Registrant's Current Report on Form 8-K filed May 8, 2017, and incorporated herein by reference.</w:t>
      </w:r>
    </w:p>
    <w:p>
      <w:pPr>
        <w:spacing w:after="0" w:line="56" w:lineRule="exact"/>
        <w:rPr>
          <w:sz w:val="20"/>
          <w:szCs w:val="20"/>
          <w:color w:val="auto"/>
        </w:rPr>
      </w:pPr>
    </w:p>
    <w:p>
      <w:pPr>
        <w:ind w:left="860" w:right="640" w:hanging="858"/>
        <w:spacing w:after="0" w:line="258" w:lineRule="auto"/>
        <w:tabs>
          <w:tab w:leader="none" w:pos="840" w:val="left"/>
        </w:tabs>
        <w:rPr>
          <w:rFonts w:ascii="Arial" w:cs="Arial" w:eastAsia="Arial" w:hAnsi="Arial"/>
          <w:sz w:val="18"/>
          <w:szCs w:val="18"/>
          <w:color w:val="0000FF"/>
        </w:rPr>
      </w:pPr>
      <w:hyperlink r:id="rId122">
        <w:r>
          <w:rPr>
            <w:rFonts w:ascii="Arial" w:cs="Arial" w:eastAsia="Arial" w:hAnsi="Arial"/>
            <w:sz w:val="18"/>
            <w:szCs w:val="18"/>
            <w:u w:val="single" w:color="auto"/>
            <w:color w:val="0000FF"/>
          </w:rPr>
          <w:t>10</w:t>
        </w:r>
        <w:r>
          <w:rPr>
            <w:rFonts w:ascii="Arial" w:cs="Arial" w:eastAsia="Arial" w:hAnsi="Arial"/>
            <w:sz w:val="18"/>
            <w:szCs w:val="18"/>
            <w:color w:val="0000FF"/>
          </w:rPr>
          <w:t>.</w:t>
        </w:r>
      </w:hyperlink>
      <w:r>
        <w:rPr>
          <w:rFonts w:ascii="Arial" w:cs="Arial" w:eastAsia="Arial" w:hAnsi="Arial"/>
          <w:sz w:val="18"/>
          <w:szCs w:val="18"/>
          <w:color w:val="000000"/>
        </w:rPr>
        <w:t>15</w:t>
      </w:r>
      <w:r>
        <w:rPr>
          <w:rFonts w:ascii="Arial" w:cs="Arial" w:eastAsia="Arial" w:hAnsi="Arial"/>
          <w:sz w:val="18"/>
          <w:szCs w:val="18"/>
          <w:color w:val="0000FF"/>
        </w:rPr>
        <w:tab/>
      </w:r>
      <w:r>
        <w:rPr>
          <w:rFonts w:ascii="Arial" w:cs="Arial" w:eastAsia="Arial" w:hAnsi="Arial"/>
          <w:sz w:val="17"/>
          <w:szCs w:val="17"/>
          <w:color w:val="0000FF"/>
        </w:rPr>
        <w:t>Buy-Out Agreement between Registrant and George A. Lopez, M.D. effective September 30, 2015.* Filed as an Exhibit to Registrant's Current Report on Form 8-K filed October 1, 2015, and incorporated herein by reference.</w:t>
      </w:r>
    </w:p>
    <w:p>
      <w:pPr>
        <w:spacing w:after="0" w:line="79" w:lineRule="exact"/>
        <w:rPr>
          <w:sz w:val="20"/>
          <w:szCs w:val="20"/>
          <w:color w:val="auto"/>
        </w:rPr>
      </w:pPr>
    </w:p>
    <w:p>
      <w:pPr>
        <w:ind w:left="860" w:right="220" w:hanging="858"/>
        <w:spacing w:after="0" w:line="258" w:lineRule="auto"/>
        <w:tabs>
          <w:tab w:leader="none" w:pos="840" w:val="left"/>
        </w:tabs>
        <w:rPr>
          <w:rFonts w:ascii="Arial" w:cs="Arial" w:eastAsia="Arial" w:hAnsi="Arial"/>
          <w:sz w:val="18"/>
          <w:szCs w:val="18"/>
          <w:color w:val="0000FF"/>
        </w:rPr>
      </w:pPr>
      <w:hyperlink r:id="rId123">
        <w:r>
          <w:rPr>
            <w:rFonts w:ascii="Arial" w:cs="Arial" w:eastAsia="Arial" w:hAnsi="Arial"/>
            <w:sz w:val="18"/>
            <w:szCs w:val="18"/>
            <w:u w:val="single" w:color="auto"/>
            <w:color w:val="0000FF"/>
          </w:rPr>
          <w:t>10.16</w:t>
        </w:r>
      </w:hyperlink>
      <w:r>
        <w:rPr>
          <w:rFonts w:ascii="Arial" w:cs="Arial" w:eastAsia="Arial" w:hAnsi="Arial"/>
          <w:sz w:val="18"/>
          <w:szCs w:val="18"/>
          <w:color w:val="0000FF"/>
        </w:rPr>
        <w:tab/>
      </w:r>
      <w:r>
        <w:rPr>
          <w:rFonts w:ascii="Arial" w:cs="Arial" w:eastAsia="Arial" w:hAnsi="Arial"/>
          <w:sz w:val="17"/>
          <w:szCs w:val="17"/>
          <w:color w:val="0000FF"/>
        </w:rPr>
        <w:t>Letter agreement between the Registrant and Alison Burcar, effective April 1, 2019. Filed as an Exhibit to Registrant's Quarterly Report on Form 10-Q for the Quarter ended March 31, 2019, and incorporated herein by reference.</w:t>
      </w:r>
    </w:p>
    <w:p>
      <w:pPr>
        <w:spacing w:after="0" w:line="3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Retirement and Separation Agreement, dated as of February 27, 2020, by and between ICU Medical, Inc. and Scott Lamb. Filed as</w:t>
      </w:r>
    </w:p>
    <w:p>
      <w:pPr>
        <w:spacing w:after="0" w:line="8" w:lineRule="exact"/>
        <w:rPr>
          <w:sz w:val="20"/>
          <w:szCs w:val="20"/>
          <w:color w:val="auto"/>
        </w:rPr>
      </w:pPr>
    </w:p>
    <w:p>
      <w:pPr>
        <w:spacing w:after="0"/>
        <w:tabs>
          <w:tab w:leader="none" w:pos="840" w:val="left"/>
        </w:tabs>
        <w:rPr>
          <w:rFonts w:ascii="Arial" w:cs="Arial" w:eastAsia="Arial" w:hAnsi="Arial"/>
          <w:sz w:val="18"/>
          <w:szCs w:val="18"/>
          <w:color w:val="0000FF"/>
        </w:rPr>
      </w:pPr>
      <w:hyperlink r:id="rId124">
        <w:r>
          <w:rPr>
            <w:rFonts w:ascii="Arial" w:cs="Arial" w:eastAsia="Arial" w:hAnsi="Arial"/>
            <w:sz w:val="18"/>
            <w:szCs w:val="18"/>
            <w:u w:val="single" w:color="auto"/>
            <w:color w:val="0000FF"/>
          </w:rPr>
          <w:t>10.17</w:t>
        </w:r>
      </w:hyperlink>
      <w:r>
        <w:rPr>
          <w:rFonts w:ascii="Arial" w:cs="Arial" w:eastAsia="Arial" w:hAnsi="Arial"/>
          <w:sz w:val="18"/>
          <w:szCs w:val="18"/>
          <w:color w:val="0000FF"/>
        </w:rPr>
        <w:tab/>
      </w:r>
      <w:r>
        <w:rPr>
          <w:rFonts w:ascii="Arial" w:cs="Arial" w:eastAsia="Arial" w:hAnsi="Arial"/>
          <w:sz w:val="16"/>
          <w:szCs w:val="16"/>
          <w:color w:val="0000FF"/>
        </w:rPr>
        <w:t>an Exhibit to Registrant’s Current Report on Form 8-K filed February 28, 2020 and incorporated herein by reference.</w:t>
      </w:r>
    </w:p>
    <w:p>
      <w:pPr>
        <w:spacing w:after="0" w:line="86" w:lineRule="exact"/>
        <w:rPr>
          <w:sz w:val="20"/>
          <w:szCs w:val="20"/>
          <w:color w:val="auto"/>
        </w:rPr>
      </w:pPr>
    </w:p>
    <w:p>
      <w:pPr>
        <w:spacing w:after="0"/>
        <w:tabs>
          <w:tab w:leader="none" w:pos="840" w:val="left"/>
        </w:tabs>
        <w:rPr>
          <w:rFonts w:ascii="Arial" w:cs="Arial" w:eastAsia="Arial" w:hAnsi="Arial"/>
          <w:sz w:val="18"/>
          <w:szCs w:val="18"/>
          <w:color w:val="0000FF"/>
        </w:rPr>
      </w:pPr>
      <w:hyperlink r:id="rId125">
        <w:r>
          <w:rPr>
            <w:rFonts w:ascii="Arial" w:cs="Arial" w:eastAsia="Arial" w:hAnsi="Arial"/>
            <w:sz w:val="18"/>
            <w:szCs w:val="18"/>
            <w:u w:val="single" w:color="auto"/>
            <w:color w:val="0000FF"/>
          </w:rPr>
          <w:t>10</w:t>
        </w:r>
        <w:r>
          <w:rPr>
            <w:rFonts w:ascii="Arial" w:cs="Arial" w:eastAsia="Arial" w:hAnsi="Arial"/>
            <w:sz w:val="18"/>
            <w:szCs w:val="18"/>
            <w:color w:val="0000FF"/>
          </w:rPr>
          <w:t>.</w:t>
        </w:r>
      </w:hyperlink>
      <w:r>
        <w:rPr>
          <w:rFonts w:ascii="Arial" w:cs="Arial" w:eastAsia="Arial" w:hAnsi="Arial"/>
          <w:sz w:val="18"/>
          <w:szCs w:val="18"/>
          <w:color w:val="000000"/>
        </w:rPr>
        <w:t>18</w:t>
      </w:r>
      <w:r>
        <w:rPr>
          <w:rFonts w:ascii="Arial" w:cs="Arial" w:eastAsia="Arial" w:hAnsi="Arial"/>
          <w:sz w:val="18"/>
          <w:szCs w:val="18"/>
          <w:color w:val="0000FF"/>
        </w:rPr>
        <w:tab/>
      </w:r>
      <w:r>
        <w:rPr>
          <w:rFonts w:ascii="Arial" w:cs="Arial" w:eastAsia="Arial" w:hAnsi="Arial"/>
          <w:sz w:val="16"/>
          <w:szCs w:val="16"/>
          <w:color w:val="0000FF"/>
        </w:rPr>
        <w:t>ICU Medical, Inc. Executive Severance Plan.* Filed as an Exhibit to Registrant’s Current Report on Form 8-K filed January 6,</w:t>
      </w:r>
    </w:p>
    <w:p>
      <w:pPr>
        <w:ind w:left="860"/>
        <w:spacing w:after="0"/>
        <w:rPr>
          <w:sz w:val="20"/>
          <w:szCs w:val="20"/>
          <w:color w:val="auto"/>
        </w:rPr>
      </w:pPr>
      <w:r>
        <w:rPr>
          <w:rFonts w:ascii="Arial" w:cs="Arial" w:eastAsia="Arial" w:hAnsi="Arial"/>
          <w:sz w:val="18"/>
          <w:szCs w:val="18"/>
          <w:color w:val="auto"/>
        </w:rPr>
        <w:t>2017, and incorporated herein by reference.</w:t>
      </w:r>
    </w:p>
    <w:p>
      <w:pPr>
        <w:spacing w:after="0" w:line="101" w:lineRule="exact"/>
        <w:rPr>
          <w:sz w:val="20"/>
          <w:szCs w:val="20"/>
          <w:color w:val="auto"/>
        </w:rPr>
      </w:pPr>
    </w:p>
    <w:p>
      <w:pPr>
        <w:ind w:left="860" w:hanging="858"/>
        <w:spacing w:after="0" w:line="235" w:lineRule="auto"/>
        <w:tabs>
          <w:tab w:leader="none" w:pos="840" w:val="left"/>
        </w:tabs>
        <w:rPr>
          <w:rFonts w:ascii="Arial" w:cs="Arial" w:eastAsia="Arial" w:hAnsi="Arial"/>
          <w:sz w:val="18"/>
          <w:szCs w:val="18"/>
          <w:color w:val="0000FF"/>
        </w:rPr>
      </w:pPr>
      <w:hyperlink r:id="rId126">
        <w:r>
          <w:rPr>
            <w:rFonts w:ascii="Arial" w:cs="Arial" w:eastAsia="Arial" w:hAnsi="Arial"/>
            <w:sz w:val="18"/>
            <w:szCs w:val="18"/>
            <w:u w:val="single" w:color="auto"/>
            <w:color w:val="0000FF"/>
          </w:rPr>
          <w:t>10.1</w:t>
        </w:r>
      </w:hyperlink>
      <w:r>
        <w:rPr>
          <w:rFonts w:ascii="Arial" w:cs="Arial" w:eastAsia="Arial" w:hAnsi="Arial"/>
          <w:sz w:val="18"/>
          <w:szCs w:val="18"/>
          <w:color w:val="000000"/>
        </w:rPr>
        <w:t>9</w:t>
      </w:r>
      <w:r>
        <w:rPr>
          <w:rFonts w:ascii="Arial" w:cs="Arial" w:eastAsia="Arial" w:hAnsi="Arial"/>
          <w:sz w:val="18"/>
          <w:szCs w:val="18"/>
          <w:color w:val="0000FF"/>
        </w:rPr>
        <w:tab/>
        <w:t>First Amendment to the ICU Medical, Inc. Executive Severance Plan. Filed as an Exhibit to Registrant's Current Report on Form 8-K filed January 6, 2020, and incorporated herein by reference.</w:t>
      </w:r>
    </w:p>
    <w:p>
      <w:pPr>
        <w:spacing w:after="0" w:line="94" w:lineRule="exact"/>
        <w:rPr>
          <w:sz w:val="20"/>
          <w:szCs w:val="20"/>
          <w:color w:val="auto"/>
        </w:rPr>
      </w:pPr>
    </w:p>
    <w:p>
      <w:pPr>
        <w:jc w:val="both"/>
        <w:ind w:left="860" w:right="140" w:hanging="858"/>
        <w:spacing w:after="0" w:line="237" w:lineRule="auto"/>
        <w:tabs>
          <w:tab w:leader="none" w:pos="840" w:val="left"/>
        </w:tabs>
        <w:rPr>
          <w:rFonts w:ascii="Arial" w:cs="Arial" w:eastAsia="Arial" w:hAnsi="Arial"/>
          <w:sz w:val="18"/>
          <w:szCs w:val="18"/>
          <w:color w:val="0000FF"/>
        </w:rPr>
      </w:pPr>
      <w:hyperlink r:id="rId127">
        <w:r>
          <w:rPr>
            <w:rFonts w:ascii="Arial" w:cs="Arial" w:eastAsia="Arial" w:hAnsi="Arial"/>
            <w:sz w:val="18"/>
            <w:szCs w:val="18"/>
            <w:u w:val="single" w:color="auto"/>
            <w:color w:val="0000FF"/>
          </w:rPr>
          <w:t>10</w:t>
        </w:r>
        <w:r>
          <w:rPr>
            <w:rFonts w:ascii="Arial" w:cs="Arial" w:eastAsia="Arial" w:hAnsi="Arial"/>
            <w:sz w:val="18"/>
            <w:szCs w:val="18"/>
            <w:color w:val="0000FF"/>
          </w:rPr>
          <w:t>.</w:t>
        </w:r>
      </w:hyperlink>
      <w:r>
        <w:rPr>
          <w:rFonts w:ascii="Arial" w:cs="Arial" w:eastAsia="Arial" w:hAnsi="Arial"/>
          <w:sz w:val="18"/>
          <w:szCs w:val="18"/>
          <w:color w:val="000000"/>
        </w:rPr>
        <w:t>20</w:t>
      </w:r>
      <w:r>
        <w:rPr>
          <w:rFonts w:ascii="Arial" w:cs="Arial" w:eastAsia="Arial" w:hAnsi="Arial"/>
          <w:sz w:val="18"/>
          <w:szCs w:val="18"/>
          <w:color w:val="0000FF"/>
        </w:rPr>
        <w:tab/>
      </w:r>
      <w:r>
        <w:rPr>
          <w:rFonts w:ascii="Arial" w:cs="Arial" w:eastAsia="Arial" w:hAnsi="Arial"/>
          <w:sz w:val="17"/>
          <w:szCs w:val="17"/>
          <w:color w:val="0000FF"/>
        </w:rPr>
        <w:t>Revolving Credit Agreement, dated as of November 8, 2017, among ICU Medical, Inc., as borrower, certain lenders party thereto and Wells Fargo Bank, N.A., as administrative agent and swingline lender. Filed as an Exhibit to Registrant's Quarterly Report on Form 10-Q for the Quarter ended September 30, 2017, and incorporated herein by reference.</w:t>
      </w:r>
    </w:p>
    <w:p>
      <w:pPr>
        <w:spacing w:after="0" w:line="55" w:lineRule="exact"/>
        <w:rPr>
          <w:sz w:val="20"/>
          <w:szCs w:val="20"/>
          <w:color w:val="auto"/>
        </w:rPr>
      </w:pPr>
    </w:p>
    <w:p>
      <w:pPr>
        <w:ind w:left="860" w:hanging="628"/>
        <w:spacing w:after="0"/>
        <w:tabs>
          <w:tab w:leader="none" w:pos="860" w:val="left"/>
        </w:tabs>
        <w:numPr>
          <w:ilvl w:val="0"/>
          <w:numId w:val="49"/>
        </w:numPr>
        <w:rPr>
          <w:rFonts w:ascii="Arial" w:cs="Arial" w:eastAsia="Arial" w:hAnsi="Arial"/>
          <w:sz w:val="18"/>
          <w:szCs w:val="18"/>
          <w:u w:val="single" w:color="auto"/>
          <w:color w:val="0000FF"/>
        </w:rPr>
      </w:pPr>
      <w:r>
        <w:rPr>
          <w:rFonts w:ascii="Arial" w:cs="Arial" w:eastAsia="Arial" w:hAnsi="Arial"/>
          <w:sz w:val="18"/>
          <w:szCs w:val="18"/>
          <w:color w:val="auto"/>
        </w:rPr>
        <w:t>Subsidiaries of Registrant.</w:t>
      </w:r>
    </w:p>
    <w:p>
      <w:pPr>
        <w:spacing w:after="0" w:line="252" w:lineRule="exact"/>
        <w:rPr>
          <w:sz w:val="20"/>
          <w:szCs w:val="20"/>
          <w:color w:val="auto"/>
        </w:rPr>
      </w:pPr>
    </w:p>
    <w:p>
      <w:pPr>
        <w:ind w:left="100"/>
        <w:spacing w:after="0"/>
        <w:tabs>
          <w:tab w:leader="none" w:pos="840" w:val="left"/>
        </w:tabs>
        <w:rPr>
          <w:rFonts w:ascii="Arial" w:cs="Arial" w:eastAsia="Arial" w:hAnsi="Arial"/>
          <w:sz w:val="18"/>
          <w:szCs w:val="18"/>
          <w:color w:val="0000FF"/>
        </w:rPr>
      </w:pPr>
      <w:hyperlink w:anchor="page103">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Deloitte &amp; Touche LLP</w:t>
      </w:r>
    </w:p>
    <w:p>
      <w:pPr>
        <w:spacing w:after="0" w:line="252" w:lineRule="exact"/>
        <w:rPr>
          <w:sz w:val="20"/>
          <w:szCs w:val="20"/>
          <w:color w:val="auto"/>
        </w:rPr>
      </w:pPr>
    </w:p>
    <w:p>
      <w:pPr>
        <w:ind w:left="100"/>
        <w:spacing w:after="0"/>
        <w:tabs>
          <w:tab w:leader="none" w:pos="840" w:val="left"/>
        </w:tabs>
        <w:rPr>
          <w:rFonts w:ascii="Arial" w:cs="Arial" w:eastAsia="Arial" w:hAnsi="Arial"/>
          <w:sz w:val="18"/>
          <w:szCs w:val="18"/>
          <w:color w:val="0000FF"/>
        </w:rPr>
      </w:pPr>
      <w:hyperlink w:anchor="page104">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pursuant to Section 302 of the Sarbanes-Oxley Act of 2002</w:t>
      </w:r>
    </w:p>
    <w:p>
      <w:pPr>
        <w:spacing w:after="0" w:line="252" w:lineRule="exact"/>
        <w:rPr>
          <w:sz w:val="20"/>
          <w:szCs w:val="20"/>
          <w:color w:val="auto"/>
        </w:rPr>
      </w:pPr>
    </w:p>
    <w:p>
      <w:pPr>
        <w:ind w:left="100"/>
        <w:spacing w:after="0"/>
        <w:tabs>
          <w:tab w:leader="none" w:pos="840" w:val="left"/>
        </w:tabs>
        <w:rPr>
          <w:rFonts w:ascii="Arial" w:cs="Arial" w:eastAsia="Arial" w:hAnsi="Arial"/>
          <w:sz w:val="18"/>
          <w:szCs w:val="18"/>
          <w:color w:val="0000FF"/>
        </w:rPr>
      </w:pPr>
      <w:hyperlink w:anchor="page105">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Chief Financial Officer pursuant to Section 302 of the Sarbanes-Oxley Act of 2002</w:t>
      </w:r>
    </w:p>
    <w:p>
      <w:pPr>
        <w:spacing w:after="0" w:line="252" w:lineRule="exact"/>
        <w:rPr>
          <w:sz w:val="20"/>
          <w:szCs w:val="20"/>
          <w:color w:val="auto"/>
        </w:rPr>
      </w:pPr>
    </w:p>
    <w:p>
      <w:pPr>
        <w:ind w:left="860" w:hanging="628"/>
        <w:spacing w:after="0"/>
        <w:tabs>
          <w:tab w:leader="none" w:pos="860" w:val="left"/>
        </w:tabs>
        <w:numPr>
          <w:ilvl w:val="0"/>
          <w:numId w:val="50"/>
        </w:numPr>
        <w:rPr>
          <w:rFonts w:ascii="Arial" w:cs="Arial" w:eastAsia="Arial" w:hAnsi="Arial"/>
          <w:sz w:val="16"/>
          <w:szCs w:val="16"/>
          <w:u w:val="single" w:color="auto"/>
          <w:color w:val="0000FF"/>
        </w:rPr>
      </w:pPr>
      <w:r>
        <w:rPr>
          <w:rFonts w:ascii="Arial" w:cs="Arial" w:eastAsia="Arial" w:hAnsi="Arial"/>
          <w:sz w:val="16"/>
          <w:szCs w:val="16"/>
          <w:color w:val="auto"/>
        </w:rPr>
        <w:t>Certifications of Chief Executive Officer and Chief Financial Officer pursuant to Section 906 of the Sarbanes-Oxley Act of 2002</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82" w:lineRule="exact"/>
        <w:rPr>
          <w:rFonts w:ascii="Arial" w:cs="Arial" w:eastAsia="Arial" w:hAnsi="Arial"/>
          <w:sz w:val="16"/>
          <w:szCs w:val="16"/>
          <w:u w:val="single" w:color="auto"/>
          <w:color w:val="0000FF"/>
        </w:rPr>
      </w:pPr>
    </w:p>
    <w:p>
      <w:pPr>
        <w:ind w:left="4720"/>
        <w:spacing w:after="0"/>
        <w:rPr>
          <w:rFonts w:ascii="Arial" w:cs="Arial" w:eastAsia="Arial" w:hAnsi="Arial"/>
          <w:sz w:val="16"/>
          <w:szCs w:val="16"/>
          <w:u w:val="single" w:color="auto"/>
          <w:color w:val="0000FF"/>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1140" w:top="1030" w:right="419" w:bottom="1440" w:gutter="0" w:footer="0" w:header="0"/>
        </w:sectPr>
      </w:pPr>
    </w:p>
    <w:bookmarkStart w:id="96" w:name="page97"/>
    <w:bookmarkEnd w:id="96"/>
    <w:p>
      <w:pPr>
        <w:ind w:left="20"/>
        <w:spacing w:after="0"/>
        <w:rPr>
          <w:sz w:val="20"/>
          <w:szCs w:val="20"/>
          <w:color w:val="auto"/>
        </w:rPr>
      </w:pPr>
      <w:r>
        <w:rPr>
          <w:rFonts w:ascii="Arial" w:cs="Arial" w:eastAsia="Arial" w:hAnsi="Arial"/>
          <w:sz w:val="17"/>
          <w:szCs w:val="17"/>
          <w:color w:val="auto"/>
        </w:rPr>
        <w:t>Exhibit 101.INS</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The instance document does not appear in the interactive data file because its XBRL (Extensible Business Reporting Language) tags are embedded within the Inline XBRL document.</w:t>
      </w:r>
    </w:p>
    <w:p>
      <w:pPr>
        <w:spacing w:after="0" w:line="1" w:lineRule="exact"/>
        <w:rPr>
          <w:sz w:val="20"/>
          <w:szCs w:val="20"/>
          <w:color w:val="auto"/>
        </w:rPr>
      </w:pPr>
    </w:p>
    <w:p>
      <w:pPr>
        <w:sectPr>
          <w:pgSz w:w="11900" w:h="16838" w:orient="portrait"/>
          <w:cols w:equalWidth="0" w:num="2">
            <w:col w:w="1820" w:space="720"/>
            <w:col w:w="8400"/>
          </w:cols>
          <w:pgMar w:left="320" w:top="1030" w:right="639" w:bottom="1440" w:gutter="0" w:footer="0" w:header="0"/>
        </w:sectPr>
      </w:pPr>
    </w:p>
    <w:p>
      <w:pPr>
        <w:ind w:left="20"/>
        <w:spacing w:after="0"/>
        <w:rPr>
          <w:sz w:val="20"/>
          <w:szCs w:val="20"/>
          <w:color w:val="auto"/>
        </w:rPr>
      </w:pPr>
      <w:r>
        <w:rPr>
          <w:rFonts w:ascii="Arial" w:cs="Arial" w:eastAsia="Arial" w:hAnsi="Arial"/>
          <w:sz w:val="16"/>
          <w:szCs w:val="16"/>
          <w:color w:val="auto"/>
        </w:rPr>
        <w:t>Exhibit 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46" w:lineRule="exact"/>
        <w:rPr>
          <w:sz w:val="20"/>
          <w:szCs w:val="20"/>
          <w:color w:val="auto"/>
        </w:rPr>
      </w:pPr>
    </w:p>
    <w:p>
      <w:pPr>
        <w:sectPr>
          <w:pgSz w:w="11900" w:h="16838" w:orient="portrait"/>
          <w:cols w:equalWidth="0" w:num="2">
            <w:col w:w="1820" w:space="720"/>
            <w:col w:w="8400"/>
          </w:cols>
          <w:pgMar w:left="320" w:top="1030" w:right="6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Exhibit 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45" w:lineRule="exact"/>
        <w:rPr>
          <w:sz w:val="20"/>
          <w:szCs w:val="20"/>
          <w:color w:val="auto"/>
        </w:rPr>
      </w:pPr>
    </w:p>
    <w:p>
      <w:pPr>
        <w:sectPr>
          <w:pgSz w:w="11900" w:h="16838" w:orient="portrait"/>
          <w:cols w:equalWidth="0" w:num="2">
            <w:col w:w="1820" w:space="720"/>
            <w:col w:w="8400"/>
          </w:cols>
          <w:pgMar w:left="320" w:top="1030" w:right="6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Exhibit 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45" w:lineRule="exact"/>
        <w:rPr>
          <w:sz w:val="20"/>
          <w:szCs w:val="20"/>
          <w:color w:val="auto"/>
        </w:rPr>
      </w:pPr>
    </w:p>
    <w:p>
      <w:pPr>
        <w:sectPr>
          <w:pgSz w:w="11900" w:h="16838" w:orient="portrait"/>
          <w:cols w:equalWidth="0" w:num="2">
            <w:col w:w="1820" w:space="720"/>
            <w:col w:w="8400"/>
          </w:cols>
          <w:pgMar w:left="320" w:top="1030" w:right="6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Exhibit 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46" w:lineRule="exact"/>
        <w:rPr>
          <w:sz w:val="20"/>
          <w:szCs w:val="20"/>
          <w:color w:val="auto"/>
        </w:rPr>
      </w:pPr>
    </w:p>
    <w:p>
      <w:pPr>
        <w:sectPr>
          <w:pgSz w:w="11900" w:h="16838" w:orient="portrait"/>
          <w:cols w:equalWidth="0" w:num="2">
            <w:col w:w="1820" w:space="720"/>
            <w:col w:w="8400"/>
          </w:cols>
          <w:pgMar w:left="320" w:top="1030" w:right="6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Exhibit 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5" w:lineRule="exact"/>
        <w:rPr>
          <w:sz w:val="20"/>
          <w:szCs w:val="20"/>
          <w:color w:val="auto"/>
        </w:rPr>
      </w:pPr>
    </w:p>
    <w:p>
      <w:pPr>
        <w:sectPr>
          <w:pgSz w:w="11900" w:h="16838" w:orient="portrait"/>
          <w:cols w:equalWidth="0" w:num="2">
            <w:col w:w="1820" w:space="720"/>
            <w:col w:w="8400"/>
          </w:cols>
          <w:pgMar w:left="320" w:top="1030" w:right="6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 (embedded within the Inline XBRL document).</w:t>
      </w:r>
    </w:p>
    <w:p>
      <w:pPr>
        <w:spacing w:after="0" w:line="112" w:lineRule="exact"/>
        <w:rPr>
          <w:sz w:val="20"/>
          <w:szCs w:val="20"/>
          <w:color w:val="auto"/>
        </w:rPr>
      </w:pPr>
    </w:p>
    <w:p>
      <w:pPr>
        <w:sectPr>
          <w:pgSz w:w="11900" w:h="16838" w:orient="portrait"/>
          <w:cols w:equalWidth="0" w:num="2">
            <w:col w:w="1820" w:space="720"/>
            <w:col w:w="8400"/>
          </w:cols>
          <w:pgMar w:left="320" w:top="1030" w:right="6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plan or other arrangement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030" w:right="6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ICU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VALUATION AND QUALIFYING ACCOUNTS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Write-off/</w:t>
            </w:r>
          </w:p>
        </w:tc>
        <w:tc>
          <w:tcPr>
            <w:tcW w:w="200" w:type="dxa"/>
            <w:vAlign w:val="bottom"/>
          </w:tcPr>
          <w:p>
            <w:pPr>
              <w:spacing w:after="0"/>
              <w:rPr>
                <w:sz w:val="11"/>
                <w:szCs w:val="11"/>
                <w:color w:val="auto"/>
              </w:rPr>
            </w:pPr>
          </w:p>
        </w:tc>
        <w:tc>
          <w:tcPr>
            <w:tcW w:w="92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68"/>
        </w:trPr>
        <w:tc>
          <w:tcPr>
            <w:tcW w:w="4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5"/>
                <w:szCs w:val="5"/>
                <w:color w:val="auto"/>
              </w:rPr>
            </w:pPr>
          </w:p>
        </w:tc>
        <w:tc>
          <w:tcPr>
            <w:tcW w:w="10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Costs and</w:t>
            </w: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restart"/>
          </w:tcPr>
          <w:p>
            <w:pPr>
              <w:jc w:val="center"/>
              <w:ind w:right="94"/>
              <w:spacing w:after="0" w:line="135"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68"/>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Other Accounts</w:t>
            </w:r>
          </w:p>
        </w:tc>
        <w:tc>
          <w:tcPr>
            <w:tcW w:w="140" w:type="dxa"/>
            <w:vAlign w:val="bottom"/>
          </w:tcPr>
          <w:p>
            <w:pPr>
              <w:spacing w:after="0"/>
              <w:rPr>
                <w:sz w:val="5"/>
                <w:szCs w:val="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Disposals</w:t>
            </w: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69"/>
        </w:trPr>
        <w:tc>
          <w:tcPr>
            <w:tcW w:w="4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and return reserve - accounts receivable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Warranty and return reserve - inventory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and return reserve - accounts receivable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Warranty and return reserve - inventory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21,490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and return reserve - accounts receivable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Warranty and return reserve - inventory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ind w:left="72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30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ICU MEDICAL, INC.</w:t>
      </w:r>
    </w:p>
    <w:p>
      <w:pPr>
        <w:spacing w:after="0" w:line="217" w:lineRule="exact"/>
        <w:rPr>
          <w:sz w:val="20"/>
          <w:szCs w:val="20"/>
          <w:color w:val="auto"/>
        </w:rPr>
      </w:pPr>
    </w:p>
    <w:tbl>
      <w:tblPr>
        <w:tblLayout w:type="fixed"/>
        <w:tblInd w:w="5540" w:type="dxa"/>
        <w:tblCellMar>
          <w:top w:w="0" w:type="dxa"/>
          <w:left w:w="0" w:type="dxa"/>
          <w:bottom w:w="0" w:type="dxa"/>
          <w:right w:w="0" w:type="dxa"/>
        </w:tblCellMar>
      </w:tblPr>
      <w:tr>
        <w:trPr>
          <w:trHeight w:val="188"/>
        </w:trPr>
        <w:tc>
          <w:tcPr>
            <w:tcW w:w="900" w:type="dxa"/>
            <w:vAlign w:val="bottom"/>
          </w:tcPr>
          <w:p>
            <w:pPr>
              <w:spacing w:after="0"/>
              <w:rPr>
                <w:sz w:val="20"/>
                <w:szCs w:val="20"/>
                <w:color w:val="auto"/>
              </w:rPr>
            </w:pPr>
            <w:r>
              <w:rPr>
                <w:rFonts w:ascii="Arial" w:cs="Arial" w:eastAsia="Arial" w:hAnsi="Arial"/>
                <w:sz w:val="14"/>
                <w:szCs w:val="14"/>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Vivek Jain</w:t>
            </w:r>
          </w:p>
        </w:tc>
      </w:tr>
      <w:tr>
        <w:trPr>
          <w:trHeight w:val="182"/>
        </w:trPr>
        <w:tc>
          <w:tcPr>
            <w:tcW w:w="9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Arial" w:cs="Arial" w:eastAsia="Arial" w:hAnsi="Arial"/>
                <w:sz w:val="14"/>
                <w:szCs w:val="14"/>
                <w:color w:val="auto"/>
              </w:rPr>
              <w:t>Vivek Jain</w:t>
            </w:r>
          </w:p>
        </w:tc>
      </w:tr>
      <w:tr>
        <w:trPr>
          <w:trHeight w:val="184"/>
        </w:trPr>
        <w:tc>
          <w:tcPr>
            <w:tcW w:w="9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Arial" w:cs="Arial" w:eastAsia="Arial" w:hAnsi="Arial"/>
                <w:sz w:val="14"/>
                <w:szCs w:val="14"/>
                <w:color w:val="auto"/>
              </w:rPr>
              <w:t>Chairman of the Board and Chief Executive Officer</w:t>
            </w:r>
          </w:p>
        </w:tc>
      </w:tr>
      <w:tr>
        <w:trPr>
          <w:trHeight w:val="378"/>
        </w:trPr>
        <w:tc>
          <w:tcPr>
            <w:tcW w:w="900" w:type="dxa"/>
            <w:vAlign w:val="bottom"/>
          </w:tcPr>
          <w:p>
            <w:pPr>
              <w:spacing w:after="0"/>
              <w:rPr>
                <w:sz w:val="20"/>
                <w:szCs w:val="20"/>
                <w:color w:val="auto"/>
              </w:rPr>
            </w:pPr>
            <w:r>
              <w:rPr>
                <w:rFonts w:ascii="Arial" w:cs="Arial" w:eastAsia="Arial" w:hAnsi="Arial"/>
                <w:sz w:val="14"/>
                <w:szCs w:val="14"/>
                <w:color w:val="auto"/>
              </w:rPr>
              <w:t>Dated:</w:t>
            </w:r>
          </w:p>
        </w:tc>
        <w:tc>
          <w:tcPr>
            <w:tcW w:w="4760" w:type="dxa"/>
            <w:vAlign w:val="bottom"/>
          </w:tcPr>
          <w:p>
            <w:pPr>
              <w:ind w:left="20"/>
              <w:spacing w:after="0"/>
              <w:rPr>
                <w:sz w:val="20"/>
                <w:szCs w:val="20"/>
                <w:color w:val="auto"/>
              </w:rPr>
            </w:pPr>
            <w:r>
              <w:rPr>
                <w:rFonts w:ascii="Arial" w:cs="Arial" w:eastAsia="Arial" w:hAnsi="Arial"/>
                <w:sz w:val="14"/>
                <w:szCs w:val="14"/>
                <w:color w:val="auto"/>
              </w:rPr>
              <w:t>February 26, 2021</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and on the dates indicated.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Signature</w:t>
            </w:r>
          </w:p>
        </w:tc>
        <w:tc>
          <w:tcPr>
            <w:tcW w:w="460" w:type="dxa"/>
            <w:vAlign w:val="bottom"/>
          </w:tcPr>
          <w:p>
            <w:pPr>
              <w:spacing w:after="0"/>
              <w:rPr>
                <w:sz w:val="16"/>
                <w:szCs w:val="16"/>
                <w:color w:val="auto"/>
              </w:rPr>
            </w:pPr>
          </w:p>
        </w:tc>
        <w:tc>
          <w:tcPr>
            <w:tcW w:w="35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6"/>
                <w:szCs w:val="16"/>
                <w:color w:val="auto"/>
              </w:rPr>
            </w:pPr>
          </w:p>
        </w:tc>
        <w:tc>
          <w:tcPr>
            <w:tcW w:w="310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Date</w:t>
            </w:r>
          </w:p>
        </w:tc>
      </w:tr>
      <w:tr>
        <w:trPr>
          <w:trHeight w:val="37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Vivek Jain</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Chairman of the Board and</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Vivek Jain</w:t>
            </w:r>
          </w:p>
        </w:tc>
        <w:tc>
          <w:tcPr>
            <w:tcW w:w="46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Chief Executive Officer</w:t>
            </w:r>
          </w:p>
        </w:tc>
        <w:tc>
          <w:tcPr>
            <w:tcW w:w="3100" w:type="dxa"/>
            <w:vAlign w:val="bottom"/>
          </w:tcPr>
          <w:p>
            <w:pPr>
              <w:spacing w:after="0"/>
              <w:rPr>
                <w:sz w:val="15"/>
                <w:szCs w:val="15"/>
                <w:color w:val="auto"/>
              </w:rPr>
            </w:pPr>
          </w:p>
        </w:tc>
      </w:tr>
      <w:tr>
        <w:trPr>
          <w:trHeight w:val="184"/>
        </w:trPr>
        <w:tc>
          <w:tcPr>
            <w:tcW w:w="3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c>
          <w:tcPr>
            <w:tcW w:w="3100" w:type="dxa"/>
            <w:vAlign w:val="bottom"/>
          </w:tcPr>
          <w:p>
            <w:pPr>
              <w:spacing w:after="0"/>
              <w:rPr>
                <w:sz w:val="15"/>
                <w:szCs w:val="15"/>
                <w:color w:val="auto"/>
              </w:rPr>
            </w:pPr>
          </w:p>
        </w:tc>
      </w:tr>
      <w:tr>
        <w:trPr>
          <w:trHeight w:val="45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Brian M. Bonnell</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Chief Financial Officer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Brian M. Bonnell</w:t>
            </w:r>
          </w:p>
        </w:tc>
        <w:tc>
          <w:tcPr>
            <w:tcW w:w="46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(Principal Financial Officer)</w:t>
            </w:r>
          </w:p>
        </w:tc>
        <w:tc>
          <w:tcPr>
            <w:tcW w:w="3100" w:type="dxa"/>
            <w:vAlign w:val="bottom"/>
          </w:tcPr>
          <w:p>
            <w:pPr>
              <w:spacing w:after="0"/>
              <w:rPr>
                <w:sz w:val="15"/>
                <w:szCs w:val="15"/>
                <w:color w:val="auto"/>
              </w:rPr>
            </w:pPr>
          </w:p>
        </w:tc>
      </w:tr>
      <w:tr>
        <w:trPr>
          <w:trHeight w:val="37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Kevin J. McGrody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Chief Accounting Officer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Kevin J. McGrody</w:t>
            </w:r>
          </w:p>
        </w:tc>
        <w:tc>
          <w:tcPr>
            <w:tcW w:w="46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(Principal Accounting Officer)</w:t>
            </w:r>
          </w:p>
        </w:tc>
        <w:tc>
          <w:tcPr>
            <w:tcW w:w="3100" w:type="dxa"/>
            <w:vAlign w:val="bottom"/>
          </w:tcPr>
          <w:p>
            <w:pPr>
              <w:spacing w:after="0"/>
              <w:rPr>
                <w:sz w:val="15"/>
                <w:szCs w:val="15"/>
                <w:color w:val="auto"/>
              </w:rPr>
            </w:pPr>
          </w:p>
        </w:tc>
      </w:tr>
      <w:tr>
        <w:trPr>
          <w:trHeight w:val="37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George A. Lopez, M.D.</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George A. Lopez, M.D.</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44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Robert S. Swinney, M.D.</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Robert S. Swinney, M.D.</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37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C. Greenberg</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David C. Greenberg</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37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Elisha W. Finney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Elisha W. Finney</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44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F. Hoffmeister</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David F. Hoffmeister</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44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Donald M. Abbey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26, 2021</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Donald M. Abbey</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320" w:top="891" w:right="3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w w:val="89"/>
              </w:rPr>
              <w:t>Exhibit 10.5</w:t>
            </w:r>
          </w:p>
        </w:tc>
      </w:tr>
      <w:tr>
        <w:trPr>
          <w:trHeight w:val="459"/>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40" w:type="dxa"/>
            <w:vAlign w:val="bottom"/>
            <w:gridSpan w:val="2"/>
          </w:tcPr>
          <w:p>
            <w:pPr>
              <w:ind w:left="1960"/>
              <w:spacing w:after="0"/>
              <w:rPr>
                <w:sz w:val="20"/>
                <w:szCs w:val="20"/>
                <w:color w:val="auto"/>
              </w:rPr>
            </w:pPr>
            <w:r>
              <w:rPr>
                <w:rFonts w:ascii="Arial" w:cs="Arial" w:eastAsia="Arial" w:hAnsi="Arial"/>
                <w:sz w:val="18"/>
                <w:szCs w:val="18"/>
                <w:b w:val="1"/>
                <w:bCs w:val="1"/>
                <w:color w:val="auto"/>
              </w:rPr>
              <w:t>Executive Officer Compensation</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9860" w:type="dxa"/>
            <w:vAlign w:val="bottom"/>
            <w:gridSpan w:val="5"/>
          </w:tcPr>
          <w:p>
            <w:pPr>
              <w:spacing w:after="0"/>
              <w:rPr>
                <w:sz w:val="20"/>
                <w:szCs w:val="20"/>
                <w:color w:val="auto"/>
              </w:rPr>
            </w:pPr>
            <w:r>
              <w:rPr>
                <w:rFonts w:ascii="Arial" w:cs="Arial" w:eastAsia="Arial" w:hAnsi="Arial"/>
                <w:sz w:val="18"/>
                <w:szCs w:val="18"/>
                <w:color w:val="auto"/>
              </w:rPr>
              <w:t>The annual base salaries for our executive officers as of January 1, 2020 are as follows: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4"/>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40" w:type="dxa"/>
            <w:vAlign w:val="bottom"/>
            <w:gridSpan w:val="2"/>
          </w:tcPr>
          <w:p>
            <w:pPr>
              <w:ind w:left="342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Vivek Jain</w:t>
            </w:r>
          </w:p>
        </w:tc>
        <w:tc>
          <w:tcPr>
            <w:tcW w:w="300" w:type="dxa"/>
            <w:vAlign w:val="bottom"/>
          </w:tcPr>
          <w:p>
            <w:pPr>
              <w:spacing w:after="0"/>
              <w:rPr>
                <w:sz w:val="19"/>
                <w:szCs w:val="19"/>
                <w:color w:val="auto"/>
              </w:rPr>
            </w:pPr>
          </w:p>
        </w:tc>
        <w:tc>
          <w:tcPr>
            <w:tcW w:w="7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Christian Voigtlander</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Chief Operating Officer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420,000</w:t>
            </w:r>
          </w:p>
        </w:tc>
        <w:tc>
          <w:tcPr>
            <w:tcW w:w="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Brian M. Bonnell</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Treasurer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395,000</w:t>
            </w:r>
          </w:p>
        </w:tc>
        <w:tc>
          <w:tcPr>
            <w:tcW w:w="1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Scott E. Lamb*</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Former Chief Financial Officer and Treasurer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395,150</w:t>
            </w:r>
          </w:p>
        </w:tc>
        <w:tc>
          <w:tcPr>
            <w:tcW w:w="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Daniel Woolson</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Corporate Vice President, General Manager - Infusion Systems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Virginia Sanzone</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Corporate Vice President, General Counsel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Scott E. Lamb, our former Chief Financial Officer and Treasurer, retired from that role effective March 3, 2020 , and continued to serve as an advisor to</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for a transition period ending on April 3, 2020. Effective March 3, 2020, Mr. Bonnell was promoted to Chief Financial Officer and Treasurer from his former position of Corporate Vice President, Finance.</w:t>
      </w:r>
    </w:p>
    <w:p>
      <w:pPr>
        <w:sectPr>
          <w:pgSz w:w="11900" w:h="16838" w:orient="portrait"/>
          <w:cols w:equalWidth="0" w:num="1">
            <w:col w:w="11240"/>
          </w:cols>
          <w:pgMar w:left="320" w:top="89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10.6</w:t>
      </w:r>
    </w:p>
    <w:p>
      <w:pPr>
        <w:spacing w:after="0" w:line="25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Non-Employee Director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pay our non-employee directors the following:</w:t>
      </w:r>
    </w:p>
    <w:p>
      <w:pPr>
        <w:spacing w:after="0" w:line="252" w:lineRule="exact"/>
        <w:rPr>
          <w:sz w:val="20"/>
          <w:szCs w:val="20"/>
          <w:color w:val="auto"/>
        </w:rPr>
      </w:pPr>
    </w:p>
    <w:p>
      <w:pPr>
        <w:ind w:left="1940" w:hanging="636"/>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retainer of $93,500 for the Lead Director</w:t>
      </w:r>
    </w:p>
    <w:p>
      <w:pPr>
        <w:spacing w:after="0" w:line="23" w:lineRule="exact"/>
        <w:rPr>
          <w:rFonts w:ascii="Arial" w:cs="Arial" w:eastAsia="Arial" w:hAnsi="Arial"/>
          <w:sz w:val="18"/>
          <w:szCs w:val="18"/>
          <w:color w:val="auto"/>
        </w:rPr>
      </w:pPr>
    </w:p>
    <w:p>
      <w:pPr>
        <w:ind w:left="1940" w:hanging="636"/>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retainer of $97,000 for the Chairperson of the Audit Committee</w:t>
      </w:r>
    </w:p>
    <w:p>
      <w:pPr>
        <w:spacing w:after="0" w:line="9" w:lineRule="exact"/>
        <w:rPr>
          <w:rFonts w:ascii="Arial" w:cs="Arial" w:eastAsia="Arial" w:hAnsi="Arial"/>
          <w:sz w:val="18"/>
          <w:szCs w:val="18"/>
          <w:color w:val="auto"/>
        </w:rPr>
      </w:pPr>
    </w:p>
    <w:p>
      <w:pPr>
        <w:ind w:left="1940" w:hanging="636"/>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retainer of $87,500 for the Chairperson of the Compensation Committee</w:t>
      </w:r>
    </w:p>
    <w:p>
      <w:pPr>
        <w:spacing w:after="0" w:line="9" w:lineRule="exact"/>
        <w:rPr>
          <w:rFonts w:ascii="Arial" w:cs="Arial" w:eastAsia="Arial" w:hAnsi="Arial"/>
          <w:sz w:val="18"/>
          <w:szCs w:val="18"/>
          <w:color w:val="auto"/>
        </w:rPr>
      </w:pPr>
    </w:p>
    <w:p>
      <w:pPr>
        <w:ind w:left="1940" w:hanging="636"/>
        <w:spacing w:after="0"/>
        <w:tabs>
          <w:tab w:leader="none" w:pos="19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retainer of $85,000 for the Chairperson of the Nominating and Governance Committee</w:t>
      </w:r>
    </w:p>
    <w:p>
      <w:pPr>
        <w:spacing w:after="0" w:line="2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equity component of the director's compensation is valued at $170,000. The annual equity package consists of 50% in stock options and 50% in restricted stock units. The options become exercisable one year after the grant date and expire ten years after the grant date. The restricted stock units vest one year from the grant date.</w:t>
      </w:r>
    </w:p>
    <w:p>
      <w:pPr>
        <w:sectPr>
          <w:pgSz w:w="11900" w:h="16838" w:orient="portrait"/>
          <w:cols w:equalWidth="0" w:num="1">
            <w:col w:w="11240"/>
          </w:cols>
          <w:pgMar w:left="320" w:top="89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7160" w:type="dxa"/>
            <w:vAlign w:val="bottom"/>
            <w:gridSpan w:val="5"/>
          </w:tcPr>
          <w:p>
            <w:pPr>
              <w:ind w:left="560"/>
              <w:spacing w:after="0"/>
              <w:rPr>
                <w:sz w:val="20"/>
                <w:szCs w:val="20"/>
                <w:color w:val="auto"/>
              </w:rPr>
            </w:pPr>
            <w:r>
              <w:rPr>
                <w:rFonts w:ascii="Arial" w:cs="Arial" w:eastAsia="Arial" w:hAnsi="Arial"/>
                <w:sz w:val="18"/>
                <w:szCs w:val="18"/>
                <w:b w:val="1"/>
                <w:bCs w:val="1"/>
                <w:color w:val="auto"/>
              </w:rPr>
              <w:t>Subsidiaries of Registrant</w:t>
            </w:r>
          </w:p>
        </w:tc>
      </w:tr>
      <w:tr>
        <w:trPr>
          <w:trHeight w:val="325"/>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60" w:type="dxa"/>
            <w:vAlign w:val="bottom"/>
            <w:tcBorders>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1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State or Country of Incorporation</w:t>
            </w:r>
          </w:p>
        </w:tc>
      </w:tr>
      <w:tr>
        <w:trPr>
          <w:trHeight w:val="188"/>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Sales, Inc.</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de Mexico, S. de R. L. de C.V.</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Europe S.r.l.</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Italy</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World, Inc.</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Germany GmbH</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Germany</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B.V.</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Netherlands</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Australia Holdings Pty Limited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SA Pty Ltd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South Africa</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 Holding Corp.</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Tangent Medical Technologies, Inc.</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Excelsior Medical Corporation</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France S.A.S.</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Canada Inc.</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Latam LLC</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UK Medical Limited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Ireland Limited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Ireland</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Argentina S.R.L.</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Argentina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Costa Rica, Ltd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Bahamas</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Bahamas, Ltd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Bahamas</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Chile Limitada</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Chile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Hospira Chile Limitada</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Chile</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Colombia Limitada</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Colombia</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HIS Mexico S. de R.L. de C.V.</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Mexico</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Peru S.R.L.</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Peru</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Australia Pty Limited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Medical Australia Pty Limited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Medivet Pty Ltd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Hong Kong Limited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India LLP</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Philippines, Inc.</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Philippines</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Unlimited Company</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Ireland</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Italia S.r.l.</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Italy</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Productos Farmacéuticos y Hospitalarios, S.L.</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Spain</w:t>
            </w:r>
          </w:p>
        </w:tc>
      </w:tr>
      <w:tr>
        <w:trPr>
          <w:trHeight w:val="182"/>
        </w:trPr>
        <w:tc>
          <w:tcPr>
            <w:tcW w:w="4040" w:type="dxa"/>
            <w:vAlign w:val="bottom"/>
          </w:tcPr>
          <w:p>
            <w:pPr>
              <w:ind w:left="20"/>
              <w:spacing w:after="0"/>
              <w:rPr>
                <w:sz w:val="20"/>
                <w:szCs w:val="20"/>
                <w:color w:val="auto"/>
              </w:rPr>
            </w:pPr>
            <w:r>
              <w:rPr>
                <w:rFonts w:ascii="Arial" w:cs="Arial" w:eastAsia="Arial" w:hAnsi="Arial"/>
                <w:sz w:val="14"/>
                <w:szCs w:val="14"/>
                <w:color w:val="auto"/>
              </w:rPr>
              <w:t>ICU Medical Aust MLA Pty Limited</w:t>
            </w:r>
          </w:p>
        </w:tc>
        <w:tc>
          <w:tcPr>
            <w:tcW w:w="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Australia</w:t>
            </w:r>
          </w:p>
        </w:tc>
      </w:tr>
    </w:tbl>
    <w:p>
      <w:pPr>
        <w:sectPr>
          <w:pgSz w:w="11900" w:h="16838" w:orient="portrait"/>
          <w:cols w:equalWidth="0" w:num="1">
            <w:col w:w="11220"/>
          </w:cols>
          <w:pgMar w:left="340" w:top="89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 xml:space="preserve">We consent to the incorporation by reference in Registration Statement No. </w:t>
      </w:r>
      <w:r>
        <w:rPr>
          <w:rFonts w:ascii="Arial" w:cs="Arial" w:eastAsia="Arial" w:hAnsi="Arial"/>
          <w:sz w:val="18"/>
          <w:szCs w:val="18"/>
          <w:color w:val="212121"/>
        </w:rPr>
        <w:t>333-90462,</w:t>
      </w:r>
      <w:r>
        <w:rPr>
          <w:rFonts w:ascii="Arial" w:cs="Arial" w:eastAsia="Arial" w:hAnsi="Arial"/>
          <w:sz w:val="18"/>
          <w:szCs w:val="18"/>
          <w:color w:val="auto"/>
        </w:rPr>
        <w:t xml:space="preserve"> </w:t>
      </w:r>
      <w:r>
        <w:rPr>
          <w:rFonts w:ascii="Arial" w:cs="Arial" w:eastAsia="Arial" w:hAnsi="Arial"/>
          <w:sz w:val="18"/>
          <w:szCs w:val="18"/>
          <w:color w:val="111111"/>
        </w:rPr>
        <w:t>333-90464,</w:t>
      </w:r>
      <w:r>
        <w:rPr>
          <w:rFonts w:ascii="Arial" w:cs="Arial" w:eastAsia="Arial" w:hAnsi="Arial"/>
          <w:sz w:val="18"/>
          <w:szCs w:val="18"/>
          <w:color w:val="auto"/>
        </w:rPr>
        <w:t xml:space="preserve"> </w:t>
      </w:r>
      <w:r>
        <w:rPr>
          <w:rFonts w:ascii="Arial" w:cs="Arial" w:eastAsia="Arial" w:hAnsi="Arial"/>
          <w:sz w:val="18"/>
          <w:szCs w:val="18"/>
          <w:color w:val="212121"/>
        </w:rPr>
        <w:t>333-175239, 333-198256, and 333-219106</w:t>
      </w:r>
      <w:r>
        <w:rPr>
          <w:rFonts w:ascii="Arial" w:cs="Arial" w:eastAsia="Arial" w:hAnsi="Arial"/>
          <w:sz w:val="18"/>
          <w:szCs w:val="18"/>
          <w:color w:val="auto"/>
        </w:rPr>
        <w:t xml:space="preserve"> </w:t>
      </w:r>
      <w:r>
        <w:rPr>
          <w:rFonts w:ascii="Arial" w:cs="Arial" w:eastAsia="Arial" w:hAnsi="Arial"/>
          <w:sz w:val="18"/>
          <w:szCs w:val="18"/>
          <w:color w:val="111111"/>
        </w:rPr>
        <w:t>on Form S</w:t>
      </w:r>
      <w:r>
        <w:rPr>
          <w:rFonts w:ascii="Arial" w:cs="Arial" w:eastAsia="Arial" w:hAnsi="Arial"/>
          <w:sz w:val="18"/>
          <w:szCs w:val="18"/>
          <w:color w:val="4B4B4B"/>
        </w:rPr>
        <w:t>-</w:t>
      </w:r>
      <w:r>
        <w:rPr>
          <w:rFonts w:ascii="Arial" w:cs="Arial" w:eastAsia="Arial" w:hAnsi="Arial"/>
          <w:sz w:val="18"/>
          <w:szCs w:val="18"/>
          <w:color w:val="212121"/>
        </w:rPr>
        <w:t xml:space="preserve">8 </w:t>
      </w:r>
      <w:r>
        <w:rPr>
          <w:rFonts w:ascii="Arial" w:cs="Arial" w:eastAsia="Arial" w:hAnsi="Arial"/>
          <w:sz w:val="18"/>
          <w:szCs w:val="18"/>
          <w:color w:val="111111"/>
        </w:rPr>
        <w:t>and</w:t>
      </w:r>
      <w:r>
        <w:rPr>
          <w:rFonts w:ascii="Arial" w:cs="Arial" w:eastAsia="Arial" w:hAnsi="Arial"/>
          <w:sz w:val="18"/>
          <w:szCs w:val="18"/>
          <w:color w:val="212121"/>
        </w:rPr>
        <w:t xml:space="preserve"> 333</w:t>
      </w:r>
      <w:r>
        <w:rPr>
          <w:rFonts w:ascii="Arial" w:cs="Arial" w:eastAsia="Arial" w:hAnsi="Arial"/>
          <w:sz w:val="18"/>
          <w:szCs w:val="18"/>
          <w:color w:val="4B4B4B"/>
        </w:rPr>
        <w:t>-</w:t>
      </w:r>
      <w:r>
        <w:rPr>
          <w:rFonts w:ascii="Arial" w:cs="Arial" w:eastAsia="Arial" w:hAnsi="Arial"/>
          <w:sz w:val="18"/>
          <w:szCs w:val="18"/>
          <w:color w:val="212121"/>
        </w:rPr>
        <w:t xml:space="preserve">228390 on </w:t>
      </w:r>
      <w:r>
        <w:rPr>
          <w:rFonts w:ascii="Arial" w:cs="Arial" w:eastAsia="Arial" w:hAnsi="Arial"/>
          <w:sz w:val="18"/>
          <w:szCs w:val="18"/>
          <w:color w:val="111111"/>
        </w:rPr>
        <w:t>Form S</w:t>
      </w:r>
      <w:r>
        <w:rPr>
          <w:rFonts w:ascii="Arial" w:cs="Arial" w:eastAsia="Arial" w:hAnsi="Arial"/>
          <w:sz w:val="18"/>
          <w:szCs w:val="18"/>
          <w:color w:val="4B4B4B"/>
        </w:rPr>
        <w:t>-</w:t>
      </w:r>
      <w:r>
        <w:rPr>
          <w:rFonts w:ascii="Arial" w:cs="Arial" w:eastAsia="Arial" w:hAnsi="Arial"/>
          <w:sz w:val="18"/>
          <w:szCs w:val="18"/>
          <w:color w:val="212121"/>
        </w:rPr>
        <w:t xml:space="preserve"> 3 </w:t>
      </w:r>
      <w:r>
        <w:rPr>
          <w:rFonts w:ascii="Arial" w:cs="Arial" w:eastAsia="Arial" w:hAnsi="Arial"/>
          <w:sz w:val="18"/>
          <w:szCs w:val="18"/>
          <w:color w:val="111111"/>
        </w:rPr>
        <w:t>of our reports</w:t>
      </w:r>
      <w:r>
        <w:rPr>
          <w:rFonts w:ascii="Arial" w:cs="Arial" w:eastAsia="Arial" w:hAnsi="Arial"/>
          <w:sz w:val="18"/>
          <w:szCs w:val="18"/>
          <w:color w:val="212121"/>
        </w:rPr>
        <w:t xml:space="preserve"> dated February 26, 2021, relating </w:t>
      </w:r>
      <w:r>
        <w:rPr>
          <w:rFonts w:ascii="Arial" w:cs="Arial" w:eastAsia="Arial" w:hAnsi="Arial"/>
          <w:sz w:val="18"/>
          <w:szCs w:val="18"/>
          <w:color w:val="111111"/>
        </w:rPr>
        <w:t>to the financial statements of ICU Medical, Inc. and subsidiaries and the</w:t>
      </w:r>
      <w:r>
        <w:rPr>
          <w:rFonts w:ascii="Arial" w:cs="Arial" w:eastAsia="Arial" w:hAnsi="Arial"/>
          <w:sz w:val="18"/>
          <w:szCs w:val="18"/>
          <w:color w:val="212121"/>
        </w:rPr>
        <w:t xml:space="preserve"> </w:t>
      </w:r>
      <w:r>
        <w:rPr>
          <w:rFonts w:ascii="Arial" w:cs="Arial" w:eastAsia="Arial" w:hAnsi="Arial"/>
          <w:sz w:val="18"/>
          <w:szCs w:val="18"/>
          <w:color w:val="111111"/>
        </w:rPr>
        <w:t xml:space="preserve">effectiveness of ICU Medical Inc. and subsidiaries’ internal control over financial reporting appearing in this Annual Report on Form 10-K for the year ended </w:t>
      </w:r>
      <w:r>
        <w:rPr>
          <w:rFonts w:ascii="Arial" w:cs="Arial" w:eastAsia="Arial" w:hAnsi="Arial"/>
          <w:sz w:val="18"/>
          <w:szCs w:val="18"/>
          <w:color w:val="000000"/>
        </w:rPr>
        <w:t>December 31, 2020.</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891" w:right="339" w:bottom="1440" w:gutter="0" w:footer="0" w:header="0"/>
        </w:sectPr>
      </w:pPr>
    </w:p>
    <w:bookmarkStart w:id="103" w:name="page104"/>
    <w:bookmarkEnd w:id="10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52"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ICU Medical, Inc.;</w:t>
      </w:r>
    </w:p>
    <w:p>
      <w:pPr>
        <w:spacing w:after="0" w:line="252"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1300" w:right="440" w:hanging="644"/>
        <w:spacing w:after="0" w:line="263"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left="1300" w:right="120" w:hanging="644"/>
        <w:spacing w:after="0" w:line="263" w:lineRule="auto"/>
        <w:tabs>
          <w:tab w:leader="none" w:pos="129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20" w:hanging="644"/>
        <w:spacing w:after="0" w:line="263" w:lineRule="auto"/>
        <w:tabs>
          <w:tab w:leader="none" w:pos="12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1300" w:right="140" w:hanging="644"/>
        <w:spacing w:after="0" w:line="263"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sz w:val="20"/>
          <w:szCs w:val="20"/>
          <w:color w:val="auto"/>
        </w:rPr>
      </w:pPr>
    </w:p>
    <w:p>
      <w:pPr>
        <w:ind w:left="1300" w:right="460" w:hanging="644"/>
        <w:spacing w:after="0" w:line="342" w:lineRule="auto"/>
        <w:tabs>
          <w:tab w:leader="none" w:pos="129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8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8"/>
          <w:szCs w:val="18"/>
          <w:color w:val="auto"/>
        </w:rPr>
        <w:t>Date: February 26, 2021</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715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04" w:name="page105"/>
    <w:bookmarkEnd w:id="10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M. Bonnell, certify that:</w:t>
      </w:r>
    </w:p>
    <w:p>
      <w:pPr>
        <w:spacing w:after="0" w:line="225" w:lineRule="exact"/>
        <w:rPr>
          <w:sz w:val="20"/>
          <w:szCs w:val="20"/>
          <w:color w:val="auto"/>
        </w:rPr>
      </w:pPr>
    </w:p>
    <w:p>
      <w:pPr>
        <w:ind w:left="1160" w:hanging="585"/>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ICU Medical, Inc.;</w:t>
      </w:r>
    </w:p>
    <w:p>
      <w:pPr>
        <w:spacing w:after="0" w:line="252" w:lineRule="exact"/>
        <w:rPr>
          <w:rFonts w:ascii="Arial" w:cs="Arial" w:eastAsia="Arial" w:hAnsi="Arial"/>
          <w:sz w:val="18"/>
          <w:szCs w:val="18"/>
          <w:color w:val="auto"/>
        </w:rPr>
      </w:pPr>
    </w:p>
    <w:p>
      <w:pPr>
        <w:ind w:left="1140" w:right="100" w:hanging="565"/>
        <w:spacing w:after="0" w:line="263"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1140" w:right="380" w:hanging="565"/>
        <w:spacing w:after="0" w:line="342" w:lineRule="auto"/>
        <w:tabs>
          <w:tab w:leader="none" w:pos="11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1140" w:hanging="565"/>
        <w:spacing w:after="0" w:line="263"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left="1140" w:right="80" w:hanging="565"/>
        <w:spacing w:after="0" w:line="263" w:lineRule="auto"/>
        <w:tabs>
          <w:tab w:leader="none" w:pos="11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565"/>
        <w:spacing w:after="0" w:line="263" w:lineRule="auto"/>
        <w:tabs>
          <w:tab w:leader="none" w:pos="11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0"/>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565"/>
        <w:spacing w:after="0" w:line="263" w:lineRule="auto"/>
        <w:tabs>
          <w:tab w:leader="none" w:pos="11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1140" w:right="300" w:hanging="565"/>
        <w:spacing w:after="0" w:line="263" w:lineRule="auto"/>
        <w:tabs>
          <w:tab w:leader="none" w:pos="11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sz w:val="20"/>
          <w:szCs w:val="20"/>
          <w:color w:val="auto"/>
        </w:rPr>
      </w:pPr>
    </w:p>
    <w:p>
      <w:pPr>
        <w:ind w:left="1140" w:right="620" w:hanging="565"/>
        <w:spacing w:after="0" w:line="342" w:lineRule="auto"/>
        <w:tabs>
          <w:tab w:leader="none" w:pos="11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565"/>
        <w:spacing w:after="0" w:line="277" w:lineRule="auto"/>
        <w:tabs>
          <w:tab w:leader="none" w:pos="11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40"/>
        <w:spacing w:after="0"/>
        <w:tabs>
          <w:tab w:leader="none" w:pos="5320" w:val="left"/>
        </w:tabs>
        <w:rPr>
          <w:sz w:val="20"/>
          <w:szCs w:val="20"/>
          <w:color w:val="auto"/>
        </w:rPr>
      </w:pPr>
      <w:r>
        <w:rPr>
          <w:rFonts w:ascii="Arial" w:cs="Arial" w:eastAsia="Arial" w:hAnsi="Arial"/>
          <w:sz w:val="18"/>
          <w:szCs w:val="18"/>
          <w:color w:val="auto"/>
        </w:rPr>
        <w:t>Date: February 26, 2021</w:t>
      </w:r>
      <w:r>
        <w:rPr>
          <w:sz w:val="20"/>
          <w:szCs w:val="20"/>
          <w:color w:val="auto"/>
        </w:rPr>
        <w:tab/>
      </w:r>
      <w:r>
        <w:rPr>
          <w:rFonts w:ascii="Arial" w:cs="Arial" w:eastAsia="Arial" w:hAnsi="Arial"/>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5915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In connection with the Annual Report of ICU Medical, Inc. (the “Company”) on Form 10-K for the period ended December 31, 2020 as filed with the Securities and Exchange Commission on the date hereof (the “Report”), I, Vivek Jain, Chief Executive Officer of the Company, certify, pursuant to 18 U.S.C. § 1350, as adopted pursuant to §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6" w:lineRule="exact"/>
        <w:rPr>
          <w:sz w:val="20"/>
          <w:szCs w:val="20"/>
          <w:color w:val="auto"/>
        </w:rPr>
      </w:pPr>
    </w:p>
    <w:p>
      <w:pPr>
        <w:ind w:left="40"/>
        <w:spacing w:after="0"/>
        <w:tabs>
          <w:tab w:leader="none" w:pos="5700" w:val="left"/>
        </w:tabs>
        <w:rPr>
          <w:sz w:val="20"/>
          <w:szCs w:val="20"/>
          <w:color w:val="auto"/>
        </w:rPr>
      </w:pPr>
      <w:r>
        <w:rPr>
          <w:rFonts w:ascii="Arial" w:cs="Arial" w:eastAsia="Arial" w:hAnsi="Arial"/>
          <w:sz w:val="18"/>
          <w:szCs w:val="18"/>
          <w:color w:val="auto"/>
        </w:rPr>
        <w:t>February 26, 2021</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505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Vivek Jain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Annual Report of ICU Medical, Inc. (the “Company”) on Form 10-K for the period ended December 31, 2020 as filed with the Securities and Exchange Commission on the date hereof (the “Report”), I, Brian M. Bonnell, Chief Financial Officer of the Company, certify, pursuant to 18 U.S.C. § 1350, as adopted pursuant to §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700" w:val="left"/>
        </w:tabs>
        <w:rPr>
          <w:sz w:val="20"/>
          <w:szCs w:val="20"/>
          <w:color w:val="auto"/>
        </w:rPr>
      </w:pPr>
      <w:r>
        <w:rPr>
          <w:rFonts w:ascii="Arial" w:cs="Arial" w:eastAsia="Arial" w:hAnsi="Arial"/>
          <w:sz w:val="18"/>
          <w:szCs w:val="18"/>
          <w:color w:val="auto"/>
        </w:rPr>
        <w:t>February 26, 2021</w:t>
      </w:r>
      <w:r>
        <w:rPr>
          <w:sz w:val="20"/>
          <w:szCs w:val="20"/>
          <w:color w:val="auto"/>
        </w:rPr>
        <w:tab/>
      </w:r>
      <w:r>
        <w:rPr>
          <w:rFonts w:ascii="Arial" w:cs="Arial" w:eastAsia="Arial" w:hAnsi="Arial"/>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505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lvl w:ilvl="1">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lowerRoman"/>
      <w:start w:val="2"/>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lvl w:ilvl="1">
      <w:lvlJc w:val="left"/>
      <w:lvlText w:val="◦"/>
      <w:numFmt w:val="bullet"/>
      <w:start w:val="1"/>
    </w:lvl>
  </w:abstractNum>
  <w:abstractNum w:abstractNumId="34">
    <w:nsid w:val="7644A45C"/>
    <w:multiLevelType w:val="hybridMultilevel"/>
    <w:lvl w:ilvl="0">
      <w:lvlJc w:val="left"/>
      <w:lvlText w:val="1"/>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upperLetter"/>
      <w:start w:val="1"/>
    </w:lvl>
  </w:abstractNum>
  <w:abstractNum w:abstractNumId="46">
    <w:nsid w:val="374A3FE6"/>
    <w:multiLevelType w:val="hybridMultilevel"/>
    <w:lvl w:ilvl="0">
      <w:lvlJc w:val="left"/>
      <w:lvlText w:val="(%1)"/>
      <w:numFmt w:val="lowerRoman"/>
      <w:start w:val="2"/>
    </w:lvl>
  </w:abstractNum>
  <w:abstractNum w:abstractNumId="47">
    <w:nsid w:val="4F4EF005"/>
    <w:multiLevelType w:val="hybridMultilevel"/>
    <w:lvl w:ilvl="0">
      <w:lvlJc w:val="left"/>
      <w:lvlText w:val="%1."/>
      <w:numFmt w:val="decimal"/>
      <w:start w:val="3"/>
    </w:lvl>
  </w:abstractNum>
  <w:abstractNum w:abstractNumId="48">
    <w:nsid w:val="23F9C13C"/>
    <w:multiLevelType w:val="hybridMultilevel"/>
    <w:lvl w:ilvl="0">
      <w:lvlJc w:val="left"/>
      <w:lvlText w:val="%1"/>
      <w:numFmt w:val="decimal"/>
      <w:start w:val="21"/>
    </w:lvl>
  </w:abstractNum>
  <w:abstractNum w:abstractNumId="49">
    <w:nsid w:val="649BB77C"/>
    <w:multiLevelType w:val="hybridMultilevel"/>
    <w:lvl w:ilvl="0">
      <w:lvlJc w:val="left"/>
      <w:lvlText w:val="%1"/>
      <w:numFmt w:val="decimal"/>
      <w:start w:val="32"/>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4"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06" Type="http://schemas.openxmlformats.org/officeDocument/2006/relationships/hyperlink" Target="http://www.sec.gov/Archives/edgar/data/883984/000088398417000004/exhibit21amendedandrestate.htm" TargetMode="External"/><Relationship Id="rId107" Type="http://schemas.openxmlformats.org/officeDocument/2006/relationships/hyperlink" Target="http://www.sec.gov/Archives/edgar/data/883984/000088398414000046/exhibitamendedandrestatedc.htm" TargetMode="External"/><Relationship Id="rId108" Type="http://schemas.openxmlformats.org/officeDocument/2006/relationships/hyperlink" Target="http://www.sec.gov/Archives/edgar/data/883984/000088398416000073/exhibit31amendedandrestate.htm" TargetMode="External"/><Relationship Id="rId109" Type="http://schemas.openxmlformats.org/officeDocument/2006/relationships/hyperlink" Target="http://www.sec.gov/Archives/edgar/data/883984/000088398420000014/exhibit41descriptionof.htm" TargetMode="External"/><Relationship Id="rId110" Type="http://schemas.openxmlformats.org/officeDocument/2006/relationships/hyperlink" Target="http://www.sec.gov/Archives/edgar/data/883984/000110465910053238/a10-17276_1ex10d1.htm" TargetMode="External"/><Relationship Id="rId111" Type="http://schemas.openxmlformats.org/officeDocument/2006/relationships/hyperlink" Target="http://www.sec.gov/Archives/edgar/data/883984/000101968702000543/icu_def14a-040202.txt" TargetMode="External"/><Relationship Id="rId112" Type="http://schemas.openxmlformats.org/officeDocument/2006/relationships/hyperlink" Target="http://www.sec.gov/Archives/edgar/data/883984/000101968703000829/icu_def14a-061303.txt" TargetMode="External"/><Relationship Id="rId113" Type="http://schemas.openxmlformats.org/officeDocument/2006/relationships/hyperlink" Target="http://www.sec.gov/Archives/edgar/data/883984/000088398413000019/icui-def14ax2013.htm" TargetMode="External"/><Relationship Id="rId115" Type="http://schemas.openxmlformats.org/officeDocument/2006/relationships/hyperlink" Target="http://www.sec.gov/Archives/edgar/data/883984/000110465909059932/a09-30763_1ex10d1.htm" TargetMode="External"/><Relationship Id="rId116" Type="http://schemas.openxmlformats.org/officeDocument/2006/relationships/hyperlink" Target="http://www.sec.gov/Archives/edgar/data/883984/000110465909059932/a09-30763_1ex10d2.htm" TargetMode="External"/><Relationship Id="rId117" Type="http://schemas.openxmlformats.org/officeDocument/2006/relationships/hyperlink" Target="http://www.sec.gov/Archives/edgar/data/883984/000110465909059932/a09-30763_1ex10d3.htm" TargetMode="External"/><Relationship Id="rId118" Type="http://schemas.openxmlformats.org/officeDocument/2006/relationships/hyperlink" Target="http://www.sec.gov/Archives/edgar/data/883984/000088398412000080/icumedicalincamended2011st.htm" TargetMode="External"/><Relationship Id="rId119" Type="http://schemas.openxmlformats.org/officeDocument/2006/relationships/hyperlink" Target="http://www.sec.gov/Archives/edgar/data/883984/000088398420000014/exhibit1012firstamendm.htm" TargetMode="External"/><Relationship Id="rId120" Type="http://schemas.openxmlformats.org/officeDocument/2006/relationships/hyperlink" Target="http://www.sec.gov/Archives/edgar/data/883984/000088398414000015/exhibitinducementplan.htm" TargetMode="External"/><Relationship Id="rId121" Type="http://schemas.openxmlformats.org/officeDocument/2006/relationships/hyperlink" Target="http://www.sec.gov/Archives/edgar/data/883984/000088398417000023/exhibit101amendedandrestat.htm" TargetMode="External"/><Relationship Id="rId122" Type="http://schemas.openxmlformats.org/officeDocument/2006/relationships/hyperlink" Target="http://www.sec.gov/Archives/edgar/data/883984/000088398415000036/exhibit991buy-outagreement.htm" TargetMode="External"/><Relationship Id="rId123" Type="http://schemas.openxmlformats.org/officeDocument/2006/relationships/hyperlink" Target="http://www.sec.gov/Archives/edgar/data/883984/000088398419000017/icui-ex101.htm" TargetMode="External"/><Relationship Id="rId124" Type="http://schemas.openxmlformats.org/officeDocument/2006/relationships/hyperlink" Target="http://www.sec.gov/Archives/edgar/data/883984/000088398420000010/exhibit101slambretirem.htm" TargetMode="External"/><Relationship Id="rId125" Type="http://schemas.openxmlformats.org/officeDocument/2006/relationships/hyperlink" Target="http://www.sec.gov/Archives/edgar/data/883984/000088398417000006/exhibit101icumedicalincexe.htm" TargetMode="External"/><Relationship Id="rId126" Type="http://schemas.openxmlformats.org/officeDocument/2006/relationships/hyperlink" Target="http://www.sec.gov/Archives/edgar/data/883984/000088398420000002/exhibit101.htm" TargetMode="External"/><Relationship Id="rId127" Type="http://schemas.openxmlformats.org/officeDocument/2006/relationships/hyperlink" Target="http://www.sec.gov/Archives/edgar/data/883984/000088398417000057/icui-ex101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2021-02-26T17:33:27Z</dcterms:created>
  <dcterms:modified xsi:type="dcterms:W3CDTF">2021-02-26T17:33:27Z</dcterms:modified>
</cp:coreProperties>
</file>