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 10-Q</w:t>
      </w:r>
    </w:p>
    <w:p>
      <w:pPr>
        <w:spacing w:after="0" w:line="275" w:lineRule="exact"/>
        <w:rPr>
          <w:sz w:val="24"/>
          <w:szCs w:val="24"/>
          <w:color w:val="auto"/>
        </w:rPr>
      </w:pPr>
    </w:p>
    <w:p>
      <w:pPr>
        <w:ind w:left="500" w:hanging="303"/>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23" w:lineRule="exact"/>
        <w:rPr>
          <w:sz w:val="24"/>
          <w:szCs w:val="24"/>
          <w:color w:val="auto"/>
        </w:rPr>
      </w:pPr>
    </w:p>
    <w:p>
      <w:pPr>
        <w:ind w:left="564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500" w:hanging="303"/>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5680" w:type="dxa"/>
            <w:vAlign w:val="bottom"/>
          </w:tcPr>
          <w:p>
            <w:pPr>
              <w:ind w:left="3040"/>
              <w:spacing w:after="0"/>
              <w:rPr>
                <w:sz w:val="20"/>
                <w:szCs w:val="20"/>
                <w:color w:val="auto"/>
              </w:rPr>
            </w:pPr>
            <w:r>
              <w:rPr>
                <w:rFonts w:ascii="Arial" w:cs="Arial" w:eastAsia="Arial" w:hAnsi="Arial"/>
                <w:sz w:val="16"/>
                <w:szCs w:val="16"/>
                <w:b w:val="1"/>
                <w:bCs w:val="1"/>
                <w:color w:val="auto"/>
              </w:rPr>
              <w:t>For the transition period from:</w:t>
            </w:r>
          </w:p>
        </w:tc>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to</w:t>
            </w:r>
          </w:p>
        </w:tc>
      </w:tr>
      <w:tr>
        <w:trPr>
          <w:trHeight w:val="378"/>
        </w:trPr>
        <w:tc>
          <w:tcPr>
            <w:tcW w:w="5680" w:type="dxa"/>
            <w:vAlign w:val="bottom"/>
          </w:tcPr>
          <w:p>
            <w:pPr>
              <w:jc w:val="center"/>
              <w:ind w:left="3199"/>
              <w:spacing w:after="0"/>
              <w:rPr>
                <w:sz w:val="20"/>
                <w:szCs w:val="20"/>
                <w:color w:val="auto"/>
              </w:rPr>
            </w:pPr>
            <w:r>
              <w:rPr>
                <w:rFonts w:ascii="Arial" w:cs="Arial" w:eastAsia="Arial" w:hAnsi="Arial"/>
                <w:sz w:val="16"/>
                <w:szCs w:val="16"/>
                <w:b w:val="1"/>
                <w:bCs w:val="1"/>
                <w:color w:val="auto"/>
                <w:w w:val="91"/>
              </w:rPr>
              <w:t>Commission File No.: 001-34634</w:t>
            </w:r>
          </w:p>
        </w:tc>
        <w:tc>
          <w:tcPr>
            <w:tcW w:w="2260" w:type="dxa"/>
            <w:vAlign w:val="bottom"/>
          </w:tcPr>
          <w:p>
            <w:pPr>
              <w:spacing w:after="0"/>
              <w:rPr>
                <w:sz w:val="24"/>
                <w:szCs w:val="24"/>
                <w:color w:val="auto"/>
              </w:rPr>
            </w:pPr>
          </w:p>
        </w:tc>
      </w:tr>
      <w:tr>
        <w:trPr>
          <w:trHeight w:val="280"/>
        </w:trPr>
        <w:tc>
          <w:tcPr>
            <w:tcW w:w="5680" w:type="dxa"/>
            <w:vAlign w:val="bottom"/>
          </w:tcPr>
          <w:p>
            <w:pPr>
              <w:jc w:val="center"/>
              <w:ind w:left="3219"/>
              <w:spacing w:after="0"/>
              <w:rPr>
                <w:sz w:val="20"/>
                <w:szCs w:val="20"/>
                <w:color w:val="auto"/>
              </w:rPr>
            </w:pPr>
            <w:r>
              <w:rPr>
                <w:rFonts w:ascii="Arial" w:cs="Arial" w:eastAsia="Arial" w:hAnsi="Arial"/>
                <w:sz w:val="16"/>
                <w:szCs w:val="16"/>
                <w:b w:val="1"/>
                <w:bCs w:val="1"/>
                <w:color w:val="auto"/>
              </w:rPr>
              <w:t>ICU MEDICAL, INC.</w:t>
            </w:r>
          </w:p>
        </w:tc>
        <w:tc>
          <w:tcPr>
            <w:tcW w:w="2260" w:type="dxa"/>
            <w:vAlign w:val="bottom"/>
          </w:tcPr>
          <w:p>
            <w:pPr>
              <w:spacing w:after="0"/>
              <w:rPr>
                <w:sz w:val="24"/>
                <w:szCs w:val="24"/>
                <w:color w:val="auto"/>
              </w:rPr>
            </w:pPr>
          </w:p>
        </w:tc>
      </w:tr>
      <w:tr>
        <w:trPr>
          <w:trHeight w:val="206"/>
        </w:trPr>
        <w:tc>
          <w:tcPr>
            <w:tcW w:w="7940" w:type="dxa"/>
            <w:vAlign w:val="bottom"/>
            <w:gridSpan w:val="2"/>
          </w:tcPr>
          <w:p>
            <w:pPr>
              <w:jc w:val="center"/>
              <w:ind w:left="93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48"/>
        </w:trPr>
        <w:tc>
          <w:tcPr>
            <w:tcW w:w="5680" w:type="dxa"/>
            <w:vAlign w:val="bottom"/>
          </w:tcPr>
          <w:p>
            <w:pPr>
              <w:jc w:val="center"/>
              <w:ind w:right="2379"/>
              <w:spacing w:after="0"/>
              <w:rPr>
                <w:sz w:val="20"/>
                <w:szCs w:val="20"/>
                <w:color w:val="auto"/>
              </w:rPr>
            </w:pPr>
            <w:r>
              <w:rPr>
                <w:rFonts w:ascii="Arial" w:cs="Arial" w:eastAsia="Arial" w:hAnsi="Arial"/>
                <w:sz w:val="16"/>
                <w:szCs w:val="16"/>
                <w:b w:val="1"/>
                <w:bCs w:val="1"/>
                <w:color w:val="auto"/>
                <w:w w:val="93"/>
              </w:rPr>
              <w:t>Delaware</w:t>
            </w:r>
          </w:p>
        </w:tc>
        <w:tc>
          <w:tcPr>
            <w:tcW w:w="2260" w:type="dxa"/>
            <w:vAlign w:val="bottom"/>
          </w:tcPr>
          <w:p>
            <w:pPr>
              <w:jc w:val="right"/>
              <w:ind w:right="119"/>
              <w:spacing w:after="0"/>
              <w:rPr>
                <w:sz w:val="20"/>
                <w:szCs w:val="20"/>
                <w:color w:val="auto"/>
              </w:rPr>
            </w:pPr>
            <w:r>
              <w:rPr>
                <w:rFonts w:ascii="Arial" w:cs="Arial" w:eastAsia="Arial" w:hAnsi="Arial"/>
                <w:sz w:val="16"/>
                <w:szCs w:val="16"/>
                <w:b w:val="1"/>
                <w:bCs w:val="1"/>
                <w:color w:val="auto"/>
              </w:rPr>
              <w:t>33-0022692</w:t>
            </w:r>
          </w:p>
        </w:tc>
      </w:tr>
      <w:tr>
        <w:trPr>
          <w:trHeight w:val="257"/>
        </w:trPr>
        <w:tc>
          <w:tcPr>
            <w:tcW w:w="5680" w:type="dxa"/>
            <w:vAlign w:val="bottom"/>
          </w:tcPr>
          <w:p>
            <w:pPr>
              <w:jc w:val="center"/>
              <w:ind w:right="2359"/>
              <w:spacing w:after="0"/>
              <w:rPr>
                <w:sz w:val="20"/>
                <w:szCs w:val="20"/>
                <w:color w:val="auto"/>
              </w:rPr>
            </w:pPr>
            <w:r>
              <w:rPr>
                <w:rFonts w:ascii="Arial" w:cs="Arial" w:eastAsia="Arial" w:hAnsi="Arial"/>
                <w:sz w:val="16"/>
                <w:szCs w:val="16"/>
                <w:color w:val="auto"/>
                <w:w w:val="93"/>
              </w:rPr>
              <w:t>(State or other jurisdiction of</w:t>
            </w:r>
          </w:p>
        </w:tc>
        <w:tc>
          <w:tcPr>
            <w:tcW w:w="2260" w:type="dxa"/>
            <w:vAlign w:val="bottom"/>
          </w:tcPr>
          <w:p>
            <w:pPr>
              <w:jc w:val="center"/>
              <w:ind w:left="999"/>
              <w:spacing w:after="0"/>
              <w:rPr>
                <w:sz w:val="20"/>
                <w:szCs w:val="20"/>
                <w:color w:val="auto"/>
              </w:rPr>
            </w:pPr>
            <w:r>
              <w:rPr>
                <w:rFonts w:ascii="Arial" w:cs="Arial" w:eastAsia="Arial" w:hAnsi="Arial"/>
                <w:sz w:val="16"/>
                <w:szCs w:val="16"/>
                <w:color w:val="auto"/>
                <w:w w:val="93"/>
              </w:rPr>
              <w:t>(I.R.S. Employer</w:t>
            </w:r>
          </w:p>
        </w:tc>
      </w:tr>
      <w:tr>
        <w:trPr>
          <w:trHeight w:val="257"/>
        </w:trPr>
        <w:tc>
          <w:tcPr>
            <w:tcW w:w="5680" w:type="dxa"/>
            <w:vAlign w:val="bottom"/>
          </w:tcPr>
          <w:p>
            <w:pPr>
              <w:jc w:val="center"/>
              <w:ind w:right="2379"/>
              <w:spacing w:after="0"/>
              <w:rPr>
                <w:sz w:val="20"/>
                <w:szCs w:val="20"/>
                <w:color w:val="auto"/>
              </w:rPr>
            </w:pPr>
            <w:r>
              <w:rPr>
                <w:rFonts w:ascii="Arial" w:cs="Arial" w:eastAsia="Arial" w:hAnsi="Arial"/>
                <w:sz w:val="16"/>
                <w:szCs w:val="16"/>
                <w:color w:val="auto"/>
                <w:w w:val="93"/>
              </w:rPr>
              <w:t>incorporation or organization)</w:t>
            </w:r>
          </w:p>
        </w:tc>
        <w:tc>
          <w:tcPr>
            <w:tcW w:w="2260" w:type="dxa"/>
            <w:vAlign w:val="bottom"/>
          </w:tcPr>
          <w:p>
            <w:pPr>
              <w:jc w:val="center"/>
              <w:ind w:left="979"/>
              <w:spacing w:after="0"/>
              <w:rPr>
                <w:sz w:val="20"/>
                <w:szCs w:val="20"/>
                <w:color w:val="auto"/>
              </w:rPr>
            </w:pPr>
            <w:r>
              <w:rPr>
                <w:rFonts w:ascii="Arial" w:cs="Arial" w:eastAsia="Arial" w:hAnsi="Arial"/>
                <w:sz w:val="16"/>
                <w:szCs w:val="16"/>
                <w:color w:val="auto"/>
                <w:w w:val="96"/>
              </w:rPr>
              <w:t>Identification No.)</w:t>
            </w:r>
          </w:p>
        </w:tc>
      </w:tr>
      <w:tr>
        <w:trPr>
          <w:trHeight w:val="500"/>
        </w:trPr>
        <w:tc>
          <w:tcPr>
            <w:tcW w:w="5680" w:type="dxa"/>
            <w:vAlign w:val="bottom"/>
          </w:tcPr>
          <w:p>
            <w:pPr>
              <w:jc w:val="center"/>
              <w:ind w:right="2379"/>
              <w:spacing w:after="0"/>
              <w:rPr>
                <w:sz w:val="20"/>
                <w:szCs w:val="20"/>
                <w:color w:val="auto"/>
              </w:rPr>
            </w:pPr>
            <w:r>
              <w:rPr>
                <w:rFonts w:ascii="Arial" w:cs="Arial" w:eastAsia="Arial" w:hAnsi="Arial"/>
                <w:sz w:val="16"/>
                <w:szCs w:val="16"/>
                <w:b w:val="1"/>
                <w:bCs w:val="1"/>
                <w:color w:val="auto"/>
                <w:w w:val="92"/>
              </w:rPr>
              <w:t>951 Calle Amanecer, San Clemente, California</w:t>
            </w: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auto"/>
              </w:rPr>
              <w:t>92673</w:t>
            </w:r>
          </w:p>
        </w:tc>
      </w:tr>
      <w:tr>
        <w:trPr>
          <w:trHeight w:val="257"/>
        </w:trPr>
        <w:tc>
          <w:tcPr>
            <w:tcW w:w="5680" w:type="dxa"/>
            <w:vAlign w:val="bottom"/>
          </w:tcPr>
          <w:p>
            <w:pPr>
              <w:jc w:val="center"/>
              <w:ind w:right="2379"/>
              <w:spacing w:after="0"/>
              <w:rPr>
                <w:sz w:val="20"/>
                <w:szCs w:val="20"/>
                <w:color w:val="auto"/>
              </w:rPr>
            </w:pPr>
            <w:r>
              <w:rPr>
                <w:rFonts w:ascii="Arial" w:cs="Arial" w:eastAsia="Arial" w:hAnsi="Arial"/>
                <w:sz w:val="16"/>
                <w:szCs w:val="16"/>
                <w:color w:val="auto"/>
                <w:w w:val="94"/>
              </w:rPr>
              <w:t>(Address of principal executive offices)</w:t>
            </w:r>
          </w:p>
        </w:tc>
        <w:tc>
          <w:tcPr>
            <w:tcW w:w="2260" w:type="dxa"/>
            <w:vAlign w:val="bottom"/>
          </w:tcPr>
          <w:p>
            <w:pPr>
              <w:jc w:val="center"/>
              <w:ind w:left="979"/>
              <w:spacing w:after="0"/>
              <w:rPr>
                <w:sz w:val="20"/>
                <w:szCs w:val="20"/>
                <w:color w:val="auto"/>
              </w:rPr>
            </w:pPr>
            <w:r>
              <w:rPr>
                <w:rFonts w:ascii="Arial" w:cs="Arial" w:eastAsia="Arial" w:hAnsi="Arial"/>
                <w:sz w:val="16"/>
                <w:szCs w:val="16"/>
                <w:color w:val="auto"/>
                <w:w w:val="95"/>
              </w:rPr>
              <w:t>(Zip Code)</w:t>
            </w:r>
          </w:p>
        </w:tc>
      </w:tr>
      <w:tr>
        <w:trPr>
          <w:trHeight w:val="226"/>
        </w:trPr>
        <w:tc>
          <w:tcPr>
            <w:tcW w:w="5680" w:type="dxa"/>
            <w:vAlign w:val="bottom"/>
          </w:tcPr>
          <w:p>
            <w:pPr>
              <w:jc w:val="center"/>
              <w:ind w:left="3219"/>
              <w:spacing w:after="0"/>
              <w:rPr>
                <w:sz w:val="20"/>
                <w:szCs w:val="20"/>
                <w:color w:val="auto"/>
              </w:rPr>
            </w:pPr>
            <w:r>
              <w:rPr>
                <w:rFonts w:ascii="Arial" w:cs="Arial" w:eastAsia="Arial" w:hAnsi="Arial"/>
                <w:sz w:val="16"/>
                <w:szCs w:val="16"/>
                <w:b w:val="1"/>
                <w:bCs w:val="1"/>
                <w:color w:val="auto"/>
                <w:w w:val="93"/>
              </w:rPr>
              <w:t>(949) 366-2183</w:t>
            </w:r>
          </w:p>
        </w:tc>
        <w:tc>
          <w:tcPr>
            <w:tcW w:w="2260" w:type="dxa"/>
            <w:vAlign w:val="bottom"/>
          </w:tcPr>
          <w:p>
            <w:pPr>
              <w:spacing w:after="0"/>
              <w:rPr>
                <w:sz w:val="19"/>
                <w:szCs w:val="19"/>
                <w:color w:val="auto"/>
              </w:rPr>
            </w:pPr>
          </w:p>
        </w:tc>
      </w:tr>
    </w:tbl>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4"/>
          <w:szCs w:val="24"/>
          <w:color w:val="auto"/>
        </w:rPr>
      </w:pPr>
    </w:p>
    <w:p>
      <w:pPr>
        <w:ind w:right="12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ind w:firstLine="324"/>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x No o</w:t>
      </w:r>
    </w:p>
    <w:p>
      <w:pPr>
        <w:spacing w:after="0" w:line="122" w:lineRule="exact"/>
        <w:rPr>
          <w:sz w:val="24"/>
          <w:szCs w:val="24"/>
          <w:color w:val="auto"/>
        </w:rPr>
      </w:pPr>
    </w:p>
    <w:p>
      <w:pPr>
        <w:ind w:right="4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4" w:right="299" w:bottom="1440" w:gutter="0" w:footer="0" w:header="0"/>
        </w:sectPr>
      </w:pPr>
    </w:p>
    <w:p>
      <w:pPr>
        <w:spacing w:after="0" w:line="345"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0" w:lineRule="exact"/>
        <w:rPr>
          <w:sz w:val="24"/>
          <w:szCs w:val="24"/>
          <w:color w:val="auto"/>
        </w:rPr>
      </w:pPr>
    </w:p>
    <w:p>
      <w:pPr>
        <w:sectPr>
          <w:pgSz w:w="11900" w:h="16838" w:orient="portrait"/>
          <w:cols w:equalWidth="0" w:num="2">
            <w:col w:w="7080" w:space="720"/>
            <w:col w:w="3560"/>
          </w:cols>
          <w:pgMar w:left="240" w:top="234" w:right="299" w:bottom="1440" w:gutter="0" w:footer="0" w:header="0"/>
          <w:type w:val="continuous"/>
        </w:sectPr>
      </w:pPr>
    </w:p>
    <w:p>
      <w:pPr>
        <w:spacing w:after="0" w:line="17"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6720" w:space="720"/>
            <w:col w:w="3920"/>
          </w:cols>
          <w:pgMar w:left="240" w:top="234" w:right="299" w:bottom="1440" w:gutter="0" w:footer="0" w:header="0"/>
          <w:type w:val="continuous"/>
        </w:sectPr>
      </w:pPr>
    </w:p>
    <w:p>
      <w:pPr>
        <w:spacing w:after="0" w:line="31" w:lineRule="exact"/>
        <w:rPr>
          <w:sz w:val="24"/>
          <w:szCs w:val="24"/>
          <w:color w:val="auto"/>
        </w:rPr>
      </w:pPr>
    </w:p>
    <w:p>
      <w:pPr>
        <w:ind w:left="74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360"/>
          </w:cols>
          <w:pgMar w:left="240" w:top="234" w:right="299" w:bottom="1440" w:gutter="0" w:footer="0" w:header="0"/>
          <w:type w:val="continuous"/>
        </w:sectPr>
      </w:pPr>
    </w:p>
    <w:p>
      <w:pPr>
        <w:spacing w:after="0" w:line="258" w:lineRule="exact"/>
        <w:rPr>
          <w:sz w:val="24"/>
          <w:szCs w:val="24"/>
          <w:color w:val="auto"/>
        </w:rPr>
      </w:pPr>
    </w:p>
    <w:p>
      <w:pPr>
        <w:ind w:right="340" w:firstLine="365"/>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2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Trading Symbol</w:t>
            </w:r>
          </w:p>
        </w:tc>
        <w:tc>
          <w:tcPr>
            <w:tcW w:w="5140" w:type="dxa"/>
            <w:vAlign w:val="bottom"/>
          </w:tcPr>
          <w:p>
            <w:pPr>
              <w:jc w:val="center"/>
              <w:ind w:right="2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3"/>
        </w:trPr>
        <w:tc>
          <w:tcPr>
            <w:tcW w:w="3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Pr>
          <w:p>
            <w:pPr>
              <w:jc w:val="center"/>
              <w:ind w:right="29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3480" w:type="dxa"/>
            <w:vAlign w:val="bottom"/>
          </w:tcPr>
          <w:p>
            <w:pPr>
              <w:jc w:val="center"/>
              <w:spacing w:after="0"/>
              <w:rPr>
                <w:sz w:val="20"/>
                <w:szCs w:val="20"/>
                <w:color w:val="auto"/>
              </w:rPr>
            </w:pPr>
            <w:r>
              <w:rPr>
                <w:rFonts w:ascii="Arial" w:cs="Arial" w:eastAsia="Arial" w:hAnsi="Arial"/>
                <w:sz w:val="16"/>
                <w:szCs w:val="16"/>
                <w:color w:val="auto"/>
                <w:w w:val="90"/>
              </w:rPr>
              <w:t>Common stock, par value $0.10 per share</w:t>
            </w:r>
          </w:p>
        </w:tc>
        <w:tc>
          <w:tcPr>
            <w:tcW w:w="2420" w:type="dxa"/>
            <w:vAlign w:val="bottom"/>
          </w:tcPr>
          <w:p>
            <w:pPr>
              <w:jc w:val="center"/>
              <w:ind w:right="359"/>
              <w:spacing w:after="0"/>
              <w:rPr>
                <w:sz w:val="20"/>
                <w:szCs w:val="20"/>
                <w:color w:val="auto"/>
              </w:rPr>
            </w:pPr>
            <w:r>
              <w:rPr>
                <w:rFonts w:ascii="Arial" w:cs="Arial" w:eastAsia="Arial" w:hAnsi="Arial"/>
                <w:sz w:val="16"/>
                <w:szCs w:val="16"/>
                <w:color w:val="auto"/>
              </w:rPr>
              <w:t>ICUI</w:t>
            </w:r>
          </w:p>
        </w:tc>
        <w:tc>
          <w:tcPr>
            <w:tcW w:w="5140" w:type="dxa"/>
            <w:vAlign w:val="bottom"/>
          </w:tcPr>
          <w:p>
            <w:pPr>
              <w:jc w:val="center"/>
              <w:ind w:right="319"/>
              <w:spacing w:after="0"/>
              <w:rPr>
                <w:sz w:val="20"/>
                <w:szCs w:val="20"/>
                <w:color w:val="auto"/>
              </w:rPr>
            </w:pPr>
            <w:r>
              <w:rPr>
                <w:rFonts w:ascii="Arial" w:cs="Arial" w:eastAsia="Arial" w:hAnsi="Arial"/>
                <w:sz w:val="16"/>
                <w:szCs w:val="16"/>
                <w:color w:val="auto"/>
                <w:w w:val="94"/>
              </w:rPr>
              <w:t>(Global Select Market)</w:t>
            </w:r>
          </w:p>
        </w:tc>
      </w:tr>
    </w:tbl>
    <w:p>
      <w:pPr>
        <w:spacing w:after="0" w:line="2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6"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5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Class</w:t>
            </w:r>
          </w:p>
        </w:tc>
        <w:tc>
          <w:tcPr>
            <w:tcW w:w="53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 at April 30, 2019</w:t>
            </w:r>
          </w:p>
        </w:tc>
      </w:tr>
      <w:tr>
        <w:trPr>
          <w:trHeight w:val="33"/>
        </w:trPr>
        <w:tc>
          <w:tcPr>
            <w:tcW w:w="5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17"/>
        </w:trPr>
        <w:tc>
          <w:tcPr>
            <w:tcW w:w="5740" w:type="dxa"/>
            <w:vAlign w:val="bottom"/>
            <w:gridSpan w:val="2"/>
          </w:tcPr>
          <w:p>
            <w:pPr>
              <w:jc w:val="center"/>
              <w:ind w:right="440"/>
              <w:spacing w:after="0"/>
              <w:rPr>
                <w:sz w:val="20"/>
                <w:szCs w:val="20"/>
                <w:color w:val="auto"/>
              </w:rPr>
            </w:pPr>
            <w:r>
              <w:rPr>
                <w:rFonts w:ascii="Arial" w:cs="Arial" w:eastAsia="Arial" w:hAnsi="Arial"/>
                <w:sz w:val="16"/>
                <w:szCs w:val="16"/>
                <w:color w:val="auto"/>
                <w:w w:val="95"/>
              </w:rPr>
              <w:t>Common</w:t>
            </w:r>
          </w:p>
        </w:tc>
        <w:tc>
          <w:tcPr>
            <w:tcW w:w="5300" w:type="dxa"/>
            <w:vAlign w:val="bottom"/>
          </w:tcPr>
          <w:p>
            <w:pPr>
              <w:jc w:val="right"/>
              <w:ind w:right="2219"/>
              <w:spacing w:after="0"/>
              <w:rPr>
                <w:sz w:val="20"/>
                <w:szCs w:val="20"/>
                <w:color w:val="auto"/>
              </w:rPr>
            </w:pPr>
            <w:r>
              <w:rPr>
                <w:rFonts w:ascii="Arial" w:cs="Arial" w:eastAsia="Arial" w:hAnsi="Arial"/>
                <w:sz w:val="16"/>
                <w:szCs w:val="16"/>
                <w:color w:val="auto"/>
              </w:rPr>
              <w:t>20,614,407</w:t>
            </w:r>
          </w:p>
        </w:tc>
      </w:tr>
    </w:tbl>
    <w:p>
      <w:pPr>
        <w:sectPr>
          <w:pgSz w:w="11900" w:h="16838" w:orient="portrait"/>
          <w:cols w:equalWidth="0" w:num="1">
            <w:col w:w="11360"/>
          </w:cols>
          <w:pgMar w:left="240" w:top="234" w:right="2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Sheets, at March 31, 2019 and December 31, 2018</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Operations for the Three Months Ended March 31, 2019 and 2018</w:t>
            </w: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7"/>
              </w:rPr>
              <w:t>Condensed Consolidated Statements of Comprehensive Income for the Three Months Ended March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2019 and 2018</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5"/>
              </w:rPr>
              <w:t>Condensed Consolidated Statements of Stockholders' Equity for the Three Months Ended March 31,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and 2018</w:t>
            </w: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Cash Flows for the Three Months Ended March 31, 2019 and 2018</w:t>
            </w:r>
          </w:p>
        </w:tc>
        <w:tc>
          <w:tcPr>
            <w:tcW w:w="13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9">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38">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38">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344,781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37,329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313,258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382,110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$7,852 at March 31, 2019 and $5,768 at December 31, 2018</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238,069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176,298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321,747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311,163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17,523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920,507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927,036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432,938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432,641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 SECURITIES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131,053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133,421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38,654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40,419</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1,613,271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120,469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104,865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128,820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238,407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249,289</w:t>
            </w:r>
          </w:p>
        </w:tc>
        <w:tc>
          <w:tcPr>
            <w:tcW w:w="0" w:type="dxa"/>
            <w:vAlign w:val="bottom"/>
          </w:tcPr>
          <w:p>
            <w:pPr>
              <w:spacing w:after="0"/>
              <w:rPr>
                <w:sz w:val="1"/>
                <w:szCs w:val="1"/>
                <w:color w:val="auto"/>
              </w:rPr>
            </w:pPr>
          </w:p>
        </w:tc>
      </w:tr>
      <w:tr>
        <w:trPr>
          <w:trHeight w:val="22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CONTINGENT EARN-OUT LIABILITY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47,400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48,010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20,592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INCOME TAX LIABILITY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19)</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340" w:type="dxa"/>
            <w:vAlign w:val="bottom"/>
          </w:tcPr>
          <w:p>
            <w:pPr>
              <w:ind w:left="180"/>
              <w:spacing w:after="0" w:line="157" w:lineRule="exact"/>
              <w:rPr>
                <w:sz w:val="20"/>
                <w:szCs w:val="20"/>
                <w:color w:val="auto"/>
              </w:rPr>
            </w:pPr>
            <w:r>
              <w:rPr>
                <w:rFonts w:ascii="Arial" w:cs="Arial" w:eastAsia="Arial" w:hAnsi="Arial"/>
                <w:sz w:val="14"/>
                <w:szCs w:val="14"/>
                <w:color w:val="auto"/>
                <w:w w:val="93"/>
              </w:rPr>
              <w:t>Common stock, $0.10 par value — Authorized, 80,000 shares; Issued 20,668 shares at March 31, 2019 and 20,492 shares at December 31,</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180"/>
              <w:spacing w:after="0"/>
              <w:rPr>
                <w:sz w:val="20"/>
                <w:szCs w:val="20"/>
                <w:color w:val="auto"/>
              </w:rPr>
            </w:pPr>
            <w:r>
              <w:rPr>
                <w:rFonts w:ascii="Arial" w:cs="Arial" w:eastAsia="Arial" w:hAnsi="Arial"/>
                <w:sz w:val="14"/>
                <w:szCs w:val="14"/>
                <w:color w:val="auto"/>
              </w:rPr>
              <w:t>2018 and outstanding 20,612 shares at March 31, 2019 and 20,491 shares at December 31, 2018</w:t>
            </w:r>
          </w:p>
        </w:tc>
        <w:tc>
          <w:tcPr>
            <w:tcW w:w="24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659,819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657,899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(13,056)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651,745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620,747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(16,945)</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1,282,694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1,263,655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1,613,271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40" w:type="dxa"/>
            <w:vAlign w:val="bottom"/>
          </w:tcPr>
          <w:p>
            <w:pPr>
              <w:spacing w:after="0"/>
              <w:rPr>
                <w:sz w:val="20"/>
                <w:szCs w:val="20"/>
                <w:color w:val="auto"/>
              </w:rPr>
            </w:pPr>
            <w:r>
              <w:rPr>
                <w:rFonts w:ascii="Arial" w:cs="Arial" w:eastAsia="Arial" w:hAnsi="Arial"/>
                <w:sz w:val="14"/>
                <w:szCs w:val="14"/>
                <w:color w:val="auto"/>
              </w:rPr>
              <w:t>(1) December 31, 2018 balances were derived from audited consolidated financial statements.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223,032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149,001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85,015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144,087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Cash flow hedge adjustments, net of taxes of $205 and $573 for the three months ended March 31, 2019 and 2018,</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taxes of $0 for all periods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22,088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2019</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20,492</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657,899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620,747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(16,945)</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$1,263,655</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0" w:type="dxa"/>
            <w:vAlign w:val="bottom"/>
          </w:tcPr>
          <w:p>
            <w:pPr>
              <w:spacing w:after="0"/>
              <w:rPr>
                <w:sz w:val="1"/>
                <w:szCs w:val="1"/>
                <w:color w:val="auto"/>
              </w:rPr>
            </w:pPr>
          </w:p>
        </w:tc>
      </w:tr>
      <w:tr>
        <w:trPr>
          <w:trHeight w:val="243"/>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March 31, 2019</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659,819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651,745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$1,282,694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80" w:type="dxa"/>
            <w:vAlign w:val="bottom"/>
          </w:tcPr>
          <w:p>
            <w:pPr>
              <w:spacing w:after="0"/>
              <w:rPr>
                <w:sz w:val="24"/>
                <w:szCs w:val="24"/>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20,210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625,568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585,624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$1,198,254</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Cumulative effect of accounting change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17,213</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17,213</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b w:val="1"/>
                <w:bCs w:val="1"/>
                <w:color w:val="auto"/>
              </w:rPr>
              <w:t>Balance, March 31, 2018</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20,317</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$ 2,032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632,012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596,829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2,254</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$1,229,951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200" w:lineRule="exact"/>
        <w:rPr>
          <w:sz w:val="20"/>
          <w:szCs w:val="20"/>
          <w:color w:val="auto"/>
        </w:rPr>
      </w:pPr>
    </w:p>
    <w:p>
      <w:pPr>
        <w:spacing w:after="0" w:line="357"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30,998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19,074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18,304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warranty and returns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 and 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12,682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Bond premium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Debt issuance costs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Impairment of assets held for sale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Write-off of acquired intangible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(11,901)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10,319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3,569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Related-party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(29,455)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(3,272)</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(21,010)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(20,732)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 held-for-sale, net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13,000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asset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additions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3,155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withholding payments related to net share settlement of equity awards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(5,338)</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CASH AND CASH EQUIVALENTS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(48,737)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(35,536)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344,781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290,072</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296,044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254,536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22860</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6" w:lineRule="exact"/>
        <w:rPr>
          <w:sz w:val="20"/>
          <w:szCs w:val="20"/>
          <w:color w:val="auto"/>
        </w:rPr>
      </w:pPr>
    </w:p>
    <w:p>
      <w:pPr>
        <w:ind w:left="9080"/>
        <w:spacing w:after="0"/>
        <w:tabs>
          <w:tab w:leader="none" w:pos="105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18629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SUPPLEMENTAL DISCLOSURE OF NON-CASH INVESTING ACTIVITIES:</w:t>
      </w:r>
    </w:p>
    <w:p>
      <w:pPr>
        <w:spacing w:after="0" w:line="86" w:lineRule="exact"/>
        <w:rPr>
          <w:sz w:val="20"/>
          <w:szCs w:val="20"/>
          <w:color w:val="auto"/>
        </w:rPr>
      </w:pPr>
    </w:p>
    <w:p>
      <w:pPr>
        <w:ind w:left="160"/>
        <w:spacing w:after="0"/>
        <w:tabs>
          <w:tab w:leader="none" w:pos="8560" w:val="left"/>
          <w:tab w:leader="none" w:pos="9340" w:val="left"/>
          <w:tab w:leader="none" w:pos="10040" w:val="left"/>
          <w:tab w:leader="none" w:pos="11000" w:val="left"/>
        </w:tabs>
        <w:rPr>
          <w:sz w:val="20"/>
          <w:szCs w:val="20"/>
          <w:color w:val="auto"/>
        </w:rPr>
      </w:pPr>
      <w:r>
        <w:rPr>
          <w:rFonts w:ascii="Arial" w:cs="Arial" w:eastAsia="Arial" w:hAnsi="Arial"/>
          <w:sz w:val="16"/>
          <w:szCs w:val="16"/>
          <w:color w:val="auto"/>
        </w:rPr>
        <w:t>Accounts payable for property and equipment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13,131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280</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125"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2018.</w:t>
      </w:r>
    </w:p>
    <w:p>
      <w:pPr>
        <w:spacing w:after="0" w:line="1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Certain reclassifications have been made to prior year financial statements to conform to classifications used in the current year. These reclassifications had no impact on net income, stockholders' equity or cash flows as previously reported. The reclassifications included reporting foreign exchange gains and losses in other income (expense), net, and removing them from selling, general and administrative expenses. We reclassified related-party receivables to prepaid expenses and other current assets for the current year's presentation, as Pfizer, Inc. ("Pfizer") had sold all of its shares of ICU common stock as of December 31, 2018, thereby ending the related-party relationship with ICU. We reclassified operating cash outflows due to the purchase of spare parts. These operating cash outflows were previously included as an adjustment to reconcile net income to net cash provided by (used in ) operating activities-other and are now presented as changes in operating assets and liabilities-other assets.</w:t>
      </w:r>
    </w:p>
    <w:p>
      <w:pPr>
        <w:spacing w:after="0" w:line="17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February 2016, the FASB issued Accounting Standard Update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required a modified retrospective adoption. In July 2018, the FASB issued ASU No. 2018-11, Targeted Improvements. The amendments in this update provides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provided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We adopted these standards effective January 1, 2019. See Note 6, Leases for a discussion of the impact and required disclosures.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31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 August 2018, the FASB issued ASU No. 2018-15, Intangibles-Goodwill and Other-Internal-Use Software (Topic 350): Customer's Accounting for</w:t>
      </w:r>
      <w:r>
        <w:rPr>
          <w:rFonts w:ascii="Arial" w:cs="Arial" w:eastAsia="Arial" w:hAnsi="Arial"/>
          <w:sz w:val="22"/>
          <w:szCs w:val="22"/>
          <w:color w:val="auto"/>
        </w:rPr>
        <w:t xml:space="preserve"> </w:t>
      </w:r>
      <w:r>
        <w:rPr>
          <w:rFonts w:ascii="Arial" w:cs="Arial" w:eastAsia="Arial" w:hAnsi="Arial"/>
          <w:sz w:val="18"/>
          <w:szCs w:val="18"/>
          <w:color w:val="auto"/>
        </w:rPr>
        <w:t>Implementation Costs Incurred in a Cloud Computing Arrangement That Is a Service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are currently evaluating the impact of this ASU on the consolidated financial statements and related disclosures.</w:t>
      </w:r>
    </w:p>
    <w:p>
      <w:pPr>
        <w:spacing w:after="0" w:line="1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are currently evaluating the impact of this ASU on the consolidated financial statements and related disclosures.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Strategic Transaction and Integration Expenses</w:t>
      </w:r>
    </w:p>
    <w:p>
      <w:pPr>
        <w:spacing w:after="0" w:line="22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incurred and expensed $23.6 million and $19.8 million in transaction and integration expenses during the three months ended March 31, 2019 and 2018, respectively, primarily related to the integration of the Hospira Infusion Systems ("HIS") business acquired in 2017 from Pfizer.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During the three months ended March 31, 2019, restructuring charges included severance costs related to involuntary employee terminations. The charges are primarily related to our continued integration of our HIS business acquired in 2017. The cumulative amount incurred to date in connection with the HIS acquisition is $23.9 million. Restructuring charges are included in the restructuring, strategic transaction and integration line item in our condensed consolidated statement of operations.</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ended March 31, 2019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9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Accrued Balance January</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7"/>
                <w:szCs w:val="17"/>
                <w:color w:val="auto"/>
              </w:rPr>
            </w:pPr>
          </w:p>
        </w:tc>
        <w:tc>
          <w:tcPr>
            <w:tcW w:w="160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Accrued Balance</w:t>
            </w:r>
          </w:p>
        </w:tc>
      </w:tr>
      <w:tr>
        <w:trPr>
          <w:trHeight w:val="210"/>
        </w:trPr>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1, 2019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Payments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600" w:type="dxa"/>
            <w:vAlign w:val="bottom"/>
          </w:tcPr>
          <w:p>
            <w:pPr>
              <w:jc w:val="right"/>
              <w:ind w:right="294"/>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4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certain Infusion Systems agreements, our customers are provided the right to use our systems hardware upon entering into agreements to purchase specified amounts of consumables. Revenues from these agreements are presented in product revenue on our condensed consolidated statements of operation.</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7560" w:type="dxa"/>
            <w:vAlign w:val="bottom"/>
          </w:tcPr>
          <w:p>
            <w:pPr>
              <w:ind w:left="580"/>
              <w:spacing w:after="0"/>
              <w:rPr>
                <w:sz w:val="20"/>
                <w:szCs w:val="20"/>
                <w:color w:val="auto"/>
              </w:rPr>
            </w:pPr>
            <w:r>
              <w:rPr>
                <w:rFonts w:ascii="Arial" w:cs="Arial" w:eastAsia="Arial" w:hAnsi="Arial"/>
                <w:sz w:val="18"/>
                <w:szCs w:val="18"/>
                <w:color w:val="auto"/>
                <w:w w:val="98"/>
              </w:rPr>
              <w:t>The following table represents our revenues disaggregated by geography (in thousands):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6"/>
          </w:tcPr>
          <w:p>
            <w:pPr>
              <w:jc w:val="right"/>
              <w:ind w:right="950"/>
              <w:spacing w:after="0"/>
              <w:rPr>
                <w:sz w:val="20"/>
                <w:szCs w:val="20"/>
                <w:color w:val="auto"/>
              </w:rPr>
            </w:pPr>
            <w:r>
              <w:rPr>
                <w:rFonts w:ascii="Arial" w:cs="Arial" w:eastAsia="Arial" w:hAnsi="Arial"/>
                <w:sz w:val="18"/>
                <w:szCs w:val="18"/>
                <w:b w:val="1"/>
                <w:bCs w:val="1"/>
                <w:color w:val="auto"/>
              </w:rPr>
              <w:t>For the three months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ended March 31,</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Geography</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 the Middle East and Africa</w:t>
            </w:r>
          </w:p>
        </w:tc>
        <w:tc>
          <w:tcPr>
            <w:tcW w:w="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Other Foreign</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51,361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50,932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Foreign</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247,193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281,577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330,932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372,033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vMerge w:val="restart"/>
          </w:tcPr>
          <w:p>
            <w:pPr>
              <w:ind w:left="580"/>
              <w:spacing w:after="0"/>
              <w:rPr>
                <w:sz w:val="20"/>
                <w:szCs w:val="20"/>
                <w:color w:val="auto"/>
              </w:rPr>
            </w:pPr>
            <w:r>
              <w:rPr>
                <w:rFonts w:ascii="Arial" w:cs="Arial" w:eastAsia="Arial" w:hAnsi="Arial"/>
                <w:sz w:val="18"/>
                <w:szCs w:val="18"/>
                <w:color w:val="auto"/>
              </w:rPr>
              <w:t>The following table represents our revenues disaggregated by product (in thousands):</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line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Infusion Consumables</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119,911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IV Solutions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113,182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756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 xml:space="preserve">Infusion Systems </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93,439</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Critical Care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330,932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372,033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changes in the contract balances for the three months ended March 31, 2019 and 2018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r>
      <w:tr>
        <w:trPr>
          <w:trHeight w:val="297"/>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March 31,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w:t>
            </w:r>
          </w:p>
        </w:tc>
      </w:tr>
      <w:tr>
        <w:trPr>
          <w:trHeight w:val="311"/>
        </w:trPr>
        <w:tc>
          <w:tcPr>
            <w:tcW w:w="9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Beginning balance, January 1,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(4,080)</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March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w:t>
            </w:r>
          </w:p>
        </w:tc>
      </w:tr>
      <w:tr>
        <w:trPr>
          <w:trHeight w:val="20"/>
        </w:trPr>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March 31, 2019, revenue from remaining performance obligations related to implementation of software and equipment is $4.9 million. We expect to recognize substantially all of this revenue within the next three months. Revenue from remaining performance obligations related to annual software licenses is $1.5 million. We expect to recognize substantially all of this revenue over the next twelve months.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1" w:right="2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 Accounting"</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adopted ASU No. 2016-02, Leases (ASC Topic 842), effective January 1, 2019 on a modified retrospective transition method through a cumulative-effect adjustment at the beginning of the first quarter of 2019. We elected the 'package of practical expedients', which permitted us not to reassess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right-of-use ("ROU") assets or lease liabilities, and this includes not recognizing ROU assets or lease liabilities for existing short-term leases of those assets in transition. Furthermore, we elected the practical expedient to not separate lease and non-lease components for all of our leases, non-lease components are primarily common area maintenance charges that we combine with the lease component when applying this ASU. The impact of adopting this standard was the recognition of ROU assets and lease liabilities for our operating leases of $40.4 million as of January 1, 2019.</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adoption of ASU Topic 842 requires us to classify certain Infusion Systems agreements as sales-type leases and thus accelerate hardware revenue and cost recognition at the time of instrument placement. We did not change the historical lease classification for placements prior to January 1, 2019, therefore this change will apply to certain new placements beginning on January 1, 2019. Under prior lease guidance ASC 840, certain Infusion Systems hardware placed with customers were classified as operating leases and hardware revenue and cost was recognized over the term of the agreement. The adoption of ASC 842 did not have a material impact on our consolidated earnings and had no impact on cash flows for the three months ended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determine if an arrangement is a lease at inception. Most operating leases with a term greater than one-year are included in operating lease right-of-use assets, accrued liabilities, and other long-term liabilities on our condensed consolidated balance sheets.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The operating lease ROU asset excludes lease incentives and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operating leases for corporate offices, sales and support offices,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660"/>
              <w:spacing w:after="0"/>
              <w:rPr>
                <w:sz w:val="20"/>
                <w:szCs w:val="20"/>
                <w:color w:val="auto"/>
              </w:rPr>
            </w:pPr>
            <w:r>
              <w:rPr>
                <w:rFonts w:ascii="Arial" w:cs="Arial" w:eastAsia="Arial" w:hAnsi="Arial"/>
                <w:sz w:val="18"/>
                <w:szCs w:val="18"/>
                <w:color w:val="auto"/>
              </w:rPr>
              <w:t>The following table presents the components of our lease cost (in thousands):</w:t>
            </w: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For the three months</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ended March 31, 2019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BFE4FF"/>
            </w:tcBorders>
            <w:shd w:val="clear" w:color="auto" w:fill="BFE4FF"/>
          </w:tcPr>
          <w:p>
            <w:pPr>
              <w:spacing w:after="0"/>
              <w:rPr>
                <w:sz w:val="21"/>
                <w:szCs w:val="21"/>
                <w:color w:val="auto"/>
              </w:rPr>
            </w:pPr>
          </w:p>
        </w:tc>
        <w:tc>
          <w:tcPr>
            <w:tcW w:w="2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6"/>
        </w:trPr>
        <w:tc>
          <w:tcPr>
            <w:tcW w:w="8900" w:type="dxa"/>
            <w:vAlign w:val="bottom"/>
            <w:tcBorders>
              <w:bottom w:val="single" w:sz="8" w:color="BFE4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9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660"/>
              <w:spacing w:after="0"/>
              <w:rPr>
                <w:sz w:val="20"/>
                <w:szCs w:val="20"/>
                <w:color w:val="auto"/>
              </w:rPr>
            </w:pPr>
            <w:r>
              <w:rPr>
                <w:rFonts w:ascii="Arial" w:cs="Arial" w:eastAsia="Arial" w:hAnsi="Arial"/>
                <w:sz w:val="18"/>
                <w:szCs w:val="18"/>
                <w:color w:val="auto"/>
                <w:w w:val="98"/>
              </w:rPr>
              <w:t>The following table presents the supplemental cash flow information related to our leases (in thousands):</w:t>
            </w: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00" w:type="dxa"/>
            <w:vAlign w:val="bottom"/>
          </w:tcPr>
          <w:p>
            <w:pPr>
              <w:ind w:left="56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right"/>
              <w:ind w:right="41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5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ended March 31, 2019</w:t>
            </w:r>
          </w:p>
        </w:tc>
      </w:tr>
      <w:tr>
        <w:trPr>
          <w:trHeight w:val="27"/>
        </w:trPr>
        <w:tc>
          <w:tcPr>
            <w:tcW w:w="53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5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3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891"/>
        </w:trPr>
        <w:tc>
          <w:tcPr>
            <w:tcW w:w="5380" w:type="dxa"/>
            <w:vAlign w:val="bottom"/>
          </w:tcPr>
          <w:p>
            <w:pPr>
              <w:spacing w:after="0"/>
              <w:rPr>
                <w:sz w:val="24"/>
                <w:szCs w:val="24"/>
                <w:color w:val="auto"/>
              </w:rPr>
            </w:pPr>
          </w:p>
        </w:tc>
        <w:tc>
          <w:tcPr>
            <w:tcW w:w="3420" w:type="dxa"/>
            <w:vAlign w:val="bottom"/>
          </w:tcPr>
          <w:p>
            <w:pPr>
              <w:jc w:val="right"/>
              <w:ind w:right="291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supplemental balance sheet information related to our leases (in thousands, except lease term and discount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As of March 31, 2019</w:t>
            </w:r>
          </w:p>
        </w:tc>
      </w:tr>
      <w:tr>
        <w:trPr>
          <w:trHeight w:val="27"/>
        </w:trPr>
        <w:tc>
          <w:tcPr>
            <w:tcW w:w="8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38,365</w:t>
            </w:r>
          </w:p>
        </w:tc>
      </w:tr>
      <w:tr>
        <w:trPr>
          <w:trHeight w:val="27"/>
        </w:trPr>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324"/>
        </w:trPr>
        <w:tc>
          <w:tcPr>
            <w:tcW w:w="8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7,966</w:t>
            </w:r>
          </w:p>
        </w:tc>
      </w:tr>
      <w:tr>
        <w:trPr>
          <w:trHeight w:val="27"/>
        </w:trPr>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30,640</w:t>
            </w:r>
          </w:p>
        </w:tc>
      </w:tr>
      <w:tr>
        <w:trPr>
          <w:trHeight w:val="297"/>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38,606</w:t>
            </w:r>
          </w:p>
        </w:tc>
      </w:tr>
      <w:tr>
        <w:trPr>
          <w:trHeight w:val="311"/>
        </w:trPr>
        <w:tc>
          <w:tcPr>
            <w:tcW w:w="8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 years</w:t>
            </w:r>
          </w:p>
        </w:tc>
      </w:tr>
      <w:tr>
        <w:trPr>
          <w:trHeight w:val="324"/>
        </w:trPr>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459"/>
        </w:trPr>
        <w:tc>
          <w:tcPr>
            <w:tcW w:w="11420" w:type="dxa"/>
            <w:vAlign w:val="bottom"/>
            <w:gridSpan w:val="4"/>
          </w:tcPr>
          <w:p>
            <w:pPr>
              <w:ind w:left="660"/>
              <w:spacing w:after="0"/>
              <w:rPr>
                <w:sz w:val="20"/>
                <w:szCs w:val="20"/>
                <w:color w:val="auto"/>
              </w:rPr>
            </w:pPr>
            <w:r>
              <w:rPr>
                <w:rFonts w:ascii="Arial" w:cs="Arial" w:eastAsia="Arial" w:hAnsi="Arial"/>
                <w:sz w:val="18"/>
                <w:szCs w:val="18"/>
                <w:color w:val="auto"/>
              </w:rPr>
              <w:t>As of March 31, 2019, the maturities of our lease liabilities for each of the next five years is approximately (in thousands):</w:t>
            </w:r>
          </w:p>
        </w:tc>
      </w:tr>
      <w:tr>
        <w:trPr>
          <w:trHeight w:val="378"/>
        </w:trPr>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8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6,018</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8,713</w:t>
            </w:r>
          </w:p>
        </w:tc>
      </w:tr>
      <w:tr>
        <w:trPr>
          <w:trHeight w:val="27"/>
        </w:trPr>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6,391</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5,955</w:t>
            </w:r>
          </w:p>
        </w:tc>
      </w:tr>
      <w:tr>
        <w:trPr>
          <w:trHeight w:val="27"/>
        </w:trPr>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5,795</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13,390</w:t>
            </w:r>
          </w:p>
        </w:tc>
      </w:tr>
      <w:tr>
        <w:trPr>
          <w:trHeight w:val="27"/>
        </w:trPr>
        <w:tc>
          <w:tcPr>
            <w:tcW w:w="8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46,262</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(7,656)</w:t>
            </w:r>
          </w:p>
        </w:tc>
      </w:tr>
      <w:tr>
        <w:trPr>
          <w:trHeight w:val="27"/>
        </w:trPr>
        <w:tc>
          <w:tcPr>
            <w:tcW w:w="8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38,606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of December 31, 2018, the maturities of our operating lease liabilities for each of the next five years were approximately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lease payment maturities as of December 31, 2018 are not calculated at present value.</w:t>
            </w: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Basic earnings (loss) per share is computed by dividing net income by the weighted-average number of common shares outstanding during the period. Diluted earnings per share is computed by dividing net income by the weighted-average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9,998 and 24,781 anti-dilutive securities for the three months ended March 31, 2019 and 2018,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33020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 calculation)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20,255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and common equivalent shares outstanding (for diluted calculation)</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21,551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21,400</w:t>
            </w: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0.23</w:t>
            </w:r>
          </w:p>
        </w:tc>
      </w:tr>
    </w:tbl>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The total notional amount of our outstanding derivative as of March 31, 2019 was approximately 60.0 million MXN. The term of our currency forward contract is May 1, 2017 to May 1, 2019. The derivative instrument matures in equal monthly amounts at a fixed forward rate of 20.01MXN/USD over the term of the two-year contract.</w:t>
      </w:r>
    </w:p>
    <w:p>
      <w:pPr>
        <w:spacing w:after="0" w:line="18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March 31, 2019 was approximately 183.9 million MXN. The term of the six-month contract is May 1, 2019 to November 1, 2019. The derivative instrument matures in equal monthly amounts at a fixed forward rate of 20.43 MXN/USD over the term of the six-month contract.</w:t>
      </w: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November 2018, we entered into a one-year cross-currency par forward contract again extending the hedge of a portion of our Mexico forecasted expenses denominated in MXN. The total notional amount of this outstanding derivative as of March 31, 2019 was approximately 398.0 million MXN. The term of the one-year hedge is November 1, 2019 to November 3, 2020. The derivative instrument matures in equal monthly amounts at a fixed forward rate of 22.109 MXN/USD.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instruments included within the Condensed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December 31, 2018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gridSpan w:val="3"/>
          </w:tcPr>
          <w:p>
            <w:pPr>
              <w:ind w:left="180"/>
              <w:spacing w:after="0"/>
              <w:rPr>
                <w:sz w:val="20"/>
                <w:szCs w:val="20"/>
                <w:color w:val="auto"/>
              </w:rPr>
            </w:pPr>
            <w:r>
              <w:rPr>
                <w:rFonts w:ascii="Arial" w:cs="Arial" w:eastAsia="Arial" w:hAnsi="Arial"/>
                <w:sz w:val="16"/>
                <w:szCs w:val="16"/>
                <w:color w:val="auto"/>
              </w:rPr>
              <w:t>Foreign exchange forward contract: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the amounts affecting the Condensed Consolidated Statements of Operations for the three months ended March 31, 2019 and 2018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48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Three months ended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33020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2"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571"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p>
      <w:pPr>
        <w:ind w:left="180"/>
        <w:spacing w:after="0"/>
        <w:tabs>
          <w:tab w:leader="none" w:pos="7440" w:val="left"/>
          <w:tab w:leader="none" w:pos="8840" w:val="left"/>
          <w:tab w:leader="none" w:pos="9700" w:val="left"/>
          <w:tab w:leader="none" w:pos="101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155</w:t>
        <w:tab/>
        <w:t>$</w:t>
      </w:r>
      <w:r>
        <w:rPr>
          <w:sz w:val="20"/>
          <w:szCs w:val="20"/>
          <w:color w:val="auto"/>
        </w:rPr>
        <w:tab/>
      </w:r>
      <w:r>
        <w:rPr>
          <w:rFonts w:ascii="Arial" w:cs="Arial" w:eastAsia="Arial" w:hAnsi="Arial"/>
          <w:sz w:val="15"/>
          <w:szCs w:val="15"/>
          <w:color w:val="auto"/>
        </w:rPr>
        <w:t>235</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contracts designated as a cash flow hedge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March 31, 2019, we expect approximately $0.9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2017, we acquired HIS from Pfizer, and as a result of the acquisition we recognized an earn-out liability. Pfizer may be entitled up to $225 million in cash if certain performance targets for the combined company for the three years ending December 31, 2019 are achieved. The initial value assigned to the contingent consideration was a result of forecasted product demand and operations of our HIS business.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long-term risk free-rate.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as of December 31, 2018 to March 31,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January 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47,400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(7,700)</w:t>
            </w: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March 31,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39,700</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fair value of the earn-out at March 31, 2019 changed from the fair value calculated at December 31, 2018 due to a change in the underlying cumulative adjusted EBITDA forecast, and changes in certain assumptions used in the Monte Carlo simulation, as detailed in the below table.</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December 31, 2018 and March 31, 2019. Significant increases or decreases in these inputs in isolation could result in a significant impact on our fair value measurement: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As of</w:t>
            </w:r>
          </w:p>
        </w:tc>
        <w:tc>
          <w:tcPr>
            <w:tcW w:w="1760" w:type="dxa"/>
            <w:vAlign w:val="bottom"/>
          </w:tcPr>
          <w:p>
            <w:pPr>
              <w:jc w:val="right"/>
              <w:ind w:right="619"/>
              <w:spacing w:after="0"/>
              <w:rPr>
                <w:sz w:val="20"/>
                <w:szCs w:val="20"/>
                <w:color w:val="auto"/>
              </w:rPr>
            </w:pPr>
            <w:r>
              <w:rPr>
                <w:rFonts w:ascii="Arial" w:cs="Arial" w:eastAsia="Arial" w:hAnsi="Arial"/>
                <w:sz w:val="16"/>
                <w:szCs w:val="16"/>
                <w:b w:val="1"/>
                <w:bCs w:val="1"/>
                <w:color w:val="auto"/>
              </w:rPr>
              <w:t>As of</w:t>
            </w:r>
          </w:p>
        </w:tc>
      </w:tr>
      <w:tr>
        <w:trPr>
          <w:trHeight w:val="210"/>
        </w:trPr>
        <w:tc>
          <w:tcPr>
            <w:tcW w:w="74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2019</w:t>
            </w: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21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210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33"/>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three months ended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at March 31,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20,822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39,700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2018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Investment Securities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operations. There have been no realized gains or losses on their disposal. Realized gains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losses are accounted for on the specific identification method. The scheduled maturities of the debt securities are between 2019 and 2020. All short-term investment securities are all callable within one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As of March 31,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5"/>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19,235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5"/>
              </w:rPr>
              <w:t>As of December 31,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5"/>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11:   Prepaid Expenses,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4"/>
          </w:tcPr>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13,050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Receivables from Pfizer related to HIS business acquisition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costs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5,207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29,910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w:t>
            </w: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As of December 31, 2018, Pfizer had sold all of its shares of ICU common stock thereby ending the related-party relationship with ICU. We reclassified the December 31, 2018 related-party receivable due from Pfizer to prepaid expenses, other current assets for current year presentation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104,104</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57,337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154,150</w:t>
            </w:r>
          </w:p>
        </w:tc>
        <w:tc>
          <w:tcPr>
            <w:tcW w:w="0" w:type="dxa"/>
            <w:vAlign w:val="bottom"/>
          </w:tcPr>
          <w:p>
            <w:pPr>
              <w:spacing w:after="0"/>
              <w:rPr>
                <w:sz w:val="1"/>
                <w:szCs w:val="1"/>
                <w:color w:val="auto"/>
              </w:rPr>
            </w:pP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4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321,747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311,163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160" w:type="dxa"/>
            <w:vAlign w:val="bottom"/>
            <w:vMerge w:val="restart"/>
          </w:tcPr>
          <w:p>
            <w:pPr>
              <w:jc w:val="right"/>
              <w:ind w:right="177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203,431</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216,042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212,283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59,700</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81,834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80,420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70"/>
        </w:trPr>
        <w:tc>
          <w:tcPr>
            <w:tcW w:w="8560" w:type="dxa"/>
            <w:vAlign w:val="bottom"/>
          </w:tcPr>
          <w:p>
            <w:pPr>
              <w:ind w:left="40"/>
              <w:spacing w:after="0" w:line="270" w:lineRule="exact"/>
              <w:rPr>
                <w:sz w:val="20"/>
                <w:szCs w:val="20"/>
                <w:color w:val="auto"/>
              </w:rPr>
            </w:pPr>
            <w:r>
              <w:rPr>
                <w:rFonts w:ascii="Arial" w:cs="Arial" w:eastAsia="Arial" w:hAnsi="Arial"/>
                <w:sz w:val="18"/>
                <w:szCs w:val="18"/>
                <w:color w:val="auto"/>
              </w:rPr>
              <w:t>Instruments placed with customers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64,111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60,757</w:t>
            </w: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70,864</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709,939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694,864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(262,223)</w:t>
            </w:r>
          </w:p>
        </w:tc>
        <w:tc>
          <w:tcPr>
            <w:tcW w:w="0" w:type="dxa"/>
            <w:vAlign w:val="bottom"/>
          </w:tcPr>
          <w:p>
            <w:pPr>
              <w:spacing w:after="0"/>
              <w:rPr>
                <w:sz w:val="1"/>
                <w:szCs w:val="1"/>
                <w:color w:val="auto"/>
              </w:rPr>
            </w:pP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432,938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432,641</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Instruments placed with customers consist of drug-delivery and monitoring systems placed with customers under operating leases.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$15.1 million and $14.2 million for the three months ended March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57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2019</w:t>
            </w:r>
          </w:p>
        </w:tc>
        <w:tc>
          <w:tcPr>
            <w:tcW w:w="5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21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2019</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42,869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82,507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65,367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173,970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121,784</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131,053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44,553</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82,857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15,361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67,496</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125,186</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133,421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Intangible asset amortization expense was $4.0 million and $4.1 million for the three months ended March 31, 2019, and 2018,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March 31, 2019 estimated annual amortization for our intangible assets for each of the next five years is approximately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17,048</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16,099</w:t>
            </w:r>
          </w:p>
        </w:tc>
      </w:tr>
      <w:tr>
        <w:trPr>
          <w:trHeight w:val="27"/>
        </w:trPr>
        <w:tc>
          <w:tcPr>
            <w:tcW w:w="9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15,897</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15,773</w:t>
            </w:r>
          </w:p>
        </w:tc>
      </w:tr>
      <w:tr>
        <w:trPr>
          <w:trHeight w:val="27"/>
        </w:trPr>
        <w:tc>
          <w:tcPr>
            <w:tcW w:w="9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15,624</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41,343</w:t>
            </w:r>
          </w:p>
        </w:tc>
      </w:tr>
      <w:tr>
        <w:trPr>
          <w:trHeight w:val="27"/>
        </w:trPr>
        <w:tc>
          <w:tcPr>
            <w:tcW w:w="9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121,784</w:t>
            </w:r>
          </w:p>
        </w:tc>
      </w:tr>
      <w:tr>
        <w:trPr>
          <w:trHeight w:val="20"/>
        </w:trPr>
        <w:tc>
          <w:tcPr>
            <w:tcW w:w="9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0"/>
              </w:rPr>
              <w:t>Note 15:</w:t>
            </w:r>
          </w:p>
        </w:tc>
        <w:tc>
          <w:tcPr>
            <w:tcW w:w="7900" w:type="dxa"/>
            <w:vAlign w:val="bottom"/>
          </w:tcPr>
          <w:p>
            <w:pPr>
              <w:ind w:left="220"/>
              <w:spacing w:after="0"/>
              <w:rPr>
                <w:sz w:val="20"/>
                <w:szCs w:val="20"/>
                <w:color w:val="auto"/>
              </w:rPr>
            </w:pPr>
            <w:r>
              <w:rPr>
                <w:rFonts w:ascii="Arial" w:cs="Arial" w:eastAsia="Arial" w:hAnsi="Arial"/>
                <w:sz w:val="18"/>
                <w:szCs w:val="18"/>
                <w:b w:val="1"/>
                <w:bCs w:val="1"/>
                <w:color w:val="auto"/>
              </w:rPr>
              <w:t>Accrued Liabilities and Other Long-Term Liabilities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20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liability-ST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product field action</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Third-party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Consigned inventory</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sales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Restructuring accrual</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other taxes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Legal accrual</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Distribution fees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Warranties and returns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freight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Other</w:t>
            </w:r>
          </w:p>
        </w:tc>
        <w:tc>
          <w:tcPr>
            <w:tcW w:w="7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128,820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20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liability-LT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w w:val="92"/>
              </w:rPr>
              <w:t>Benefits</w:t>
            </w:r>
          </w:p>
        </w:tc>
        <w:tc>
          <w:tcPr>
            <w:tcW w:w="7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0"/>
              </w:rPr>
              <w:t>Note 16:</w:t>
            </w:r>
          </w:p>
        </w:tc>
        <w:tc>
          <w:tcPr>
            <w:tcW w:w="79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7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were accrued at an estimated effective tax rate of 7% and (28)% for the three months ended March 31, 2019 and 2018, respectively.</w:t>
      </w:r>
    </w:p>
    <w:p>
      <w:pPr>
        <w:spacing w:after="0" w:line="24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effective tax rate for the three months ended March 31, 2019 differs from the federal statutory rate of 21% principally because of the effect of the mix of U.S. and foreign incomes, state income taxes, global intangible low-taxed income (GILTI) and tax credits. It is also affected by discrete items that may occur in any given year but are not consistent from year to year. The effective tax rate during the three months ended March 31, 2019 included a tax benefit of $5.6 million related to the excess tax benefits recognized on stock option exercises and the vesting of restricted stock units during the period, which is treated as a discrete item and excluded from determining our annual estimated effective tax rate. In addition, a revaluation of the contingent consideration resulted in a tax provision of $1.8 million for the three months ended March 31, 2019, which was treated as a discrete item.</w:t>
      </w:r>
    </w:p>
    <w:p>
      <w:pPr>
        <w:sectPr>
          <w:pgSz w:w="11900" w:h="16838" w:orient="portrait"/>
          <w:cols w:equalWidth="0" w:num="1">
            <w:col w:w="11400"/>
          </w:cols>
          <w:pgMar w:left="240" w:top="121" w:right="25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1" w:right="2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effective tax rate for the three months ended March 31, 2018 differs from the federal statutory rate of 21% principally because of the effect the mix of U.S. and foreign incomes, state income taxes, tax credits and impact of a contract settlement. The contract settlement resulted in a material tax benefit of $5.7 million, which is treated as a discrete item. The effective tax rate during the three months ended March 31, 2018 also included a material tax benefit of $3.4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November 8, 2017, we entered into a Credit Facility with various lenders for $150.0 million, with Wells Fargo Bank, N.A. as the administrative agent, swingline lender and issuing lender. As of March 31, 2019, we had no borrowings and $150.0 million of availability under the Credit Facility. The Credit Facility matures on November 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July 2010, our Board of Directors approved a common stock purchase plan to purchase up to $40.0 million of our common stock. This plan has no expiration date. During the three months ended March 31, 2019, we did not purchase any shares of our common stock under the stock purchase plan. As of March 31, 2019, the remaining authorized amount under this purchase plan is approximately $7.2 million. We are currently limited on share purchases in accordance with the terms and conditions of our Credit Facility (see Note 17: Long-Term Obligations).</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three months ended March 31, 2019, we withheld 77,642 shares of our common stock from employee vested restricted stock units in consideration for $18.2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("AOCI"), net of tax,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17,392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allowed the plaintiffs to file a second amended complaint. On September 6, 2018, plaintiffs filed a second amended complaint adding new allegations in support of their conspiracy claims and adding ICU as a defendant. All defendants have filed a motion to dismiss this second amended complaint. Briefing is complete and we are awaiting the Court's ruling. On February 3, 2017, we completed the acquisition of the HIS business from Pfizer. This litigation is the subject of a claim for indemnification against us by Pfizer and a cross-claim for indemnification against Pfizer by us under the HIS stock and asset purchase agreement.</w:t>
      </w:r>
    </w:p>
    <w:p>
      <w:pPr>
        <w:spacing w:after="0" w:line="1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On December 10, 2018, we were informed by the U.S. Department of Justice, Antitrust Division, that their investigation has been closed.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 In addition, during the fourth quarter of 2018, we incurred $12.7 million in additional contract settlement charges related to this arrangement as a result of the write-off of assets and additional expenses associated with the restructuring of products.</w:t>
      </w:r>
    </w:p>
    <w:p>
      <w:pPr>
        <w:spacing w:after="0" w:line="17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 contractual earn-out arrangement in connection with our acquisition of the HIS business, whereby Pfizer may be entitled up to an additional $225.0 million in cash upon achievement of performance targets for the company for the three years ending December 31, 2019 (see Note 9: Fair Value Measurement). The amount to be paid cannot be determined until the earn-out period has expired.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6, Leases.</w:t>
      </w:r>
    </w:p>
    <w:p>
      <w:pPr>
        <w:spacing w:after="0" w:line="200" w:lineRule="exact"/>
        <w:rPr>
          <w:sz w:val="20"/>
          <w:szCs w:val="20"/>
          <w:color w:val="auto"/>
        </w:rPr>
      </w:pP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Acquisitions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March 15, 2019, we entered into an Asset Purchase Agreement with one of our distributors to acquire certain assets for approximately $8.0 million. We anticipate that the acquisition will close during the second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2018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70"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categorize our products into four main product lines: Infusion Consumables, IV Solutions, Infusion Systems, and Critical Care. We have presented our financial results in accordance with these product lines, with our primary products in each line listed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47" w:lineRule="exact"/>
        <w:rPr>
          <w:sz w:val="20"/>
          <w:szCs w:val="20"/>
          <w:color w:val="auto"/>
        </w:rPr>
      </w:pPr>
    </w:p>
    <w:p>
      <w:pPr>
        <w:ind w:left="1300" w:right="220" w:hanging="320"/>
        <w:spacing w:after="0" w:line="264" w:lineRule="auto"/>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181" w:lineRule="exact"/>
        <w:rPr>
          <w:rFonts w:ascii="Arial" w:cs="Arial" w:eastAsia="Arial" w:hAnsi="Arial"/>
          <w:sz w:val="18"/>
          <w:szCs w:val="18"/>
          <w:i w:val="1"/>
          <w:iCs w:val="1"/>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SwabCap </w:t>
      </w:r>
      <w:r>
        <w:rPr>
          <w:rFonts w:ascii="Arial" w:cs="Arial" w:eastAsia="Arial" w:hAnsi="Arial"/>
          <w:sz w:val="18"/>
          <w:szCs w:val="18"/>
          <w:color w:val="auto"/>
        </w:rPr>
        <w:t>disinfecting cap, used to protect and disinfect any needlefree connector, including competitive brands of connectors;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Tego </w:t>
      </w:r>
      <w:r>
        <w:rPr>
          <w:rFonts w:ascii="Arial" w:cs="Arial" w:eastAsia="Arial" w:hAnsi="Arial"/>
          <w:sz w:val="18"/>
          <w:szCs w:val="18"/>
          <w:color w:val="auto"/>
        </w:rPr>
        <w:t>hemodialysis connector used to cap and protect hemodialysis central venous catheter hubs;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NovaCath</w:t>
      </w:r>
      <w:r>
        <w:rPr>
          <w:rFonts w:ascii="Arial" w:cs="Arial" w:eastAsia="Arial" w:hAnsi="Arial"/>
          <w:sz w:val="18"/>
          <w:szCs w:val="18"/>
          <w:color w:val="auto"/>
        </w:rPr>
        <w:t>™</w:t>
      </w:r>
      <w:r>
        <w:rPr>
          <w:rFonts w:ascii="Arial" w:cs="Arial" w:eastAsia="Arial" w:hAnsi="Arial"/>
          <w:sz w:val="18"/>
          <w:szCs w:val="18"/>
          <w:i w:val="1"/>
          <w:iCs w:val="1"/>
          <w:color w:val="auto"/>
        </w:rPr>
        <w:t xml:space="preserve"> and SuperCath</w:t>
      </w:r>
      <w:r>
        <w:rPr>
          <w:rFonts w:ascii="Arial" w:cs="Arial" w:eastAsia="Arial" w:hAnsi="Arial"/>
          <w:sz w:val="18"/>
          <w:szCs w:val="18"/>
          <w:color w:val="auto"/>
        </w:rPr>
        <w:t>™ peripheral IV catheters (PIV).</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those used in chemotherapy, which, if released, can have harmful effects on the healthcare worker and environment. Our products are:</w:t>
      </w:r>
    </w:p>
    <w:p>
      <w:pPr>
        <w:spacing w:after="0" w:line="124" w:lineRule="exact"/>
        <w:rPr>
          <w:sz w:val="20"/>
          <w:szCs w:val="20"/>
          <w:color w:val="auto"/>
        </w:rPr>
      </w:pPr>
    </w:p>
    <w:p>
      <w:pPr>
        <w:ind w:left="1300" w:right="4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ChemoLock </w:t>
      </w:r>
      <w:r>
        <w:rPr>
          <w:rFonts w:ascii="Arial" w:cs="Arial" w:eastAsia="Arial" w:hAnsi="Arial"/>
          <w:sz w:val="18"/>
          <w:szCs w:val="18"/>
          <w:color w:val="auto"/>
        </w:rPr>
        <w:t>CSTD with a proprietary and pharmacy-preferred needlefree connection method,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 concentrations, blocks the transfer of environmental contaminants into the system, and eliminates the risk of needlestick injury;</w:t>
      </w:r>
    </w:p>
    <w:p>
      <w:pPr>
        <w:spacing w:after="0" w:line="181" w:lineRule="exact"/>
        <w:rPr>
          <w:rFonts w:ascii="Arial" w:cs="Arial" w:eastAsia="Arial" w:hAnsi="Arial"/>
          <w:sz w:val="18"/>
          <w:szCs w:val="18"/>
          <w:color w:val="auto"/>
        </w:rPr>
      </w:pPr>
    </w:p>
    <w:p>
      <w:pPr>
        <w:ind w:left="1300" w:hanging="320"/>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limits the escape of hazardous drug or vapor concentrations, blocks the transfer of environmental contaminants into the system, and eliminates the risk of needlestick injury; and</w:t>
      </w:r>
    </w:p>
    <w:p>
      <w:pPr>
        <w:spacing w:after="0" w:line="171" w:lineRule="exact"/>
        <w:rPr>
          <w:rFonts w:ascii="Arial" w:cs="Arial" w:eastAsia="Arial" w:hAnsi="Arial"/>
          <w:sz w:val="17"/>
          <w:szCs w:val="17"/>
          <w:color w:val="auto"/>
        </w:rPr>
      </w:pPr>
    </w:p>
    <w:p>
      <w:pPr>
        <w:ind w:left="1300" w:right="120" w:hanging="320"/>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Diana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preparation of hazardous drugs typically takes place in a pharmacy location where drugs are removed from vials and prepared for delivery to a patient. Those prepared drugs are then transferred to a nursing unit where the chemotherapy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administered via an infusion pump set to a patient. Components of the ChemoClave and ChemoLock product lines are used both in pharmacies and on the nursing floors for the preparation and administration of hazardous drugs.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25" w:lineRule="exact"/>
        <w:rPr>
          <w:sz w:val="20"/>
          <w:szCs w:val="20"/>
          <w:color w:val="auto"/>
        </w:rPr>
      </w:pPr>
    </w:p>
    <w:p>
      <w:pPr>
        <w:ind w:left="1300" w:right="22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Irrigation/Urologics:</w:t>
      </w:r>
    </w:p>
    <w:p>
      <w:pPr>
        <w:spacing w:after="0" w:line="225" w:lineRule="exact"/>
        <w:rPr>
          <w:sz w:val="20"/>
          <w:szCs w:val="20"/>
          <w:color w:val="auto"/>
        </w:rPr>
      </w:pPr>
    </w:p>
    <w:p>
      <w:pPr>
        <w:ind w:left="1300" w:right="18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offer a wide range of infusion pumps, dedicated IV sets and software. Our primary Infusion System products are dedicated IV sets and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25" w:lineRule="exact"/>
        <w:rPr>
          <w:sz w:val="20"/>
          <w:szCs w:val="20"/>
          <w:color w:val="auto"/>
        </w:rPr>
      </w:pPr>
    </w:p>
    <w:p>
      <w:pPr>
        <w:jc w:val="both"/>
        <w:ind w:left="1300" w:right="420" w:hanging="320"/>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an ICU Medical MedNet™ ready large volume infusion pump with an extensive drug</w:t>
      </w:r>
      <w:r>
        <w:rPr>
          <w:rFonts w:ascii="Arial" w:cs="Arial" w:eastAsia="Arial" w:hAnsi="Arial"/>
          <w:sz w:val="18"/>
          <w:szCs w:val="18"/>
          <w:i w:val="1"/>
          <w:iCs w:val="1"/>
          <w:color w:val="auto"/>
        </w:rPr>
        <w:t xml:space="preserve"> </w:t>
      </w:r>
      <w:r>
        <w:rPr>
          <w:rFonts w:ascii="Arial" w:cs="Arial" w:eastAsia="Arial" w:hAnsi="Arial"/>
          <w:sz w:val="18"/>
          <w:szCs w:val="18"/>
          <w:color w:val="auto"/>
        </w:rPr>
        <w:t>library and wireless capability. Plum 360 was named the 2018 Best in KLAS winner as top-performing IV smart pump and is the first medical device to be awarded UL Cybersecurity Assurance Program Certification; and</w:t>
      </w:r>
    </w:p>
    <w:p>
      <w:pPr>
        <w:spacing w:after="0" w:line="181"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IV-EHR interoperability since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Mediation Safety Software:</w:t>
      </w:r>
    </w:p>
    <w:p>
      <w:pPr>
        <w:spacing w:after="0" w:line="225" w:lineRule="exact"/>
        <w:rPr>
          <w:sz w:val="20"/>
          <w:szCs w:val="20"/>
          <w:color w:val="auto"/>
        </w:rPr>
      </w:pPr>
    </w:p>
    <w:p>
      <w:pPr>
        <w:ind w:left="1300" w:hanging="320"/>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left="1300" w:right="140" w:hanging="320"/>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6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Transpac™ blood pressure transducers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33020</wp:posOffset>
            </wp:positionV>
            <wp:extent cx="319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6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64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247.2</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6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4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980" w:type="dxa"/>
            <w:vAlign w:val="bottom"/>
            <w:gridSpan w:val="3"/>
          </w:tcPr>
          <w:p>
            <w:pPr>
              <w:jc w:val="center"/>
              <w:ind w:left="953"/>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vMerge w:val="continue"/>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IV Solutions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Critical Care</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We also manage our operations through independent distributors.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for distribution of our products, the loss of a strategic relationship with a customer could have a material adverse effect on our operating results.</w:t>
      </w:r>
    </w:p>
    <w:p>
      <w:pPr>
        <w:spacing w:after="0" w:line="18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ended March 31, 2019 and 2018, the percentages of each income statement caption in relation to total revenue:</w:t>
      </w:r>
    </w:p>
    <w:p>
      <w:pPr>
        <w:spacing w:after="0" w:line="32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22860</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8920"/>
              <w:spacing w:after="0"/>
              <w:rPr>
                <w:sz w:val="20"/>
                <w:szCs w:val="20"/>
                <w:color w:val="auto"/>
              </w:rPr>
            </w:pPr>
            <w:r>
              <w:rPr>
                <w:rFonts w:ascii="Arial" w:cs="Arial" w:eastAsia="Arial" w:hAnsi="Arial"/>
                <w:sz w:val="18"/>
                <w:szCs w:val="18"/>
                <w:b w:val="1"/>
                <w:bCs w:val="1"/>
                <w:color w:val="auto"/>
                <w:w w:val="89"/>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388"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Infusion Consumables revenue slightly increased for the three months ended March 31, 2019, as compared to the same period in the prior year. We only had a slight increase primarily due to temporary supply constraints in our oncology products. Infusion Consumables revenue was also impacted by exchange rate changes. On a constant currency basis, Infusion Consumables revenue would have been $123.7 million for the three months ended March 31, 2019, an increase of $3.8 million or 3.2%, as compared to the same period in the prior year.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33020</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7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IV Solutions sales decreased for the three months ended March 31, 2019, as compared to the same period in the prior year. Supply constraints from our competitors beginning in the second quarter of 2017 and continuing through the first half of 2018 caused some temporary customer purchases and stock-up on supplies of IV Solutions in the three months ended March 31, 2018. These market shortages temporarily drove up the demand for our product during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33020</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7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Infusion Systems revenue decreased for the three months ended March 31, 2019, as compared to the same period in the prior year, primarily due to historical losses in our U.S. installed base of infusion pumps and due to the impact of exchange rate changes. On a constant currency basis Infusion Systems revenue would have been $87.9 million for the three months ended March 31, 2019, a decrease of $5.5 million or 5.9%, as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33020</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7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Critical Care revenue decreased for the three months ended March 31, 2019, as compared to the same period in the prior year, primarily due to the timing of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three months ended March 31, 2019 and 2018, gross margins were 40.9%, and 40.1%, respectively. The increase in gross margin for the three months ended March 31, 2019, as compared to the same period in the prior year is primarily due Infusion Consumables increasing as a portion of our product mix and increased factory efficiencies.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33020</wp:posOffset>
            </wp:positionV>
            <wp:extent cx="2546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7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SG&amp;A expenses decreased for the three months ended March 31, 2019 as compared to the same period in the prior year. Consulting expense decreased $10.3 million, legal expense decreased $2.6 million, and compensation expense decreased $1.6 million. Partially offsetting these decreases was a $1.9 million increase in depreciation expense and a $1.8 million increase bad debt and warranty expense. Consulting expenses decreased as our transitional services agreement with Pfizer ended in the fourth quarter of 2018. Legal expenses were higher in the prior year due to expenses incurred related to the contract settlement, discussed below. Compensation expense decreased in the current period as incentive bonuses were higher in the prior year due to the integration of the HIS business. Depreciation expense increased due to an increase in the depreciable asset base. Bad debt expense increased primarily due to the quarterly assessment of our reserves related to our accounts receivable.</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reclassified $2.0 million of foreign exchange losses from SG&amp;A for the three months ended March 31, 2018 to other income (expense), net to conform to our current year reporting of those gains and losses, see below,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R&amp;D expenses slightly increased for the three months ended March 31, 2019, as compared to the same period in the prior year. The current year expense is primarily related to compensation and benefit expenses incurred on our current R&amp;D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Restructuring and strategic transaction and integration expenses were $24.4 million and $21.6 million for the three months ended March 31, 2019 and 2018, respectively. For the three months ended March 31, 2019, the restructuring and strategic transaction and integration expenses were primarily related to our final Pfizer separation costs and clean-up, which included a $12.7 million non-cash write-off of related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Restructuring charges were $0.8 million and $1.8 million for the three months ended March 31, 2019 and 2018, respectively. These charges were related to the integration of our acquired Hospira Infusion Systems ("HIS") business. We expect to pay unpaid restructuring charges as of March 31, 2019, by the end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Strategic transaction and integration expenses were $23.6 million and $19.8 million for the three months ended March 31, 2019 and 2018, respectively, primarily related to our integration of the HIS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fair value revaluation of our HIS contingent earn-out liability resulted in a decreases of value of $7.7 million and $4.0 million for the three months ended March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three months ended March 31, 2019, and 2018 we incurred an expense of $2.9 million and $28.9 million, respectively, related to the resolution of a dispute with a product partner, which resulted in a redefinition of our contractual arrangement and in the rights and remedies determined under such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Interest expense was $0.1 million for the three months ended March 31, 2019 and 2018. The interest expense for both periods is related to the amortization of financing costs incurred as of year-end December 31, 2017, in connection with a five-year Revolving Credit Facility and a related per annum commitment fee charged on the unused portion of the revolver under such Credit Facility (see Note 17: Long-Term Obligations in our accompanying condensed consolidated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Other income (expense), net was $3.2 million and ($1.0) million for the three months ended March 31, 2019 and 2018, respectively. In 2019, we reported foreign exchange gains and losses in other income (expense), net, accordingly for comparative purposes we reclassified prior year's foreign exchange gains and losses to other income (expense), net from SG&amp;A. For the three months ended March 31, 2019, net foreign exchange gains were $1.3 million, as compared to a net foreign exchange loss of $2.0 million for the three months ended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2019 and 2018, income taxes were accrued at an estimated effective tax rate of 7% and (28)%, respectively.</w:t>
      </w:r>
    </w:p>
    <w:p>
      <w:pPr>
        <w:spacing w:after="0" w:line="2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effective tax rate for the three months ended March 31, 2019 differs from the federal statutory rate of 21% principally because of the effect of the mix of U.S. and foreign incomes, state income taxes, global intangible low-taxed income (GILTI) and tax credits. It is also affected by discrete items that may occur in any given year but are not consistent from year to year. The effective tax rate during the three months ended March 31, 2019 included a tax benefit of $5.6 million related to the excess tax benefits recognized on stock option exercises and the vesting of restricted stock units during the period, which is treated as a discrete item and excluded from determining our annual estimated effective tax rate. In addition, a revaluation of the contingent consideration resulted in a tax provision of $1.8 million for the three months ended March 31, 2019, which was treated as a discrete item.</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effective tax rate for the three months ended March 31, 2018 differs from the federal statutory rate of 21% principally because of the effect the mix of U.S. and foreign incomes, state income taxes, tax credits and impact of a contract settlement. The contract settlement resulted in a material tax benefit of $5.7 million, which is treated as a discrete item. The effective tax rate during the three months ended March 31, 2018 also included a material tax benefit of $3.4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three months of 2019, our cash, cash equivalents, short-term and long-term investments decreased by $68.9 million from $384.1 million at December 31, 2018 to $315.3 million at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net cash used in operations for the three months ended March 31, 2019 was $21.0 million. Net income plus adjustments for non-cash net expenses contributed $70.5 million. Net cash used in operations as a result of changes in operating assets and liabilities was $91.5 million. The changes in operating assets and liabilities included a $49.5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increase in accounts receivable, a $34.8 million decrease in accrued liabilities, a $12.0 million increase in inventories, a $7.5 million increase in other assets and $1.1 million in net changes in income taxes, including excess tax benefits and deferred income taxes. Offsetting these amounts was a $10.3 million decrease in prepaid expenses and other current assets and a $3.1 million increase in accounts payable.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ICU common stock thereby ending its related-party relationship with ICU. The decrease in accrued liabilities was primarily a result of the payout of accrued compensation. The increase in inventory was primarily due to an increase in our finished goods safety stock. The increase in other assets was primarily related to the purchase of spare parts. The net changes in income taxes was a result of the timing of payments. The decrease in prepaid expenses and other current assets was primarily due to the collection of receivable amounts owed from Pfizer. The increase in accounts payable was due to the timing of payments.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cash used in operations for the three months ended March 31, 2018 was $20.7 million. Net income plus adjustments for non-cash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offset cash used by changes in operating assets and liabilities by $35.8 million. The cash used by changes in operating assets and liabilities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$56.5 million. The changes in operating assets and liabilities included a $29.5 million decrease in accrued liabilities, a $32.8 million increase in related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receivables, a $11.9 million increase in accounts receivable, a $2.3 million increase in other assets and $3.3 million in net changes in income taxes,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excess tax benefits and deferred income taxes. Offsetting these amounts was a $10.9 million decrease in inventories, $3.6 million decrease in prepaid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assets, and a $8.7 million increase in accounts payable. The decrease in accrued liabilities was primarily a result of the payout of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The increase in related-party receivables was primarily due to the timing of amounts to be received from Pfizer. The increase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is due to the increase in revenue. The decrease in inventory was primarily due to our continued inventory reduction effort. The increase 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was primarily related to the purchase of spare parts. The net changes in income taxes was a result of the timing of payments. The decrease in prepaid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assets was primarily due to the settlement of a deposit on inventory. The increase in accounts payable was due to the timing of 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(26,544)</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(2,127)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assets held-for-sale</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17"/>
              <w:spacing w:after="0" w:line="270" w:lineRule="exact"/>
              <w:rPr>
                <w:sz w:val="20"/>
                <w:szCs w:val="20"/>
                <w:color w:val="auto"/>
              </w:rPr>
            </w:pPr>
            <w:r>
              <w:rPr>
                <w:rFonts w:ascii="Arial" w:cs="Arial" w:eastAsia="Arial" w:hAnsi="Arial"/>
                <w:sz w:val="18"/>
                <w:szCs w:val="18"/>
                <w:color w:val="auto"/>
              </w:rPr>
              <w:t xml:space="preserve">(13,000)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hanging="332"/>
        <w:spacing w:after="0" w:line="187"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In 2018, we sold the land and building related to our Dominican Republic manufacturing facilities acquired as part of the 2017 HIS acquisition.</w:t>
      </w:r>
    </w:p>
    <w:p>
      <w:pPr>
        <w:spacing w:after="0" w:line="2" w:lineRule="exact"/>
        <w:rPr>
          <w:rFonts w:ascii="Arial" w:cs="Arial" w:eastAsia="Arial" w:hAnsi="Arial"/>
          <w:sz w:val="24"/>
          <w:szCs w:val="24"/>
          <w:color w:val="auto"/>
          <w:vertAlign w:val="superscript"/>
        </w:rPr>
      </w:pPr>
    </w:p>
    <w:p>
      <w:pPr>
        <w:ind w:left="340" w:right="280" w:hanging="332"/>
        <w:spacing w:after="0" w:line="208"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5"/>
          <w:szCs w:val="25"/>
          <w:color w:val="auto"/>
          <w:vertAlign w:val="superscript"/>
        </w:rPr>
      </w:pPr>
    </w:p>
    <w:p>
      <w:pPr>
        <w:ind w:left="340" w:right="80" w:hanging="332"/>
        <w:spacing w:after="0" w:line="220" w:lineRule="auto"/>
        <w:tabs>
          <w:tab w:leader="none" w:pos="208"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Proceeds from the sale or maturity of our investment securities will vary from period to period based on the maturity dates of the investments we currently hold.</w:t>
      </w:r>
    </w:p>
    <w:p>
      <w:pPr>
        <w:spacing w:after="0" w:line="20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While we can provide no assurances, we estimate that our capital expenditures in 2019 will be approximately $95.0 million to $105.0 million. We anticipate making additional investments in machinery and equipment in our manufacturing operations in Costa Rica, the U.S. and Mexico to support new and existing products, in infusion products that are placed with customers outside the U.S., and in IT to benefit world-wide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firstLine="177"/>
        <w:spacing w:after="0" w:line="277" w:lineRule="auto"/>
        <w:rPr>
          <w:sz w:val="20"/>
          <w:szCs w:val="20"/>
          <w:color w:val="auto"/>
        </w:rPr>
      </w:pPr>
      <w:r>
        <w:rPr>
          <w:rFonts w:ascii="Arial" w:cs="Arial" w:eastAsia="Arial" w:hAnsi="Arial"/>
          <w:sz w:val="18"/>
          <w:szCs w:val="18"/>
          <w:color w:val="auto"/>
        </w:rPr>
        <w:t>We expect to use our cash to fund our capital purchases. Amounts of spending are estimates and actual spending may substantially differ from those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payments related to net share settlement of equity awards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hanging="332"/>
        <w:spacing w:after="0" w:line="245" w:lineRule="auto"/>
        <w:tabs>
          <w:tab w:leader="none" w:pos="19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340" w:right="120" w:hanging="332"/>
        <w:spacing w:after="0" w:line="262" w:lineRule="auto"/>
        <w:tabs>
          <w:tab w:leader="none" w:pos="19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2019, our employees surrendered 77,642 shares of our common stock from vested restricted stock awards as consideration for approximately $18.2 million in minimum statutory withholding obligations paid on their behalf. During the three months ended March 31, 2018, our employees surrendered 23,101 shares of our common stock from vested restricted stock awards as consideration for approximately $5.3 million in minimum statutory withholding obligations paid on their behalf.</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July 2010, our Board of Directors approved a share purchase plan to purchase up to $40.0 million of our common stock. As of March 31, 2019, we had purchased $32.8 million of our common stock pursuant to this plan, leaving a balance of $7.2 million available for future purchases. This plan has no expiration date.</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 substantial cash and investment security position generated from operations and stock sales, principally from the exercise of employee stock options. We maintain this position to fund our growth, meet increasing working capital requirements, fund capital expenditures and to take advantage of acquisition opportunities that may arise. Our primary investment goal is capital preservation.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25"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a five-year Senior Secured Revolving Credit Facility ("Credit Facility") with various lenders for $150.0 million, with Wells Fargo Bank, N.A. as the administrative agent (see Note 17: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 The Credit Facility matures in 2022.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There have been no material changes to our contractual obligations disclosed in our Annual Report on FOrm 10-K for the fiscal year ended December 31, 2018 ("Annual Report"). On January 1, 2019, we adopted Accounting Standard Update ("ASU") No. 2016-02, Leases (Topic 842). The impact of the adoption of ASU No. 2016-02 on our operating lease obligations is disclosed in Note 6 to Part I, Item 1.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120" w:hanging="320"/>
        <w:spacing w:after="0" w:line="276"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120"/>
        <w:spacing w:after="0" w:line="324" w:lineRule="auto"/>
        <w:rPr>
          <w:sz w:val="20"/>
          <w:szCs w:val="20"/>
          <w:color w:val="auto"/>
        </w:rPr>
      </w:pPr>
      <w:r>
        <w:rPr>
          <w:rFonts w:ascii="Arial" w:cs="Arial" w:eastAsia="Arial" w:hAnsi="Arial"/>
          <w:sz w:val="18"/>
          <w:szCs w:val="18"/>
          <w:color w:val="auto"/>
        </w:rPr>
        <w:t>operations; future tax rates; alternative sources of capital or financing; changes in working capital items such as receivables and inventory; selling prices; and income taxes;</w:t>
      </w:r>
    </w:p>
    <w:p>
      <w:pPr>
        <w:spacing w:after="0" w:line="143" w:lineRule="exact"/>
        <w:rPr>
          <w:sz w:val="20"/>
          <w:szCs w:val="20"/>
          <w:color w:val="auto"/>
        </w:rPr>
      </w:pPr>
    </w:p>
    <w:p>
      <w:pPr>
        <w:ind w:left="1300" w:hanging="320"/>
        <w:spacing w:after="0" w:line="26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5" w:lineRule="exact"/>
        <w:rPr>
          <w:rFonts w:ascii="Arial" w:cs="Arial" w:eastAsia="Arial" w:hAnsi="Arial"/>
          <w:sz w:val="17"/>
          <w:szCs w:val="17"/>
          <w:color w:val="auto"/>
        </w:rPr>
      </w:pPr>
    </w:p>
    <w:p>
      <w:pPr>
        <w:ind w:left="1300" w:right="60" w:hanging="320"/>
        <w:spacing w:after="0" w:line="26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right="6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2018,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14" w:lineRule="exact"/>
        <w:rPr>
          <w:sz w:val="20"/>
          <w:szCs w:val="20"/>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13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were to incur borrowings under our Credit Facility, we would face market risk stemming from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our European operations, our net Euro asset position at March 31, 2019 was approximately €58.3 million. A 10% change in the conversion of the Euro to the U.S. dollar for our cash, accounts receivable, accounts payable and accrued liabilities from the March 31, 2019 spot rate would impact our consolidated amounts on these balance sheet items by approximately $6.5 million, or 2.2% of these consolidated net assets. We expect that in the future, with the growth of our European distribution operations, net Euro denominated instruments will continue to increase. In our Canadian operations, our net Canadian dollar asset position at March 31, 2019 was approximately $43.0 million. A 10% change in the conversion of the Canadian dollar to the U.S. dollar for our cash, accounts receivable, accounts payable and accrued liabilities from the March 31, 2019 spot rate would impact our consolidated amounts on these balance sheet items by approximately $3.2 million, or 1.1% of these net assets. We currently do not hedge our Canadian dollar or Euro foreign currency exposures.</w:t>
      </w:r>
    </w:p>
    <w:p>
      <w:pPr>
        <w:spacing w:after="0" w:line="19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8, Derivatives and Hedging to the condensed consolidated financial statements in Part I, Item 1 of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legal proceedings in which we are involved are discussed in Part I, Item 1. "Financial Statements" of this Form 10-Q in Note 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to the Condensed Consolidated Financial Statements,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2018, as well as the information contained in this Quarterly Report and our other reports and registration statements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first quarter of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01/01/2019 — 01/31/2019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02/01/2019 — 02/28/2019</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03/01/2019 — 03/31/2019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First quarter of 2019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240" w:top="125" w:right="5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240" w:top="125" w:right="6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3">
              <w:r>
                <w:rPr>
                  <w:rFonts w:ascii="Arial" w:cs="Arial" w:eastAsia="Arial" w:hAnsi="Arial"/>
                  <w:sz w:val="18"/>
                  <w:szCs w:val="18"/>
                  <w:color w:val="0000FF"/>
                </w:rPr>
                <w:t>10.1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Letter agreement between the Registrant and Alison Burcar, effective April 1, 2019.</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4">
              <w:r>
                <w:rPr>
                  <w:rFonts w:ascii="Arial" w:cs="Arial" w:eastAsia="Arial" w:hAnsi="Arial"/>
                  <w:sz w:val="18"/>
                  <w:szCs w:val="18"/>
                  <w:color w:val="0000FF"/>
                </w:rPr>
                <w:t>31.1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5">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6">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20"/>
          </w:cols>
          <w:pgMar w:left="240" w:top="351" w:right="839" w:bottom="1440" w:gutter="0" w:footer="0" w:header="0"/>
        </w:sectPr>
      </w:pPr>
    </w:p>
    <w:bookmarkStart w:id="42" w:name="page43"/>
    <w:bookmarkEnd w:id="42"/>
    <w:p>
      <w:pPr>
        <w:ind w:left="778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154940</wp:posOffset>
            </wp:positionV>
            <wp:extent cx="2315210"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Alison Burcar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Confidential Agreement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Dear Alison,</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letter outlines our mutual agreement in connection with terms and conditions of your employment with ICU Medical. Effective April 1, 2019, you shall retain responsibility for R&amp;D and Product Development Process Efficiency within IV Consumables as Corporate Vice President, Product Development/R&amp;D.</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You will continue to report to Vivek Jain. Effective April 1, 2019, your compensation package will be adjusted to reflect the following: Your new base salary shall be $200,000 annually. You will continue eligibility to participate in the Company’s Management Incentive Plan (MIP) with a target of 30% of your annual base salary.</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your reduced schedule, you will no longer be eligible to participate in our Executive Severance Plan and you hereby acknowledge and agree your rights under the ICU Medical, Inc. Executive Severance Plan shall be revoked, released and of no further force and effect. In connection with other benefits that you enjoy, you acknowledge and agree, that if you are separated from or leave ICU Medical you shall not receive severance at such time under ICU Medical’s Severance Policy.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letter is not intended to guarantee your employment; your employment shall continue ‘at-will’.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of your employment remain unchanged.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a copy of this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Vivek Jain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Vivek Jain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 acknowledge and accept the terms and conditions.</w:t>
      </w:r>
    </w:p>
    <w:p>
      <w:pPr>
        <w:spacing w:after="0" w:line="200" w:lineRule="exact"/>
        <w:rPr>
          <w:sz w:val="20"/>
          <w:szCs w:val="20"/>
          <w:color w:val="auto"/>
        </w:rPr>
      </w:pPr>
    </w:p>
    <w:p>
      <w:pPr>
        <w:spacing w:after="0" w:line="376"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Alison Burcar</w:t>
      </w:r>
      <w:r>
        <w:rPr>
          <w:sz w:val="20"/>
          <w:szCs w:val="20"/>
          <w:color w:val="auto"/>
        </w:rPr>
        <w:tab/>
      </w:r>
      <w:r>
        <w:rPr>
          <w:rFonts w:ascii="Arial" w:cs="Arial" w:eastAsia="Arial" w:hAnsi="Arial"/>
          <w:sz w:val="16"/>
          <w:szCs w:val="16"/>
          <w:color w:val="auto"/>
        </w:rPr>
        <w:t>Date: April 2,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Alison Burcar</w:t>
      </w:r>
    </w:p>
    <w:p>
      <w:pPr>
        <w:sectPr>
          <w:pgSz w:w="11900" w:h="16838" w:orient="portrait"/>
          <w:cols w:equalWidth="0" w:num="1">
            <w:col w:w="11400"/>
          </w:cols>
          <w:pgMar w:left="240" w:top="580"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2019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May 10, 2019</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2019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May 10, 2019</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2019-12-28T12:20:58Z</dcterms:created>
  <dcterms:modified xsi:type="dcterms:W3CDTF">2019-12-28T12:20:58Z</dcterms:modified>
</cp:coreProperties>
</file>