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Voigtlander Christian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 CALLE AMANECER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CLEMENTE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92673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ICU MEDICAL INC/DE</w:t>
              </w:r>
            </w:hyperlink>
            <w:r>
              <w:rPr/>
              <w:t xml:space="preserve"> [ </w:t>
            </w:r>
            <w:r>
              <w:rPr>
                <w:rFonts w:ascii="Times;serif" w:hAnsi="Times;serif"/>
                <w:color w:val="0000FF"/>
                <w:sz w:val="24"/>
                <w:shd w:fill="FFFFFF" w:val="clear"/>
              </w:rPr>
              <w:t>ICUI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8,929</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182.9325</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37,377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$182.85 to $183.03, inclusive. The reporting person undertakes to provide ICU Medical, Inc., any security holder of ICU Medical,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Paula Darbyshire, Attorney-in-Fact For: Christian Voigtlander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7477" TargetMode="External"/><Relationship Id="rId5" Type="http://schemas.openxmlformats.org/officeDocument/2006/relationships/hyperlink" Target="http://www.sec.gov/cgi-bin/browse-edgar?action=getcompany&amp;CIK=0000883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3493</Characters>
  <CharactersWithSpaces>4067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