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5"/>
          <w:szCs w:val="15"/>
          <w:b w:val="1"/>
          <w:bCs w:val="1"/>
          <w:color w:val="auto"/>
        </w:rPr>
        <w:t>UNITED STATES</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SECURITIES AND EXCHANGE COMMISSION</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WASHINGTON, D.C. 20549</w:t>
      </w:r>
    </w:p>
    <w:p>
      <w:pPr>
        <w:spacing w:after="0" w:line="93" w:lineRule="exact"/>
        <w:rPr>
          <w:sz w:val="24"/>
          <w:szCs w:val="24"/>
          <w:color w:val="auto"/>
        </w:rPr>
      </w:pPr>
    </w:p>
    <w:p>
      <w:pPr>
        <w:jc w:val="center"/>
        <w:ind w:right="-39"/>
        <w:spacing w:after="0"/>
        <w:rPr>
          <w:sz w:val="20"/>
          <w:szCs w:val="20"/>
          <w:color w:val="auto"/>
        </w:rPr>
      </w:pPr>
      <w:r>
        <w:rPr>
          <w:rFonts w:ascii="Arial" w:cs="Arial" w:eastAsia="Arial" w:hAnsi="Arial"/>
          <w:sz w:val="15"/>
          <w:szCs w:val="15"/>
          <w:b w:val="1"/>
          <w:bCs w:val="1"/>
          <w:color w:val="auto"/>
        </w:rPr>
        <w:t>FORM 10-Q</w:t>
      </w:r>
    </w:p>
    <w:p>
      <w:pPr>
        <w:spacing w:after="0" w:line="163" w:lineRule="exact"/>
        <w:rPr>
          <w:sz w:val="24"/>
          <w:szCs w:val="24"/>
          <w:color w:val="auto"/>
        </w:rPr>
      </w:pPr>
    </w:p>
    <w:p>
      <w:pPr>
        <w:ind w:left="520" w:hanging="500"/>
        <w:spacing w:after="0"/>
        <w:tabs>
          <w:tab w:leader="none" w:pos="520" w:val="left"/>
        </w:tabs>
        <w:numPr>
          <w:ilvl w:val="0"/>
          <w:numId w:val="1"/>
        </w:numPr>
        <w:rPr>
          <w:rFonts w:ascii="MS PGothic" w:cs="MS PGothic" w:eastAsia="MS PGothic" w:hAnsi="MS PGothic"/>
          <w:sz w:val="17"/>
          <w:szCs w:val="17"/>
          <w:color w:val="auto"/>
        </w:rPr>
      </w:pPr>
      <w:r>
        <w:rPr>
          <w:rFonts w:ascii="Arial" w:cs="Arial" w:eastAsia="Arial" w:hAnsi="Arial"/>
          <w:sz w:val="15"/>
          <w:szCs w:val="15"/>
          <w:b w:val="1"/>
          <w:bCs w:val="1"/>
          <w:color w:val="auto"/>
        </w:rPr>
        <w:t>QUARTERLY REPORT PURSUANT TO SECTION 13 OR 15(d) OF THE SECURITIES EXCHANGE ACT OF 1934</w:t>
      </w:r>
    </w:p>
    <w:p>
      <w:pPr>
        <w:spacing w:after="0" w:line="106" w:lineRule="exact"/>
        <w:rPr>
          <w:sz w:val="24"/>
          <w:szCs w:val="24"/>
          <w:color w:val="auto"/>
        </w:rPr>
      </w:pPr>
    </w:p>
    <w:p>
      <w:pPr>
        <w:ind w:left="4220"/>
        <w:spacing w:after="0"/>
        <w:rPr>
          <w:sz w:val="20"/>
          <w:szCs w:val="20"/>
          <w:color w:val="auto"/>
        </w:rPr>
      </w:pPr>
      <w:r>
        <w:rPr>
          <w:rFonts w:ascii="Arial" w:cs="Arial" w:eastAsia="Arial" w:hAnsi="Arial"/>
          <w:sz w:val="15"/>
          <w:szCs w:val="15"/>
          <w:b w:val="1"/>
          <w:bCs w:val="1"/>
          <w:color w:val="auto"/>
        </w:rPr>
        <w:t>For the quarterly period ended: March 31, 2022</w:t>
      </w:r>
    </w:p>
    <w:p>
      <w:pPr>
        <w:spacing w:after="0" w:line="26" w:lineRule="exact"/>
        <w:rPr>
          <w:sz w:val="24"/>
          <w:szCs w:val="24"/>
          <w:color w:val="auto"/>
        </w:rPr>
      </w:pPr>
    </w:p>
    <w:p>
      <w:pPr>
        <w:ind w:left="5580"/>
        <w:spacing w:after="0"/>
        <w:rPr>
          <w:sz w:val="20"/>
          <w:szCs w:val="20"/>
          <w:color w:val="auto"/>
        </w:rPr>
      </w:pPr>
      <w:r>
        <w:rPr>
          <w:rFonts w:ascii="Arial" w:cs="Arial" w:eastAsia="Arial" w:hAnsi="Arial"/>
          <w:sz w:val="15"/>
          <w:szCs w:val="15"/>
          <w:b w:val="1"/>
          <w:bCs w:val="1"/>
          <w:color w:val="auto"/>
        </w:rPr>
        <w:t>or</w:t>
      </w:r>
    </w:p>
    <w:p>
      <w:pPr>
        <w:spacing w:after="0" w:line="119" w:lineRule="exact"/>
        <w:rPr>
          <w:sz w:val="24"/>
          <w:szCs w:val="24"/>
          <w:color w:val="auto"/>
        </w:rPr>
      </w:pPr>
    </w:p>
    <w:p>
      <w:pPr>
        <w:ind w:left="520" w:hanging="500"/>
        <w:spacing w:after="0"/>
        <w:tabs>
          <w:tab w:leader="none" w:pos="520" w:val="left"/>
        </w:tabs>
        <w:numPr>
          <w:ilvl w:val="0"/>
          <w:numId w:val="2"/>
        </w:numPr>
        <w:rPr>
          <w:rFonts w:ascii="MS PGothic" w:cs="MS PGothic" w:eastAsia="MS PGothic" w:hAnsi="MS PGothic"/>
          <w:sz w:val="17"/>
          <w:szCs w:val="17"/>
          <w:color w:val="auto"/>
        </w:rPr>
      </w:pPr>
      <w:r>
        <w:rPr>
          <w:rFonts w:ascii="Arial" w:cs="Arial" w:eastAsia="Arial" w:hAnsi="Arial"/>
          <w:sz w:val="15"/>
          <w:szCs w:val="15"/>
          <w:b w:val="1"/>
          <w:bCs w:val="1"/>
          <w:color w:val="auto"/>
        </w:rPr>
        <w:t>TRANSITION REPORT PURSUANT TO SECTION 13 OR 15(d) OF THE SECURITIES EXCHANGE ACT OF 1934</w:t>
      </w:r>
    </w:p>
    <w:p>
      <w:pPr>
        <w:sectPr>
          <w:pgSz w:w="11900" w:h="16838" w:orient="portrait"/>
          <w:cols w:equalWidth="0" w:num="1">
            <w:col w:w="11240"/>
          </w:cols>
          <w:pgMar w:left="320" w:top="847" w:right="339" w:bottom="1440" w:gutter="0" w:footer="0" w:header="0"/>
        </w:sectPr>
      </w:pPr>
    </w:p>
    <w:p>
      <w:pPr>
        <w:spacing w:after="0" w:line="286" w:lineRule="exact"/>
        <w:rPr>
          <w:sz w:val="24"/>
          <w:szCs w:val="24"/>
          <w:color w:val="auto"/>
        </w:rPr>
      </w:pPr>
    </w:p>
    <w:p>
      <w:pPr>
        <w:ind w:left="4260"/>
        <w:spacing w:after="0"/>
        <w:rPr>
          <w:sz w:val="20"/>
          <w:szCs w:val="20"/>
          <w:color w:val="auto"/>
        </w:rPr>
      </w:pPr>
      <w:r>
        <w:rPr>
          <w:rFonts w:ascii="Arial" w:cs="Arial" w:eastAsia="Arial" w:hAnsi="Arial"/>
          <w:sz w:val="14"/>
          <w:szCs w:val="14"/>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to</w:t>
      </w:r>
    </w:p>
    <w:p>
      <w:pPr>
        <w:spacing w:after="0" w:line="223" w:lineRule="exact"/>
        <w:rPr>
          <w:sz w:val="24"/>
          <w:szCs w:val="24"/>
          <w:color w:val="auto"/>
        </w:rPr>
      </w:pPr>
    </w:p>
    <w:p>
      <w:pPr>
        <w:sectPr>
          <w:pgSz w:w="11900" w:h="16838" w:orient="portrait"/>
          <w:cols w:equalWidth="0" w:num="2">
            <w:col w:w="6320" w:space="540"/>
            <w:col w:w="4380"/>
          </w:cols>
          <w:pgMar w:left="320" w:top="847" w:right="339"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color w:val="auto"/>
        </w:rPr>
        <w:t>Commission File No.: 001-34634</w:t>
      </w:r>
    </w:p>
    <w:p>
      <w:pPr>
        <w:spacing w:after="0" w:line="111" w:lineRule="exact"/>
        <w:rPr>
          <w:sz w:val="24"/>
          <w:szCs w:val="24"/>
          <w:color w:val="auto"/>
        </w:rPr>
      </w:pPr>
    </w:p>
    <w:p>
      <w:pPr>
        <w:jc w:val="center"/>
        <w:ind w:right="-39"/>
        <w:spacing w:after="0"/>
        <w:rPr>
          <w:sz w:val="20"/>
          <w:szCs w:val="20"/>
          <w:color w:val="auto"/>
        </w:rPr>
      </w:pPr>
      <w:r>
        <w:rPr>
          <w:rFonts w:ascii="Arial" w:cs="Arial" w:eastAsia="Arial" w:hAnsi="Arial"/>
          <w:sz w:val="15"/>
          <w:szCs w:val="15"/>
          <w:b w:val="1"/>
          <w:bCs w:val="1"/>
          <w:color w:val="auto"/>
        </w:rPr>
        <w:t>ICU MEDICAL, INC.</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240"/>
          </w:cols>
          <w:pgMar w:left="320" w:top="847" w:right="339" w:bottom="1440" w:gutter="0" w:footer="0" w:header="0"/>
          <w:type w:val="continuous"/>
        </w:sectPr>
      </w:pPr>
    </w:p>
    <w:p>
      <w:pPr>
        <w:spacing w:after="0" w:line="200" w:lineRule="exact"/>
        <w:rPr>
          <w:sz w:val="24"/>
          <w:szCs w:val="24"/>
          <w:color w:val="auto"/>
        </w:rPr>
      </w:pPr>
    </w:p>
    <w:p>
      <w:pPr>
        <w:spacing w:after="0" w:line="227" w:lineRule="exact"/>
        <w:rPr>
          <w:sz w:val="24"/>
          <w:szCs w:val="24"/>
          <w:color w:val="auto"/>
        </w:rPr>
      </w:pPr>
    </w:p>
    <w:p>
      <w:pPr>
        <w:ind w:left="248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33-0022692</w:t>
      </w:r>
    </w:p>
    <w:p>
      <w:pPr>
        <w:spacing w:after="0" w:line="62" w:lineRule="exact"/>
        <w:rPr>
          <w:sz w:val="24"/>
          <w:szCs w:val="24"/>
          <w:color w:val="auto"/>
        </w:rPr>
      </w:pPr>
    </w:p>
    <w:p>
      <w:pPr>
        <w:sectPr>
          <w:pgSz w:w="11900" w:h="16838" w:orient="portrait"/>
          <w:cols w:equalWidth="0" w:num="2">
            <w:col w:w="7360" w:space="720"/>
            <w:col w:w="3160"/>
          </w:cols>
          <w:pgMar w:left="320" w:top="847" w:right="339" w:bottom="1440" w:gutter="0" w:footer="0" w:header="0"/>
          <w:type w:val="continuous"/>
        </w:sectPr>
      </w:pPr>
    </w:p>
    <w:p>
      <w:pPr>
        <w:ind w:left="1900"/>
        <w:spacing w:after="0"/>
        <w:rPr>
          <w:sz w:val="20"/>
          <w:szCs w:val="20"/>
          <w:color w:val="auto"/>
        </w:rPr>
      </w:pPr>
      <w:r>
        <w:rPr>
          <w:rFonts w:ascii="Arial" w:cs="Arial" w:eastAsia="Arial" w:hAnsi="Arial"/>
          <w:sz w:val="14"/>
          <w:szCs w:val="14"/>
          <w:color w:val="auto"/>
        </w:rPr>
        <w:t>(State or other jurisdiction of</w:t>
      </w:r>
    </w:p>
    <w:p>
      <w:pPr>
        <w:spacing w:after="0" w:line="45" w:lineRule="exact"/>
        <w:rPr>
          <w:sz w:val="24"/>
          <w:szCs w:val="24"/>
          <w:color w:val="auto"/>
        </w:rPr>
      </w:pPr>
    </w:p>
    <w:p>
      <w:pPr>
        <w:ind w:left="1860"/>
        <w:spacing w:after="0"/>
        <w:rPr>
          <w:sz w:val="20"/>
          <w:szCs w:val="20"/>
          <w:color w:val="auto"/>
        </w:rPr>
      </w:pPr>
      <w:r>
        <w:rPr>
          <w:rFonts w:ascii="Arial" w:cs="Arial" w:eastAsia="Arial" w:hAnsi="Arial"/>
          <w:sz w:val="14"/>
          <w:szCs w:val="14"/>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color w:val="auto"/>
        </w:rPr>
        <w:t>(I.R.S. Employer</w:t>
      </w:r>
    </w:p>
    <w:p>
      <w:pPr>
        <w:spacing w:after="0" w:line="45" w:lineRule="exact"/>
        <w:rPr>
          <w:sz w:val="24"/>
          <w:szCs w:val="24"/>
          <w:color w:val="auto"/>
        </w:rPr>
      </w:pPr>
    </w:p>
    <w:p>
      <w:pPr>
        <w:spacing w:after="0"/>
        <w:rPr>
          <w:sz w:val="20"/>
          <w:szCs w:val="20"/>
          <w:color w:val="auto"/>
        </w:rPr>
      </w:pPr>
      <w:r>
        <w:rPr>
          <w:rFonts w:ascii="Arial" w:cs="Arial" w:eastAsia="Arial" w:hAnsi="Arial"/>
          <w:sz w:val="14"/>
          <w:szCs w:val="14"/>
          <w:color w:val="auto"/>
        </w:rPr>
        <w:t>Identification No.)</w:t>
      </w:r>
    </w:p>
    <w:p>
      <w:pPr>
        <w:spacing w:after="0" w:line="200" w:lineRule="exact"/>
        <w:rPr>
          <w:sz w:val="24"/>
          <w:szCs w:val="24"/>
          <w:color w:val="auto"/>
        </w:rPr>
      </w:pPr>
    </w:p>
    <w:p>
      <w:pPr>
        <w:sectPr>
          <w:pgSz w:w="11900" w:h="16838" w:orient="portrait"/>
          <w:cols w:equalWidth="0" w:num="2">
            <w:col w:w="7160" w:space="720"/>
            <w:col w:w="3360"/>
          </w:cols>
          <w:pgMar w:left="320" w:top="847" w:right="339" w:bottom="1440" w:gutter="0" w:footer="0" w:header="0"/>
          <w:type w:val="continuous"/>
        </w:sectPr>
      </w:pPr>
    </w:p>
    <w:p>
      <w:pPr>
        <w:spacing w:after="0" w:line="58" w:lineRule="exact"/>
        <w:rPr>
          <w:sz w:val="24"/>
          <w:szCs w:val="24"/>
          <w:color w:val="auto"/>
        </w:rPr>
      </w:pPr>
    </w:p>
    <w:p>
      <w:pPr>
        <w:ind w:left="720"/>
        <w:spacing w:after="0"/>
        <w:rPr>
          <w:sz w:val="20"/>
          <w:szCs w:val="20"/>
          <w:color w:val="auto"/>
        </w:rPr>
      </w:pPr>
      <w:r>
        <w:rPr>
          <w:rFonts w:ascii="Arial" w:cs="Arial" w:eastAsia="Arial" w:hAnsi="Arial"/>
          <w:sz w:val="14"/>
          <w:szCs w:val="14"/>
          <w:b w:val="1"/>
          <w:bCs w:val="1"/>
          <w:color w:val="auto"/>
        </w:rPr>
        <w:t>951 Calle Amanecer ,</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San Clemente</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 California</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92673</w:t>
      </w:r>
    </w:p>
    <w:p>
      <w:pPr>
        <w:spacing w:after="0" w:line="62" w:lineRule="exact"/>
        <w:rPr>
          <w:sz w:val="24"/>
          <w:szCs w:val="24"/>
          <w:color w:val="auto"/>
        </w:rPr>
      </w:pPr>
    </w:p>
    <w:p>
      <w:pPr>
        <w:sectPr>
          <w:pgSz w:w="11900" w:h="16838" w:orient="portrait"/>
          <w:cols w:equalWidth="0" w:num="4">
            <w:col w:w="2140" w:space="200"/>
            <w:col w:w="920" w:space="200"/>
            <w:col w:w="4100" w:space="720"/>
            <w:col w:w="2960"/>
          </w:cols>
          <w:pgMar w:left="320" w:top="847" w:right="339" w:bottom="1440" w:gutter="0" w:footer="0" w:header="0"/>
          <w:type w:val="continuous"/>
        </w:sectPr>
      </w:pPr>
    </w:p>
    <w:p>
      <w:pPr>
        <w:ind w:left="1580"/>
        <w:spacing w:after="0"/>
        <w:rPr>
          <w:sz w:val="20"/>
          <w:szCs w:val="20"/>
          <w:color w:val="auto"/>
        </w:rPr>
      </w:pPr>
      <w:r>
        <w:rPr>
          <w:rFonts w:ascii="Arial" w:cs="Arial" w:eastAsia="Arial" w:hAnsi="Arial"/>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(Zip Code)</w:t>
      </w:r>
    </w:p>
    <w:p>
      <w:pPr>
        <w:spacing w:after="0" w:line="104" w:lineRule="exact"/>
        <w:rPr>
          <w:sz w:val="24"/>
          <w:szCs w:val="24"/>
          <w:color w:val="auto"/>
        </w:rPr>
      </w:pPr>
    </w:p>
    <w:p>
      <w:pPr>
        <w:sectPr>
          <w:pgSz w:w="11900" w:h="16838" w:orient="portrait"/>
          <w:cols w:equalWidth="0" w:num="2">
            <w:col w:w="7400" w:space="720"/>
            <w:col w:w="3120"/>
          </w:cols>
          <w:pgMar w:left="320" w:top="847" w:right="339" w:bottom="1440" w:gutter="0" w:footer="0" w:header="0"/>
          <w:type w:val="continuous"/>
        </w:sectPr>
      </w:pPr>
    </w:p>
    <w:p>
      <w:pPr>
        <w:jc w:val="center"/>
        <w:ind w:right="-39"/>
        <w:spacing w:after="0"/>
        <w:rPr>
          <w:sz w:val="20"/>
          <w:szCs w:val="20"/>
          <w:color w:val="auto"/>
        </w:rPr>
      </w:pPr>
      <w:r>
        <w:rPr>
          <w:rFonts w:ascii="Arial" w:cs="Arial" w:eastAsia="Arial" w:hAnsi="Arial"/>
          <w:sz w:val="14"/>
          <w:szCs w:val="14"/>
          <w:b w:val="1"/>
          <w:bCs w:val="1"/>
          <w:color w:val="auto"/>
        </w:rPr>
        <w:t>(949) 366-2183</w:t>
      </w:r>
    </w:p>
    <w:p>
      <w:pPr>
        <w:sectPr>
          <w:pgSz w:w="11900" w:h="16838" w:orient="portrait"/>
          <w:cols w:equalWidth="0" w:num="1">
            <w:col w:w="11240"/>
          </w:cols>
          <w:pgMar w:left="320" w:top="847" w:right="339" w:bottom="1440" w:gutter="0" w:footer="0" w:header="0"/>
          <w:type w:val="continuous"/>
        </w:sectPr>
      </w:pPr>
    </w:p>
    <w:p>
      <w:pPr>
        <w:spacing w:after="0" w:line="41"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(Registrant’s telephone number including area code)</w:t>
      </w:r>
    </w:p>
    <w:p>
      <w:pPr>
        <w:spacing w:after="0" w:line="173" w:lineRule="exact"/>
        <w:rPr>
          <w:sz w:val="24"/>
          <w:szCs w:val="24"/>
          <w:color w:val="auto"/>
        </w:rPr>
      </w:pPr>
    </w:p>
    <w:p>
      <w:pPr>
        <w:ind w:right="20" w:firstLine="309"/>
        <w:spacing w:after="0" w:line="321"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11" w:lineRule="exact"/>
        <w:rPr>
          <w:sz w:val="24"/>
          <w:szCs w:val="24"/>
          <w:color w:val="auto"/>
        </w:rPr>
      </w:pPr>
    </w:p>
    <w:p>
      <w:pPr>
        <w:ind w:right="580" w:firstLine="309"/>
        <w:spacing w:after="0" w:line="321"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111" w:lineRule="exact"/>
        <w:rPr>
          <w:sz w:val="24"/>
          <w:szCs w:val="24"/>
          <w:color w:val="auto"/>
        </w:rPr>
      </w:pPr>
    </w:p>
    <w:p>
      <w:pPr>
        <w:ind w:right="340" w:firstLine="309"/>
        <w:spacing w:after="0" w:line="32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3" w:lineRule="exact"/>
        <w:rPr>
          <w:sz w:val="24"/>
          <w:szCs w:val="24"/>
          <w:color w:val="auto"/>
        </w:rPr>
      </w:pPr>
    </w:p>
    <w:tbl>
      <w:tblPr>
        <w:tblLayout w:type="fixed"/>
        <w:tblInd w:w="840" w:type="dxa"/>
        <w:tblCellMar>
          <w:top w:w="0" w:type="dxa"/>
          <w:left w:w="0" w:type="dxa"/>
          <w:bottom w:w="0" w:type="dxa"/>
          <w:right w:w="0" w:type="dxa"/>
        </w:tblCellMar>
      </w:tblPr>
      <w:tr>
        <w:trPr>
          <w:trHeight w:val="269"/>
        </w:trPr>
        <w:tc>
          <w:tcPr>
            <w:tcW w:w="2020" w:type="dxa"/>
            <w:vAlign w:val="bottom"/>
          </w:tcPr>
          <w:p>
            <w:pPr>
              <w:jc w:val="center"/>
              <w:ind w:right="543"/>
              <w:spacing w:after="0"/>
              <w:rPr>
                <w:sz w:val="20"/>
                <w:szCs w:val="20"/>
                <w:color w:val="auto"/>
              </w:rPr>
            </w:pPr>
            <w:r>
              <w:rPr>
                <w:rFonts w:ascii="Arial" w:cs="Arial" w:eastAsia="Arial" w:hAnsi="Arial"/>
                <w:sz w:val="15"/>
                <w:szCs w:val="15"/>
                <w:color w:val="auto"/>
                <w:w w:val="94"/>
              </w:rPr>
              <w:t>Large accelerated filer</w:t>
            </w:r>
          </w:p>
        </w:tc>
        <w:tc>
          <w:tcPr>
            <w:tcW w:w="2740" w:type="dxa"/>
            <w:vAlign w:val="bottom"/>
          </w:tcPr>
          <w:p>
            <w:pPr>
              <w:jc w:val="center"/>
              <w:ind w:right="1258"/>
              <w:spacing w:after="0"/>
              <w:rPr>
                <w:sz w:val="20"/>
                <w:szCs w:val="20"/>
                <w:color w:val="auto"/>
              </w:rPr>
            </w:pPr>
            <w:r>
              <w:rPr>
                <w:rFonts w:ascii="Arial" w:cs="Arial" w:eastAsia="Arial" w:hAnsi="Arial"/>
                <w:sz w:val="15"/>
                <w:szCs w:val="15"/>
                <w:color w:val="auto"/>
              </w:rPr>
              <w:t>x</w:t>
            </w:r>
          </w:p>
        </w:tc>
        <w:tc>
          <w:tcPr>
            <w:tcW w:w="4380" w:type="dxa"/>
            <w:vAlign w:val="bottom"/>
          </w:tcPr>
          <w:p>
            <w:pPr>
              <w:jc w:val="center"/>
              <w:ind w:left="1143"/>
              <w:spacing w:after="0"/>
              <w:rPr>
                <w:sz w:val="20"/>
                <w:szCs w:val="20"/>
                <w:color w:val="auto"/>
              </w:rPr>
            </w:pPr>
            <w:r>
              <w:rPr>
                <w:rFonts w:ascii="Arial" w:cs="Arial" w:eastAsia="Arial" w:hAnsi="Arial"/>
                <w:sz w:val="15"/>
                <w:szCs w:val="15"/>
                <w:color w:val="auto"/>
                <w:w w:val="96"/>
              </w:rPr>
              <w:t>Accelerated filer</w:t>
            </w:r>
          </w:p>
        </w:tc>
        <w:tc>
          <w:tcPr>
            <w:tcW w:w="880" w:type="dxa"/>
            <w:vAlign w:val="bottom"/>
          </w:tcPr>
          <w:p>
            <w:pPr>
              <w:ind w:left="7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71"/>
        </w:trPr>
        <w:tc>
          <w:tcPr>
            <w:tcW w:w="2020" w:type="dxa"/>
            <w:vAlign w:val="bottom"/>
          </w:tcPr>
          <w:p>
            <w:pPr>
              <w:jc w:val="center"/>
              <w:ind w:right="543"/>
              <w:spacing w:after="0"/>
              <w:rPr>
                <w:sz w:val="20"/>
                <w:szCs w:val="20"/>
                <w:color w:val="auto"/>
              </w:rPr>
            </w:pPr>
            <w:r>
              <w:rPr>
                <w:rFonts w:ascii="Arial" w:cs="Arial" w:eastAsia="Arial" w:hAnsi="Arial"/>
                <w:sz w:val="15"/>
                <w:szCs w:val="15"/>
                <w:color w:val="auto"/>
                <w:w w:val="95"/>
              </w:rPr>
              <w:t>Non-accelerated filer</w:t>
            </w:r>
          </w:p>
        </w:tc>
        <w:tc>
          <w:tcPr>
            <w:tcW w:w="2740" w:type="dxa"/>
            <w:vAlign w:val="bottom"/>
          </w:tcPr>
          <w:p>
            <w:pPr>
              <w:jc w:val="center"/>
              <w:ind w:right="1258"/>
              <w:spacing w:after="0" w:line="171" w:lineRule="exact"/>
              <w:rPr>
                <w:sz w:val="20"/>
                <w:szCs w:val="20"/>
                <w:color w:val="auto"/>
              </w:rPr>
            </w:pPr>
            <w:r>
              <w:rPr>
                <w:rFonts w:ascii="MS PGothic" w:cs="MS PGothic" w:eastAsia="MS PGothic" w:hAnsi="MS PGothic"/>
                <w:sz w:val="17"/>
                <w:szCs w:val="17"/>
                <w:color w:val="auto"/>
                <w:w w:val="93"/>
              </w:rPr>
              <w:t>☐</w:t>
            </w:r>
          </w:p>
        </w:tc>
        <w:tc>
          <w:tcPr>
            <w:tcW w:w="4380" w:type="dxa"/>
            <w:vAlign w:val="bottom"/>
          </w:tcPr>
          <w:p>
            <w:pPr>
              <w:jc w:val="center"/>
              <w:ind w:left="1123"/>
              <w:spacing w:after="0"/>
              <w:rPr>
                <w:sz w:val="20"/>
                <w:szCs w:val="20"/>
                <w:color w:val="auto"/>
              </w:rPr>
            </w:pPr>
            <w:r>
              <w:rPr>
                <w:rFonts w:ascii="Arial" w:cs="Arial" w:eastAsia="Arial" w:hAnsi="Arial"/>
                <w:sz w:val="15"/>
                <w:szCs w:val="15"/>
                <w:color w:val="auto"/>
                <w:w w:val="94"/>
              </w:rPr>
              <w:t>Smaller reporting company</w:t>
            </w:r>
          </w:p>
        </w:tc>
        <w:tc>
          <w:tcPr>
            <w:tcW w:w="880" w:type="dxa"/>
            <w:vAlign w:val="bottom"/>
          </w:tcPr>
          <w:p>
            <w:pPr>
              <w:ind w:left="7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71"/>
        </w:trPr>
        <w:tc>
          <w:tcPr>
            <w:tcW w:w="202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4380" w:type="dxa"/>
            <w:vAlign w:val="bottom"/>
          </w:tcPr>
          <w:p>
            <w:pPr>
              <w:jc w:val="center"/>
              <w:ind w:left="1143"/>
              <w:spacing w:after="0"/>
              <w:rPr>
                <w:sz w:val="20"/>
                <w:szCs w:val="20"/>
                <w:color w:val="auto"/>
              </w:rPr>
            </w:pPr>
            <w:r>
              <w:rPr>
                <w:rFonts w:ascii="Arial" w:cs="Arial" w:eastAsia="Arial" w:hAnsi="Arial"/>
                <w:sz w:val="15"/>
                <w:szCs w:val="15"/>
                <w:color w:val="auto"/>
                <w:w w:val="94"/>
              </w:rPr>
              <w:t>Emerging growth company</w:t>
            </w:r>
          </w:p>
        </w:tc>
        <w:tc>
          <w:tcPr>
            <w:tcW w:w="880" w:type="dxa"/>
            <w:vAlign w:val="bottom"/>
          </w:tcPr>
          <w:p>
            <w:pPr>
              <w:ind w:left="72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64" w:lineRule="exact"/>
        <w:rPr>
          <w:sz w:val="24"/>
          <w:szCs w:val="24"/>
          <w:color w:val="auto"/>
        </w:rPr>
      </w:pPr>
    </w:p>
    <w:p>
      <w:pPr>
        <w:ind w:right="140" w:firstLine="348"/>
        <w:spacing w:after="0" w:line="283" w:lineRule="auto"/>
        <w:rPr>
          <w:sz w:val="20"/>
          <w:szCs w:val="20"/>
          <w:color w:val="auto"/>
        </w:rPr>
      </w:pPr>
      <w:r>
        <w:rPr>
          <w:rFonts w:ascii="Arial" w:cs="Arial" w:eastAsia="Arial" w:hAnsi="Arial"/>
          <w:sz w:val="15"/>
          <w:szCs w:val="15"/>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50" w:lineRule="exact"/>
        <w:rPr>
          <w:sz w:val="24"/>
          <w:szCs w:val="24"/>
          <w:color w:val="auto"/>
        </w:rPr>
      </w:pPr>
    </w:p>
    <w:p>
      <w:pPr>
        <w:ind w:left="320"/>
        <w:spacing w:after="0" w:line="196"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5"/>
          <w:szCs w:val="15"/>
          <w:color w:val="auto"/>
        </w:rPr>
        <w:t xml:space="preserve"> No x</w:t>
      </w:r>
    </w:p>
    <w:p>
      <w:pPr>
        <w:spacing w:after="0" w:line="280" w:lineRule="exact"/>
        <w:rPr>
          <w:sz w:val="24"/>
          <w:szCs w:val="24"/>
          <w:color w:val="auto"/>
        </w:rPr>
      </w:pPr>
    </w:p>
    <w:tbl>
      <w:tblPr>
        <w:tblLayout w:type="fixed"/>
        <w:tblInd w:w="320" w:type="dxa"/>
        <w:tblCellMar>
          <w:top w:w="0" w:type="dxa"/>
          <w:left w:w="0" w:type="dxa"/>
          <w:bottom w:w="0" w:type="dxa"/>
          <w:right w:w="0" w:type="dxa"/>
        </w:tblCellMar>
      </w:tblPr>
      <w:tr>
        <w:trPr>
          <w:trHeight w:val="196"/>
        </w:trPr>
        <w:tc>
          <w:tcPr>
            <w:tcW w:w="4520" w:type="dxa"/>
            <w:vAlign w:val="bottom"/>
            <w:gridSpan w:val="2"/>
          </w:tcPr>
          <w:p>
            <w:pPr>
              <w:spacing w:after="0"/>
              <w:rPr>
                <w:sz w:val="20"/>
                <w:szCs w:val="20"/>
                <w:color w:val="auto"/>
              </w:rPr>
            </w:pPr>
            <w:r>
              <w:rPr>
                <w:rFonts w:ascii="Arial" w:cs="Arial" w:eastAsia="Arial" w:hAnsi="Arial"/>
                <w:sz w:val="15"/>
                <w:szCs w:val="15"/>
                <w:color w:val="auto"/>
              </w:rPr>
              <w:t>Securities registered pursuant to Section 12(b) of the Act:</w:t>
            </w:r>
          </w:p>
        </w:tc>
        <w:tc>
          <w:tcPr>
            <w:tcW w:w="204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4500" w:type="dxa"/>
            <w:vAlign w:val="bottom"/>
            <w:vMerge w:val="restart"/>
          </w:tcPr>
          <w:p>
            <w:pPr>
              <w:jc w:val="center"/>
              <w:ind w:left="463"/>
              <w:spacing w:after="0"/>
              <w:rPr>
                <w:sz w:val="20"/>
                <w:szCs w:val="20"/>
                <w:color w:val="auto"/>
              </w:rPr>
            </w:pPr>
            <w:r>
              <w:rPr>
                <w:rFonts w:ascii="Arial" w:cs="Arial" w:eastAsia="Arial" w:hAnsi="Arial"/>
                <w:sz w:val="15"/>
                <w:szCs w:val="15"/>
                <w:b w:val="1"/>
                <w:bCs w:val="1"/>
                <w:color w:val="auto"/>
                <w:w w:val="89"/>
              </w:rPr>
              <w:t>Title of each class</w:t>
            </w:r>
          </w:p>
        </w:tc>
        <w:tc>
          <w:tcPr>
            <w:tcW w:w="2040" w:type="dxa"/>
            <w:vAlign w:val="bottom"/>
          </w:tcPr>
          <w:p>
            <w:pPr>
              <w:jc w:val="center"/>
              <w:ind w:left="63"/>
              <w:spacing w:after="0"/>
              <w:rPr>
                <w:sz w:val="20"/>
                <w:szCs w:val="20"/>
                <w:color w:val="auto"/>
              </w:rPr>
            </w:pPr>
            <w:r>
              <w:rPr>
                <w:rFonts w:ascii="Arial" w:cs="Arial" w:eastAsia="Arial" w:hAnsi="Arial"/>
                <w:sz w:val="15"/>
                <w:szCs w:val="15"/>
                <w:b w:val="1"/>
                <w:bCs w:val="1"/>
                <w:color w:val="auto"/>
                <w:w w:val="98"/>
              </w:rPr>
              <w:t>Trading</w:t>
            </w:r>
          </w:p>
        </w:tc>
        <w:tc>
          <w:tcPr>
            <w:tcW w:w="4360" w:type="dxa"/>
            <w:vAlign w:val="bottom"/>
            <w:vMerge w:val="restart"/>
          </w:tcPr>
          <w:p>
            <w:pPr>
              <w:jc w:val="center"/>
              <w:ind w:right="43"/>
              <w:spacing w:after="0"/>
              <w:rPr>
                <w:sz w:val="20"/>
                <w:szCs w:val="20"/>
                <w:color w:val="auto"/>
              </w:rPr>
            </w:pPr>
            <w:r>
              <w:rPr>
                <w:rFonts w:ascii="Arial" w:cs="Arial" w:eastAsia="Arial" w:hAnsi="Arial"/>
                <w:sz w:val="15"/>
                <w:szCs w:val="15"/>
                <w:b w:val="1"/>
                <w:bCs w:val="1"/>
                <w:color w:val="auto"/>
                <w:w w:val="90"/>
              </w:rPr>
              <w:t>Name of each exchange on which registered</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500" w:type="dxa"/>
            <w:vAlign w:val="bottom"/>
            <w:tcBorders>
              <w:bottom w:val="single" w:sz="8" w:color="auto"/>
            </w:tcBorders>
            <w:vMerge w:val="continue"/>
          </w:tcPr>
          <w:p>
            <w:pPr>
              <w:spacing w:after="0"/>
              <w:rPr>
                <w:sz w:val="17"/>
                <w:szCs w:val="17"/>
                <w:color w:val="auto"/>
              </w:rPr>
            </w:pPr>
          </w:p>
        </w:tc>
        <w:tc>
          <w:tcPr>
            <w:tcW w:w="2040" w:type="dxa"/>
            <w:vAlign w:val="bottom"/>
            <w:tcBorders>
              <w:bottom w:val="single" w:sz="8" w:color="auto"/>
            </w:tcBorders>
          </w:tcPr>
          <w:p>
            <w:pPr>
              <w:ind w:left="680"/>
              <w:spacing w:after="0"/>
              <w:rPr>
                <w:sz w:val="20"/>
                <w:szCs w:val="20"/>
                <w:color w:val="auto"/>
              </w:rPr>
            </w:pPr>
            <w:r>
              <w:rPr>
                <w:rFonts w:ascii="Arial" w:cs="Arial" w:eastAsia="Arial" w:hAnsi="Arial"/>
                <w:sz w:val="15"/>
                <w:szCs w:val="15"/>
                <w:b w:val="1"/>
                <w:bCs w:val="1"/>
                <w:color w:val="auto"/>
              </w:rPr>
              <w:t>Symbol</w:t>
            </w:r>
          </w:p>
        </w:tc>
        <w:tc>
          <w:tcPr>
            <w:tcW w:w="43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4360" w:type="dxa"/>
            <w:vAlign w:val="bottom"/>
          </w:tcPr>
          <w:p>
            <w:pPr>
              <w:jc w:val="center"/>
              <w:ind w:right="43"/>
              <w:spacing w:after="0"/>
              <w:rPr>
                <w:sz w:val="20"/>
                <w:szCs w:val="20"/>
                <w:color w:val="auto"/>
              </w:rPr>
            </w:pPr>
            <w:r>
              <w:rPr>
                <w:rFonts w:ascii="Arial" w:cs="Arial" w:eastAsia="Arial" w:hAnsi="Arial"/>
                <w:sz w:val="15"/>
                <w:szCs w:val="15"/>
                <w:color w:val="auto"/>
                <w:w w:val="95"/>
              </w:rPr>
              <w:t>The Nasdaq Stock Market LLC</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500" w:type="dxa"/>
            <w:vAlign w:val="bottom"/>
          </w:tcPr>
          <w:p>
            <w:pPr>
              <w:jc w:val="center"/>
              <w:ind w:left="483"/>
              <w:spacing w:after="0"/>
              <w:rPr>
                <w:sz w:val="20"/>
                <w:szCs w:val="20"/>
                <w:color w:val="auto"/>
              </w:rPr>
            </w:pPr>
            <w:r>
              <w:rPr>
                <w:rFonts w:ascii="Arial" w:cs="Arial" w:eastAsia="Arial" w:hAnsi="Arial"/>
                <w:sz w:val="15"/>
                <w:szCs w:val="15"/>
                <w:color w:val="auto"/>
                <w:w w:val="92"/>
              </w:rPr>
              <w:t>Common stock, par value $0.10 per share</w:t>
            </w:r>
          </w:p>
        </w:tc>
        <w:tc>
          <w:tcPr>
            <w:tcW w:w="2040" w:type="dxa"/>
            <w:vAlign w:val="bottom"/>
          </w:tcPr>
          <w:p>
            <w:pPr>
              <w:jc w:val="center"/>
              <w:ind w:left="83"/>
              <w:spacing w:after="0"/>
              <w:rPr>
                <w:sz w:val="20"/>
                <w:szCs w:val="20"/>
                <w:color w:val="auto"/>
              </w:rPr>
            </w:pPr>
            <w:r>
              <w:rPr>
                <w:rFonts w:ascii="Arial" w:cs="Arial" w:eastAsia="Arial" w:hAnsi="Arial"/>
                <w:sz w:val="15"/>
                <w:szCs w:val="15"/>
                <w:color w:val="auto"/>
              </w:rPr>
              <w:t>ICUI</w:t>
            </w:r>
          </w:p>
        </w:tc>
        <w:tc>
          <w:tcPr>
            <w:tcW w:w="4360" w:type="dxa"/>
            <w:vAlign w:val="bottom"/>
          </w:tcPr>
          <w:p>
            <w:pPr>
              <w:jc w:val="center"/>
              <w:ind w:right="43"/>
              <w:spacing w:after="0"/>
              <w:rPr>
                <w:sz w:val="20"/>
                <w:szCs w:val="20"/>
                <w:color w:val="auto"/>
              </w:rPr>
            </w:pPr>
            <w:r>
              <w:rPr>
                <w:rFonts w:ascii="Arial" w:cs="Arial" w:eastAsia="Arial" w:hAnsi="Arial"/>
                <w:sz w:val="15"/>
                <w:szCs w:val="15"/>
                <w:color w:val="auto"/>
                <w:w w:val="96"/>
              </w:rPr>
              <w:t>(Global Select Market)</w:t>
            </w:r>
          </w:p>
        </w:tc>
        <w:tc>
          <w:tcPr>
            <w:tcW w:w="0" w:type="dxa"/>
            <w:vAlign w:val="bottom"/>
          </w:tcPr>
          <w:p>
            <w:pPr>
              <w:spacing w:after="0"/>
              <w:rPr>
                <w:sz w:val="1"/>
                <w:szCs w:val="1"/>
                <w:color w:val="auto"/>
              </w:rPr>
            </w:pPr>
          </w:p>
        </w:tc>
      </w:tr>
    </w:tbl>
    <w:p>
      <w:pPr>
        <w:spacing w:after="0" w:line="320" w:lineRule="exact"/>
        <w:rPr>
          <w:sz w:val="24"/>
          <w:szCs w:val="24"/>
          <w:color w:val="auto"/>
        </w:rPr>
      </w:pPr>
    </w:p>
    <w:p>
      <w:pPr>
        <w:ind w:left="320"/>
        <w:spacing w:after="0"/>
        <w:rPr>
          <w:sz w:val="20"/>
          <w:szCs w:val="20"/>
          <w:color w:val="auto"/>
        </w:rPr>
      </w:pPr>
      <w:r>
        <w:rPr>
          <w:rFonts w:ascii="Arial" w:cs="Arial" w:eastAsia="Arial" w:hAnsi="Arial"/>
          <w:sz w:val="15"/>
          <w:szCs w:val="15"/>
          <w:color w:val="auto"/>
        </w:rPr>
        <w:t>Indicate the number of shares outstanding of each of the issuer’s classes of common stock, as of the latest practicable date:</w:t>
      </w:r>
    </w:p>
    <w:p>
      <w:pPr>
        <w:spacing w:after="0" w:line="311" w:lineRule="exact"/>
        <w:rPr>
          <w:sz w:val="24"/>
          <w:szCs w:val="24"/>
          <w:color w:val="auto"/>
        </w:rPr>
      </w:pPr>
    </w:p>
    <w:tbl>
      <w:tblPr>
        <w:tblLayout w:type="fixed"/>
        <w:tblInd w:w="0" w:type="dxa"/>
        <w:tblCellMar>
          <w:top w:w="0" w:type="dxa"/>
          <w:left w:w="0" w:type="dxa"/>
          <w:bottom w:w="0" w:type="dxa"/>
          <w:right w:w="0" w:type="dxa"/>
        </w:tblCellMar>
      </w:tblPr>
      <w:tr>
        <w:trPr>
          <w:trHeight w:val="205"/>
        </w:trPr>
        <w:tc>
          <w:tcPr>
            <w:tcW w:w="180" w:type="dxa"/>
            <w:vAlign w:val="bottom"/>
          </w:tcPr>
          <w:p>
            <w:pPr>
              <w:spacing w:after="0"/>
              <w:rPr>
                <w:sz w:val="17"/>
                <w:szCs w:val="17"/>
                <w:color w:val="auto"/>
              </w:rPr>
            </w:pPr>
          </w:p>
        </w:tc>
        <w:tc>
          <w:tcPr>
            <w:tcW w:w="47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Class</w:t>
            </w:r>
          </w:p>
        </w:tc>
        <w:tc>
          <w:tcPr>
            <w:tcW w:w="1380" w:type="dxa"/>
            <w:vAlign w:val="bottom"/>
          </w:tcPr>
          <w:p>
            <w:pPr>
              <w:spacing w:after="0"/>
              <w:rPr>
                <w:sz w:val="17"/>
                <w:szCs w:val="17"/>
                <w:color w:val="auto"/>
              </w:rPr>
            </w:pPr>
          </w:p>
        </w:tc>
        <w:tc>
          <w:tcPr>
            <w:tcW w:w="47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4"/>
              </w:rPr>
              <w:t>Outstanding at April 30, 2022</w:t>
            </w:r>
          </w:p>
        </w:tc>
        <w:tc>
          <w:tcPr>
            <w:tcW w:w="16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6140" w:type="dxa"/>
            <w:vAlign w:val="bottom"/>
            <w:gridSpan w:val="2"/>
          </w:tcPr>
          <w:p>
            <w:pPr>
              <w:jc w:val="center"/>
              <w:ind w:right="1400"/>
              <w:spacing w:after="0"/>
              <w:rPr>
                <w:sz w:val="20"/>
                <w:szCs w:val="20"/>
                <w:color w:val="auto"/>
              </w:rPr>
            </w:pPr>
            <w:r>
              <w:rPr>
                <w:rFonts w:ascii="Arial" w:cs="Arial" w:eastAsia="Arial" w:hAnsi="Arial"/>
                <w:sz w:val="15"/>
                <w:szCs w:val="15"/>
                <w:color w:val="auto"/>
                <w:w w:val="95"/>
              </w:rPr>
              <w:t>Common</w:t>
            </w:r>
          </w:p>
        </w:tc>
        <w:tc>
          <w:tcPr>
            <w:tcW w:w="4760" w:type="dxa"/>
            <w:vAlign w:val="bottom"/>
          </w:tcPr>
          <w:p>
            <w:pPr>
              <w:jc w:val="right"/>
              <w:ind w:right="1963"/>
              <w:spacing w:after="0"/>
              <w:rPr>
                <w:sz w:val="20"/>
                <w:szCs w:val="20"/>
                <w:color w:val="auto"/>
              </w:rPr>
            </w:pPr>
            <w:r>
              <w:rPr>
                <w:rFonts w:ascii="Arial" w:cs="Arial" w:eastAsia="Arial" w:hAnsi="Arial"/>
                <w:sz w:val="15"/>
                <w:szCs w:val="15"/>
                <w:color w:val="auto"/>
              </w:rPr>
              <w:t>23,896,032</w:t>
            </w:r>
          </w:p>
        </w:tc>
        <w:tc>
          <w:tcPr>
            <w:tcW w:w="160" w:type="dxa"/>
            <w:vAlign w:val="bottom"/>
          </w:tcPr>
          <w:p>
            <w:pPr>
              <w:spacing w:after="0"/>
              <w:rPr>
                <w:sz w:val="17"/>
                <w:szCs w:val="17"/>
                <w:color w:val="auto"/>
              </w:rPr>
            </w:pPr>
          </w:p>
        </w:tc>
      </w:tr>
      <w:tr>
        <w:trPr>
          <w:trHeight w:val="862"/>
        </w:trPr>
        <w:tc>
          <w:tcPr>
            <w:tcW w:w="180" w:type="dxa"/>
            <w:vAlign w:val="bottom"/>
            <w:tcBorders>
              <w:bottom w:val="single" w:sz="8" w:color="9A9A9A"/>
            </w:tcBorders>
          </w:tcPr>
          <w:p>
            <w:pPr>
              <w:spacing w:after="0"/>
              <w:rPr>
                <w:sz w:val="24"/>
                <w:szCs w:val="24"/>
                <w:color w:val="auto"/>
              </w:rPr>
            </w:pPr>
          </w:p>
        </w:tc>
        <w:tc>
          <w:tcPr>
            <w:tcW w:w="47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47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10-Q</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March 31, 2022</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of Contents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8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Page Number</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600" w:type="dxa"/>
            <w:vAlign w:val="bottom"/>
            <w:tcBorders>
              <w:bottom w:val="single" w:sz="8" w:color="auto"/>
            </w:tcBorders>
          </w:tcPr>
          <w:p>
            <w:pPr>
              <w:spacing w:after="0" w:line="180" w:lineRule="exact"/>
              <w:rPr>
                <w:sz w:val="20"/>
                <w:szCs w:val="20"/>
                <w:color w:val="auto"/>
              </w:rPr>
            </w:pPr>
            <w:r>
              <w:rPr>
                <w:rFonts w:ascii="Arial" w:cs="Arial" w:eastAsia="Arial" w:hAnsi="Arial"/>
                <w:sz w:val="17"/>
                <w:szCs w:val="17"/>
                <w:b w:val="1"/>
                <w:bCs w:val="1"/>
                <w:color w:val="auto"/>
                <w:w w:val="95"/>
              </w:rPr>
              <w:t>PART I.</w:t>
            </w:r>
          </w:p>
        </w:tc>
        <w:tc>
          <w:tcPr>
            <w:tcW w:w="1220" w:type="dxa"/>
            <w:vAlign w:val="bottom"/>
            <w:gridSpan w:val="2"/>
          </w:tcPr>
          <w:p>
            <w:pPr>
              <w:spacing w:after="0"/>
              <w:rPr>
                <w:sz w:val="15"/>
                <w:szCs w:val="15"/>
                <w:color w:val="auto"/>
              </w:rPr>
            </w:pPr>
          </w:p>
        </w:tc>
        <w:tc>
          <w:tcPr>
            <w:tcW w:w="1620" w:type="dxa"/>
            <w:vAlign w:val="bottom"/>
            <w:tcBorders>
              <w:bottom w:val="single" w:sz="8" w:color="0000FF"/>
            </w:tcBorders>
            <w:gridSpan w:val="9"/>
          </w:tcPr>
          <w:p>
            <w:pPr>
              <w:spacing w:after="0" w:line="180" w:lineRule="exact"/>
              <w:rPr>
                <w:rFonts w:ascii="Arial" w:cs="Arial" w:eastAsia="Arial" w:hAnsi="Arial"/>
                <w:sz w:val="17"/>
                <w:szCs w:val="17"/>
                <w:b w:val="1"/>
                <w:bCs w:val="1"/>
                <w:color w:val="0000FF"/>
                <w:w w:val="93"/>
              </w:rPr>
            </w:pPr>
            <w:hyperlink w:anchor="page2">
              <w:r>
                <w:rPr>
                  <w:rFonts w:ascii="Arial" w:cs="Arial" w:eastAsia="Arial" w:hAnsi="Arial"/>
                  <w:sz w:val="17"/>
                  <w:szCs w:val="17"/>
                  <w:b w:val="1"/>
                  <w:bCs w:val="1"/>
                  <w:color w:val="0000FF"/>
                  <w:w w:val="93"/>
                </w:rPr>
                <w:t>Financial Information</w:t>
              </w:r>
            </w:hyperlink>
          </w:p>
        </w:tc>
        <w:tc>
          <w:tcPr>
            <w:tcW w:w="6380" w:type="dxa"/>
            <w:vAlign w:val="bottom"/>
            <w:gridSpan w:val="12"/>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1820" w:type="dxa"/>
            <w:vAlign w:val="bottom"/>
            <w:gridSpan w:val="3"/>
          </w:tcPr>
          <w:p>
            <w:pPr>
              <w:spacing w:after="0"/>
              <w:rPr>
                <w:sz w:val="20"/>
                <w:szCs w:val="20"/>
                <w:color w:val="auto"/>
              </w:rPr>
            </w:pPr>
            <w:r>
              <w:rPr>
                <w:rFonts w:ascii="Arial" w:cs="Arial" w:eastAsia="Arial" w:hAnsi="Arial"/>
                <w:sz w:val="17"/>
                <w:szCs w:val="17"/>
                <w:color w:val="auto"/>
              </w:rPr>
              <w:t>Item 1.</w:t>
            </w:r>
          </w:p>
        </w:tc>
        <w:tc>
          <w:tcPr>
            <w:tcW w:w="8000" w:type="dxa"/>
            <w:vAlign w:val="bottom"/>
            <w:gridSpan w:val="21"/>
          </w:tcPr>
          <w:p>
            <w:pPr>
              <w:spacing w:after="0"/>
              <w:rPr>
                <w:rFonts w:ascii="Arial" w:cs="Arial" w:eastAsia="Arial" w:hAnsi="Arial"/>
                <w:sz w:val="17"/>
                <w:szCs w:val="17"/>
                <w:color w:val="0000FF"/>
              </w:rPr>
            </w:pPr>
            <w:hyperlink w:anchor="page3">
              <w:r>
                <w:rPr>
                  <w:rFonts w:ascii="Arial" w:cs="Arial" w:eastAsia="Arial" w:hAnsi="Arial"/>
                  <w:sz w:val="17"/>
                  <w:szCs w:val="17"/>
                  <w:color w:val="0000FF"/>
                </w:rPr>
                <w:t>Financial Statements (Unaudited)</w:t>
              </w:r>
            </w:hyperlink>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60" w:type="dxa"/>
            <w:vAlign w:val="bottom"/>
            <w:tcBorders>
              <w:bottom w:val="single" w:sz="8" w:color="0000FF"/>
            </w:tcBorders>
            <w:gridSpan w:val="15"/>
          </w:tcPr>
          <w:p>
            <w:pPr>
              <w:spacing w:after="0"/>
              <w:rPr>
                <w:rFonts w:ascii="Arial" w:cs="Arial" w:eastAsia="Arial" w:hAnsi="Arial"/>
                <w:sz w:val="17"/>
                <w:szCs w:val="17"/>
                <w:color w:val="0000FF"/>
                <w:w w:val="93"/>
              </w:rPr>
            </w:pPr>
            <w:hyperlink w:anchor="page3">
              <w:r>
                <w:rPr>
                  <w:rFonts w:ascii="Arial" w:cs="Arial" w:eastAsia="Arial" w:hAnsi="Arial"/>
                  <w:sz w:val="17"/>
                  <w:szCs w:val="17"/>
                  <w:color w:val="0000FF"/>
                  <w:w w:val="93"/>
                </w:rPr>
                <w:t>Condensed Consolidated Balance Sheets at March 31, 2022 and December 31, 2021</w:t>
              </w:r>
            </w:hyperlink>
          </w:p>
        </w:tc>
        <w:tc>
          <w:tcPr>
            <w:tcW w:w="1840" w:type="dxa"/>
            <w:vAlign w:val="bottom"/>
            <w:gridSpan w:val="5"/>
          </w:tcPr>
          <w:p>
            <w:pPr>
              <w:spacing w:after="0"/>
              <w:rPr>
                <w:sz w:val="24"/>
                <w:szCs w:val="24"/>
                <w:color w:val="auto"/>
              </w:rPr>
            </w:pPr>
          </w:p>
        </w:tc>
        <w:tc>
          <w:tcPr>
            <w:tcW w:w="12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7"/>
                <w:szCs w:val="17"/>
                <w:color w:val="0000FF"/>
                <w:w w:val="84"/>
              </w:rPr>
            </w:pPr>
            <w:hyperlink w:anchor="page3">
              <w:r>
                <w:rPr>
                  <w:rFonts w:ascii="Arial" w:cs="Arial" w:eastAsia="Arial" w:hAnsi="Arial"/>
                  <w:sz w:val="17"/>
                  <w:szCs w:val="17"/>
                  <w:color w:val="0000FF"/>
                  <w:w w:val="84"/>
                </w:rPr>
                <w:t>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300" w:type="dxa"/>
            <w:vAlign w:val="bottom"/>
            <w:tcBorders>
              <w:bottom w:val="single" w:sz="8" w:color="0000FF"/>
            </w:tcBorders>
            <w:gridSpan w:val="17"/>
          </w:tcPr>
          <w:p>
            <w:pPr>
              <w:spacing w:after="0"/>
              <w:rPr>
                <w:rFonts w:ascii="Arial" w:cs="Arial" w:eastAsia="Arial" w:hAnsi="Arial"/>
                <w:sz w:val="17"/>
                <w:szCs w:val="17"/>
                <w:color w:val="0000FF"/>
                <w:w w:val="90"/>
              </w:rPr>
            </w:pPr>
            <w:hyperlink w:anchor="page3">
              <w:r>
                <w:rPr>
                  <w:rFonts w:ascii="Arial" w:cs="Arial" w:eastAsia="Arial" w:hAnsi="Arial"/>
                  <w:sz w:val="17"/>
                  <w:szCs w:val="17"/>
                  <w:color w:val="0000FF"/>
                  <w:w w:val="90"/>
                </w:rPr>
                <w:t>Condensed Consolidated Statements of Operations for the Three Months Ended March 31, 2022 and 2021</w:t>
              </w:r>
            </w:hyperlink>
          </w:p>
        </w:tc>
        <w:tc>
          <w:tcPr>
            <w:tcW w:w="600" w:type="dxa"/>
            <w:vAlign w:val="bottom"/>
            <w:gridSpan w:val="3"/>
          </w:tcPr>
          <w:p>
            <w:pPr>
              <w:spacing w:after="0"/>
              <w:rPr>
                <w:sz w:val="24"/>
                <w:szCs w:val="24"/>
                <w:color w:val="auto"/>
              </w:rPr>
            </w:pPr>
          </w:p>
        </w:tc>
        <w:tc>
          <w:tcPr>
            <w:tcW w:w="12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7"/>
                <w:szCs w:val="17"/>
                <w:color w:val="0000FF"/>
                <w:w w:val="84"/>
              </w:rPr>
            </w:pPr>
            <w:hyperlink w:anchor="page3">
              <w:r>
                <w:rPr>
                  <w:rFonts w:ascii="Arial" w:cs="Arial" w:eastAsia="Arial" w:hAnsi="Arial"/>
                  <w:sz w:val="17"/>
                  <w:szCs w:val="17"/>
                  <w:color w:val="0000FF"/>
                  <w:w w:val="84"/>
                </w:rPr>
                <w:t>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900" w:type="dxa"/>
            <w:vAlign w:val="bottom"/>
            <w:gridSpan w:val="20"/>
          </w:tcPr>
          <w:p>
            <w:pPr>
              <w:spacing w:after="0"/>
              <w:rPr>
                <w:rFonts w:ascii="Arial" w:cs="Arial" w:eastAsia="Arial" w:hAnsi="Arial"/>
                <w:sz w:val="17"/>
                <w:szCs w:val="17"/>
                <w:color w:val="0000FF"/>
                <w:w w:val="97"/>
              </w:rPr>
            </w:pPr>
            <w:hyperlink w:anchor="page4">
              <w:r>
                <w:rPr>
                  <w:rFonts w:ascii="Arial" w:cs="Arial" w:eastAsia="Arial" w:hAnsi="Arial"/>
                  <w:sz w:val="17"/>
                  <w:szCs w:val="17"/>
                  <w:color w:val="0000FF"/>
                  <w:w w:val="97"/>
                </w:rPr>
                <w:t>Condensed Consolidated Statements of Comprehensive (Loss) Income for the Three Months Ended March</w:t>
              </w:r>
            </w:hyperlink>
          </w:p>
        </w:tc>
        <w:tc>
          <w:tcPr>
            <w:tcW w:w="1260" w:type="dxa"/>
            <w:vAlign w:val="bottom"/>
            <w:gridSpan w:val="2"/>
            <w:vMerge w:val="restart"/>
          </w:tcPr>
          <w:p>
            <w:pPr>
              <w:spacing w:after="0"/>
              <w:rPr>
                <w:sz w:val="24"/>
                <w:szCs w:val="24"/>
                <w:color w:val="auto"/>
              </w:rPr>
            </w:pPr>
          </w:p>
        </w:tc>
        <w:tc>
          <w:tcPr>
            <w:tcW w:w="100" w:type="dxa"/>
            <w:vAlign w:val="bottom"/>
            <w:vMerge w:val="restart"/>
          </w:tcPr>
          <w:p>
            <w:pPr>
              <w:jc w:val="right"/>
              <w:spacing w:after="0"/>
              <w:rPr>
                <w:rFonts w:ascii="Arial" w:cs="Arial" w:eastAsia="Arial" w:hAnsi="Arial"/>
                <w:sz w:val="17"/>
                <w:szCs w:val="17"/>
                <w:color w:val="0000FF"/>
                <w:w w:val="84"/>
              </w:rPr>
            </w:pPr>
            <w:hyperlink w:anchor="page4">
              <w:r>
                <w:rPr>
                  <w:rFonts w:ascii="Arial" w:cs="Arial" w:eastAsia="Arial" w:hAnsi="Arial"/>
                  <w:sz w:val="17"/>
                  <w:szCs w:val="17"/>
                  <w:color w:val="0000FF"/>
                  <w:w w:val="84"/>
                </w:rPr>
                <w:t>5</w:t>
              </w:r>
            </w:hyperlink>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Borders>
              <w:top w:val="single" w:sz="8" w:color="0000FF"/>
              <w:bottom w:val="single" w:sz="8" w:color="0000FF"/>
            </w:tcBorders>
            <w:gridSpan w:val="7"/>
          </w:tcPr>
          <w:p>
            <w:pPr>
              <w:spacing w:after="0" w:line="148" w:lineRule="exact"/>
              <w:rPr>
                <w:rFonts w:ascii="Arial" w:cs="Arial" w:eastAsia="Arial" w:hAnsi="Arial"/>
                <w:sz w:val="17"/>
                <w:szCs w:val="17"/>
                <w:color w:val="0000FF"/>
                <w:w w:val="88"/>
              </w:rPr>
            </w:pPr>
            <w:hyperlink w:anchor="page4">
              <w:r>
                <w:rPr>
                  <w:rFonts w:ascii="Arial" w:cs="Arial" w:eastAsia="Arial" w:hAnsi="Arial"/>
                  <w:sz w:val="17"/>
                  <w:szCs w:val="17"/>
                  <w:color w:val="0000FF"/>
                  <w:w w:val="88"/>
                </w:rPr>
                <w:t>31, 2022 and 2021</w:t>
              </w:r>
            </w:hyperlink>
          </w:p>
        </w:tc>
        <w:tc>
          <w:tcPr>
            <w:tcW w:w="2760" w:type="dxa"/>
            <w:vAlign w:val="bottom"/>
            <w:tcBorders>
              <w:top w:val="single" w:sz="8" w:color="0000FF"/>
            </w:tcBorders>
            <w:gridSpan w:val="5"/>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00" w:type="dxa"/>
            <w:vAlign w:val="bottom"/>
            <w:tcBorders>
              <w:top w:val="single" w:sz="8" w:color="0000FF"/>
            </w:tcBorders>
            <w:gridSpan w:val="2"/>
          </w:tcPr>
          <w:p>
            <w:pPr>
              <w:spacing w:after="0"/>
              <w:rPr>
                <w:sz w:val="14"/>
                <w:szCs w:val="14"/>
                <w:color w:val="auto"/>
              </w:rPr>
            </w:pPr>
          </w:p>
        </w:tc>
        <w:tc>
          <w:tcPr>
            <w:tcW w:w="12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gridSpan w:val="2"/>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00" w:type="dxa"/>
            <w:vAlign w:val="bottom"/>
            <w:tcBorders>
              <w:bottom w:val="single" w:sz="8" w:color="0000FF"/>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900" w:type="dxa"/>
            <w:vAlign w:val="bottom"/>
            <w:gridSpan w:val="20"/>
          </w:tcPr>
          <w:p>
            <w:pPr>
              <w:spacing w:after="0"/>
              <w:rPr>
                <w:rFonts w:ascii="Arial" w:cs="Arial" w:eastAsia="Arial" w:hAnsi="Arial"/>
                <w:sz w:val="17"/>
                <w:szCs w:val="17"/>
                <w:color w:val="0000FF"/>
                <w:w w:val="98"/>
              </w:rPr>
            </w:pPr>
            <w:hyperlink w:anchor="page5">
              <w:r>
                <w:rPr>
                  <w:rFonts w:ascii="Arial" w:cs="Arial" w:eastAsia="Arial" w:hAnsi="Arial"/>
                  <w:sz w:val="17"/>
                  <w:szCs w:val="17"/>
                  <w:color w:val="0000FF"/>
                  <w:w w:val="98"/>
                </w:rPr>
                <w:t>Condensed Consolidated Statements of Stockholders' Equity for the Three Months Ended March 31, 2022</w:t>
              </w:r>
            </w:hyperlink>
          </w:p>
        </w:tc>
        <w:tc>
          <w:tcPr>
            <w:tcW w:w="1380" w:type="dxa"/>
            <w:vAlign w:val="bottom"/>
            <w:gridSpan w:val="4"/>
            <w:vMerge w:val="restart"/>
          </w:tcPr>
          <w:p>
            <w:pPr>
              <w:jc w:val="right"/>
              <w:ind w:right="20"/>
              <w:spacing w:after="0"/>
              <w:rPr>
                <w:rFonts w:ascii="Arial" w:cs="Arial" w:eastAsia="Arial" w:hAnsi="Arial"/>
                <w:sz w:val="17"/>
                <w:szCs w:val="17"/>
                <w:color w:val="0000FF"/>
              </w:rPr>
            </w:pPr>
            <w:hyperlink w:anchor="page5">
              <w:r>
                <w:rPr>
                  <w:rFonts w:ascii="Arial" w:cs="Arial" w:eastAsia="Arial" w:hAnsi="Arial"/>
                  <w:sz w:val="17"/>
                  <w:szCs w:val="17"/>
                  <w:color w:val="0000FF"/>
                </w:rPr>
                <w:t>6</w:t>
              </w:r>
            </w:hyperlink>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80" w:type="dxa"/>
            <w:vAlign w:val="bottom"/>
            <w:tcBorders>
              <w:top w:val="single" w:sz="8" w:color="0000FF"/>
            </w:tcBorders>
            <w:gridSpan w:val="16"/>
          </w:tcPr>
          <w:p>
            <w:pPr>
              <w:spacing w:after="0" w:line="148" w:lineRule="exact"/>
              <w:rPr>
                <w:rFonts w:ascii="Arial" w:cs="Arial" w:eastAsia="Arial" w:hAnsi="Arial"/>
                <w:sz w:val="17"/>
                <w:szCs w:val="17"/>
                <w:color w:val="0000FF"/>
              </w:rPr>
            </w:pPr>
            <w:hyperlink w:anchor="page5">
              <w:r>
                <w:rPr>
                  <w:rFonts w:ascii="Arial" w:cs="Arial" w:eastAsia="Arial" w:hAnsi="Arial"/>
                  <w:sz w:val="17"/>
                  <w:szCs w:val="17"/>
                  <w:color w:val="0000FF"/>
                </w:rPr>
                <w:t>and 2021</w:t>
              </w:r>
            </w:hyperlink>
          </w:p>
        </w:tc>
        <w:tc>
          <w:tcPr>
            <w:tcW w:w="80" w:type="dxa"/>
            <w:vAlign w:val="bottom"/>
            <w:gridSpan w:val="3"/>
          </w:tcPr>
          <w:p>
            <w:pPr>
              <w:spacing w:after="0"/>
              <w:rPr>
                <w:sz w:val="12"/>
                <w:szCs w:val="12"/>
                <w:color w:val="auto"/>
              </w:rPr>
            </w:pPr>
          </w:p>
        </w:tc>
        <w:tc>
          <w:tcPr>
            <w:tcW w:w="540" w:type="dxa"/>
            <w:vAlign w:val="bottom"/>
          </w:tcPr>
          <w:p>
            <w:pPr>
              <w:spacing w:after="0"/>
              <w:rPr>
                <w:sz w:val="12"/>
                <w:szCs w:val="12"/>
                <w:color w:val="auto"/>
              </w:rPr>
            </w:pPr>
          </w:p>
        </w:tc>
        <w:tc>
          <w:tcPr>
            <w:tcW w:w="13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360" w:type="dxa"/>
            <w:vAlign w:val="bottom"/>
            <w:tcBorders>
              <w:bottom w:val="single" w:sz="8" w:color="0000FF"/>
            </w:tcBorders>
            <w:gridSpan w:val="19"/>
          </w:tcPr>
          <w:p>
            <w:pPr>
              <w:spacing w:after="0"/>
              <w:rPr>
                <w:rFonts w:ascii="Arial" w:cs="Arial" w:eastAsia="Arial" w:hAnsi="Arial"/>
                <w:sz w:val="17"/>
                <w:szCs w:val="17"/>
                <w:color w:val="0000FF"/>
                <w:w w:val="90"/>
              </w:rPr>
            </w:pPr>
            <w:hyperlink w:anchor="page6">
              <w:r>
                <w:rPr>
                  <w:rFonts w:ascii="Arial" w:cs="Arial" w:eastAsia="Arial" w:hAnsi="Arial"/>
                  <w:sz w:val="17"/>
                  <w:szCs w:val="17"/>
                  <w:color w:val="0000FF"/>
                  <w:w w:val="90"/>
                </w:rPr>
                <w:t>Condensed Consolidated Statements of Cash Flows for the Three Months Ended March 31, 2022 and 2021</w:t>
              </w:r>
            </w:hyperlink>
          </w:p>
        </w:tc>
        <w:tc>
          <w:tcPr>
            <w:tcW w:w="540" w:type="dxa"/>
            <w:vAlign w:val="bottom"/>
          </w:tcPr>
          <w:p>
            <w:pPr>
              <w:spacing w:after="0"/>
              <w:rPr>
                <w:sz w:val="21"/>
                <w:szCs w:val="21"/>
                <w:color w:val="auto"/>
              </w:rPr>
            </w:pPr>
          </w:p>
        </w:tc>
        <w:tc>
          <w:tcPr>
            <w:tcW w:w="12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7"/>
                <w:szCs w:val="17"/>
                <w:color w:val="0000FF"/>
                <w:w w:val="84"/>
              </w:rPr>
            </w:pPr>
            <w:hyperlink w:anchor="page6">
              <w:r>
                <w:rPr>
                  <w:rFonts w:ascii="Arial" w:cs="Arial" w:eastAsia="Arial" w:hAnsi="Arial"/>
                  <w:sz w:val="17"/>
                  <w:szCs w:val="17"/>
                  <w:color w:val="0000FF"/>
                  <w:w w:val="84"/>
                </w:rPr>
                <w:t>7</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8"/>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900" w:type="dxa"/>
            <w:vAlign w:val="bottom"/>
            <w:gridSpan w:val="20"/>
          </w:tcPr>
          <w:p>
            <w:pPr>
              <w:spacing w:after="0"/>
              <w:rPr>
                <w:rFonts w:ascii="Arial" w:cs="Arial" w:eastAsia="Arial" w:hAnsi="Arial"/>
                <w:sz w:val="17"/>
                <w:szCs w:val="17"/>
                <w:color w:val="0000FF"/>
              </w:rPr>
            </w:pPr>
            <w:hyperlink w:anchor="page8">
              <w:r>
                <w:rPr>
                  <w:rFonts w:ascii="Arial" w:cs="Arial" w:eastAsia="Arial" w:hAnsi="Arial"/>
                  <w:sz w:val="17"/>
                  <w:szCs w:val="17"/>
                  <w:color w:val="0000FF"/>
                </w:rPr>
                <w:t>Notes to Condensed Consolidated Financial Statements</w:t>
              </w:r>
            </w:hyperlink>
          </w:p>
        </w:tc>
        <w:tc>
          <w:tcPr>
            <w:tcW w:w="1380" w:type="dxa"/>
            <w:vAlign w:val="bottom"/>
            <w:gridSpan w:val="4"/>
          </w:tcPr>
          <w:p>
            <w:pPr>
              <w:jc w:val="right"/>
              <w:ind w:right="20"/>
              <w:spacing w:after="0"/>
              <w:rPr>
                <w:rFonts w:ascii="Arial" w:cs="Arial" w:eastAsia="Arial" w:hAnsi="Arial"/>
                <w:sz w:val="17"/>
                <w:szCs w:val="17"/>
                <w:color w:val="0000FF"/>
              </w:rPr>
            </w:pPr>
            <w:hyperlink w:anchor="page8">
              <w:r>
                <w:rPr>
                  <w:rFonts w:ascii="Arial" w:cs="Arial" w:eastAsia="Arial" w:hAnsi="Arial"/>
                  <w:sz w:val="17"/>
                  <w:szCs w:val="17"/>
                  <w:color w:val="0000FF"/>
                </w:rPr>
                <w:t>9</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40" w:type="dxa"/>
            <w:vAlign w:val="bottom"/>
          </w:tcPr>
          <w:p>
            <w:pPr>
              <w:spacing w:after="0"/>
              <w:rPr>
                <w:sz w:val="24"/>
                <w:szCs w:val="24"/>
                <w:color w:val="auto"/>
              </w:rPr>
            </w:pPr>
          </w:p>
        </w:tc>
        <w:tc>
          <w:tcPr>
            <w:tcW w:w="1820" w:type="dxa"/>
            <w:vAlign w:val="bottom"/>
            <w:gridSpan w:val="3"/>
          </w:tcPr>
          <w:p>
            <w:pPr>
              <w:spacing w:after="0"/>
              <w:rPr>
                <w:sz w:val="20"/>
                <w:szCs w:val="20"/>
                <w:color w:val="auto"/>
              </w:rPr>
            </w:pPr>
            <w:r>
              <w:rPr>
                <w:rFonts w:ascii="Arial" w:cs="Arial" w:eastAsia="Arial" w:hAnsi="Arial"/>
                <w:sz w:val="17"/>
                <w:szCs w:val="17"/>
                <w:color w:val="auto"/>
              </w:rPr>
              <w:t>Item 2.</w:t>
            </w:r>
          </w:p>
        </w:tc>
        <w:tc>
          <w:tcPr>
            <w:tcW w:w="8000" w:type="dxa"/>
            <w:vAlign w:val="bottom"/>
            <w:tcBorders>
              <w:bottom w:val="single" w:sz="8" w:color="0000FF"/>
            </w:tcBorders>
            <w:gridSpan w:val="21"/>
          </w:tcPr>
          <w:p>
            <w:pPr>
              <w:spacing w:after="0"/>
              <w:rPr>
                <w:rFonts w:ascii="Arial" w:cs="Arial" w:eastAsia="Arial" w:hAnsi="Arial"/>
                <w:sz w:val="17"/>
                <w:szCs w:val="17"/>
                <w:color w:val="0000FF"/>
              </w:rPr>
            </w:pPr>
            <w:hyperlink w:anchor="page37">
              <w:r>
                <w:rPr>
                  <w:rFonts w:ascii="Arial" w:cs="Arial" w:eastAsia="Arial" w:hAnsi="Arial"/>
                  <w:sz w:val="17"/>
                  <w:szCs w:val="17"/>
                  <w:color w:val="0000FF"/>
                </w:rPr>
                <w:t>Management’s Discussion and Analysis of Financial Condition and Results of Operations</w:t>
              </w:r>
            </w:hyperlink>
          </w:p>
        </w:tc>
        <w:tc>
          <w:tcPr>
            <w:tcW w:w="118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7"/>
                <w:szCs w:val="17"/>
                <w:color w:val="0000FF"/>
                <w:w w:val="84"/>
              </w:rPr>
            </w:pPr>
            <w:hyperlink w:anchor="page37">
              <w:r>
                <w:rPr>
                  <w:rFonts w:ascii="Arial" w:cs="Arial" w:eastAsia="Arial" w:hAnsi="Arial"/>
                  <w:sz w:val="17"/>
                  <w:szCs w:val="17"/>
                  <w:color w:val="0000FF"/>
                  <w:w w:val="84"/>
                </w:rPr>
                <w:t>37</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0" w:type="dxa"/>
            <w:vAlign w:val="bottom"/>
          </w:tcPr>
          <w:p>
            <w:pPr>
              <w:spacing w:after="0"/>
              <w:rPr>
                <w:sz w:val="24"/>
                <w:szCs w:val="24"/>
                <w:color w:val="auto"/>
              </w:rPr>
            </w:pPr>
          </w:p>
        </w:tc>
        <w:tc>
          <w:tcPr>
            <w:tcW w:w="1820" w:type="dxa"/>
            <w:vAlign w:val="bottom"/>
            <w:gridSpan w:val="3"/>
          </w:tcPr>
          <w:p>
            <w:pPr>
              <w:spacing w:after="0"/>
              <w:rPr>
                <w:sz w:val="20"/>
                <w:szCs w:val="20"/>
                <w:color w:val="auto"/>
              </w:rPr>
            </w:pPr>
            <w:r>
              <w:rPr>
                <w:rFonts w:ascii="Arial" w:cs="Arial" w:eastAsia="Arial" w:hAnsi="Arial"/>
                <w:sz w:val="17"/>
                <w:szCs w:val="17"/>
                <w:color w:val="auto"/>
              </w:rPr>
              <w:t>Item 3.</w:t>
            </w:r>
          </w:p>
        </w:tc>
        <w:tc>
          <w:tcPr>
            <w:tcW w:w="4160" w:type="dxa"/>
            <w:vAlign w:val="bottom"/>
            <w:tcBorders>
              <w:bottom w:val="single" w:sz="8" w:color="0000FF"/>
            </w:tcBorders>
            <w:gridSpan w:val="14"/>
          </w:tcPr>
          <w:p>
            <w:pPr>
              <w:spacing w:after="0"/>
              <w:rPr>
                <w:rFonts w:ascii="Arial" w:cs="Arial" w:eastAsia="Arial" w:hAnsi="Arial"/>
                <w:sz w:val="17"/>
                <w:szCs w:val="17"/>
                <w:color w:val="0000FF"/>
                <w:w w:val="93"/>
              </w:rPr>
            </w:pPr>
            <w:hyperlink w:anchor="page53">
              <w:r>
                <w:rPr>
                  <w:rFonts w:ascii="Arial" w:cs="Arial" w:eastAsia="Arial" w:hAnsi="Arial"/>
                  <w:sz w:val="17"/>
                  <w:szCs w:val="17"/>
                  <w:color w:val="0000FF"/>
                  <w:w w:val="93"/>
                </w:rPr>
                <w:t>Quantitative and Qualitative Disclosures About Market Risk</w:t>
              </w:r>
            </w:hyperlink>
          </w:p>
        </w:tc>
        <w:tc>
          <w:tcPr>
            <w:tcW w:w="3840" w:type="dxa"/>
            <w:vAlign w:val="bottom"/>
            <w:gridSpan w:val="7"/>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7"/>
                <w:szCs w:val="17"/>
                <w:color w:val="0000FF"/>
                <w:w w:val="84"/>
              </w:rPr>
            </w:pPr>
            <w:hyperlink w:anchor="page53">
              <w:r>
                <w:rPr>
                  <w:rFonts w:ascii="Arial" w:cs="Arial" w:eastAsia="Arial" w:hAnsi="Arial"/>
                  <w:sz w:val="17"/>
                  <w:szCs w:val="17"/>
                  <w:color w:val="0000FF"/>
                  <w:w w:val="84"/>
                </w:rPr>
                <w:t>54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0" w:type="dxa"/>
            <w:vAlign w:val="bottom"/>
          </w:tcPr>
          <w:p>
            <w:pPr>
              <w:spacing w:after="0"/>
              <w:rPr>
                <w:sz w:val="24"/>
                <w:szCs w:val="24"/>
                <w:color w:val="auto"/>
              </w:rPr>
            </w:pPr>
          </w:p>
        </w:tc>
        <w:tc>
          <w:tcPr>
            <w:tcW w:w="1820" w:type="dxa"/>
            <w:vAlign w:val="bottom"/>
            <w:gridSpan w:val="3"/>
          </w:tcPr>
          <w:p>
            <w:pPr>
              <w:spacing w:after="0"/>
              <w:rPr>
                <w:sz w:val="20"/>
                <w:szCs w:val="20"/>
                <w:color w:val="auto"/>
              </w:rPr>
            </w:pPr>
            <w:r>
              <w:rPr>
                <w:rFonts w:ascii="Arial" w:cs="Arial" w:eastAsia="Arial" w:hAnsi="Arial"/>
                <w:sz w:val="17"/>
                <w:szCs w:val="17"/>
                <w:color w:val="auto"/>
              </w:rPr>
              <w:t>Item 4.</w:t>
            </w:r>
          </w:p>
        </w:tc>
        <w:tc>
          <w:tcPr>
            <w:tcW w:w="8000" w:type="dxa"/>
            <w:vAlign w:val="bottom"/>
            <w:gridSpan w:val="21"/>
          </w:tcPr>
          <w:p>
            <w:pPr>
              <w:spacing w:after="0"/>
              <w:rPr>
                <w:rFonts w:ascii="Arial" w:cs="Arial" w:eastAsia="Arial" w:hAnsi="Arial"/>
                <w:sz w:val="17"/>
                <w:szCs w:val="17"/>
                <w:color w:val="0000FF"/>
              </w:rPr>
            </w:pPr>
            <w:hyperlink w:anchor="page54">
              <w:r>
                <w:rPr>
                  <w:rFonts w:ascii="Arial" w:cs="Arial" w:eastAsia="Arial" w:hAnsi="Arial"/>
                  <w:sz w:val="17"/>
                  <w:szCs w:val="17"/>
                  <w:color w:val="0000FF"/>
                </w:rPr>
                <w:t>Controls and Procedures</w:t>
              </w:r>
            </w:hyperlink>
          </w:p>
        </w:tc>
        <w:tc>
          <w:tcPr>
            <w:tcW w:w="1360" w:type="dxa"/>
            <w:vAlign w:val="bottom"/>
            <w:gridSpan w:val="3"/>
          </w:tcPr>
          <w:p>
            <w:pPr>
              <w:jc w:val="right"/>
              <w:spacing w:after="0"/>
              <w:rPr>
                <w:rFonts w:ascii="Arial" w:cs="Arial" w:eastAsia="Arial" w:hAnsi="Arial"/>
                <w:sz w:val="17"/>
                <w:szCs w:val="17"/>
                <w:color w:val="0000FF"/>
              </w:rPr>
            </w:pPr>
            <w:hyperlink w:anchor="page54">
              <w:r>
                <w:rPr>
                  <w:rFonts w:ascii="Arial" w:cs="Arial" w:eastAsia="Arial" w:hAnsi="Arial"/>
                  <w:sz w:val="17"/>
                  <w:szCs w:val="17"/>
                  <w:color w:val="0000FF"/>
                </w:rPr>
                <w:t>54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0" w:type="dxa"/>
            <w:vAlign w:val="bottom"/>
          </w:tcPr>
          <w:p>
            <w:pPr>
              <w:spacing w:after="0"/>
              <w:rPr>
                <w:sz w:val="24"/>
                <w:szCs w:val="24"/>
                <w:color w:val="auto"/>
              </w:rPr>
            </w:pPr>
          </w:p>
        </w:tc>
        <w:tc>
          <w:tcPr>
            <w:tcW w:w="1820" w:type="dxa"/>
            <w:vAlign w:val="bottom"/>
            <w:gridSpan w:val="3"/>
          </w:tcPr>
          <w:p>
            <w:pPr>
              <w:spacing w:after="0"/>
              <w:rPr>
                <w:sz w:val="20"/>
                <w:szCs w:val="20"/>
                <w:color w:val="auto"/>
              </w:rPr>
            </w:pPr>
            <w:r>
              <w:rPr>
                <w:rFonts w:ascii="Arial" w:cs="Arial" w:eastAsia="Arial" w:hAnsi="Arial"/>
                <w:sz w:val="17"/>
                <w:szCs w:val="17"/>
                <w:b w:val="1"/>
                <w:bCs w:val="1"/>
                <w:color w:val="auto"/>
              </w:rPr>
              <w:t>PART II.</w:t>
            </w:r>
          </w:p>
        </w:tc>
        <w:tc>
          <w:tcPr>
            <w:tcW w:w="1680" w:type="dxa"/>
            <w:vAlign w:val="bottom"/>
            <w:tcBorders>
              <w:top w:val="single" w:sz="8" w:color="0000FF"/>
            </w:tcBorders>
            <w:gridSpan w:val="10"/>
          </w:tcPr>
          <w:p>
            <w:pPr>
              <w:spacing w:after="0"/>
              <w:rPr>
                <w:rFonts w:ascii="Arial" w:cs="Arial" w:eastAsia="Arial" w:hAnsi="Arial"/>
                <w:sz w:val="17"/>
                <w:szCs w:val="17"/>
                <w:b w:val="1"/>
                <w:bCs w:val="1"/>
                <w:color w:val="0000FF"/>
              </w:rPr>
            </w:pPr>
            <w:hyperlink w:anchor="page55">
              <w:r>
                <w:rPr>
                  <w:rFonts w:ascii="Arial" w:cs="Arial" w:eastAsia="Arial" w:hAnsi="Arial"/>
                  <w:sz w:val="17"/>
                  <w:szCs w:val="17"/>
                  <w:b w:val="1"/>
                  <w:bCs w:val="1"/>
                  <w:color w:val="0000FF"/>
                </w:rPr>
                <w:t>Other Information</w:t>
              </w:r>
            </w:hyperlink>
          </w:p>
        </w:tc>
        <w:tc>
          <w:tcPr>
            <w:tcW w:w="6320" w:type="dxa"/>
            <w:vAlign w:val="bottom"/>
            <w:gridSpan w:val="11"/>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66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Item 1.</w:t>
            </w:r>
          </w:p>
        </w:tc>
        <w:tc>
          <w:tcPr>
            <w:tcW w:w="1160" w:type="dxa"/>
            <w:vAlign w:val="bottom"/>
          </w:tcPr>
          <w:p>
            <w:pPr>
              <w:spacing w:after="0"/>
              <w:rPr>
                <w:sz w:val="17"/>
                <w:szCs w:val="17"/>
                <w:color w:val="auto"/>
              </w:rPr>
            </w:pPr>
          </w:p>
        </w:tc>
        <w:tc>
          <w:tcPr>
            <w:tcW w:w="1360" w:type="dxa"/>
            <w:vAlign w:val="bottom"/>
            <w:tcBorders>
              <w:top w:val="single" w:sz="8" w:color="0000FF"/>
            </w:tcBorders>
            <w:gridSpan w:val="7"/>
          </w:tcPr>
          <w:p>
            <w:pPr>
              <w:spacing w:after="0"/>
              <w:rPr>
                <w:rFonts w:ascii="Arial" w:cs="Arial" w:eastAsia="Arial" w:hAnsi="Arial"/>
                <w:sz w:val="17"/>
                <w:szCs w:val="17"/>
                <w:color w:val="0000FF"/>
                <w:w w:val="95"/>
              </w:rPr>
            </w:pPr>
            <w:hyperlink w:anchor="page55">
              <w:r>
                <w:rPr>
                  <w:rFonts w:ascii="Arial" w:cs="Arial" w:eastAsia="Arial" w:hAnsi="Arial"/>
                  <w:sz w:val="17"/>
                  <w:szCs w:val="17"/>
                  <w:color w:val="0000FF"/>
                  <w:w w:val="95"/>
                </w:rPr>
                <w:t>Legal Proceedings</w:t>
              </w:r>
            </w:hyperlink>
          </w:p>
        </w:tc>
        <w:tc>
          <w:tcPr>
            <w:tcW w:w="6640" w:type="dxa"/>
            <w:vAlign w:val="bottom"/>
            <w:gridSpan w:val="14"/>
          </w:tcPr>
          <w:p>
            <w:pPr>
              <w:spacing w:after="0"/>
              <w:rPr>
                <w:sz w:val="17"/>
                <w:szCs w:val="17"/>
                <w:color w:val="auto"/>
              </w:rPr>
            </w:pPr>
          </w:p>
        </w:tc>
        <w:tc>
          <w:tcPr>
            <w:tcW w:w="1360" w:type="dxa"/>
            <w:vAlign w:val="bottom"/>
            <w:gridSpan w:val="3"/>
          </w:tcPr>
          <w:p>
            <w:pPr>
              <w:jc w:val="right"/>
              <w:spacing w:after="0"/>
              <w:rPr>
                <w:rFonts w:ascii="Arial" w:cs="Arial" w:eastAsia="Arial" w:hAnsi="Arial"/>
                <w:sz w:val="17"/>
                <w:szCs w:val="17"/>
                <w:color w:val="0000FF"/>
              </w:rPr>
            </w:pPr>
            <w:hyperlink w:anchor="page55">
              <w:r>
                <w:rPr>
                  <w:rFonts w:ascii="Arial" w:cs="Arial" w:eastAsia="Arial" w:hAnsi="Arial"/>
                  <w:sz w:val="17"/>
                  <w:szCs w:val="17"/>
                  <w:color w:val="0000FF"/>
                </w:rPr>
                <w:t>55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40" w:type="dxa"/>
            <w:vAlign w:val="bottom"/>
          </w:tcPr>
          <w:p>
            <w:pPr>
              <w:spacing w:after="0"/>
              <w:rPr>
                <w:sz w:val="24"/>
                <w:szCs w:val="24"/>
                <w:color w:val="auto"/>
              </w:rPr>
            </w:pPr>
          </w:p>
        </w:tc>
        <w:tc>
          <w:tcPr>
            <w:tcW w:w="1820" w:type="dxa"/>
            <w:vAlign w:val="bottom"/>
            <w:gridSpan w:val="3"/>
          </w:tcPr>
          <w:p>
            <w:pPr>
              <w:spacing w:after="0"/>
              <w:rPr>
                <w:sz w:val="20"/>
                <w:szCs w:val="20"/>
                <w:color w:val="auto"/>
              </w:rPr>
            </w:pPr>
            <w:r>
              <w:rPr>
                <w:rFonts w:ascii="Arial" w:cs="Arial" w:eastAsia="Arial" w:hAnsi="Arial"/>
                <w:sz w:val="17"/>
                <w:szCs w:val="17"/>
                <w:color w:val="auto"/>
              </w:rPr>
              <w:t>Item1A.</w:t>
            </w:r>
          </w:p>
        </w:tc>
        <w:tc>
          <w:tcPr>
            <w:tcW w:w="860" w:type="dxa"/>
            <w:vAlign w:val="bottom"/>
            <w:tcBorders>
              <w:top w:val="single" w:sz="8" w:color="0000FF"/>
              <w:bottom w:val="single" w:sz="8" w:color="0000FF"/>
            </w:tcBorders>
            <w:gridSpan w:val="5"/>
          </w:tcPr>
          <w:p>
            <w:pPr>
              <w:spacing w:after="0"/>
              <w:rPr>
                <w:rFonts w:ascii="Arial" w:cs="Arial" w:eastAsia="Arial" w:hAnsi="Arial"/>
                <w:sz w:val="17"/>
                <w:szCs w:val="17"/>
                <w:color w:val="0000FF"/>
                <w:w w:val="88"/>
              </w:rPr>
            </w:pPr>
            <w:hyperlink w:anchor="page55">
              <w:r>
                <w:rPr>
                  <w:rFonts w:ascii="Arial" w:cs="Arial" w:eastAsia="Arial" w:hAnsi="Arial"/>
                  <w:sz w:val="17"/>
                  <w:szCs w:val="17"/>
                  <w:color w:val="0000FF"/>
                  <w:w w:val="88"/>
                </w:rPr>
                <w:t>Risk Factors</w:t>
              </w:r>
            </w:hyperlink>
          </w:p>
        </w:tc>
        <w:tc>
          <w:tcPr>
            <w:tcW w:w="400" w:type="dxa"/>
            <w:vAlign w:val="bottom"/>
            <w:tcBorders>
              <w:top w:val="single" w:sz="8" w:color="0000FF"/>
            </w:tcBorders>
          </w:tcPr>
          <w:p>
            <w:pPr>
              <w:spacing w:after="0"/>
              <w:rPr>
                <w:sz w:val="24"/>
                <w:szCs w:val="24"/>
                <w:color w:val="auto"/>
              </w:rPr>
            </w:pPr>
          </w:p>
        </w:tc>
        <w:tc>
          <w:tcPr>
            <w:tcW w:w="6740" w:type="dxa"/>
            <w:vAlign w:val="bottom"/>
            <w:gridSpan w:val="15"/>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7"/>
                <w:szCs w:val="17"/>
                <w:color w:val="0000FF"/>
                <w:w w:val="84"/>
              </w:rPr>
            </w:pPr>
            <w:hyperlink w:anchor="page55">
              <w:r>
                <w:rPr>
                  <w:rFonts w:ascii="Arial" w:cs="Arial" w:eastAsia="Arial" w:hAnsi="Arial"/>
                  <w:sz w:val="17"/>
                  <w:szCs w:val="17"/>
                  <w:color w:val="0000FF"/>
                  <w:w w:val="84"/>
                </w:rPr>
                <w:t>55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0" w:type="dxa"/>
            <w:vAlign w:val="bottom"/>
          </w:tcPr>
          <w:p>
            <w:pPr>
              <w:spacing w:after="0"/>
              <w:rPr>
                <w:sz w:val="24"/>
                <w:szCs w:val="24"/>
                <w:color w:val="auto"/>
              </w:rPr>
            </w:pPr>
          </w:p>
        </w:tc>
        <w:tc>
          <w:tcPr>
            <w:tcW w:w="1820" w:type="dxa"/>
            <w:vAlign w:val="bottom"/>
            <w:gridSpan w:val="3"/>
          </w:tcPr>
          <w:p>
            <w:pPr>
              <w:spacing w:after="0"/>
              <w:rPr>
                <w:sz w:val="20"/>
                <w:szCs w:val="20"/>
                <w:color w:val="auto"/>
              </w:rPr>
            </w:pPr>
            <w:r>
              <w:rPr>
                <w:rFonts w:ascii="Arial" w:cs="Arial" w:eastAsia="Arial" w:hAnsi="Arial"/>
                <w:sz w:val="17"/>
                <w:szCs w:val="17"/>
                <w:color w:val="auto"/>
              </w:rPr>
              <w:t>Item 2.</w:t>
            </w:r>
          </w:p>
        </w:tc>
        <w:tc>
          <w:tcPr>
            <w:tcW w:w="8000" w:type="dxa"/>
            <w:vAlign w:val="bottom"/>
            <w:gridSpan w:val="21"/>
          </w:tcPr>
          <w:p>
            <w:pPr>
              <w:spacing w:after="0"/>
              <w:rPr>
                <w:rFonts w:ascii="Arial" w:cs="Arial" w:eastAsia="Arial" w:hAnsi="Arial"/>
                <w:sz w:val="17"/>
                <w:szCs w:val="17"/>
                <w:color w:val="0000FF"/>
              </w:rPr>
            </w:pPr>
            <w:hyperlink w:anchor="page56">
              <w:r>
                <w:rPr>
                  <w:rFonts w:ascii="Arial" w:cs="Arial" w:eastAsia="Arial" w:hAnsi="Arial"/>
                  <w:sz w:val="17"/>
                  <w:szCs w:val="17"/>
                  <w:color w:val="0000FF"/>
                </w:rPr>
                <w:t>Unregistered Sales of Equity Securities and Use of Proceeds</w:t>
              </w:r>
            </w:hyperlink>
          </w:p>
        </w:tc>
        <w:tc>
          <w:tcPr>
            <w:tcW w:w="1360" w:type="dxa"/>
            <w:vAlign w:val="bottom"/>
            <w:gridSpan w:val="3"/>
          </w:tcPr>
          <w:p>
            <w:pPr>
              <w:jc w:val="right"/>
              <w:spacing w:after="0"/>
              <w:rPr>
                <w:rFonts w:ascii="Arial" w:cs="Arial" w:eastAsia="Arial" w:hAnsi="Arial"/>
                <w:sz w:val="17"/>
                <w:szCs w:val="17"/>
                <w:color w:val="0000FF"/>
              </w:rPr>
            </w:pPr>
            <w:hyperlink w:anchor="page56">
              <w:r>
                <w:rPr>
                  <w:rFonts w:ascii="Arial" w:cs="Arial" w:eastAsia="Arial" w:hAnsi="Arial"/>
                  <w:sz w:val="17"/>
                  <w:szCs w:val="17"/>
                  <w:color w:val="0000FF"/>
                </w:rPr>
                <w:t>56</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0" w:type="dxa"/>
            <w:vAlign w:val="bottom"/>
          </w:tcPr>
          <w:p>
            <w:pPr>
              <w:spacing w:after="0"/>
              <w:rPr>
                <w:sz w:val="24"/>
                <w:szCs w:val="24"/>
                <w:color w:val="auto"/>
              </w:rPr>
            </w:pPr>
          </w:p>
        </w:tc>
        <w:tc>
          <w:tcPr>
            <w:tcW w:w="1820" w:type="dxa"/>
            <w:vAlign w:val="bottom"/>
            <w:gridSpan w:val="3"/>
          </w:tcPr>
          <w:p>
            <w:pPr>
              <w:spacing w:after="0"/>
              <w:rPr>
                <w:sz w:val="20"/>
                <w:szCs w:val="20"/>
                <w:color w:val="auto"/>
              </w:rPr>
            </w:pPr>
            <w:r>
              <w:rPr>
                <w:rFonts w:ascii="Arial" w:cs="Arial" w:eastAsia="Arial" w:hAnsi="Arial"/>
                <w:sz w:val="17"/>
                <w:szCs w:val="17"/>
                <w:color w:val="auto"/>
              </w:rPr>
              <w:t>Item 6.</w:t>
            </w:r>
          </w:p>
        </w:tc>
        <w:tc>
          <w:tcPr>
            <w:tcW w:w="4140" w:type="dxa"/>
            <w:vAlign w:val="bottom"/>
            <w:tcBorders>
              <w:top w:val="single" w:sz="8" w:color="0000FF"/>
            </w:tcBorders>
            <w:gridSpan w:val="13"/>
          </w:tcPr>
          <w:p>
            <w:pPr>
              <w:spacing w:after="0"/>
              <w:rPr>
                <w:rFonts w:ascii="Arial" w:cs="Arial" w:eastAsia="Arial" w:hAnsi="Arial"/>
                <w:sz w:val="17"/>
                <w:szCs w:val="17"/>
                <w:color w:val="0000FF"/>
              </w:rPr>
            </w:pPr>
            <w:hyperlink w:anchor="page56">
              <w:r>
                <w:rPr>
                  <w:rFonts w:ascii="Arial" w:cs="Arial" w:eastAsia="Arial" w:hAnsi="Arial"/>
                  <w:sz w:val="17"/>
                  <w:szCs w:val="17"/>
                  <w:color w:val="0000FF"/>
                </w:rPr>
                <w:t>Exhibits</w:t>
              </w:r>
            </w:hyperlink>
          </w:p>
        </w:tc>
        <w:tc>
          <w:tcPr>
            <w:tcW w:w="3860" w:type="dxa"/>
            <w:vAlign w:val="bottom"/>
            <w:gridSpan w:val="8"/>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Borders>
              <w:top w:val="single" w:sz="8" w:color="0000FF"/>
            </w:tcBorders>
            <w:gridSpan w:val="2"/>
          </w:tcPr>
          <w:p>
            <w:pPr>
              <w:jc w:val="right"/>
              <w:spacing w:after="0"/>
              <w:rPr>
                <w:rFonts w:ascii="Arial" w:cs="Arial" w:eastAsia="Arial" w:hAnsi="Arial"/>
                <w:sz w:val="17"/>
                <w:szCs w:val="17"/>
                <w:color w:val="0000FF"/>
                <w:w w:val="84"/>
              </w:rPr>
            </w:pPr>
            <w:hyperlink w:anchor="page56">
              <w:r>
                <w:rPr>
                  <w:rFonts w:ascii="Arial" w:cs="Arial" w:eastAsia="Arial" w:hAnsi="Arial"/>
                  <w:sz w:val="17"/>
                  <w:szCs w:val="17"/>
                  <w:color w:val="0000FF"/>
                  <w:w w:val="84"/>
                </w:rPr>
                <w:t>56</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360" w:type="dxa"/>
            <w:vAlign w:val="bottom"/>
            <w:gridSpan w:val="18"/>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0" w:type="dxa"/>
            <w:vAlign w:val="bottom"/>
            <w:gridSpan w:val="21"/>
          </w:tcPr>
          <w:p>
            <w:pPr>
              <w:spacing w:after="0"/>
              <w:rPr>
                <w:rFonts w:ascii="Arial" w:cs="Arial" w:eastAsia="Arial" w:hAnsi="Arial"/>
                <w:sz w:val="17"/>
                <w:szCs w:val="17"/>
                <w:color w:val="0000FF"/>
              </w:rPr>
            </w:pPr>
            <w:hyperlink w:anchor="page57">
              <w:r>
                <w:rPr>
                  <w:rFonts w:ascii="Arial" w:cs="Arial" w:eastAsia="Arial" w:hAnsi="Arial"/>
                  <w:sz w:val="17"/>
                  <w:szCs w:val="17"/>
                  <w:color w:val="0000FF"/>
                </w:rPr>
                <w:t>Signature</w:t>
              </w:r>
            </w:hyperlink>
          </w:p>
        </w:tc>
        <w:tc>
          <w:tcPr>
            <w:tcW w:w="1360" w:type="dxa"/>
            <w:vAlign w:val="bottom"/>
            <w:gridSpan w:val="3"/>
          </w:tcPr>
          <w:p>
            <w:pPr>
              <w:jc w:val="right"/>
              <w:spacing w:after="0"/>
              <w:rPr>
                <w:rFonts w:ascii="Arial" w:cs="Arial" w:eastAsia="Arial" w:hAnsi="Arial"/>
                <w:sz w:val="17"/>
                <w:szCs w:val="17"/>
                <w:color w:val="0000FF"/>
              </w:rPr>
            </w:pPr>
            <w:hyperlink w:anchor="page57">
              <w:r>
                <w:rPr>
                  <w:rFonts w:ascii="Arial" w:cs="Arial" w:eastAsia="Arial" w:hAnsi="Arial"/>
                  <w:sz w:val="17"/>
                  <w:szCs w:val="17"/>
                  <w:color w:val="0000FF"/>
                </w:rPr>
                <w:t>58</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9"/>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40" w:type="dxa"/>
            <w:vAlign w:val="bottom"/>
            <w:tcBorders>
              <w:top w:val="single" w:sz="8" w:color="0000FF"/>
            </w:tcBorders>
            <w:gridSpan w:val="3"/>
          </w:tcPr>
          <w:p>
            <w:pPr>
              <w:spacing w:after="0"/>
              <w:rPr>
                <w:sz w:val="24"/>
                <w:szCs w:val="24"/>
                <w:color w:val="auto"/>
              </w:rPr>
            </w:pPr>
          </w:p>
        </w:tc>
        <w:tc>
          <w:tcPr>
            <w:tcW w:w="3260" w:type="dxa"/>
            <w:vAlign w:val="bottom"/>
            <w:gridSpan w:val="9"/>
          </w:tcPr>
          <w:p>
            <w:pPr>
              <w:jc w:val="right"/>
              <w:ind w:right="100"/>
              <w:spacing w:after="0"/>
              <w:rPr>
                <w:sz w:val="20"/>
                <w:szCs w:val="20"/>
                <w:color w:val="auto"/>
              </w:rPr>
            </w:pPr>
            <w:r>
              <w:rPr>
                <w:rFonts w:ascii="Arial" w:cs="Arial" w:eastAsia="Arial" w:hAnsi="Arial"/>
                <w:sz w:val="17"/>
                <w:szCs w:val="17"/>
                <w:color w:val="auto"/>
              </w:rPr>
              <w:t>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2" w:name="page3"/>
    <w:bookmarkEnd w:id="2"/>
    <w:p>
      <w:pPr>
        <w:spacing w:after="0"/>
        <w:rPr>
          <w:sz w:val="20"/>
          <w:szCs w:val="20"/>
          <w:color w:val="auto"/>
        </w:rPr>
      </w:pPr>
      <w:r>
        <w:rPr>
          <w:rFonts w:ascii="Arial" w:cs="Arial" w:eastAsia="Arial" w:hAnsi="Arial"/>
          <w:sz w:val="17"/>
          <w:szCs w:val="17"/>
          <w:b w:val="1"/>
          <w:bCs w:val="1"/>
          <w:color w:val="auto"/>
        </w:rPr>
        <w:t>PART I - FINANCIAL INFORMATION</w:t>
      </w:r>
    </w:p>
    <w:p>
      <w:pPr>
        <w:spacing w:after="0" w:line="28"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u w:val="single" w:color="auto"/>
          <w:color w:val="auto"/>
        </w:rPr>
        <w:t>Item1.</w:t>
      </w:r>
      <w:r>
        <w:rPr>
          <w:sz w:val="20"/>
          <w:szCs w:val="20"/>
          <w:color w:val="auto"/>
        </w:rPr>
        <w:tab/>
      </w:r>
      <w:r>
        <w:rPr>
          <w:rFonts w:ascii="Arial" w:cs="Arial" w:eastAsia="Arial" w:hAnsi="Arial"/>
          <w:sz w:val="15"/>
          <w:szCs w:val="15"/>
          <w:b w:val="1"/>
          <w:bCs w:val="1"/>
          <w:u w:val="single" w:color="auto"/>
          <w:color w:val="auto"/>
        </w:rPr>
        <w:t>Financial Statements (Unaudited)</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ICU MEDICAL,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BALANCE SHEETS</w:t>
      </w:r>
    </w:p>
    <w:p>
      <w:pPr>
        <w:spacing w:after="0" w:line="8"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(In thousands, except par value data)</w:t>
      </w:r>
    </w:p>
    <w:p>
      <w:pPr>
        <w:spacing w:after="0" w:line="8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March 31,</w:t>
            </w:r>
          </w:p>
        </w:tc>
        <w:tc>
          <w:tcPr>
            <w:tcW w:w="200" w:type="dxa"/>
            <w:vAlign w:val="bottom"/>
          </w:tcPr>
          <w:p>
            <w:pPr>
              <w:spacing w:after="0"/>
              <w:rPr>
                <w:sz w:val="14"/>
                <w:szCs w:val="14"/>
                <w:color w:val="auto"/>
              </w:rPr>
            </w:pPr>
          </w:p>
        </w:tc>
        <w:tc>
          <w:tcPr>
            <w:tcW w:w="1240" w:type="dxa"/>
            <w:vAlign w:val="bottom"/>
          </w:tcPr>
          <w:p>
            <w:pPr>
              <w:jc w:val="right"/>
              <w:ind w:right="251"/>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9"/>
        </w:trPr>
        <w:tc>
          <w:tcPr>
            <w:tcW w:w="8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71"/>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73"/>
        </w:trPr>
        <w:tc>
          <w:tcPr>
            <w:tcW w:w="8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center"/>
              <w:ind w:right="171"/>
              <w:spacing w:after="0"/>
              <w:rPr>
                <w:sz w:val="20"/>
                <w:szCs w:val="20"/>
                <w:color w:val="auto"/>
              </w:rPr>
            </w:pPr>
            <w:r>
              <w:rPr>
                <w:rFonts w:ascii="Arial" w:cs="Arial" w:eastAsia="Arial" w:hAnsi="Arial"/>
                <w:sz w:val="14"/>
                <w:szCs w:val="14"/>
                <w:b w:val="1"/>
                <w:bCs w:val="1"/>
                <w:color w:val="auto"/>
                <w:w w:val="92"/>
              </w:rPr>
              <w:t>(Unaudited)</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ind w:right="571"/>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182"/>
        </w:trPr>
        <w:tc>
          <w:tcPr>
            <w:tcW w:w="8240" w:type="dxa"/>
            <w:vAlign w:val="bottom"/>
            <w:shd w:val="clear" w:color="auto" w:fill="CCEEFF"/>
          </w:tcPr>
          <w:p>
            <w:pPr>
              <w:ind w:left="3880"/>
              <w:spacing w:after="0"/>
              <w:rPr>
                <w:sz w:val="20"/>
                <w:szCs w:val="20"/>
                <w:color w:val="auto"/>
              </w:rPr>
            </w:pPr>
            <w:r>
              <w:rPr>
                <w:rFonts w:ascii="Arial" w:cs="Arial" w:eastAsia="Arial" w:hAnsi="Arial"/>
                <w:sz w:val="14"/>
                <w:szCs w:val="14"/>
                <w:color w:val="auto"/>
              </w:rPr>
              <w:t>ASSETS</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824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Cash and cash equivalents</w:t>
            </w:r>
          </w:p>
        </w:tc>
        <w:tc>
          <w:tcPr>
            <w:tcW w:w="24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329,428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552,827</w:t>
            </w:r>
          </w:p>
        </w:tc>
        <w:tc>
          <w:tcPr>
            <w:tcW w:w="0" w:type="dxa"/>
            <w:vAlign w:val="bottom"/>
          </w:tcPr>
          <w:p>
            <w:pPr>
              <w:spacing w:after="0"/>
              <w:rPr>
                <w:sz w:val="1"/>
                <w:szCs w:val="1"/>
                <w:color w:val="auto"/>
              </w:rPr>
            </w:pPr>
          </w:p>
        </w:tc>
      </w:tr>
      <w:tr>
        <w:trPr>
          <w:trHeight w:val="177"/>
        </w:trPr>
        <w:tc>
          <w:tcPr>
            <w:tcW w:w="824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Short-term investment securities</w:t>
            </w: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14,864</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14,420</w:t>
            </w:r>
          </w:p>
        </w:tc>
        <w:tc>
          <w:tcPr>
            <w:tcW w:w="0" w:type="dxa"/>
            <w:vAlign w:val="bottom"/>
          </w:tcPr>
          <w:p>
            <w:pPr>
              <w:spacing w:after="0"/>
              <w:rPr>
                <w:sz w:val="1"/>
                <w:szCs w:val="1"/>
                <w:color w:val="auto"/>
              </w:rPr>
            </w:pPr>
          </w:p>
        </w:tc>
      </w:tr>
      <w:tr>
        <w:trPr>
          <w:trHeight w:val="176"/>
        </w:trPr>
        <w:tc>
          <w:tcPr>
            <w:tcW w:w="82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TOTAL CASH, CASH EQUIVALENTS AND SHORT-TERM INVESTMENT SECURITIES</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344,292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567,247</w:t>
            </w:r>
          </w:p>
        </w:tc>
        <w:tc>
          <w:tcPr>
            <w:tcW w:w="0" w:type="dxa"/>
            <w:vAlign w:val="bottom"/>
          </w:tcPr>
          <w:p>
            <w:pPr>
              <w:spacing w:after="0"/>
              <w:rPr>
                <w:sz w:val="1"/>
                <w:szCs w:val="1"/>
                <w:color w:val="auto"/>
              </w:rPr>
            </w:pPr>
          </w:p>
        </w:tc>
      </w:tr>
      <w:tr>
        <w:trPr>
          <w:trHeight w:val="177"/>
        </w:trPr>
        <w:tc>
          <w:tcPr>
            <w:tcW w:w="8240" w:type="dxa"/>
            <w:vAlign w:val="bottom"/>
          </w:tcPr>
          <w:p>
            <w:pPr>
              <w:ind w:left="120"/>
              <w:spacing w:after="0"/>
              <w:rPr>
                <w:sz w:val="20"/>
                <w:szCs w:val="20"/>
                <w:color w:val="auto"/>
              </w:rPr>
            </w:pPr>
            <w:r>
              <w:rPr>
                <w:rFonts w:ascii="Arial" w:cs="Arial" w:eastAsia="Arial" w:hAnsi="Arial"/>
                <w:sz w:val="14"/>
                <w:szCs w:val="14"/>
                <w:color w:val="auto"/>
              </w:rPr>
              <w:t>Accounts receivable, net of allowance for doubtful accounts of $6,921 at March 31, 2022 and $7,038 at December 31, 2021</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202,897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105,894</w:t>
            </w:r>
          </w:p>
        </w:tc>
        <w:tc>
          <w:tcPr>
            <w:tcW w:w="0" w:type="dxa"/>
            <w:vAlign w:val="bottom"/>
          </w:tcPr>
          <w:p>
            <w:pPr>
              <w:spacing w:after="0"/>
              <w:rPr>
                <w:sz w:val="1"/>
                <w:szCs w:val="1"/>
                <w:color w:val="auto"/>
              </w:rPr>
            </w:pPr>
          </w:p>
        </w:tc>
      </w:tr>
      <w:tr>
        <w:trPr>
          <w:trHeight w:val="184"/>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Inventories</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536,314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290,235</w:t>
            </w:r>
          </w:p>
        </w:tc>
        <w:tc>
          <w:tcPr>
            <w:tcW w:w="0" w:type="dxa"/>
            <w:vAlign w:val="bottom"/>
          </w:tcPr>
          <w:p>
            <w:pPr>
              <w:spacing w:after="0"/>
              <w:rPr>
                <w:sz w:val="1"/>
                <w:szCs w:val="1"/>
                <w:color w:val="auto"/>
              </w:rPr>
            </w:pPr>
          </w:p>
        </w:tc>
      </w:tr>
      <w:tr>
        <w:trPr>
          <w:trHeight w:val="177"/>
        </w:trPr>
        <w:tc>
          <w:tcPr>
            <w:tcW w:w="8240" w:type="dxa"/>
            <w:vAlign w:val="bottom"/>
          </w:tcPr>
          <w:p>
            <w:pPr>
              <w:ind w:left="120"/>
              <w:spacing w:after="0"/>
              <w:rPr>
                <w:sz w:val="20"/>
                <w:szCs w:val="20"/>
                <w:color w:val="auto"/>
              </w:rPr>
            </w:pPr>
            <w:r>
              <w:rPr>
                <w:rFonts w:ascii="Arial" w:cs="Arial" w:eastAsia="Arial" w:hAnsi="Arial"/>
                <w:sz w:val="14"/>
                <w:szCs w:val="14"/>
                <w:color w:val="auto"/>
              </w:rPr>
              <w:t>Prepaid income taxes</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10,219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19,586</w:t>
            </w:r>
          </w:p>
        </w:tc>
        <w:tc>
          <w:tcPr>
            <w:tcW w:w="0" w:type="dxa"/>
            <w:vAlign w:val="bottom"/>
          </w:tcPr>
          <w:p>
            <w:pPr>
              <w:spacing w:after="0"/>
              <w:rPr>
                <w:sz w:val="1"/>
                <w:szCs w:val="1"/>
                <w:color w:val="auto"/>
              </w:rPr>
            </w:pPr>
          </w:p>
        </w:tc>
      </w:tr>
      <w:tr>
        <w:trPr>
          <w:trHeight w:val="184"/>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Prepaid expenses and other current assets</w:t>
            </w:r>
          </w:p>
        </w:tc>
        <w:tc>
          <w:tcPr>
            <w:tcW w:w="2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80,273</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46,847</w:t>
            </w:r>
          </w:p>
        </w:tc>
        <w:tc>
          <w:tcPr>
            <w:tcW w:w="0" w:type="dxa"/>
            <w:vAlign w:val="bottom"/>
          </w:tcPr>
          <w:p>
            <w:pPr>
              <w:spacing w:after="0"/>
              <w:rPr>
                <w:sz w:val="1"/>
                <w:szCs w:val="1"/>
                <w:color w:val="auto"/>
              </w:rPr>
            </w:pPr>
          </w:p>
        </w:tc>
      </w:tr>
      <w:tr>
        <w:trPr>
          <w:trHeight w:val="170"/>
        </w:trPr>
        <w:tc>
          <w:tcPr>
            <w:tcW w:w="824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TOTAL CURRENT ASSETS</w:t>
            </w: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1,173,995</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1,029,809</w:t>
            </w:r>
          </w:p>
        </w:tc>
        <w:tc>
          <w:tcPr>
            <w:tcW w:w="0" w:type="dxa"/>
            <w:vAlign w:val="bottom"/>
          </w:tcPr>
          <w:p>
            <w:pPr>
              <w:spacing w:after="0"/>
              <w:rPr>
                <w:sz w:val="1"/>
                <w:szCs w:val="1"/>
                <w:color w:val="auto"/>
              </w:rPr>
            </w:pPr>
          </w:p>
        </w:tc>
      </w:tr>
      <w:tr>
        <w:trPr>
          <w:trHeight w:val="138"/>
        </w:trPr>
        <w:tc>
          <w:tcPr>
            <w:tcW w:w="8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8240" w:type="dxa"/>
            <w:vAlign w:val="bottom"/>
          </w:tcPr>
          <w:p>
            <w:pPr>
              <w:ind w:left="20"/>
              <w:spacing w:after="0"/>
              <w:rPr>
                <w:sz w:val="20"/>
                <w:szCs w:val="20"/>
                <w:color w:val="auto"/>
              </w:rPr>
            </w:pPr>
            <w:r>
              <w:rPr>
                <w:rFonts w:ascii="Arial" w:cs="Arial" w:eastAsia="Arial" w:hAnsi="Arial"/>
                <w:sz w:val="14"/>
                <w:szCs w:val="14"/>
                <w:color w:val="auto"/>
              </w:rPr>
              <w:t>PROPERTY, PLANT AND EQUIPMENT, net</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674,412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468,365</w:t>
            </w:r>
          </w:p>
        </w:tc>
        <w:tc>
          <w:tcPr>
            <w:tcW w:w="0" w:type="dxa"/>
            <w:vAlign w:val="bottom"/>
          </w:tcPr>
          <w:p>
            <w:pPr>
              <w:spacing w:after="0"/>
              <w:rPr>
                <w:sz w:val="1"/>
                <w:szCs w:val="1"/>
                <w:color w:val="auto"/>
              </w:rPr>
            </w:pPr>
          </w:p>
        </w:tc>
      </w:tr>
      <w:tr>
        <w:trPr>
          <w:trHeight w:val="184"/>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RIGHT-OF-USE ASSETS</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92,027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39,847</w:t>
            </w:r>
          </w:p>
        </w:tc>
        <w:tc>
          <w:tcPr>
            <w:tcW w:w="0" w:type="dxa"/>
            <w:vAlign w:val="bottom"/>
          </w:tcPr>
          <w:p>
            <w:pPr>
              <w:spacing w:after="0"/>
              <w:rPr>
                <w:sz w:val="1"/>
                <w:szCs w:val="1"/>
                <w:color w:val="auto"/>
              </w:rPr>
            </w:pPr>
          </w:p>
        </w:tc>
      </w:tr>
      <w:tr>
        <w:trPr>
          <w:trHeight w:val="177"/>
        </w:trPr>
        <w:tc>
          <w:tcPr>
            <w:tcW w:w="8240" w:type="dxa"/>
            <w:vAlign w:val="bottom"/>
          </w:tcPr>
          <w:p>
            <w:pPr>
              <w:ind w:left="20"/>
              <w:spacing w:after="0"/>
              <w:rPr>
                <w:sz w:val="20"/>
                <w:szCs w:val="20"/>
                <w:color w:val="auto"/>
              </w:rPr>
            </w:pPr>
            <w:r>
              <w:rPr>
                <w:rFonts w:ascii="Arial" w:cs="Arial" w:eastAsia="Arial" w:hAnsi="Arial"/>
                <w:sz w:val="14"/>
                <w:szCs w:val="14"/>
                <w:color w:val="auto"/>
              </w:rPr>
              <w:t>LONG-TERM INVESTMENT SECURITIES</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2,539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4,620</w:t>
            </w:r>
          </w:p>
        </w:tc>
        <w:tc>
          <w:tcPr>
            <w:tcW w:w="0" w:type="dxa"/>
            <w:vAlign w:val="bottom"/>
          </w:tcPr>
          <w:p>
            <w:pPr>
              <w:spacing w:after="0"/>
              <w:rPr>
                <w:sz w:val="1"/>
                <w:szCs w:val="1"/>
                <w:color w:val="auto"/>
              </w:rPr>
            </w:pPr>
          </w:p>
        </w:tc>
      </w:tr>
      <w:tr>
        <w:trPr>
          <w:trHeight w:val="184"/>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1,526,866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43,439</w:t>
            </w:r>
          </w:p>
        </w:tc>
        <w:tc>
          <w:tcPr>
            <w:tcW w:w="0" w:type="dxa"/>
            <w:vAlign w:val="bottom"/>
          </w:tcPr>
          <w:p>
            <w:pPr>
              <w:spacing w:after="0"/>
              <w:rPr>
                <w:sz w:val="1"/>
                <w:szCs w:val="1"/>
                <w:color w:val="auto"/>
              </w:rPr>
            </w:pPr>
          </w:p>
        </w:tc>
      </w:tr>
      <w:tr>
        <w:trPr>
          <w:trHeight w:val="177"/>
        </w:trPr>
        <w:tc>
          <w:tcPr>
            <w:tcW w:w="8240" w:type="dxa"/>
            <w:vAlign w:val="bottom"/>
          </w:tcPr>
          <w:p>
            <w:pPr>
              <w:ind w:left="20"/>
              <w:spacing w:after="0"/>
              <w:rPr>
                <w:sz w:val="20"/>
                <w:szCs w:val="20"/>
                <w:color w:val="auto"/>
              </w:rPr>
            </w:pPr>
            <w:r>
              <w:rPr>
                <w:rFonts w:ascii="Arial" w:cs="Arial" w:eastAsia="Arial" w:hAnsi="Arial"/>
                <w:sz w:val="14"/>
                <w:szCs w:val="14"/>
                <w:color w:val="auto"/>
              </w:rPr>
              <w:t>INTANGIBLE ASSETS, net</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1,094,710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188,311</w:t>
            </w:r>
          </w:p>
        </w:tc>
        <w:tc>
          <w:tcPr>
            <w:tcW w:w="0" w:type="dxa"/>
            <w:vAlign w:val="bottom"/>
          </w:tcPr>
          <w:p>
            <w:pPr>
              <w:spacing w:after="0"/>
              <w:rPr>
                <w:sz w:val="1"/>
                <w:szCs w:val="1"/>
                <w:color w:val="auto"/>
              </w:rPr>
            </w:pPr>
          </w:p>
        </w:tc>
      </w:tr>
      <w:tr>
        <w:trPr>
          <w:trHeight w:val="184"/>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INCOME TAXES</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77,566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42,604</w:t>
            </w:r>
          </w:p>
        </w:tc>
        <w:tc>
          <w:tcPr>
            <w:tcW w:w="0" w:type="dxa"/>
            <w:vAlign w:val="bottom"/>
          </w:tcPr>
          <w:p>
            <w:pPr>
              <w:spacing w:after="0"/>
              <w:rPr>
                <w:sz w:val="1"/>
                <w:szCs w:val="1"/>
                <w:color w:val="auto"/>
              </w:rPr>
            </w:pPr>
          </w:p>
        </w:tc>
      </w:tr>
      <w:tr>
        <w:trPr>
          <w:trHeight w:val="177"/>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ASSETS</w:t>
            </w: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104,617</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63,743</w:t>
            </w:r>
          </w:p>
        </w:tc>
        <w:tc>
          <w:tcPr>
            <w:tcW w:w="0" w:type="dxa"/>
            <w:vAlign w:val="bottom"/>
          </w:tcPr>
          <w:p>
            <w:pPr>
              <w:spacing w:after="0"/>
              <w:rPr>
                <w:sz w:val="1"/>
                <w:szCs w:val="1"/>
                <w:color w:val="auto"/>
              </w:rPr>
            </w:pPr>
          </w:p>
        </w:tc>
      </w:tr>
      <w:tr>
        <w:trPr>
          <w:trHeight w:val="201"/>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TOTAL ASSETS</w:t>
            </w: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4,746,732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1,880,738</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8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8240" w:type="dxa"/>
            <w:vAlign w:val="bottom"/>
            <w:shd w:val="clear" w:color="auto" w:fill="CCEEFF"/>
          </w:tcPr>
          <w:p>
            <w:pPr>
              <w:ind w:left="2700"/>
              <w:spacing w:after="0"/>
              <w:rPr>
                <w:sz w:val="20"/>
                <w:szCs w:val="20"/>
                <w:color w:val="auto"/>
              </w:rPr>
            </w:pPr>
            <w:r>
              <w:rPr>
                <w:rFonts w:ascii="Arial" w:cs="Arial" w:eastAsia="Arial" w:hAnsi="Arial"/>
                <w:sz w:val="14"/>
                <w:szCs w:val="14"/>
                <w:color w:val="auto"/>
              </w:rPr>
              <w:t>LIABILITIES AND STOCKHOLDERS’ EQUITY</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824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Accounts payable</w:t>
            </w:r>
          </w:p>
        </w:tc>
        <w:tc>
          <w:tcPr>
            <w:tcW w:w="24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200,991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81,128</w:t>
            </w:r>
          </w:p>
        </w:tc>
        <w:tc>
          <w:tcPr>
            <w:tcW w:w="0" w:type="dxa"/>
            <w:vAlign w:val="bottom"/>
          </w:tcPr>
          <w:p>
            <w:pPr>
              <w:spacing w:after="0"/>
              <w:rPr>
                <w:sz w:val="1"/>
                <w:szCs w:val="1"/>
                <w:color w:val="auto"/>
              </w:rPr>
            </w:pPr>
          </w:p>
        </w:tc>
      </w:tr>
      <w:tr>
        <w:trPr>
          <w:trHeight w:val="177"/>
        </w:trPr>
        <w:tc>
          <w:tcPr>
            <w:tcW w:w="8240" w:type="dxa"/>
            <w:vAlign w:val="bottom"/>
          </w:tcPr>
          <w:p>
            <w:pPr>
              <w:ind w:left="120"/>
              <w:spacing w:after="0"/>
              <w:rPr>
                <w:sz w:val="20"/>
                <w:szCs w:val="20"/>
                <w:color w:val="auto"/>
              </w:rPr>
            </w:pPr>
            <w:r>
              <w:rPr>
                <w:rFonts w:ascii="Arial" w:cs="Arial" w:eastAsia="Arial" w:hAnsi="Arial"/>
                <w:sz w:val="14"/>
                <w:szCs w:val="14"/>
                <w:color w:val="auto"/>
              </w:rPr>
              <w:t>Accrued liabilities</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261,820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118,195</w:t>
            </w:r>
          </w:p>
        </w:tc>
        <w:tc>
          <w:tcPr>
            <w:tcW w:w="0" w:type="dxa"/>
            <w:vAlign w:val="bottom"/>
          </w:tcPr>
          <w:p>
            <w:pPr>
              <w:spacing w:after="0"/>
              <w:rPr>
                <w:sz w:val="1"/>
                <w:szCs w:val="1"/>
                <w:color w:val="auto"/>
              </w:rPr>
            </w:pPr>
          </w:p>
        </w:tc>
      </w:tr>
      <w:tr>
        <w:trPr>
          <w:trHeight w:val="184"/>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Current portion of long-term debt</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13,813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7"/>
        </w:trPr>
        <w:tc>
          <w:tcPr>
            <w:tcW w:w="824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Income tax payable</w:t>
            </w: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17,491</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1,454</w:t>
            </w:r>
          </w:p>
        </w:tc>
        <w:tc>
          <w:tcPr>
            <w:tcW w:w="0" w:type="dxa"/>
            <w:vAlign w:val="bottom"/>
          </w:tcPr>
          <w:p>
            <w:pPr>
              <w:spacing w:after="0"/>
              <w:rPr>
                <w:sz w:val="1"/>
                <w:szCs w:val="1"/>
                <w:color w:val="auto"/>
              </w:rPr>
            </w:pPr>
          </w:p>
        </w:tc>
      </w:tr>
      <w:tr>
        <w:trPr>
          <w:trHeight w:val="173"/>
        </w:trPr>
        <w:tc>
          <w:tcPr>
            <w:tcW w:w="82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TOTAL CURRENT LIABILITIES</w:t>
            </w:r>
          </w:p>
        </w:tc>
        <w:tc>
          <w:tcPr>
            <w:tcW w:w="2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494,115</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200,777</w:t>
            </w:r>
          </w:p>
        </w:tc>
        <w:tc>
          <w:tcPr>
            <w:tcW w:w="0" w:type="dxa"/>
            <w:vAlign w:val="bottom"/>
          </w:tcPr>
          <w:p>
            <w:pPr>
              <w:spacing w:after="0"/>
              <w:rPr>
                <w:sz w:val="1"/>
                <w:szCs w:val="1"/>
                <w:color w:val="auto"/>
              </w:rPr>
            </w:pPr>
          </w:p>
        </w:tc>
      </w:tr>
      <w:tr>
        <w:trPr>
          <w:trHeight w:val="138"/>
        </w:trPr>
        <w:tc>
          <w:tcPr>
            <w:tcW w:w="8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CONTINGENT EARN-OUT LIABILITY</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57,701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2,589</w:t>
            </w:r>
          </w:p>
        </w:tc>
        <w:tc>
          <w:tcPr>
            <w:tcW w:w="0" w:type="dxa"/>
            <w:vAlign w:val="bottom"/>
          </w:tcPr>
          <w:p>
            <w:pPr>
              <w:spacing w:after="0"/>
              <w:rPr>
                <w:sz w:val="1"/>
                <w:szCs w:val="1"/>
                <w:color w:val="auto"/>
              </w:rPr>
            </w:pPr>
          </w:p>
        </w:tc>
      </w:tr>
      <w:tr>
        <w:trPr>
          <w:trHeight w:val="177"/>
        </w:trPr>
        <w:tc>
          <w:tcPr>
            <w:tcW w:w="8240" w:type="dxa"/>
            <w:vAlign w:val="bottom"/>
          </w:tcPr>
          <w:p>
            <w:pPr>
              <w:ind w:left="20"/>
              <w:spacing w:after="0"/>
              <w:rPr>
                <w:sz w:val="20"/>
                <w:szCs w:val="20"/>
                <w:color w:val="auto"/>
              </w:rPr>
            </w:pPr>
            <w:r>
              <w:rPr>
                <w:rFonts w:ascii="Arial" w:cs="Arial" w:eastAsia="Arial" w:hAnsi="Arial"/>
                <w:sz w:val="14"/>
                <w:szCs w:val="14"/>
                <w:color w:val="auto"/>
              </w:rPr>
              <w:t>LONG-TERM DEBT</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1,642,171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LONG-TERM LIABILITIES</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134,208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41,830</w:t>
            </w:r>
          </w:p>
        </w:tc>
        <w:tc>
          <w:tcPr>
            <w:tcW w:w="0" w:type="dxa"/>
            <w:vAlign w:val="bottom"/>
          </w:tcPr>
          <w:p>
            <w:pPr>
              <w:spacing w:after="0"/>
              <w:rPr>
                <w:sz w:val="1"/>
                <w:szCs w:val="1"/>
                <w:color w:val="auto"/>
              </w:rPr>
            </w:pPr>
          </w:p>
        </w:tc>
      </w:tr>
      <w:tr>
        <w:trPr>
          <w:trHeight w:val="177"/>
        </w:trPr>
        <w:tc>
          <w:tcPr>
            <w:tcW w:w="8240" w:type="dxa"/>
            <w:vAlign w:val="bottom"/>
          </w:tcPr>
          <w:p>
            <w:pPr>
              <w:ind w:left="20"/>
              <w:spacing w:after="0"/>
              <w:rPr>
                <w:sz w:val="20"/>
                <w:szCs w:val="20"/>
                <w:color w:val="auto"/>
              </w:rPr>
            </w:pPr>
            <w:r>
              <w:rPr>
                <w:rFonts w:ascii="Arial" w:cs="Arial" w:eastAsia="Arial" w:hAnsi="Arial"/>
                <w:sz w:val="14"/>
                <w:szCs w:val="14"/>
                <w:color w:val="auto"/>
              </w:rPr>
              <w:t>DEFERRED INCOME TAXES</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220,628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1,490</w:t>
            </w:r>
          </w:p>
        </w:tc>
        <w:tc>
          <w:tcPr>
            <w:tcW w:w="0" w:type="dxa"/>
            <w:vAlign w:val="bottom"/>
          </w:tcPr>
          <w:p>
            <w:pPr>
              <w:spacing w:after="0"/>
              <w:rPr>
                <w:sz w:val="1"/>
                <w:szCs w:val="1"/>
                <w:color w:val="auto"/>
              </w:rPr>
            </w:pPr>
          </w:p>
        </w:tc>
      </w:tr>
      <w:tr>
        <w:trPr>
          <w:trHeight w:val="184"/>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LIABILITY</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19,007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18,021</w:t>
            </w:r>
          </w:p>
        </w:tc>
        <w:tc>
          <w:tcPr>
            <w:tcW w:w="0" w:type="dxa"/>
            <w:vAlign w:val="bottom"/>
          </w:tcPr>
          <w:p>
            <w:pPr>
              <w:spacing w:after="0"/>
              <w:rPr>
                <w:sz w:val="1"/>
                <w:szCs w:val="1"/>
                <w:color w:val="auto"/>
              </w:rPr>
            </w:pPr>
          </w:p>
        </w:tc>
      </w:tr>
      <w:tr>
        <w:trPr>
          <w:trHeight w:val="177"/>
        </w:trPr>
        <w:tc>
          <w:tcPr>
            <w:tcW w:w="8240" w:type="dxa"/>
            <w:vAlign w:val="bottom"/>
          </w:tcPr>
          <w:p>
            <w:pPr>
              <w:ind w:left="20"/>
              <w:spacing w:after="0"/>
              <w:rPr>
                <w:sz w:val="20"/>
                <w:szCs w:val="20"/>
                <w:color w:val="auto"/>
              </w:rPr>
            </w:pPr>
            <w:r>
              <w:rPr>
                <w:rFonts w:ascii="Arial" w:cs="Arial" w:eastAsia="Arial" w:hAnsi="Arial"/>
                <w:sz w:val="14"/>
                <w:szCs w:val="14"/>
                <w:color w:val="auto"/>
              </w:rPr>
              <w:t>COMMITMENTS AND CONTINGENCIES (Note 19)</w:t>
            </w:r>
          </w:p>
        </w:tc>
        <w:tc>
          <w:tcPr>
            <w:tcW w:w="24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 EQUITY:</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8240" w:type="dxa"/>
            <w:vAlign w:val="bottom"/>
          </w:tcPr>
          <w:p>
            <w:pPr>
              <w:ind w:left="120"/>
              <w:spacing w:after="0"/>
              <w:rPr>
                <w:sz w:val="20"/>
                <w:szCs w:val="20"/>
                <w:color w:val="auto"/>
              </w:rPr>
            </w:pPr>
            <w:r>
              <w:rPr>
                <w:rFonts w:ascii="Arial" w:cs="Arial" w:eastAsia="Arial" w:hAnsi="Arial"/>
                <w:sz w:val="14"/>
                <w:szCs w:val="14"/>
                <w:color w:val="auto"/>
              </w:rPr>
              <w:t>Convertible preferred stock, $1.00 par value; Authorized — 500 shares; Issued and outstanding — none</w:t>
            </w:r>
          </w:p>
        </w:tc>
        <w:tc>
          <w:tcPr>
            <w:tcW w:w="24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2"/>
        </w:trPr>
        <w:tc>
          <w:tcPr>
            <w:tcW w:w="8240" w:type="dxa"/>
            <w:vAlign w:val="bottom"/>
            <w:shd w:val="clear" w:color="auto" w:fill="CCEEFF"/>
          </w:tcPr>
          <w:p>
            <w:pPr>
              <w:ind w:left="120"/>
              <w:spacing w:after="0" w:line="132" w:lineRule="exact"/>
              <w:rPr>
                <w:sz w:val="20"/>
                <w:szCs w:val="20"/>
                <w:color w:val="auto"/>
              </w:rPr>
            </w:pPr>
            <w:r>
              <w:rPr>
                <w:rFonts w:ascii="Arial" w:cs="Arial" w:eastAsia="Arial" w:hAnsi="Arial"/>
                <w:sz w:val="14"/>
                <w:szCs w:val="14"/>
                <w:color w:val="auto"/>
                <w:w w:val="91"/>
              </w:rPr>
              <w:t>Common stock, $0.10 par value; Authorized — 80,000 shares; Issued — 23,897 shares at March 31, 2022 and 21,280 shares at December 31,</w:t>
            </w:r>
          </w:p>
        </w:tc>
        <w:tc>
          <w:tcPr>
            <w:tcW w:w="24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2,390</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2,128</w:t>
            </w:r>
          </w:p>
        </w:tc>
        <w:tc>
          <w:tcPr>
            <w:tcW w:w="0" w:type="dxa"/>
            <w:vAlign w:val="bottom"/>
          </w:tcPr>
          <w:p>
            <w:pPr>
              <w:spacing w:after="0"/>
              <w:rPr>
                <w:sz w:val="1"/>
                <w:szCs w:val="1"/>
                <w:color w:val="auto"/>
              </w:rPr>
            </w:pPr>
          </w:p>
        </w:tc>
      </w:tr>
      <w:tr>
        <w:trPr>
          <w:trHeight w:val="180"/>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2021; and outstanding — 23,884 shares at March 31, 2022 and 21,280 shares at December 31, 2021</w:t>
            </w:r>
          </w:p>
        </w:tc>
        <w:tc>
          <w:tcPr>
            <w:tcW w:w="240" w:type="dxa"/>
            <w:vAlign w:val="bottom"/>
            <w:shd w:val="clear" w:color="auto" w:fill="CCEEFF"/>
          </w:tcPr>
          <w:p>
            <w:pPr>
              <w:spacing w:after="0"/>
              <w:rPr>
                <w:sz w:val="15"/>
                <w:szCs w:val="15"/>
                <w:color w:val="auto"/>
              </w:rPr>
            </w:pPr>
          </w:p>
        </w:tc>
        <w:tc>
          <w:tcPr>
            <w:tcW w:w="12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8240" w:type="dxa"/>
            <w:vAlign w:val="bottom"/>
          </w:tcPr>
          <w:p>
            <w:pPr>
              <w:ind w:left="120"/>
              <w:spacing w:after="0"/>
              <w:rPr>
                <w:sz w:val="20"/>
                <w:szCs w:val="20"/>
                <w:color w:val="auto"/>
              </w:rPr>
            </w:pPr>
            <w:r>
              <w:rPr>
                <w:rFonts w:ascii="Arial" w:cs="Arial" w:eastAsia="Arial" w:hAnsi="Arial"/>
                <w:sz w:val="14"/>
                <w:szCs w:val="14"/>
                <w:color w:val="auto"/>
              </w:rPr>
              <w:t>Additional paid-in capital</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1,306,264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721,412</w:t>
            </w:r>
          </w:p>
        </w:tc>
        <w:tc>
          <w:tcPr>
            <w:tcW w:w="0" w:type="dxa"/>
            <w:vAlign w:val="bottom"/>
          </w:tcPr>
          <w:p>
            <w:pPr>
              <w:spacing w:after="0"/>
              <w:rPr>
                <w:sz w:val="1"/>
                <w:szCs w:val="1"/>
                <w:color w:val="auto"/>
              </w:rPr>
            </w:pPr>
          </w:p>
        </w:tc>
      </w:tr>
      <w:tr>
        <w:trPr>
          <w:trHeight w:val="184"/>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Treasury stock, at cost (12,684 and 119 shares, respectively)</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77"/>
        </w:trPr>
        <w:tc>
          <w:tcPr>
            <w:tcW w:w="8240" w:type="dxa"/>
            <w:vAlign w:val="bottom"/>
          </w:tcPr>
          <w:p>
            <w:pPr>
              <w:ind w:left="120"/>
              <w:spacing w:after="0"/>
              <w:rPr>
                <w:sz w:val="20"/>
                <w:szCs w:val="20"/>
                <w:color w:val="auto"/>
              </w:rPr>
            </w:pPr>
            <w:r>
              <w:rPr>
                <w:rFonts w:ascii="Arial" w:cs="Arial" w:eastAsia="Arial" w:hAnsi="Arial"/>
                <w:sz w:val="14"/>
                <w:szCs w:val="14"/>
                <w:color w:val="auto"/>
              </w:rPr>
              <w:t>Retained earnings</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873,719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911,787</w:t>
            </w:r>
          </w:p>
        </w:tc>
        <w:tc>
          <w:tcPr>
            <w:tcW w:w="0" w:type="dxa"/>
            <w:vAlign w:val="bottom"/>
          </w:tcPr>
          <w:p>
            <w:pPr>
              <w:spacing w:after="0"/>
              <w:rPr>
                <w:sz w:val="1"/>
                <w:szCs w:val="1"/>
                <w:color w:val="auto"/>
              </w:rPr>
            </w:pPr>
          </w:p>
        </w:tc>
      </w:tr>
      <w:tr>
        <w:trPr>
          <w:trHeight w:val="184"/>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Accumulated other comprehensive loss</w:t>
            </w:r>
          </w:p>
        </w:tc>
        <w:tc>
          <w:tcPr>
            <w:tcW w:w="2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(628)</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(19,269)</w:t>
            </w:r>
          </w:p>
        </w:tc>
        <w:tc>
          <w:tcPr>
            <w:tcW w:w="0" w:type="dxa"/>
            <w:vAlign w:val="bottom"/>
          </w:tcPr>
          <w:p>
            <w:pPr>
              <w:spacing w:after="0"/>
              <w:rPr>
                <w:sz w:val="1"/>
                <w:szCs w:val="1"/>
                <w:color w:val="auto"/>
              </w:rPr>
            </w:pPr>
          </w:p>
        </w:tc>
      </w:tr>
      <w:tr>
        <w:trPr>
          <w:trHeight w:val="170"/>
        </w:trPr>
        <w:tc>
          <w:tcPr>
            <w:tcW w:w="824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TOTAL STOCKHOLDERS' EQUITY</w:t>
            </w: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2,178,902</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1,616,031</w:t>
            </w:r>
          </w:p>
        </w:tc>
        <w:tc>
          <w:tcPr>
            <w:tcW w:w="0" w:type="dxa"/>
            <w:vAlign w:val="bottom"/>
          </w:tcPr>
          <w:p>
            <w:pPr>
              <w:spacing w:after="0"/>
              <w:rPr>
                <w:sz w:val="1"/>
                <w:szCs w:val="1"/>
                <w:color w:val="auto"/>
              </w:rPr>
            </w:pPr>
          </w:p>
        </w:tc>
      </w:tr>
      <w:tr>
        <w:trPr>
          <w:trHeight w:val="201"/>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LIABILITIES AND STOCKHOLDERS' EQUITY</w:t>
            </w: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4,746,732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1,880,738</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______________________________________________________</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color w:val="auto"/>
        </w:rPr>
        <w:t>(1) December 31, 2021 balances were derived from audited consolidated financial statements.</w:t>
      </w:r>
    </w:p>
    <w:p>
      <w:pPr>
        <w:spacing w:after="0" w:line="97" w:lineRule="exact"/>
        <w:rPr>
          <w:sz w:val="20"/>
          <w:szCs w:val="20"/>
          <w:color w:val="auto"/>
        </w:rPr>
      </w:pPr>
    </w:p>
    <w:p>
      <w:pPr>
        <w:ind w:left="2920"/>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95"/>
        </w:trPr>
        <w:tc>
          <w:tcPr>
            <w:tcW w:w="3800" w:type="dxa"/>
            <w:vAlign w:val="bottom"/>
            <w:gridSpan w:val="2"/>
          </w:tcPr>
          <w:p>
            <w:pPr>
              <w:spacing w:after="0"/>
              <w:rPr>
                <w:rFonts w:ascii="Arial" w:cs="Arial" w:eastAsia="Arial" w:hAnsi="Arial"/>
                <w:sz w:val="17"/>
                <w:szCs w:val="17"/>
                <w:color w:val="0000FF"/>
              </w:rPr>
            </w:pPr>
            <w:hyperlink w:anchor="page1">
              <w:r>
                <w:rPr>
                  <w:rFonts w:ascii="Arial" w:cs="Arial" w:eastAsia="Arial" w:hAnsi="Arial"/>
                  <w:sz w:val="17"/>
                  <w:szCs w:val="17"/>
                  <w:color w:val="0000FF"/>
                </w:rPr>
                <w:t>Table of Contents</w:t>
              </w:r>
            </w:hyperlink>
          </w:p>
        </w:tc>
        <w:tc>
          <w:tcPr>
            <w:tcW w:w="4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5"/>
        </w:trPr>
        <w:tc>
          <w:tcPr>
            <w:tcW w:w="1220" w:type="dxa"/>
            <w:vAlign w:val="bottom"/>
            <w:tcBorders>
              <w:top w:val="single" w:sz="8" w:color="0000FF"/>
            </w:tcBorders>
          </w:tcPr>
          <w:p>
            <w:pPr>
              <w:spacing w:after="0"/>
              <w:rPr>
                <w:sz w:val="24"/>
                <w:szCs w:val="24"/>
                <w:color w:val="auto"/>
              </w:rPr>
            </w:pPr>
          </w:p>
        </w:tc>
        <w:tc>
          <w:tcPr>
            <w:tcW w:w="2580" w:type="dxa"/>
            <w:vAlign w:val="bottom"/>
          </w:tcPr>
          <w:p>
            <w:pPr>
              <w:spacing w:after="0"/>
              <w:rPr>
                <w:sz w:val="24"/>
                <w:szCs w:val="24"/>
                <w:color w:val="auto"/>
              </w:rPr>
            </w:pPr>
          </w:p>
        </w:tc>
        <w:tc>
          <w:tcPr>
            <w:tcW w:w="5000" w:type="dxa"/>
            <w:vAlign w:val="bottom"/>
            <w:gridSpan w:val="2"/>
          </w:tcPr>
          <w:p>
            <w:pPr>
              <w:jc w:val="center"/>
              <w:ind w:right="1340"/>
              <w:spacing w:after="0"/>
              <w:rPr>
                <w:sz w:val="20"/>
                <w:szCs w:val="20"/>
                <w:color w:val="auto"/>
              </w:rPr>
            </w:pPr>
            <w:r>
              <w:rPr>
                <w:rFonts w:ascii="Arial" w:cs="Arial" w:eastAsia="Arial" w:hAnsi="Arial"/>
                <w:sz w:val="17"/>
                <w:szCs w:val="17"/>
                <w:b w:val="1"/>
                <w:bCs w:val="1"/>
                <w:color w:val="auto"/>
              </w:rPr>
              <w:t>ICU MEDICAL, INC. AND SUBSIDIARIES</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220" w:type="dxa"/>
            <w:vAlign w:val="bottom"/>
          </w:tcPr>
          <w:p>
            <w:pPr>
              <w:spacing w:after="0"/>
              <w:rPr>
                <w:sz w:val="18"/>
                <w:szCs w:val="18"/>
                <w:color w:val="auto"/>
              </w:rPr>
            </w:pPr>
          </w:p>
        </w:tc>
        <w:tc>
          <w:tcPr>
            <w:tcW w:w="7580" w:type="dxa"/>
            <w:vAlign w:val="bottom"/>
            <w:gridSpan w:val="3"/>
          </w:tcPr>
          <w:p>
            <w:pPr>
              <w:jc w:val="center"/>
              <w:ind w:left="1134"/>
              <w:spacing w:after="0"/>
              <w:rPr>
                <w:sz w:val="20"/>
                <w:szCs w:val="20"/>
                <w:color w:val="auto"/>
              </w:rPr>
            </w:pPr>
            <w:r>
              <w:rPr>
                <w:rFonts w:ascii="Arial" w:cs="Arial" w:eastAsia="Arial" w:hAnsi="Arial"/>
                <w:sz w:val="17"/>
                <w:szCs w:val="17"/>
                <w:b w:val="1"/>
                <w:bCs w:val="1"/>
                <w:color w:val="auto"/>
                <w:w w:val="99"/>
              </w:rPr>
              <w:t>CONDENSED CONSOLIDATED STATEMENTS OF OPERATIONS (Unaudited)</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2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000" w:type="dxa"/>
            <w:vAlign w:val="bottom"/>
            <w:gridSpan w:val="2"/>
          </w:tcPr>
          <w:p>
            <w:pPr>
              <w:jc w:val="center"/>
              <w:ind w:right="1360"/>
              <w:spacing w:after="0"/>
              <w:rPr>
                <w:sz w:val="20"/>
                <w:szCs w:val="20"/>
                <w:color w:val="auto"/>
              </w:rPr>
            </w:pPr>
            <w:r>
              <w:rPr>
                <w:rFonts w:ascii="Arial" w:cs="Arial" w:eastAsia="Arial" w:hAnsi="Arial"/>
                <w:sz w:val="17"/>
                <w:szCs w:val="17"/>
                <w:color w:val="auto"/>
                <w:w w:val="89"/>
              </w:rPr>
              <w:t>(In thousands, except per share data)</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1"/>
        </w:trPr>
        <w:tc>
          <w:tcPr>
            <w:tcW w:w="1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40" w:type="dxa"/>
            <w:vAlign w:val="bottom"/>
            <w:gridSpan w:val="4"/>
          </w:tcPr>
          <w:p>
            <w:pPr>
              <w:jc w:val="right"/>
              <w:ind w:right="594"/>
              <w:spacing w:after="0"/>
              <w:rPr>
                <w:sz w:val="20"/>
                <w:szCs w:val="20"/>
                <w:color w:val="auto"/>
              </w:rPr>
            </w:pPr>
            <w:r>
              <w:rPr>
                <w:rFonts w:ascii="Arial" w:cs="Arial" w:eastAsia="Arial" w:hAnsi="Arial"/>
                <w:sz w:val="17"/>
                <w:szCs w:val="17"/>
                <w:b w:val="1"/>
                <w:bCs w:val="1"/>
                <w:color w:val="auto"/>
              </w:rPr>
              <w:t>Three months ended</w:t>
            </w:r>
          </w:p>
        </w:tc>
        <w:tc>
          <w:tcPr>
            <w:tcW w:w="0" w:type="dxa"/>
            <w:vAlign w:val="bottom"/>
          </w:tcPr>
          <w:p>
            <w:pPr>
              <w:spacing w:after="0"/>
              <w:rPr>
                <w:sz w:val="1"/>
                <w:szCs w:val="1"/>
                <w:color w:val="auto"/>
              </w:rPr>
            </w:pPr>
          </w:p>
        </w:tc>
      </w:tr>
      <w:tr>
        <w:trPr>
          <w:trHeight w:val="219"/>
        </w:trPr>
        <w:tc>
          <w:tcPr>
            <w:tcW w:w="12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14"/>
              <w:spacing w:after="0"/>
              <w:rPr>
                <w:sz w:val="20"/>
                <w:szCs w:val="20"/>
                <w:color w:val="auto"/>
              </w:rPr>
            </w:pPr>
            <w:r>
              <w:rPr>
                <w:rFonts w:ascii="Arial" w:cs="Arial" w:eastAsia="Arial" w:hAnsi="Arial"/>
                <w:sz w:val="17"/>
                <w:szCs w:val="17"/>
                <w:b w:val="1"/>
                <w:bCs w:val="1"/>
                <w:color w:val="auto"/>
              </w:rPr>
              <w:t>March 31,</w:t>
            </w: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220" w:type="dxa"/>
            <w:vAlign w:val="bottom"/>
            <w:tcBorders>
              <w:bottom w:val="single" w:sz="8" w:color="CCEEFF"/>
            </w:tcBorders>
          </w:tcPr>
          <w:p>
            <w:pPr>
              <w:spacing w:after="0"/>
              <w:rPr>
                <w:sz w:val="18"/>
                <w:szCs w:val="18"/>
                <w:color w:val="auto"/>
              </w:rPr>
            </w:pPr>
          </w:p>
        </w:tc>
        <w:tc>
          <w:tcPr>
            <w:tcW w:w="2580" w:type="dxa"/>
            <w:vAlign w:val="bottom"/>
            <w:tcBorders>
              <w:bottom w:val="single" w:sz="8" w:color="CCEEFF"/>
            </w:tcBorders>
          </w:tcPr>
          <w:p>
            <w:pPr>
              <w:spacing w:after="0"/>
              <w:rPr>
                <w:sz w:val="18"/>
                <w:szCs w:val="18"/>
                <w:color w:val="auto"/>
              </w:rPr>
            </w:pPr>
          </w:p>
        </w:tc>
        <w:tc>
          <w:tcPr>
            <w:tcW w:w="46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212"/>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REVENUES</w:t>
            </w:r>
          </w:p>
        </w:tc>
        <w:tc>
          <w:tcPr>
            <w:tcW w:w="50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543,122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318,046</w:t>
            </w:r>
          </w:p>
        </w:tc>
        <w:tc>
          <w:tcPr>
            <w:tcW w:w="0" w:type="dxa"/>
            <w:vAlign w:val="bottom"/>
          </w:tcPr>
          <w:p>
            <w:pPr>
              <w:spacing w:after="0"/>
              <w:rPr>
                <w:sz w:val="1"/>
                <w:szCs w:val="1"/>
                <w:color w:val="auto"/>
              </w:rPr>
            </w:pPr>
          </w:p>
        </w:tc>
      </w:tr>
      <w:tr>
        <w:trPr>
          <w:trHeight w:val="218"/>
        </w:trPr>
        <w:tc>
          <w:tcPr>
            <w:tcW w:w="38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COST OF GOODS SOLD</w:t>
            </w:r>
          </w:p>
        </w:tc>
        <w:tc>
          <w:tcPr>
            <w:tcW w:w="46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374,295</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205,366</w:t>
            </w:r>
          </w:p>
        </w:tc>
        <w:tc>
          <w:tcPr>
            <w:tcW w:w="0" w:type="dxa"/>
            <w:vAlign w:val="bottom"/>
          </w:tcPr>
          <w:p>
            <w:pPr>
              <w:spacing w:after="0"/>
              <w:rPr>
                <w:sz w:val="1"/>
                <w:szCs w:val="1"/>
                <w:color w:val="auto"/>
              </w:rPr>
            </w:pPr>
          </w:p>
        </w:tc>
      </w:tr>
      <w:tr>
        <w:trPr>
          <w:trHeight w:val="213"/>
        </w:trPr>
        <w:tc>
          <w:tcPr>
            <w:tcW w:w="38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GROSS PROFIT</w:t>
            </w:r>
          </w:p>
        </w:tc>
        <w:tc>
          <w:tcPr>
            <w:tcW w:w="46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168,827</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112,680</w:t>
            </w:r>
          </w:p>
        </w:tc>
        <w:tc>
          <w:tcPr>
            <w:tcW w:w="0" w:type="dxa"/>
            <w:vAlign w:val="bottom"/>
          </w:tcPr>
          <w:p>
            <w:pPr>
              <w:spacing w:after="0"/>
              <w:rPr>
                <w:sz w:val="1"/>
                <w:szCs w:val="1"/>
                <w:color w:val="auto"/>
              </w:rPr>
            </w:pPr>
          </w:p>
        </w:tc>
      </w:tr>
      <w:tr>
        <w:trPr>
          <w:trHeight w:val="198"/>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OPERATING EXPENSES:</w:t>
            </w:r>
          </w:p>
        </w:tc>
        <w:tc>
          <w:tcPr>
            <w:tcW w:w="4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8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Selling, general and administrative</w:t>
            </w:r>
          </w:p>
        </w:tc>
        <w:tc>
          <w:tcPr>
            <w:tcW w:w="46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153,212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72,391</w:t>
            </w:r>
          </w:p>
        </w:tc>
        <w:tc>
          <w:tcPr>
            <w:tcW w:w="0" w:type="dxa"/>
            <w:vAlign w:val="bottom"/>
          </w:tcPr>
          <w:p>
            <w:pPr>
              <w:spacing w:after="0"/>
              <w:rPr>
                <w:sz w:val="1"/>
                <w:szCs w:val="1"/>
                <w:color w:val="auto"/>
              </w:rPr>
            </w:pPr>
          </w:p>
        </w:tc>
      </w:tr>
      <w:tr>
        <w:trPr>
          <w:trHeight w:val="218"/>
        </w:trPr>
        <w:tc>
          <w:tcPr>
            <w:tcW w:w="3800" w:type="dxa"/>
            <w:vAlign w:val="bottom"/>
            <w:gridSpan w:val="2"/>
          </w:tcPr>
          <w:p>
            <w:pPr>
              <w:ind w:left="140"/>
              <w:spacing w:after="0"/>
              <w:rPr>
                <w:sz w:val="20"/>
                <w:szCs w:val="20"/>
                <w:color w:val="auto"/>
              </w:rPr>
            </w:pPr>
            <w:r>
              <w:rPr>
                <w:rFonts w:ascii="Arial" w:cs="Arial" w:eastAsia="Arial" w:hAnsi="Arial"/>
                <w:sz w:val="17"/>
                <w:szCs w:val="17"/>
                <w:color w:val="auto"/>
              </w:rPr>
              <w:t>Research and development</w:t>
            </w:r>
          </w:p>
        </w:tc>
        <w:tc>
          <w:tcPr>
            <w:tcW w:w="4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23,871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10,709</w:t>
            </w:r>
          </w:p>
        </w:tc>
        <w:tc>
          <w:tcPr>
            <w:tcW w:w="0" w:type="dxa"/>
            <w:vAlign w:val="bottom"/>
          </w:tcPr>
          <w:p>
            <w:pPr>
              <w:spacing w:after="0"/>
              <w:rPr>
                <w:sz w:val="1"/>
                <w:szCs w:val="1"/>
                <w:color w:val="auto"/>
              </w:rPr>
            </w:pPr>
          </w:p>
        </w:tc>
      </w:tr>
      <w:tr>
        <w:trPr>
          <w:trHeight w:val="220"/>
        </w:trPr>
        <w:tc>
          <w:tcPr>
            <w:tcW w:w="38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w w:val="95"/>
              </w:rPr>
              <w:t>Restructuring, strategic transaction and integration</w:t>
            </w:r>
          </w:p>
        </w:tc>
        <w:tc>
          <w:tcPr>
            <w:tcW w:w="46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33,905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2,883</w:t>
            </w:r>
          </w:p>
        </w:tc>
        <w:tc>
          <w:tcPr>
            <w:tcW w:w="0" w:type="dxa"/>
            <w:vAlign w:val="bottom"/>
          </w:tcPr>
          <w:p>
            <w:pPr>
              <w:spacing w:after="0"/>
              <w:rPr>
                <w:sz w:val="1"/>
                <w:szCs w:val="1"/>
                <w:color w:val="auto"/>
              </w:rPr>
            </w:pPr>
          </w:p>
        </w:tc>
      </w:tr>
      <w:tr>
        <w:trPr>
          <w:trHeight w:val="218"/>
        </w:trPr>
        <w:tc>
          <w:tcPr>
            <w:tcW w:w="3800" w:type="dxa"/>
            <w:vAlign w:val="bottom"/>
            <w:gridSpan w:val="2"/>
          </w:tcPr>
          <w:p>
            <w:pPr>
              <w:ind w:left="140"/>
              <w:spacing w:after="0"/>
              <w:rPr>
                <w:sz w:val="20"/>
                <w:szCs w:val="20"/>
                <w:color w:val="auto"/>
              </w:rPr>
            </w:pPr>
            <w:r>
              <w:rPr>
                <w:rFonts w:ascii="Arial" w:cs="Arial" w:eastAsia="Arial" w:hAnsi="Arial"/>
                <w:sz w:val="17"/>
                <w:szCs w:val="17"/>
                <w:color w:val="auto"/>
              </w:rPr>
              <w:t>Contract settlement</w:t>
            </w:r>
          </w:p>
        </w:tc>
        <w:tc>
          <w:tcPr>
            <w:tcW w:w="4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127</w:t>
            </w:r>
          </w:p>
        </w:tc>
        <w:tc>
          <w:tcPr>
            <w:tcW w:w="0" w:type="dxa"/>
            <w:vAlign w:val="bottom"/>
          </w:tcPr>
          <w:p>
            <w:pPr>
              <w:spacing w:after="0"/>
              <w:rPr>
                <w:sz w:val="1"/>
                <w:szCs w:val="1"/>
                <w:color w:val="auto"/>
              </w:rPr>
            </w:pPr>
          </w:p>
        </w:tc>
      </w:tr>
      <w:tr>
        <w:trPr>
          <w:trHeight w:val="213"/>
        </w:trPr>
        <w:tc>
          <w:tcPr>
            <w:tcW w:w="38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 OPERATING EXPENSES</w:t>
            </w:r>
          </w:p>
        </w:tc>
        <w:tc>
          <w:tcPr>
            <w:tcW w:w="46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210,988</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86,110</w:t>
            </w:r>
          </w:p>
        </w:tc>
        <w:tc>
          <w:tcPr>
            <w:tcW w:w="0" w:type="dxa"/>
            <w:vAlign w:val="bottom"/>
          </w:tcPr>
          <w:p>
            <w:pPr>
              <w:spacing w:after="0"/>
              <w:rPr>
                <w:sz w:val="1"/>
                <w:szCs w:val="1"/>
                <w:color w:val="auto"/>
              </w:rPr>
            </w:pPr>
          </w:p>
        </w:tc>
      </w:tr>
      <w:tr>
        <w:trPr>
          <w:trHeight w:val="211"/>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(LOSS) INCOME FROM OPERATIONS</w:t>
            </w:r>
          </w:p>
        </w:tc>
        <w:tc>
          <w:tcPr>
            <w:tcW w:w="4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(42,161)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26,570</w:t>
            </w:r>
          </w:p>
        </w:tc>
        <w:tc>
          <w:tcPr>
            <w:tcW w:w="0" w:type="dxa"/>
            <w:vAlign w:val="bottom"/>
          </w:tcPr>
          <w:p>
            <w:pPr>
              <w:spacing w:after="0"/>
              <w:rPr>
                <w:sz w:val="1"/>
                <w:szCs w:val="1"/>
                <w:color w:val="auto"/>
              </w:rPr>
            </w:pPr>
          </w:p>
        </w:tc>
      </w:tr>
      <w:tr>
        <w:trPr>
          <w:trHeight w:val="220"/>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46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(13,644)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w:t>
            </w:r>
          </w:p>
        </w:tc>
        <w:tc>
          <w:tcPr>
            <w:tcW w:w="0" w:type="dxa"/>
            <w:vAlign w:val="bottom"/>
          </w:tcPr>
          <w:p>
            <w:pPr>
              <w:spacing w:after="0"/>
              <w:rPr>
                <w:sz w:val="1"/>
                <w:szCs w:val="1"/>
                <w:color w:val="auto"/>
              </w:rPr>
            </w:pPr>
          </w:p>
        </w:tc>
      </w:tr>
      <w:tr>
        <w:trPr>
          <w:trHeight w:val="218"/>
        </w:trPr>
        <w:tc>
          <w:tcPr>
            <w:tcW w:w="38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OTHER INCOME, net</w:t>
            </w:r>
          </w:p>
        </w:tc>
        <w:tc>
          <w:tcPr>
            <w:tcW w:w="46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1,004</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683</w:t>
            </w:r>
          </w:p>
        </w:tc>
        <w:tc>
          <w:tcPr>
            <w:tcW w:w="0" w:type="dxa"/>
            <w:vAlign w:val="bottom"/>
          </w:tcPr>
          <w:p>
            <w:pPr>
              <w:spacing w:after="0"/>
              <w:rPr>
                <w:sz w:val="1"/>
                <w:szCs w:val="1"/>
                <w:color w:val="auto"/>
              </w:rPr>
            </w:pPr>
          </w:p>
        </w:tc>
      </w:tr>
      <w:tr>
        <w:trPr>
          <w:trHeight w:val="213"/>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(LOSS) INCOME BEFORE INCOME TAXES</w:t>
            </w:r>
          </w:p>
        </w:tc>
        <w:tc>
          <w:tcPr>
            <w:tcW w:w="4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(54,801)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27,092</w:t>
            </w:r>
          </w:p>
        </w:tc>
        <w:tc>
          <w:tcPr>
            <w:tcW w:w="0" w:type="dxa"/>
            <w:vAlign w:val="bottom"/>
          </w:tcPr>
          <w:p>
            <w:pPr>
              <w:spacing w:after="0"/>
              <w:rPr>
                <w:sz w:val="1"/>
                <w:szCs w:val="1"/>
                <w:color w:val="auto"/>
              </w:rPr>
            </w:pPr>
          </w:p>
        </w:tc>
      </w:tr>
      <w:tr>
        <w:trPr>
          <w:trHeight w:val="218"/>
        </w:trPr>
        <w:tc>
          <w:tcPr>
            <w:tcW w:w="38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BENEFIT (PROVISION) FOR INCOME TAXES</w:t>
            </w:r>
          </w:p>
        </w:tc>
        <w:tc>
          <w:tcPr>
            <w:tcW w:w="46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16,733</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(3,361)</w:t>
            </w:r>
          </w:p>
        </w:tc>
        <w:tc>
          <w:tcPr>
            <w:tcW w:w="0" w:type="dxa"/>
            <w:vAlign w:val="bottom"/>
          </w:tcPr>
          <w:p>
            <w:pPr>
              <w:spacing w:after="0"/>
              <w:rPr>
                <w:sz w:val="1"/>
                <w:szCs w:val="1"/>
                <w:color w:val="auto"/>
              </w:rPr>
            </w:pPr>
          </w:p>
        </w:tc>
      </w:tr>
      <w:tr>
        <w:trPr>
          <w:trHeight w:val="233"/>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(LOSS) INCOME</w:t>
            </w:r>
          </w:p>
        </w:tc>
        <w:tc>
          <w:tcPr>
            <w:tcW w:w="50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(38,068)</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23,731</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7"/>
                <w:szCs w:val="17"/>
                <w:color w:val="auto"/>
              </w:rPr>
              <w:t>NET (LOSS) INCOME PER SHARE</w:t>
            </w:r>
          </w:p>
        </w:tc>
        <w:tc>
          <w:tcPr>
            <w:tcW w:w="46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800" w:type="dxa"/>
            <w:vAlign w:val="bottom"/>
            <w:gridSpan w:val="2"/>
            <w:vMerge w:val="continue"/>
          </w:tcPr>
          <w:p>
            <w:pPr>
              <w:spacing w:after="0"/>
              <w:rPr>
                <w:sz w:val="14"/>
                <w:szCs w:val="14"/>
                <w:color w:val="auto"/>
              </w:rPr>
            </w:pPr>
          </w:p>
        </w:tc>
        <w:tc>
          <w:tcPr>
            <w:tcW w:w="4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380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Basic</w:t>
            </w:r>
          </w:p>
        </w:tc>
        <w:tc>
          <w:tcPr>
            <w:tcW w:w="50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0" w:type="dxa"/>
            <w:vAlign w:val="bottom"/>
          </w:tcPr>
          <w:p>
            <w:pPr>
              <w:spacing w:after="0"/>
              <w:rPr>
                <w:sz w:val="1"/>
                <w:szCs w:val="1"/>
                <w:color w:val="auto"/>
              </w:rPr>
            </w:pPr>
          </w:p>
        </w:tc>
      </w:tr>
      <w:tr>
        <w:trPr>
          <w:trHeight w:val="218"/>
        </w:trPr>
        <w:tc>
          <w:tcPr>
            <w:tcW w:w="3800" w:type="dxa"/>
            <w:vAlign w:val="bottom"/>
            <w:gridSpan w:val="2"/>
          </w:tcPr>
          <w:p>
            <w:pPr>
              <w:ind w:left="320"/>
              <w:spacing w:after="0"/>
              <w:rPr>
                <w:sz w:val="20"/>
                <w:szCs w:val="20"/>
                <w:color w:val="auto"/>
              </w:rPr>
            </w:pPr>
            <w:r>
              <w:rPr>
                <w:rFonts w:ascii="Arial" w:cs="Arial" w:eastAsia="Arial" w:hAnsi="Arial"/>
                <w:sz w:val="17"/>
                <w:szCs w:val="17"/>
                <w:color w:val="auto"/>
              </w:rPr>
              <w:t>Diluted</w:t>
            </w:r>
          </w:p>
        </w:tc>
        <w:tc>
          <w:tcPr>
            <w:tcW w:w="50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(1.61)</w:t>
            </w:r>
          </w:p>
        </w:tc>
        <w:tc>
          <w:tcPr>
            <w:tcW w:w="100" w:type="dxa"/>
            <w:vAlign w:val="bottom"/>
          </w:tcPr>
          <w:p>
            <w:pPr>
              <w:spacing w:after="0"/>
              <w:rPr>
                <w:sz w:val="18"/>
                <w:szCs w:val="18"/>
                <w:color w:val="auto"/>
              </w:rPr>
            </w:pP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1.09</w:t>
            </w:r>
          </w:p>
        </w:tc>
        <w:tc>
          <w:tcPr>
            <w:tcW w:w="0" w:type="dxa"/>
            <w:vAlign w:val="bottom"/>
          </w:tcPr>
          <w:p>
            <w:pPr>
              <w:spacing w:after="0"/>
              <w:rPr>
                <w:sz w:val="1"/>
                <w:szCs w:val="1"/>
                <w:color w:val="auto"/>
              </w:rPr>
            </w:pPr>
          </w:p>
        </w:tc>
      </w:tr>
      <w:tr>
        <w:trPr>
          <w:trHeight w:val="220"/>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WEIGHTED AVERAGE NUMBER OF SHARES</w:t>
            </w:r>
          </w:p>
        </w:tc>
        <w:tc>
          <w:tcPr>
            <w:tcW w:w="46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800" w:type="dxa"/>
            <w:vAlign w:val="bottom"/>
            <w:gridSpan w:val="2"/>
          </w:tcPr>
          <w:p>
            <w:pPr>
              <w:ind w:left="320"/>
              <w:spacing w:after="0"/>
              <w:rPr>
                <w:sz w:val="20"/>
                <w:szCs w:val="20"/>
                <w:color w:val="auto"/>
              </w:rPr>
            </w:pPr>
            <w:r>
              <w:rPr>
                <w:rFonts w:ascii="Arial" w:cs="Arial" w:eastAsia="Arial" w:hAnsi="Arial"/>
                <w:sz w:val="17"/>
                <w:szCs w:val="17"/>
                <w:color w:val="auto"/>
              </w:rPr>
              <w:t>Basic</w:t>
            </w:r>
          </w:p>
        </w:tc>
        <w:tc>
          <w:tcPr>
            <w:tcW w:w="4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23,646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21,149</w:t>
            </w:r>
          </w:p>
        </w:tc>
        <w:tc>
          <w:tcPr>
            <w:tcW w:w="0" w:type="dxa"/>
            <w:vAlign w:val="bottom"/>
          </w:tcPr>
          <w:p>
            <w:pPr>
              <w:spacing w:after="0"/>
              <w:rPr>
                <w:sz w:val="1"/>
                <w:szCs w:val="1"/>
                <w:color w:val="auto"/>
              </w:rPr>
            </w:pPr>
          </w:p>
        </w:tc>
      </w:tr>
      <w:tr>
        <w:trPr>
          <w:trHeight w:val="220"/>
        </w:trPr>
        <w:tc>
          <w:tcPr>
            <w:tcW w:w="380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Diluted</w:t>
            </w:r>
          </w:p>
        </w:tc>
        <w:tc>
          <w:tcPr>
            <w:tcW w:w="46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23,646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21,695</w:t>
            </w:r>
          </w:p>
        </w:tc>
        <w:tc>
          <w:tcPr>
            <w:tcW w:w="0" w:type="dxa"/>
            <w:vAlign w:val="bottom"/>
          </w:tcPr>
          <w:p>
            <w:pPr>
              <w:spacing w:after="0"/>
              <w:rPr>
                <w:sz w:val="1"/>
                <w:szCs w:val="1"/>
                <w:color w:val="auto"/>
              </w:rPr>
            </w:pPr>
          </w:p>
        </w:tc>
      </w:tr>
    </w:tbl>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95"/>
        </w:trPr>
        <w:tc>
          <w:tcPr>
            <w:tcW w:w="8400" w:type="dxa"/>
            <w:vAlign w:val="bottom"/>
            <w:gridSpan w:val="2"/>
          </w:tcPr>
          <w:p>
            <w:pPr>
              <w:spacing w:after="0"/>
              <w:rPr>
                <w:rFonts w:ascii="Arial" w:cs="Arial" w:eastAsia="Arial" w:hAnsi="Arial"/>
                <w:sz w:val="17"/>
                <w:szCs w:val="17"/>
                <w:color w:val="0000FF"/>
              </w:rPr>
            </w:pPr>
            <w:hyperlink w:anchor="page1">
              <w:r>
                <w:rPr>
                  <w:rFonts w:ascii="Arial" w:cs="Arial" w:eastAsia="Arial" w:hAnsi="Arial"/>
                  <w:sz w:val="17"/>
                  <w:szCs w:val="17"/>
                  <w:color w:val="0000FF"/>
                </w:rPr>
                <w:t>Table of Contents</w:t>
              </w:r>
            </w:hyperlink>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5"/>
        </w:trPr>
        <w:tc>
          <w:tcPr>
            <w:tcW w:w="1220" w:type="dxa"/>
            <w:vAlign w:val="bottom"/>
            <w:tcBorders>
              <w:top w:val="single" w:sz="8" w:color="0000FF"/>
            </w:tcBorders>
          </w:tcPr>
          <w:p>
            <w:pPr>
              <w:spacing w:after="0"/>
              <w:rPr>
                <w:sz w:val="24"/>
                <w:szCs w:val="24"/>
                <w:color w:val="auto"/>
              </w:rPr>
            </w:pPr>
          </w:p>
        </w:tc>
        <w:tc>
          <w:tcPr>
            <w:tcW w:w="7180" w:type="dxa"/>
            <w:vAlign w:val="bottom"/>
          </w:tcPr>
          <w:p>
            <w:pPr>
              <w:jc w:val="center"/>
              <w:ind w:left="1554"/>
              <w:spacing w:after="0"/>
              <w:rPr>
                <w:sz w:val="20"/>
                <w:szCs w:val="20"/>
                <w:color w:val="auto"/>
              </w:rPr>
            </w:pPr>
            <w:r>
              <w:rPr>
                <w:rFonts w:ascii="Arial" w:cs="Arial" w:eastAsia="Arial" w:hAnsi="Arial"/>
                <w:sz w:val="17"/>
                <w:szCs w:val="17"/>
                <w:b w:val="1"/>
                <w:bCs w:val="1"/>
                <w:color w:val="auto"/>
              </w:rPr>
              <w:t>ICU MEDICAL, INC. AND SUBSIDIARIES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220" w:type="dxa"/>
            <w:vAlign w:val="bottom"/>
          </w:tcPr>
          <w:p>
            <w:pPr>
              <w:spacing w:after="0"/>
              <w:rPr>
                <w:sz w:val="18"/>
                <w:szCs w:val="18"/>
                <w:color w:val="auto"/>
              </w:rPr>
            </w:pPr>
          </w:p>
        </w:tc>
        <w:tc>
          <w:tcPr>
            <w:tcW w:w="8660" w:type="dxa"/>
            <w:vAlign w:val="bottom"/>
            <w:gridSpan w:val="4"/>
          </w:tcPr>
          <w:p>
            <w:pPr>
              <w:jc w:val="center"/>
              <w:ind w:left="74"/>
              <w:spacing w:after="0"/>
              <w:rPr>
                <w:sz w:val="20"/>
                <w:szCs w:val="20"/>
                <w:color w:val="auto"/>
              </w:rPr>
            </w:pPr>
            <w:r>
              <w:rPr>
                <w:rFonts w:ascii="Arial" w:cs="Arial" w:eastAsia="Arial" w:hAnsi="Arial"/>
                <w:sz w:val="17"/>
                <w:szCs w:val="17"/>
                <w:b w:val="1"/>
                <w:bCs w:val="1"/>
                <w:color w:val="auto"/>
              </w:rPr>
              <w:t>CONDENSED CONSOLIDATED STATEMENTS OF COMPREHENSIVE (LOSS) INCOME (Unaudited)</w:t>
            </w: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220" w:type="dxa"/>
            <w:vAlign w:val="bottom"/>
          </w:tcPr>
          <w:p>
            <w:pPr>
              <w:spacing w:after="0"/>
              <w:rPr>
                <w:sz w:val="18"/>
                <w:szCs w:val="18"/>
                <w:color w:val="auto"/>
              </w:rPr>
            </w:pPr>
          </w:p>
        </w:tc>
        <w:tc>
          <w:tcPr>
            <w:tcW w:w="7180" w:type="dxa"/>
            <w:vAlign w:val="bottom"/>
          </w:tcPr>
          <w:p>
            <w:pPr>
              <w:jc w:val="center"/>
              <w:ind w:left="1554"/>
              <w:spacing w:after="0"/>
              <w:rPr>
                <w:sz w:val="20"/>
                <w:szCs w:val="20"/>
                <w:color w:val="auto"/>
              </w:rPr>
            </w:pPr>
            <w:r>
              <w:rPr>
                <w:rFonts w:ascii="Arial" w:cs="Arial" w:eastAsia="Arial" w:hAnsi="Arial"/>
                <w:sz w:val="17"/>
                <w:szCs w:val="17"/>
                <w:color w:val="auto"/>
                <w:w w:val="90"/>
              </w:rPr>
              <w:t>(In thousands)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1"/>
        </w:trPr>
        <w:tc>
          <w:tcPr>
            <w:tcW w:w="122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20" w:type="dxa"/>
            <w:vAlign w:val="bottom"/>
            <w:gridSpan w:val="4"/>
          </w:tcPr>
          <w:p>
            <w:pPr>
              <w:jc w:val="right"/>
              <w:ind w:right="594"/>
              <w:spacing w:after="0"/>
              <w:rPr>
                <w:sz w:val="20"/>
                <w:szCs w:val="20"/>
                <w:color w:val="auto"/>
              </w:rPr>
            </w:pPr>
            <w:r>
              <w:rPr>
                <w:rFonts w:ascii="Arial" w:cs="Arial" w:eastAsia="Arial" w:hAnsi="Arial"/>
                <w:sz w:val="17"/>
                <w:szCs w:val="17"/>
                <w:b w:val="1"/>
                <w:bCs w:val="1"/>
                <w:color w:val="auto"/>
              </w:rPr>
              <w:t>Three months ended</w:t>
            </w:r>
          </w:p>
        </w:tc>
        <w:tc>
          <w:tcPr>
            <w:tcW w:w="0" w:type="dxa"/>
            <w:vAlign w:val="bottom"/>
          </w:tcPr>
          <w:p>
            <w:pPr>
              <w:spacing w:after="0"/>
              <w:rPr>
                <w:sz w:val="1"/>
                <w:szCs w:val="1"/>
                <w:color w:val="auto"/>
              </w:rPr>
            </w:pPr>
          </w:p>
        </w:tc>
      </w:tr>
      <w:tr>
        <w:trPr>
          <w:trHeight w:val="219"/>
        </w:trPr>
        <w:tc>
          <w:tcPr>
            <w:tcW w:w="1220" w:type="dxa"/>
            <w:vAlign w:val="bottom"/>
          </w:tcPr>
          <w:p>
            <w:pPr>
              <w:spacing w:after="0"/>
              <w:rPr>
                <w:sz w:val="19"/>
                <w:szCs w:val="19"/>
                <w:color w:val="auto"/>
              </w:rPr>
            </w:pPr>
          </w:p>
        </w:tc>
        <w:tc>
          <w:tcPr>
            <w:tcW w:w="71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ind w:right="14"/>
              <w:spacing w:after="0"/>
              <w:rPr>
                <w:sz w:val="20"/>
                <w:szCs w:val="20"/>
                <w:color w:val="auto"/>
              </w:rPr>
            </w:pPr>
            <w:r>
              <w:rPr>
                <w:rFonts w:ascii="Arial" w:cs="Arial" w:eastAsia="Arial" w:hAnsi="Arial"/>
                <w:sz w:val="17"/>
                <w:szCs w:val="17"/>
                <w:b w:val="1"/>
                <w:bCs w:val="1"/>
                <w:color w:val="auto"/>
              </w:rPr>
              <w:t>March 31,</w:t>
            </w: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220" w:type="dxa"/>
            <w:vAlign w:val="bottom"/>
            <w:tcBorders>
              <w:bottom w:val="single" w:sz="8" w:color="CCEEFF"/>
            </w:tcBorders>
          </w:tcPr>
          <w:p>
            <w:pPr>
              <w:spacing w:after="0"/>
              <w:rPr>
                <w:sz w:val="18"/>
                <w:szCs w:val="18"/>
                <w:color w:val="auto"/>
              </w:rPr>
            </w:pPr>
          </w:p>
        </w:tc>
        <w:tc>
          <w:tcPr>
            <w:tcW w:w="7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212"/>
        </w:trPr>
        <w:tc>
          <w:tcPr>
            <w:tcW w:w="84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(LOSS) INCOME</w:t>
            </w: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(38,068)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23,731</w:t>
            </w:r>
          </w:p>
        </w:tc>
        <w:tc>
          <w:tcPr>
            <w:tcW w:w="0" w:type="dxa"/>
            <w:vAlign w:val="bottom"/>
          </w:tcPr>
          <w:p>
            <w:pPr>
              <w:spacing w:after="0"/>
              <w:rPr>
                <w:sz w:val="1"/>
                <w:szCs w:val="1"/>
                <w:color w:val="auto"/>
              </w:rPr>
            </w:pPr>
          </w:p>
        </w:tc>
      </w:tr>
      <w:tr>
        <w:trPr>
          <w:trHeight w:val="218"/>
        </w:trPr>
        <w:tc>
          <w:tcPr>
            <w:tcW w:w="8400" w:type="dxa"/>
            <w:vAlign w:val="bottom"/>
            <w:gridSpan w:val="2"/>
          </w:tcPr>
          <w:p>
            <w:pPr>
              <w:ind w:left="20"/>
              <w:spacing w:after="0"/>
              <w:rPr>
                <w:sz w:val="20"/>
                <w:szCs w:val="20"/>
                <w:color w:val="auto"/>
              </w:rPr>
            </w:pPr>
            <w:r>
              <w:rPr>
                <w:rFonts w:ascii="Arial" w:cs="Arial" w:eastAsia="Arial" w:hAnsi="Arial"/>
                <w:sz w:val="17"/>
                <w:szCs w:val="17"/>
                <w:color w:val="auto"/>
              </w:rPr>
              <w:t>Other comprehensive income (loss), net of tax:</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400" w:type="dxa"/>
            <w:vAlign w:val="bottom"/>
            <w:gridSpan w:val="2"/>
            <w:shd w:val="clear" w:color="auto" w:fill="CCEEFF"/>
          </w:tcPr>
          <w:p>
            <w:pPr>
              <w:ind w:left="140"/>
              <w:spacing w:after="0" w:line="169" w:lineRule="exact"/>
              <w:rPr>
                <w:sz w:val="20"/>
                <w:szCs w:val="20"/>
                <w:color w:val="auto"/>
              </w:rPr>
            </w:pPr>
            <w:r>
              <w:rPr>
                <w:rFonts w:ascii="Arial" w:cs="Arial" w:eastAsia="Arial" w:hAnsi="Arial"/>
                <w:sz w:val="17"/>
                <w:szCs w:val="17"/>
                <w:color w:val="auto"/>
                <w:w w:val="93"/>
              </w:rPr>
              <w:t>Cash flow hedge adjustments, net of tax of ($7,312) and $298 for the three months ended March 31, 2022 and 2021,</w:t>
            </w:r>
          </w:p>
        </w:tc>
        <w:tc>
          <w:tcPr>
            <w:tcW w:w="3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23,572</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(945)</w:t>
            </w:r>
          </w:p>
        </w:tc>
        <w:tc>
          <w:tcPr>
            <w:tcW w:w="0" w:type="dxa"/>
            <w:vAlign w:val="bottom"/>
          </w:tcPr>
          <w:p>
            <w:pPr>
              <w:spacing w:after="0"/>
              <w:rPr>
                <w:sz w:val="1"/>
                <w:szCs w:val="1"/>
                <w:color w:val="auto"/>
              </w:rPr>
            </w:pPr>
          </w:p>
        </w:tc>
      </w:tr>
      <w:tr>
        <w:trPr>
          <w:trHeight w:val="219"/>
        </w:trPr>
        <w:tc>
          <w:tcPr>
            <w:tcW w:w="84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respectively</w:t>
            </w:r>
          </w:p>
        </w:tc>
        <w:tc>
          <w:tcPr>
            <w:tcW w:w="32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400" w:type="dxa"/>
            <w:vAlign w:val="bottom"/>
            <w:gridSpan w:val="2"/>
          </w:tcPr>
          <w:p>
            <w:pPr>
              <w:ind w:left="140"/>
              <w:spacing w:after="0"/>
              <w:rPr>
                <w:sz w:val="20"/>
                <w:szCs w:val="20"/>
                <w:color w:val="auto"/>
              </w:rPr>
            </w:pPr>
            <w:r>
              <w:rPr>
                <w:rFonts w:ascii="Arial" w:cs="Arial" w:eastAsia="Arial" w:hAnsi="Arial"/>
                <w:sz w:val="17"/>
                <w:szCs w:val="17"/>
                <w:color w:val="auto"/>
              </w:rPr>
              <w:t>Foreign currency translation adjustment, net of tax of $0 for all periods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(4,946)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(7,458)</w:t>
            </w:r>
          </w:p>
        </w:tc>
        <w:tc>
          <w:tcPr>
            <w:tcW w:w="0" w:type="dxa"/>
            <w:vAlign w:val="bottom"/>
          </w:tcPr>
          <w:p>
            <w:pPr>
              <w:spacing w:after="0"/>
              <w:rPr>
                <w:sz w:val="1"/>
                <w:szCs w:val="1"/>
                <w:color w:val="auto"/>
              </w:rPr>
            </w:pPr>
          </w:p>
        </w:tc>
      </w:tr>
      <w:tr>
        <w:trPr>
          <w:trHeight w:val="220"/>
        </w:trPr>
        <w:tc>
          <w:tcPr>
            <w:tcW w:w="84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Other adjustments, net of tax of $0 for all periods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11"/>
        </w:trPr>
        <w:tc>
          <w:tcPr>
            <w:tcW w:w="84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Other comprehensive income (loss), net of tax</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18,641</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(8,391)</w:t>
            </w:r>
          </w:p>
        </w:tc>
        <w:tc>
          <w:tcPr>
            <w:tcW w:w="0" w:type="dxa"/>
            <w:vAlign w:val="bottom"/>
          </w:tcPr>
          <w:p>
            <w:pPr>
              <w:spacing w:after="0"/>
              <w:rPr>
                <w:sz w:val="1"/>
                <w:szCs w:val="1"/>
                <w:color w:val="auto"/>
              </w:rPr>
            </w:pPr>
          </w:p>
        </w:tc>
      </w:tr>
      <w:tr>
        <w:trPr>
          <w:trHeight w:val="238"/>
        </w:trPr>
        <w:tc>
          <w:tcPr>
            <w:tcW w:w="8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COMPREHENSIVE (LOSS) INCOME</w:t>
            </w: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(19,427)</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15,340</w:t>
            </w:r>
          </w:p>
        </w:tc>
        <w:tc>
          <w:tcPr>
            <w:tcW w:w="0" w:type="dxa"/>
            <w:vAlign w:val="bottom"/>
          </w:tcPr>
          <w:p>
            <w:pPr>
              <w:spacing w:after="0"/>
              <w:rPr>
                <w:sz w:val="1"/>
                <w:szCs w:val="1"/>
                <w:color w:val="auto"/>
              </w:rPr>
            </w:pP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7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ICU MEDICAL,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STATEMENTS OF STOCKHOLDERS’ EQUITY (Unaudited)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(Amounts in thousands)</w:t>
      </w:r>
    </w:p>
    <w:p>
      <w:pPr>
        <w:spacing w:after="0" w:line="200" w:lineRule="exact"/>
        <w:rPr>
          <w:sz w:val="20"/>
          <w:szCs w:val="20"/>
          <w:color w:val="auto"/>
        </w:rPr>
      </w:pPr>
    </w:p>
    <w:p>
      <w:pPr>
        <w:spacing w:after="0" w:line="31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Additional</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Accumulated</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440" w:type="dxa"/>
            <w:vAlign w:val="bottom"/>
          </w:tcPr>
          <w:p>
            <w:pPr>
              <w:spacing w:after="0"/>
              <w:rPr>
                <w:sz w:val="11"/>
                <w:szCs w:val="11"/>
                <w:color w:val="auto"/>
              </w:rPr>
            </w:pPr>
          </w:p>
        </w:tc>
        <w:tc>
          <w:tcPr>
            <w:tcW w:w="1620" w:type="dxa"/>
            <w:vAlign w:val="bottom"/>
            <w:gridSpan w:val="4"/>
            <w:vMerge w:val="restart"/>
          </w:tcPr>
          <w:p>
            <w:pPr>
              <w:jc w:val="right"/>
              <w:ind w:right="291"/>
              <w:spacing w:after="0"/>
              <w:rPr>
                <w:sz w:val="20"/>
                <w:szCs w:val="20"/>
                <w:color w:val="auto"/>
              </w:rPr>
            </w:pPr>
            <w:r>
              <w:rPr>
                <w:rFonts w:ascii="Arial" w:cs="Arial" w:eastAsia="Arial" w:hAnsi="Arial"/>
                <w:sz w:val="14"/>
                <w:szCs w:val="14"/>
                <w:b w:val="1"/>
                <w:bCs w:val="1"/>
                <w:color w:val="auto"/>
              </w:rPr>
              <w:t>Common Stock</w:t>
            </w:r>
          </w:p>
        </w:tc>
        <w:tc>
          <w:tcPr>
            <w:tcW w:w="8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90"/>
              </w:rPr>
              <w:t>Other</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4440" w:type="dxa"/>
            <w:vAlign w:val="bottom"/>
          </w:tcPr>
          <w:p>
            <w:pPr>
              <w:spacing w:after="0"/>
              <w:rPr>
                <w:sz w:val="8"/>
                <w:szCs w:val="8"/>
                <w:color w:val="auto"/>
              </w:rPr>
            </w:pPr>
          </w:p>
        </w:tc>
        <w:tc>
          <w:tcPr>
            <w:tcW w:w="162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gridSpan w:val="2"/>
          </w:tcPr>
          <w:p>
            <w:pPr>
              <w:jc w:val="center"/>
              <w:ind w:right="200"/>
              <w:spacing w:after="0" w:line="97" w:lineRule="exact"/>
              <w:rPr>
                <w:sz w:val="20"/>
                <w:szCs w:val="20"/>
                <w:color w:val="auto"/>
              </w:rPr>
            </w:pPr>
            <w:r>
              <w:rPr>
                <w:rFonts w:ascii="Arial" w:cs="Arial" w:eastAsia="Arial" w:hAnsi="Arial"/>
                <w:sz w:val="11"/>
                <w:szCs w:val="11"/>
                <w:b w:val="1"/>
                <w:bCs w:val="1"/>
                <w:color w:val="auto"/>
              </w:rPr>
              <w:t>Paid-in</w:t>
            </w:r>
          </w:p>
        </w:tc>
        <w:tc>
          <w:tcPr>
            <w:tcW w:w="140" w:type="dxa"/>
            <w:vAlign w:val="bottom"/>
          </w:tcPr>
          <w:p>
            <w:pPr>
              <w:spacing w:after="0"/>
              <w:rPr>
                <w:sz w:val="8"/>
                <w:szCs w:val="8"/>
                <w:color w:val="auto"/>
              </w:rPr>
            </w:pPr>
          </w:p>
        </w:tc>
        <w:tc>
          <w:tcPr>
            <w:tcW w:w="800" w:type="dxa"/>
            <w:vAlign w:val="bottom"/>
            <w:gridSpan w:val="2"/>
          </w:tcPr>
          <w:p>
            <w:pPr>
              <w:jc w:val="right"/>
              <w:ind w:right="200"/>
              <w:spacing w:after="0" w:line="97" w:lineRule="exact"/>
              <w:rPr>
                <w:sz w:val="20"/>
                <w:szCs w:val="20"/>
                <w:color w:val="auto"/>
              </w:rPr>
            </w:pPr>
            <w:r>
              <w:rPr>
                <w:rFonts w:ascii="Arial" w:cs="Arial" w:eastAsia="Arial" w:hAnsi="Arial"/>
                <w:sz w:val="11"/>
                <w:szCs w:val="11"/>
                <w:b w:val="1"/>
                <w:bCs w:val="1"/>
                <w:color w:val="auto"/>
              </w:rPr>
              <w:t>Treasury</w:t>
            </w: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gridSpan w:val="2"/>
          </w:tcPr>
          <w:p>
            <w:pPr>
              <w:ind w:left="60"/>
              <w:spacing w:after="0" w:line="97" w:lineRule="exact"/>
              <w:rPr>
                <w:sz w:val="20"/>
                <w:szCs w:val="20"/>
                <w:color w:val="auto"/>
              </w:rPr>
            </w:pPr>
            <w:r>
              <w:rPr>
                <w:rFonts w:ascii="Arial" w:cs="Arial" w:eastAsia="Arial" w:hAnsi="Arial"/>
                <w:sz w:val="11"/>
                <w:szCs w:val="11"/>
                <w:b w:val="1"/>
                <w:bCs w:val="1"/>
                <w:color w:val="auto"/>
              </w:rPr>
              <w:t>Retained</w:t>
            </w:r>
          </w:p>
        </w:tc>
        <w:tc>
          <w:tcPr>
            <w:tcW w:w="100" w:type="dxa"/>
            <w:vAlign w:val="bottom"/>
          </w:tcPr>
          <w:p>
            <w:pPr>
              <w:spacing w:after="0"/>
              <w:rPr>
                <w:sz w:val="8"/>
                <w:szCs w:val="8"/>
                <w:color w:val="auto"/>
              </w:rPr>
            </w:pPr>
          </w:p>
        </w:tc>
        <w:tc>
          <w:tcPr>
            <w:tcW w:w="1100" w:type="dxa"/>
            <w:vAlign w:val="bottom"/>
            <w:gridSpan w:val="2"/>
          </w:tcPr>
          <w:p>
            <w:pPr>
              <w:jc w:val="center"/>
              <w:ind w:right="160"/>
              <w:spacing w:after="0" w:line="97" w:lineRule="exact"/>
              <w:rPr>
                <w:sz w:val="20"/>
                <w:szCs w:val="20"/>
                <w:color w:val="auto"/>
              </w:rPr>
            </w:pPr>
            <w:r>
              <w:rPr>
                <w:rFonts w:ascii="Arial" w:cs="Arial" w:eastAsia="Arial" w:hAnsi="Arial"/>
                <w:sz w:val="11"/>
                <w:szCs w:val="11"/>
                <w:b w:val="1"/>
                <w:bCs w:val="1"/>
                <w:color w:val="auto"/>
              </w:rPr>
              <w:t>Comprehensive</w:t>
            </w: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4440" w:type="dxa"/>
            <w:vAlign w:val="bottom"/>
          </w:tcPr>
          <w:p>
            <w:pPr>
              <w:spacing w:after="0"/>
              <w:rPr>
                <w:sz w:val="16"/>
                <w:szCs w:val="16"/>
                <w:color w:val="auto"/>
              </w:rPr>
            </w:pPr>
          </w:p>
        </w:tc>
        <w:tc>
          <w:tcPr>
            <w:tcW w:w="1000" w:type="dxa"/>
            <w:vAlign w:val="bottom"/>
            <w:gridSpan w:val="2"/>
          </w:tcPr>
          <w:p>
            <w:pPr>
              <w:ind w:left="260"/>
              <w:spacing w:after="0"/>
              <w:rPr>
                <w:sz w:val="20"/>
                <w:szCs w:val="20"/>
                <w:color w:val="auto"/>
              </w:rPr>
            </w:pPr>
            <w:r>
              <w:rPr>
                <w:rFonts w:ascii="Arial" w:cs="Arial" w:eastAsia="Arial" w:hAnsi="Arial"/>
                <w:sz w:val="14"/>
                <w:szCs w:val="14"/>
                <w:b w:val="1"/>
                <w:bCs w:val="1"/>
                <w:color w:val="auto"/>
              </w:rPr>
              <w:t>Shares</w:t>
            </w:r>
          </w:p>
        </w:tc>
        <w:tc>
          <w:tcPr>
            <w:tcW w:w="70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6"/>
                <w:szCs w:val="16"/>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Capital</w:t>
            </w:r>
          </w:p>
        </w:tc>
        <w:tc>
          <w:tcPr>
            <w:tcW w:w="140" w:type="dxa"/>
            <w:vAlign w:val="bottom"/>
          </w:tcPr>
          <w:p>
            <w:pPr>
              <w:spacing w:after="0"/>
              <w:rPr>
                <w:sz w:val="16"/>
                <w:szCs w:val="16"/>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Stock</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6"/>
                <w:szCs w:val="16"/>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(Loss) Income</w:t>
            </w:r>
          </w:p>
        </w:tc>
        <w:tc>
          <w:tcPr>
            <w:tcW w:w="160" w:type="dxa"/>
            <w:vAlign w:val="bottom"/>
          </w:tcPr>
          <w:p>
            <w:pPr>
              <w:spacing w:after="0"/>
              <w:rPr>
                <w:sz w:val="16"/>
                <w:szCs w:val="16"/>
                <w:color w:val="auto"/>
              </w:rPr>
            </w:pPr>
          </w:p>
        </w:tc>
        <w:tc>
          <w:tcPr>
            <w:tcW w:w="680" w:type="dxa"/>
            <w:vAlign w:val="bottom"/>
          </w:tcPr>
          <w:p>
            <w:pPr>
              <w:jc w:val="right"/>
              <w:ind w:right="2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4"/>
        </w:trPr>
        <w:tc>
          <w:tcPr>
            <w:tcW w:w="444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4"/>
                <w:szCs w:val="14"/>
                <w:b w:val="1"/>
                <w:bCs w:val="1"/>
                <w:color w:val="auto"/>
              </w:rPr>
              <w:t>Balance, January 1, 2022</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21,280</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2,128</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721,412</w:t>
            </w: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(27)</w:t>
            </w: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911,787</w:t>
            </w: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(19,269)</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1,616,031</w:t>
            </w:r>
          </w:p>
        </w:tc>
        <w:tc>
          <w:tcPr>
            <w:tcW w:w="0" w:type="dxa"/>
            <w:vAlign w:val="bottom"/>
          </w:tcPr>
          <w:p>
            <w:pPr>
              <w:spacing w:after="0"/>
              <w:rPr>
                <w:sz w:val="1"/>
                <w:szCs w:val="1"/>
                <w:color w:val="auto"/>
              </w:rPr>
            </w:pPr>
          </w:p>
        </w:tc>
      </w:tr>
      <w:tr>
        <w:trPr>
          <w:trHeight w:val="177"/>
        </w:trPr>
        <w:tc>
          <w:tcPr>
            <w:tcW w:w="4440" w:type="dxa"/>
            <w:vAlign w:val="bottom"/>
          </w:tcPr>
          <w:p>
            <w:pPr>
              <w:ind w:left="20"/>
              <w:spacing w:after="0"/>
              <w:rPr>
                <w:sz w:val="20"/>
                <w:szCs w:val="20"/>
                <w:color w:val="auto"/>
              </w:rPr>
            </w:pPr>
            <w:r>
              <w:rPr>
                <w:rFonts w:ascii="Arial" w:cs="Arial" w:eastAsia="Arial" w:hAnsi="Arial"/>
                <w:sz w:val="14"/>
                <w:szCs w:val="14"/>
                <w:color w:val="auto"/>
              </w:rPr>
              <w:t>Issuance of restricted stock and exercise of stock options</w:t>
            </w:r>
          </w:p>
        </w:tc>
        <w:tc>
          <w:tcPr>
            <w:tcW w:w="900" w:type="dxa"/>
            <w:vAlign w:val="bottom"/>
          </w:tcPr>
          <w:p>
            <w:pPr>
              <w:jc w:val="right"/>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(2,965)</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5,927</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2,974</w:t>
            </w:r>
          </w:p>
        </w:tc>
        <w:tc>
          <w:tcPr>
            <w:tcW w:w="0" w:type="dxa"/>
            <w:vAlign w:val="bottom"/>
          </w:tcPr>
          <w:p>
            <w:pPr>
              <w:spacing w:after="0"/>
              <w:rPr>
                <w:sz w:val="1"/>
                <w:szCs w:val="1"/>
                <w:color w:val="auto"/>
              </w:rPr>
            </w:pPr>
          </w:p>
        </w:tc>
      </w:tr>
      <w:tr>
        <w:trPr>
          <w:trHeight w:val="184"/>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5"/>
              </w:rPr>
              <w:t>Tax withholding payments related to net share settlement of equity awards</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(8,743)</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(8,743)</w:t>
            </w:r>
          </w:p>
        </w:tc>
        <w:tc>
          <w:tcPr>
            <w:tcW w:w="0" w:type="dxa"/>
            <w:vAlign w:val="bottom"/>
          </w:tcPr>
          <w:p>
            <w:pPr>
              <w:spacing w:after="0"/>
              <w:rPr>
                <w:sz w:val="1"/>
                <w:szCs w:val="1"/>
                <w:color w:val="auto"/>
              </w:rPr>
            </w:pPr>
          </w:p>
        </w:tc>
      </w:tr>
      <w:tr>
        <w:trPr>
          <w:trHeight w:val="177"/>
        </w:trPr>
        <w:tc>
          <w:tcPr>
            <w:tcW w:w="4440" w:type="dxa"/>
            <w:vAlign w:val="bottom"/>
          </w:tcPr>
          <w:p>
            <w:pPr>
              <w:ind w:left="20"/>
              <w:spacing w:after="0"/>
              <w:rPr>
                <w:sz w:val="20"/>
                <w:szCs w:val="20"/>
                <w:color w:val="auto"/>
              </w:rPr>
            </w:pPr>
            <w:r>
              <w:rPr>
                <w:rFonts w:ascii="Arial" w:cs="Arial" w:eastAsia="Arial" w:hAnsi="Arial"/>
                <w:sz w:val="14"/>
                <w:szCs w:val="14"/>
                <w:color w:val="auto"/>
              </w:rPr>
              <w:t>Issuance of common stock for acquisitions</w:t>
            </w:r>
          </w:p>
        </w:tc>
        <w:tc>
          <w:tcPr>
            <w:tcW w:w="900" w:type="dxa"/>
            <w:vAlign w:val="bottom"/>
          </w:tcPr>
          <w:p>
            <w:pPr>
              <w:jc w:val="right"/>
              <w:spacing w:after="0"/>
              <w:rPr>
                <w:sz w:val="20"/>
                <w:szCs w:val="20"/>
                <w:color w:val="auto"/>
              </w:rPr>
            </w:pPr>
            <w:r>
              <w:rPr>
                <w:rFonts w:ascii="Arial" w:cs="Arial" w:eastAsia="Arial" w:hAnsi="Arial"/>
                <w:sz w:val="14"/>
                <w:szCs w:val="14"/>
                <w:color w:val="auto"/>
              </w:rPr>
              <w:t>2,500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250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575,725</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575,975</w:t>
            </w:r>
          </w:p>
        </w:tc>
        <w:tc>
          <w:tcPr>
            <w:tcW w:w="0" w:type="dxa"/>
            <w:vAlign w:val="bottom"/>
          </w:tcPr>
          <w:p>
            <w:pPr>
              <w:spacing w:after="0"/>
              <w:rPr>
                <w:sz w:val="1"/>
                <w:szCs w:val="1"/>
                <w:color w:val="auto"/>
              </w:rPr>
            </w:pPr>
          </w:p>
        </w:tc>
      </w:tr>
      <w:tr>
        <w:trPr>
          <w:trHeight w:val="184"/>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compensation</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12,092</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12,092</w:t>
            </w:r>
          </w:p>
        </w:tc>
        <w:tc>
          <w:tcPr>
            <w:tcW w:w="0" w:type="dxa"/>
            <w:vAlign w:val="bottom"/>
          </w:tcPr>
          <w:p>
            <w:pPr>
              <w:spacing w:after="0"/>
              <w:rPr>
                <w:sz w:val="1"/>
                <w:szCs w:val="1"/>
                <w:color w:val="auto"/>
              </w:rPr>
            </w:pPr>
          </w:p>
        </w:tc>
      </w:tr>
      <w:tr>
        <w:trPr>
          <w:trHeight w:val="177"/>
        </w:trPr>
        <w:tc>
          <w:tcPr>
            <w:tcW w:w="4440" w:type="dxa"/>
            <w:vAlign w:val="bottom"/>
          </w:tcPr>
          <w:p>
            <w:pPr>
              <w:ind w:left="20"/>
              <w:spacing w:after="0"/>
              <w:rPr>
                <w:sz w:val="20"/>
                <w:szCs w:val="20"/>
                <w:color w:val="auto"/>
              </w:rPr>
            </w:pPr>
            <w:r>
              <w:rPr>
                <w:rFonts w:ascii="Arial" w:cs="Arial" w:eastAsia="Arial" w:hAnsi="Arial"/>
                <w:sz w:val="14"/>
                <w:szCs w:val="14"/>
                <w:color w:val="auto"/>
              </w:rPr>
              <w:t>Other comprehensive income, net of tax</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18,641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18,641</w:t>
            </w:r>
          </w:p>
        </w:tc>
        <w:tc>
          <w:tcPr>
            <w:tcW w:w="0" w:type="dxa"/>
            <w:vAlign w:val="bottom"/>
          </w:tcPr>
          <w:p>
            <w:pPr>
              <w:spacing w:after="0"/>
              <w:rPr>
                <w:sz w:val="1"/>
                <w:szCs w:val="1"/>
                <w:color w:val="auto"/>
              </w:rPr>
            </w:pPr>
          </w:p>
        </w:tc>
      </w:tr>
      <w:tr>
        <w:trPr>
          <w:trHeight w:val="184"/>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(38,068)</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(38,068)</w:t>
            </w:r>
          </w:p>
        </w:tc>
        <w:tc>
          <w:tcPr>
            <w:tcW w:w="0" w:type="dxa"/>
            <w:vAlign w:val="bottom"/>
          </w:tcPr>
          <w:p>
            <w:pPr>
              <w:spacing w:after="0"/>
              <w:rPr>
                <w:sz w:val="1"/>
                <w:szCs w:val="1"/>
                <w:color w:val="auto"/>
              </w:rPr>
            </w:pPr>
          </w:p>
        </w:tc>
      </w:tr>
      <w:tr>
        <w:trPr>
          <w:trHeight w:val="171"/>
        </w:trPr>
        <w:tc>
          <w:tcPr>
            <w:tcW w:w="4440" w:type="dxa"/>
            <w:vAlign w:val="bottom"/>
          </w:tcPr>
          <w:p>
            <w:pPr>
              <w:ind w:left="120"/>
              <w:spacing w:after="0"/>
              <w:rPr>
                <w:sz w:val="20"/>
                <w:szCs w:val="20"/>
                <w:color w:val="auto"/>
              </w:rPr>
            </w:pPr>
            <w:r>
              <w:rPr>
                <w:rFonts w:ascii="Arial" w:cs="Arial" w:eastAsia="Arial" w:hAnsi="Arial"/>
                <w:sz w:val="14"/>
                <w:szCs w:val="14"/>
                <w:b w:val="1"/>
                <w:bCs w:val="1"/>
                <w:color w:val="auto"/>
              </w:rPr>
              <w:t>Balance, March 31, 2022</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23,897</w:t>
            </w:r>
          </w:p>
        </w:tc>
        <w:tc>
          <w:tcPr>
            <w:tcW w:w="100" w:type="dxa"/>
            <w:vAlign w:val="bottom"/>
          </w:tcPr>
          <w:p>
            <w:pPr>
              <w:spacing w:after="0"/>
              <w:rPr>
                <w:sz w:val="14"/>
                <w:szCs w:val="14"/>
                <w:color w:val="auto"/>
              </w:rPr>
            </w:pPr>
          </w:p>
        </w:tc>
        <w:tc>
          <w:tcPr>
            <w:tcW w:w="18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2,390</w:t>
            </w:r>
          </w:p>
        </w:tc>
        <w:tc>
          <w:tcPr>
            <w:tcW w:w="8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1,306,264</w:t>
            </w:r>
          </w:p>
        </w:tc>
        <w:tc>
          <w:tcPr>
            <w:tcW w:w="6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(2,843)</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873,719</w:t>
            </w:r>
          </w:p>
        </w:tc>
        <w:tc>
          <w:tcPr>
            <w:tcW w:w="6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(628)</w:t>
            </w:r>
          </w:p>
        </w:tc>
        <w:tc>
          <w:tcPr>
            <w:tcW w:w="80" w:type="dxa"/>
            <w:vAlign w:val="bottom"/>
          </w:tcPr>
          <w:p>
            <w:pPr>
              <w:spacing w:after="0"/>
              <w:rPr>
                <w:sz w:val="14"/>
                <w:szCs w:val="1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2,178,902</w:t>
            </w:r>
          </w:p>
        </w:tc>
        <w:tc>
          <w:tcPr>
            <w:tcW w:w="0" w:type="dxa"/>
            <w:vAlign w:val="bottom"/>
          </w:tcPr>
          <w:p>
            <w:pPr>
              <w:spacing w:after="0"/>
              <w:rPr>
                <w:sz w:val="1"/>
                <w:szCs w:val="1"/>
                <w:color w:val="auto"/>
              </w:rPr>
            </w:pPr>
          </w:p>
        </w:tc>
      </w:tr>
      <w:tr>
        <w:trPr>
          <w:trHeight w:val="531"/>
        </w:trPr>
        <w:tc>
          <w:tcPr>
            <w:tcW w:w="4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Additional</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Accumulated</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440" w:type="dxa"/>
            <w:vAlign w:val="bottom"/>
          </w:tcPr>
          <w:p>
            <w:pPr>
              <w:spacing w:after="0"/>
              <w:rPr>
                <w:sz w:val="11"/>
                <w:szCs w:val="11"/>
                <w:color w:val="auto"/>
              </w:rPr>
            </w:pPr>
          </w:p>
        </w:tc>
        <w:tc>
          <w:tcPr>
            <w:tcW w:w="1620" w:type="dxa"/>
            <w:vAlign w:val="bottom"/>
            <w:gridSpan w:val="4"/>
            <w:vMerge w:val="restart"/>
          </w:tcPr>
          <w:p>
            <w:pPr>
              <w:jc w:val="right"/>
              <w:ind w:right="291"/>
              <w:spacing w:after="0"/>
              <w:rPr>
                <w:sz w:val="20"/>
                <w:szCs w:val="20"/>
                <w:color w:val="auto"/>
              </w:rPr>
            </w:pPr>
            <w:r>
              <w:rPr>
                <w:rFonts w:ascii="Arial" w:cs="Arial" w:eastAsia="Arial" w:hAnsi="Arial"/>
                <w:sz w:val="14"/>
                <w:szCs w:val="14"/>
                <w:b w:val="1"/>
                <w:bCs w:val="1"/>
                <w:color w:val="auto"/>
              </w:rPr>
              <w:t>Common Stock</w:t>
            </w:r>
          </w:p>
        </w:tc>
        <w:tc>
          <w:tcPr>
            <w:tcW w:w="8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90"/>
              </w:rPr>
              <w:t>Other</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4440" w:type="dxa"/>
            <w:vAlign w:val="bottom"/>
          </w:tcPr>
          <w:p>
            <w:pPr>
              <w:spacing w:after="0"/>
              <w:rPr>
                <w:sz w:val="8"/>
                <w:szCs w:val="8"/>
                <w:color w:val="auto"/>
              </w:rPr>
            </w:pPr>
          </w:p>
        </w:tc>
        <w:tc>
          <w:tcPr>
            <w:tcW w:w="162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gridSpan w:val="2"/>
          </w:tcPr>
          <w:p>
            <w:pPr>
              <w:jc w:val="center"/>
              <w:ind w:right="200"/>
              <w:spacing w:after="0" w:line="97" w:lineRule="exact"/>
              <w:rPr>
                <w:sz w:val="20"/>
                <w:szCs w:val="20"/>
                <w:color w:val="auto"/>
              </w:rPr>
            </w:pPr>
            <w:r>
              <w:rPr>
                <w:rFonts w:ascii="Arial" w:cs="Arial" w:eastAsia="Arial" w:hAnsi="Arial"/>
                <w:sz w:val="11"/>
                <w:szCs w:val="11"/>
                <w:b w:val="1"/>
                <w:bCs w:val="1"/>
                <w:color w:val="auto"/>
              </w:rPr>
              <w:t>Paid-in</w:t>
            </w:r>
          </w:p>
        </w:tc>
        <w:tc>
          <w:tcPr>
            <w:tcW w:w="140" w:type="dxa"/>
            <w:vAlign w:val="bottom"/>
          </w:tcPr>
          <w:p>
            <w:pPr>
              <w:spacing w:after="0"/>
              <w:rPr>
                <w:sz w:val="8"/>
                <w:szCs w:val="8"/>
                <w:color w:val="auto"/>
              </w:rPr>
            </w:pPr>
          </w:p>
        </w:tc>
        <w:tc>
          <w:tcPr>
            <w:tcW w:w="800" w:type="dxa"/>
            <w:vAlign w:val="bottom"/>
            <w:gridSpan w:val="2"/>
          </w:tcPr>
          <w:p>
            <w:pPr>
              <w:jc w:val="right"/>
              <w:ind w:right="220"/>
              <w:spacing w:after="0" w:line="97" w:lineRule="exact"/>
              <w:rPr>
                <w:sz w:val="20"/>
                <w:szCs w:val="20"/>
                <w:color w:val="auto"/>
              </w:rPr>
            </w:pPr>
            <w:r>
              <w:rPr>
                <w:rFonts w:ascii="Arial" w:cs="Arial" w:eastAsia="Arial" w:hAnsi="Arial"/>
                <w:sz w:val="11"/>
                <w:szCs w:val="11"/>
                <w:b w:val="1"/>
                <w:bCs w:val="1"/>
                <w:color w:val="auto"/>
              </w:rPr>
              <w:t>Treasury</w:t>
            </w: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gridSpan w:val="2"/>
          </w:tcPr>
          <w:p>
            <w:pPr>
              <w:ind w:left="20"/>
              <w:spacing w:after="0" w:line="97" w:lineRule="exact"/>
              <w:rPr>
                <w:sz w:val="20"/>
                <w:szCs w:val="20"/>
                <w:color w:val="auto"/>
              </w:rPr>
            </w:pPr>
            <w:r>
              <w:rPr>
                <w:rFonts w:ascii="Arial" w:cs="Arial" w:eastAsia="Arial" w:hAnsi="Arial"/>
                <w:sz w:val="11"/>
                <w:szCs w:val="11"/>
                <w:b w:val="1"/>
                <w:bCs w:val="1"/>
                <w:color w:val="auto"/>
              </w:rPr>
              <w:t>Retained</w:t>
            </w:r>
          </w:p>
        </w:tc>
        <w:tc>
          <w:tcPr>
            <w:tcW w:w="100" w:type="dxa"/>
            <w:vAlign w:val="bottom"/>
          </w:tcPr>
          <w:p>
            <w:pPr>
              <w:spacing w:after="0"/>
              <w:rPr>
                <w:sz w:val="8"/>
                <w:szCs w:val="8"/>
                <w:color w:val="auto"/>
              </w:rPr>
            </w:pPr>
          </w:p>
        </w:tc>
        <w:tc>
          <w:tcPr>
            <w:tcW w:w="1100" w:type="dxa"/>
            <w:vAlign w:val="bottom"/>
            <w:gridSpan w:val="2"/>
          </w:tcPr>
          <w:p>
            <w:pPr>
              <w:jc w:val="center"/>
              <w:ind w:right="160"/>
              <w:spacing w:after="0" w:line="97" w:lineRule="exact"/>
              <w:rPr>
                <w:sz w:val="20"/>
                <w:szCs w:val="20"/>
                <w:color w:val="auto"/>
              </w:rPr>
            </w:pPr>
            <w:r>
              <w:rPr>
                <w:rFonts w:ascii="Arial" w:cs="Arial" w:eastAsia="Arial" w:hAnsi="Arial"/>
                <w:sz w:val="11"/>
                <w:szCs w:val="11"/>
                <w:b w:val="1"/>
                <w:bCs w:val="1"/>
                <w:color w:val="auto"/>
              </w:rPr>
              <w:t>Comprehensive</w:t>
            </w: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4440" w:type="dxa"/>
            <w:vAlign w:val="bottom"/>
          </w:tcPr>
          <w:p>
            <w:pPr>
              <w:spacing w:after="0"/>
              <w:rPr>
                <w:sz w:val="16"/>
                <w:szCs w:val="16"/>
                <w:color w:val="auto"/>
              </w:rPr>
            </w:pPr>
          </w:p>
        </w:tc>
        <w:tc>
          <w:tcPr>
            <w:tcW w:w="1000" w:type="dxa"/>
            <w:vAlign w:val="bottom"/>
            <w:gridSpan w:val="2"/>
          </w:tcPr>
          <w:p>
            <w:pPr>
              <w:ind w:left="260"/>
              <w:spacing w:after="0"/>
              <w:rPr>
                <w:sz w:val="20"/>
                <w:szCs w:val="20"/>
                <w:color w:val="auto"/>
              </w:rPr>
            </w:pPr>
            <w:r>
              <w:rPr>
                <w:rFonts w:ascii="Arial" w:cs="Arial" w:eastAsia="Arial" w:hAnsi="Arial"/>
                <w:sz w:val="14"/>
                <w:szCs w:val="14"/>
                <w:b w:val="1"/>
                <w:bCs w:val="1"/>
                <w:color w:val="auto"/>
              </w:rPr>
              <w:t>Shares</w:t>
            </w:r>
          </w:p>
        </w:tc>
        <w:tc>
          <w:tcPr>
            <w:tcW w:w="70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6"/>
                <w:szCs w:val="16"/>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Capital</w:t>
            </w:r>
          </w:p>
        </w:tc>
        <w:tc>
          <w:tcPr>
            <w:tcW w:w="140" w:type="dxa"/>
            <w:vAlign w:val="bottom"/>
          </w:tcPr>
          <w:p>
            <w:pPr>
              <w:spacing w:after="0"/>
              <w:rPr>
                <w:sz w:val="16"/>
                <w:szCs w:val="16"/>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Stock</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6"/>
                <w:szCs w:val="16"/>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79"/>
              </w:rPr>
              <w:t>Loss</w:t>
            </w:r>
          </w:p>
        </w:tc>
        <w:tc>
          <w:tcPr>
            <w:tcW w:w="160" w:type="dxa"/>
            <w:vAlign w:val="bottom"/>
          </w:tcPr>
          <w:p>
            <w:pPr>
              <w:spacing w:after="0"/>
              <w:rPr>
                <w:sz w:val="16"/>
                <w:szCs w:val="16"/>
                <w:color w:val="auto"/>
              </w:rPr>
            </w:pPr>
          </w:p>
        </w:tc>
        <w:tc>
          <w:tcPr>
            <w:tcW w:w="680" w:type="dxa"/>
            <w:vAlign w:val="bottom"/>
          </w:tcPr>
          <w:p>
            <w:pPr>
              <w:jc w:val="right"/>
              <w:ind w:right="2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4"/>
        </w:trPr>
        <w:tc>
          <w:tcPr>
            <w:tcW w:w="444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4"/>
                <w:szCs w:val="14"/>
                <w:b w:val="1"/>
                <w:bCs w:val="1"/>
                <w:color w:val="auto"/>
              </w:rPr>
              <w:t>Balance, January 1, 2021</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21,058</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2,106</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693,068</w:t>
            </w: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(39)</w:t>
            </w: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gridSpan w:val="2"/>
            <w:shd w:val="clear" w:color="auto" w:fill="CCEEFF"/>
          </w:tcPr>
          <w:p>
            <w:pPr>
              <w:jc w:val="right"/>
              <w:ind w:right="11"/>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808,652</w:t>
            </w: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(1,522)</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1,502,265</w:t>
            </w:r>
          </w:p>
        </w:tc>
        <w:tc>
          <w:tcPr>
            <w:tcW w:w="0" w:type="dxa"/>
            <w:vAlign w:val="bottom"/>
          </w:tcPr>
          <w:p>
            <w:pPr>
              <w:spacing w:after="0"/>
              <w:rPr>
                <w:sz w:val="1"/>
                <w:szCs w:val="1"/>
                <w:color w:val="auto"/>
              </w:rPr>
            </w:pPr>
          </w:p>
        </w:tc>
      </w:tr>
      <w:tr>
        <w:trPr>
          <w:trHeight w:val="177"/>
        </w:trPr>
        <w:tc>
          <w:tcPr>
            <w:tcW w:w="4440" w:type="dxa"/>
            <w:vAlign w:val="bottom"/>
          </w:tcPr>
          <w:p>
            <w:pPr>
              <w:ind w:left="20"/>
              <w:spacing w:after="0"/>
              <w:rPr>
                <w:sz w:val="20"/>
                <w:szCs w:val="20"/>
                <w:color w:val="auto"/>
              </w:rPr>
            </w:pPr>
            <w:r>
              <w:rPr>
                <w:rFonts w:ascii="Arial" w:cs="Arial" w:eastAsia="Arial" w:hAnsi="Arial"/>
                <w:sz w:val="14"/>
                <w:szCs w:val="14"/>
                <w:color w:val="auto"/>
              </w:rPr>
              <w:t>Issuance of restricted stock and exercise of stock options</w:t>
            </w:r>
          </w:p>
        </w:tc>
        <w:tc>
          <w:tcPr>
            <w:tcW w:w="900" w:type="dxa"/>
            <w:vAlign w:val="bottom"/>
          </w:tcPr>
          <w:p>
            <w:pPr>
              <w:jc w:val="right"/>
              <w:spacing w:after="0"/>
              <w:rPr>
                <w:sz w:val="20"/>
                <w:szCs w:val="20"/>
                <w:color w:val="auto"/>
              </w:rPr>
            </w:pPr>
            <w:r>
              <w:rPr>
                <w:rFonts w:ascii="Arial" w:cs="Arial" w:eastAsia="Arial" w:hAnsi="Arial"/>
                <w:sz w:val="14"/>
                <w:szCs w:val="14"/>
                <w:color w:val="auto"/>
              </w:rPr>
              <w:t>198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2,496</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2,352</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4,864</w:t>
            </w:r>
          </w:p>
        </w:tc>
        <w:tc>
          <w:tcPr>
            <w:tcW w:w="0" w:type="dxa"/>
            <w:vAlign w:val="bottom"/>
          </w:tcPr>
          <w:p>
            <w:pPr>
              <w:spacing w:after="0"/>
              <w:rPr>
                <w:sz w:val="1"/>
                <w:szCs w:val="1"/>
                <w:color w:val="auto"/>
              </w:rPr>
            </w:pPr>
          </w:p>
        </w:tc>
      </w:tr>
      <w:tr>
        <w:trPr>
          <w:trHeight w:val="184"/>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5"/>
              </w:rPr>
              <w:t>Tax withholding payments related to net share settlement of equity awards</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(7,723)</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(7,723)</w:t>
            </w:r>
          </w:p>
        </w:tc>
        <w:tc>
          <w:tcPr>
            <w:tcW w:w="0" w:type="dxa"/>
            <w:vAlign w:val="bottom"/>
          </w:tcPr>
          <w:p>
            <w:pPr>
              <w:spacing w:after="0"/>
              <w:rPr>
                <w:sz w:val="1"/>
                <w:szCs w:val="1"/>
                <w:color w:val="auto"/>
              </w:rPr>
            </w:pPr>
          </w:p>
        </w:tc>
      </w:tr>
      <w:tr>
        <w:trPr>
          <w:trHeight w:val="177"/>
        </w:trPr>
        <w:tc>
          <w:tcPr>
            <w:tcW w:w="4440" w:type="dxa"/>
            <w:vAlign w:val="bottom"/>
          </w:tcPr>
          <w:p>
            <w:pPr>
              <w:ind w:left="20"/>
              <w:spacing w:after="0"/>
              <w:rPr>
                <w:sz w:val="20"/>
                <w:szCs w:val="20"/>
                <w:color w:val="auto"/>
              </w:rPr>
            </w:pPr>
            <w:r>
              <w:rPr>
                <w:rFonts w:ascii="Arial" w:cs="Arial" w:eastAsia="Arial" w:hAnsi="Arial"/>
                <w:sz w:val="14"/>
                <w:szCs w:val="14"/>
                <w:color w:val="auto"/>
              </w:rPr>
              <w:t>Stock compensation</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6,022</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6,022</w:t>
            </w:r>
          </w:p>
        </w:tc>
        <w:tc>
          <w:tcPr>
            <w:tcW w:w="0" w:type="dxa"/>
            <w:vAlign w:val="bottom"/>
          </w:tcPr>
          <w:p>
            <w:pPr>
              <w:spacing w:after="0"/>
              <w:rPr>
                <w:sz w:val="1"/>
                <w:szCs w:val="1"/>
                <w:color w:val="auto"/>
              </w:rPr>
            </w:pPr>
          </w:p>
        </w:tc>
      </w:tr>
      <w:tr>
        <w:trPr>
          <w:trHeight w:val="184"/>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 net of tax</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(8,391)</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(8,391)</w:t>
            </w:r>
          </w:p>
        </w:tc>
        <w:tc>
          <w:tcPr>
            <w:tcW w:w="0" w:type="dxa"/>
            <w:vAlign w:val="bottom"/>
          </w:tcPr>
          <w:p>
            <w:pPr>
              <w:spacing w:after="0"/>
              <w:rPr>
                <w:sz w:val="1"/>
                <w:szCs w:val="1"/>
                <w:color w:val="auto"/>
              </w:rPr>
            </w:pPr>
          </w:p>
        </w:tc>
      </w:tr>
      <w:tr>
        <w:trPr>
          <w:trHeight w:val="177"/>
        </w:trPr>
        <w:tc>
          <w:tcPr>
            <w:tcW w:w="44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23,731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23,731</w:t>
            </w:r>
          </w:p>
        </w:tc>
        <w:tc>
          <w:tcPr>
            <w:tcW w:w="0" w:type="dxa"/>
            <w:vAlign w:val="bottom"/>
          </w:tcPr>
          <w:p>
            <w:pPr>
              <w:spacing w:after="0"/>
              <w:rPr>
                <w:sz w:val="1"/>
                <w:szCs w:val="1"/>
                <w:color w:val="auto"/>
              </w:rPr>
            </w:pPr>
          </w:p>
        </w:tc>
      </w:tr>
      <w:tr>
        <w:trPr>
          <w:trHeight w:val="176"/>
        </w:trPr>
        <w:tc>
          <w:tcPr>
            <w:tcW w:w="444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4"/>
                <w:szCs w:val="14"/>
                <w:b w:val="1"/>
                <w:bCs w:val="1"/>
                <w:color w:val="auto"/>
              </w:rPr>
              <w:t>Balance, March 31, 2021</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21,219</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2,122</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701,586</w:t>
            </w: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(5,410)</w:t>
            </w: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gridSpan w:val="2"/>
            <w:shd w:val="clear" w:color="auto" w:fill="CCEEFF"/>
          </w:tcPr>
          <w:p>
            <w:pPr>
              <w:jc w:val="right"/>
              <w:ind w:right="11"/>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832,383</w:t>
            </w: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(9,913)</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1,520,768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ICU MEDICAL,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STATEMENTS OF CASH FLOWS (Unaudited)</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(In thousands)</w:t>
      </w:r>
    </w:p>
    <w:p>
      <w:pPr>
        <w:spacing w:after="0" w:line="349" w:lineRule="exact"/>
        <w:rPr>
          <w:sz w:val="20"/>
          <w:szCs w:val="20"/>
          <w:color w:val="auto"/>
        </w:rPr>
      </w:pPr>
    </w:p>
    <w:p>
      <w:pPr>
        <w:ind w:left="9140"/>
        <w:spacing w:after="0"/>
        <w:rPr>
          <w:sz w:val="20"/>
          <w:szCs w:val="20"/>
          <w:color w:val="auto"/>
        </w:rPr>
      </w:pPr>
      <w:r>
        <w:rPr>
          <w:rFonts w:ascii="Arial" w:cs="Arial" w:eastAsia="Arial" w:hAnsi="Arial"/>
          <w:sz w:val="14"/>
          <w:szCs w:val="14"/>
          <w:b w:val="1"/>
          <w:bCs w:val="1"/>
          <w:color w:val="auto"/>
        </w:rPr>
        <w:t>Three months ended</w:t>
      </w:r>
    </w:p>
    <w:p>
      <w:pPr>
        <w:ind w:left="9440"/>
        <w:spacing w:after="0"/>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24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r>
      <w:tr>
        <w:trPr>
          <w:trHeight w:val="174"/>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77"/>
        </w:trPr>
        <w:tc>
          <w:tcPr>
            <w:tcW w:w="8240" w:type="dxa"/>
            <w:vAlign w:val="bottom"/>
          </w:tcPr>
          <w:p>
            <w:pPr>
              <w:ind w:left="20"/>
              <w:spacing w:after="0"/>
              <w:rPr>
                <w:sz w:val="20"/>
                <w:szCs w:val="20"/>
                <w:color w:val="auto"/>
              </w:rPr>
            </w:pPr>
            <w:r>
              <w:rPr>
                <w:rFonts w:ascii="Arial" w:cs="Arial" w:eastAsia="Arial" w:hAnsi="Arial"/>
                <w:sz w:val="14"/>
                <w:szCs w:val="14"/>
                <w:color w:val="auto"/>
              </w:rPr>
              <w:t>Net (loss) income</w:t>
            </w:r>
          </w:p>
        </w:tc>
        <w:tc>
          <w:tcPr>
            <w:tcW w:w="340" w:type="dxa"/>
            <w:vAlign w:val="bottom"/>
          </w:tcPr>
          <w:p>
            <w:pPr>
              <w:jc w:val="right"/>
              <w:ind w:right="171"/>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(38,068)</w:t>
            </w:r>
          </w:p>
        </w:tc>
        <w:tc>
          <w:tcPr>
            <w:tcW w:w="100" w:type="dxa"/>
            <w:vAlign w:val="bottom"/>
          </w:tcPr>
          <w:p>
            <w:pPr>
              <w:spacing w:after="0"/>
              <w:rPr>
                <w:sz w:val="15"/>
                <w:szCs w:val="15"/>
                <w:color w:val="auto"/>
              </w:rPr>
            </w:pPr>
          </w:p>
        </w:tc>
        <w:tc>
          <w:tcPr>
            <w:tcW w:w="340" w:type="dxa"/>
            <w:vAlign w:val="bottom"/>
          </w:tcPr>
          <w:p>
            <w:pPr>
              <w:jc w:val="right"/>
              <w:ind w:right="191"/>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23,731</w:t>
            </w:r>
          </w:p>
        </w:tc>
      </w:tr>
      <w:tr>
        <w:trPr>
          <w:trHeight w:val="184"/>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income to net cash (used in) provided by operating activities: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77"/>
        </w:trPr>
        <w:tc>
          <w:tcPr>
            <w:tcW w:w="8240" w:type="dxa"/>
            <w:vAlign w:val="bottom"/>
          </w:tcPr>
          <w:p>
            <w:pPr>
              <w:ind w:left="120"/>
              <w:spacing w:after="0"/>
              <w:rPr>
                <w:sz w:val="20"/>
                <w:szCs w:val="20"/>
                <w:color w:val="auto"/>
              </w:rPr>
            </w:pPr>
            <w:r>
              <w:rPr>
                <w:rFonts w:ascii="Arial" w:cs="Arial" w:eastAsia="Arial" w:hAnsi="Arial"/>
                <w:sz w:val="14"/>
                <w:szCs w:val="14"/>
                <w:color w:val="auto"/>
              </w:rPr>
              <w:t>Depreciation and amortization</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53,138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22,155</w:t>
            </w:r>
          </w:p>
        </w:tc>
      </w:tr>
      <w:tr>
        <w:trPr>
          <w:trHeight w:val="184"/>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Amortization of inventory step-up</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14,370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7"/>
        </w:trPr>
        <w:tc>
          <w:tcPr>
            <w:tcW w:w="8240" w:type="dxa"/>
            <w:vAlign w:val="bottom"/>
          </w:tcPr>
          <w:p>
            <w:pPr>
              <w:ind w:left="120"/>
              <w:spacing w:after="0"/>
              <w:rPr>
                <w:sz w:val="20"/>
                <w:szCs w:val="20"/>
                <w:color w:val="auto"/>
              </w:rPr>
            </w:pPr>
            <w:r>
              <w:rPr>
                <w:rFonts w:ascii="Arial" w:cs="Arial" w:eastAsia="Arial" w:hAnsi="Arial"/>
                <w:sz w:val="14"/>
                <w:szCs w:val="14"/>
                <w:color w:val="auto"/>
              </w:rPr>
              <w:t>Noncash lease expense</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5,286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2,372</w:t>
            </w:r>
          </w:p>
        </w:tc>
      </w:tr>
      <w:tr>
        <w:trPr>
          <w:trHeight w:val="184"/>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Provision for doubtful accounts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7"/>
        </w:trPr>
        <w:tc>
          <w:tcPr>
            <w:tcW w:w="8240" w:type="dxa"/>
            <w:vAlign w:val="bottom"/>
          </w:tcPr>
          <w:p>
            <w:pPr>
              <w:ind w:left="120"/>
              <w:spacing w:after="0"/>
              <w:rPr>
                <w:sz w:val="20"/>
                <w:szCs w:val="20"/>
                <w:color w:val="auto"/>
              </w:rPr>
            </w:pPr>
            <w:r>
              <w:rPr>
                <w:rFonts w:ascii="Arial" w:cs="Arial" w:eastAsia="Arial" w:hAnsi="Arial"/>
                <w:sz w:val="14"/>
                <w:szCs w:val="14"/>
                <w:color w:val="auto"/>
              </w:rPr>
              <w:t>Provision for warranty and returns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726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209</w:t>
            </w:r>
          </w:p>
        </w:tc>
      </w:tr>
      <w:tr>
        <w:trPr>
          <w:trHeight w:val="184"/>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Stock compensation</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12,092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6,022</w:t>
            </w:r>
          </w:p>
        </w:tc>
      </w:tr>
      <w:tr>
        <w:trPr>
          <w:trHeight w:val="177"/>
        </w:trPr>
        <w:tc>
          <w:tcPr>
            <w:tcW w:w="8240" w:type="dxa"/>
            <w:vAlign w:val="bottom"/>
          </w:tcPr>
          <w:p>
            <w:pPr>
              <w:ind w:left="120"/>
              <w:spacing w:after="0"/>
              <w:rPr>
                <w:sz w:val="20"/>
                <w:szCs w:val="20"/>
                <w:color w:val="auto"/>
              </w:rPr>
            </w:pPr>
            <w:r>
              <w:rPr>
                <w:rFonts w:ascii="Arial" w:cs="Arial" w:eastAsia="Arial" w:hAnsi="Arial"/>
                <w:sz w:val="14"/>
                <w:szCs w:val="14"/>
                <w:color w:val="auto"/>
              </w:rPr>
              <w:t>Loss on disposal of property, plant and equipment and other assets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596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659</w:t>
            </w:r>
          </w:p>
        </w:tc>
      </w:tr>
      <w:tr>
        <w:trPr>
          <w:trHeight w:val="184"/>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Bond premium amortization</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w:t>
            </w:r>
          </w:p>
        </w:tc>
      </w:tr>
      <w:tr>
        <w:trPr>
          <w:trHeight w:val="177"/>
        </w:trPr>
        <w:tc>
          <w:tcPr>
            <w:tcW w:w="8240" w:type="dxa"/>
            <w:vAlign w:val="bottom"/>
          </w:tcPr>
          <w:p>
            <w:pPr>
              <w:ind w:left="120"/>
              <w:spacing w:after="0"/>
              <w:rPr>
                <w:sz w:val="20"/>
                <w:szCs w:val="20"/>
                <w:color w:val="auto"/>
              </w:rPr>
            </w:pPr>
            <w:r>
              <w:rPr>
                <w:rFonts w:ascii="Arial" w:cs="Arial" w:eastAsia="Arial" w:hAnsi="Arial"/>
                <w:sz w:val="14"/>
                <w:szCs w:val="14"/>
                <w:color w:val="auto"/>
              </w:rPr>
              <w:t>Debt issuance costs amortization</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1,643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72</w:t>
            </w:r>
          </w:p>
        </w:tc>
      </w:tr>
      <w:tr>
        <w:trPr>
          <w:trHeight w:val="184"/>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Usage of spare parts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2,825</w:t>
            </w:r>
          </w:p>
        </w:tc>
      </w:tr>
      <w:tr>
        <w:trPr>
          <w:trHeight w:val="177"/>
        </w:trPr>
        <w:tc>
          <w:tcPr>
            <w:tcW w:w="8240" w:type="dxa"/>
            <w:vAlign w:val="bottom"/>
          </w:tcPr>
          <w:p>
            <w:pPr>
              <w:ind w:left="120"/>
              <w:spacing w:after="0"/>
              <w:rPr>
                <w:sz w:val="20"/>
                <w:szCs w:val="20"/>
                <w:color w:val="auto"/>
              </w:rPr>
            </w:pPr>
            <w:r>
              <w:rPr>
                <w:rFonts w:ascii="Arial" w:cs="Arial" w:eastAsia="Arial" w:hAnsi="Arial"/>
                <w:sz w:val="14"/>
                <w:szCs w:val="14"/>
                <w:color w:val="auto"/>
              </w:rPr>
              <w:t>Other</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(1,649)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(1,287)</w:t>
            </w:r>
          </w:p>
        </w:tc>
      </w:tr>
      <w:tr>
        <w:trPr>
          <w:trHeight w:val="184"/>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Changes in operating assets and liabilities, net of amounts acquired:</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77"/>
        </w:trPr>
        <w:tc>
          <w:tcPr>
            <w:tcW w:w="8240" w:type="dxa"/>
            <w:vAlign w:val="bottom"/>
          </w:tcPr>
          <w:p>
            <w:pPr>
              <w:ind w:left="320"/>
              <w:spacing w:after="0"/>
              <w:rPr>
                <w:sz w:val="20"/>
                <w:szCs w:val="20"/>
                <w:color w:val="auto"/>
              </w:rPr>
            </w:pPr>
            <w:r>
              <w:rPr>
                <w:rFonts w:ascii="Arial" w:cs="Arial" w:eastAsia="Arial" w:hAnsi="Arial"/>
                <w:sz w:val="14"/>
                <w:szCs w:val="14"/>
                <w:color w:val="auto"/>
              </w:rPr>
              <w:t>Accounts receivable</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22,489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1,506</w:t>
            </w:r>
          </w:p>
        </w:tc>
      </w:tr>
      <w:tr>
        <w:trPr>
          <w:trHeight w:val="184"/>
        </w:trPr>
        <w:tc>
          <w:tcPr>
            <w:tcW w:w="82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Inventories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(36,170)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13,208</w:t>
            </w:r>
          </w:p>
        </w:tc>
      </w:tr>
      <w:tr>
        <w:trPr>
          <w:trHeight w:val="177"/>
        </w:trPr>
        <w:tc>
          <w:tcPr>
            <w:tcW w:w="8240" w:type="dxa"/>
            <w:vAlign w:val="bottom"/>
          </w:tcPr>
          <w:p>
            <w:pPr>
              <w:ind w:left="320"/>
              <w:spacing w:after="0"/>
              <w:rPr>
                <w:sz w:val="20"/>
                <w:szCs w:val="20"/>
                <w:color w:val="auto"/>
              </w:rPr>
            </w:pPr>
            <w:r>
              <w:rPr>
                <w:rFonts w:ascii="Arial" w:cs="Arial" w:eastAsia="Arial" w:hAnsi="Arial"/>
                <w:sz w:val="14"/>
                <w:szCs w:val="14"/>
                <w:color w:val="auto"/>
              </w:rPr>
              <w:t>Prepaid expenses and other current assets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2,607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(742)</w:t>
            </w:r>
          </w:p>
        </w:tc>
      </w:tr>
      <w:tr>
        <w:trPr>
          <w:trHeight w:val="184"/>
        </w:trPr>
        <w:tc>
          <w:tcPr>
            <w:tcW w:w="82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Other assets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(14,371)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(3,463)</w:t>
            </w:r>
          </w:p>
        </w:tc>
      </w:tr>
      <w:tr>
        <w:trPr>
          <w:trHeight w:val="177"/>
        </w:trPr>
        <w:tc>
          <w:tcPr>
            <w:tcW w:w="8240" w:type="dxa"/>
            <w:vAlign w:val="bottom"/>
          </w:tcPr>
          <w:p>
            <w:pPr>
              <w:ind w:left="320"/>
              <w:spacing w:after="0"/>
              <w:rPr>
                <w:sz w:val="20"/>
                <w:szCs w:val="20"/>
                <w:color w:val="auto"/>
              </w:rPr>
            </w:pPr>
            <w:r>
              <w:rPr>
                <w:rFonts w:ascii="Arial" w:cs="Arial" w:eastAsia="Arial" w:hAnsi="Arial"/>
                <w:sz w:val="14"/>
                <w:szCs w:val="14"/>
                <w:color w:val="auto"/>
              </w:rPr>
              <w:t>Accounts payable</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19,504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2,411</w:t>
            </w:r>
          </w:p>
        </w:tc>
      </w:tr>
      <w:tr>
        <w:trPr>
          <w:trHeight w:val="184"/>
        </w:trPr>
        <w:tc>
          <w:tcPr>
            <w:tcW w:w="82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Accrued liabilities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(19,238)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(19,965)</w:t>
            </w:r>
          </w:p>
        </w:tc>
      </w:tr>
      <w:tr>
        <w:trPr>
          <w:trHeight w:val="177"/>
        </w:trPr>
        <w:tc>
          <w:tcPr>
            <w:tcW w:w="8240" w:type="dxa"/>
            <w:vAlign w:val="bottom"/>
            <w:tcBorders>
              <w:bottom w:val="single" w:sz="8" w:color="CCEEFF"/>
            </w:tcBorders>
          </w:tcPr>
          <w:p>
            <w:pPr>
              <w:ind w:left="320"/>
              <w:spacing w:after="0"/>
              <w:rPr>
                <w:sz w:val="20"/>
                <w:szCs w:val="20"/>
                <w:color w:val="auto"/>
              </w:rPr>
            </w:pPr>
            <w:r>
              <w:rPr>
                <w:rFonts w:ascii="Arial" w:cs="Arial" w:eastAsia="Arial" w:hAnsi="Arial"/>
                <w:sz w:val="14"/>
                <w:szCs w:val="14"/>
                <w:color w:val="auto"/>
              </w:rPr>
              <w:t>Income taxes, including excess tax benefits and deferred income taxes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(26,102)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1,439</w:t>
            </w:r>
          </w:p>
        </w:tc>
      </w:tr>
      <w:tr>
        <w:trPr>
          <w:trHeight w:val="176"/>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cash (used in) provided by operating activities</w:t>
            </w: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(1,342)</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51,320</w:t>
            </w:r>
          </w:p>
        </w:tc>
      </w:tr>
      <w:tr>
        <w:trPr>
          <w:trHeight w:val="168"/>
        </w:trPr>
        <w:tc>
          <w:tcPr>
            <w:tcW w:w="8240" w:type="dxa"/>
            <w:vAlign w:val="bottom"/>
          </w:tcPr>
          <w:p>
            <w:pPr>
              <w:ind w:left="20"/>
              <w:spacing w:after="0"/>
              <w:rPr>
                <w:sz w:val="20"/>
                <w:szCs w:val="20"/>
                <w:color w:val="auto"/>
              </w:rPr>
            </w:pPr>
            <w:r>
              <w:rPr>
                <w:rFonts w:ascii="Arial" w:cs="Arial" w:eastAsia="Arial" w:hAnsi="Arial"/>
                <w:sz w:val="14"/>
                <w:szCs w:val="14"/>
                <w:color w:val="auto"/>
              </w:rPr>
              <w:t>CASH FLOWS FROM INVESTING ACTIVITIES:</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6"/>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Purchases of property, plant and equipment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(23,606)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(14,028)</w:t>
            </w:r>
          </w:p>
        </w:tc>
      </w:tr>
      <w:tr>
        <w:trPr>
          <w:trHeight w:val="177"/>
        </w:trPr>
        <w:tc>
          <w:tcPr>
            <w:tcW w:w="8240" w:type="dxa"/>
            <w:vAlign w:val="bottom"/>
          </w:tcPr>
          <w:p>
            <w:pPr>
              <w:ind w:left="120"/>
              <w:spacing w:after="0"/>
              <w:rPr>
                <w:sz w:val="20"/>
                <w:szCs w:val="20"/>
                <w:color w:val="auto"/>
              </w:rPr>
            </w:pPr>
            <w:r>
              <w:rPr>
                <w:rFonts w:ascii="Arial" w:cs="Arial" w:eastAsia="Arial" w:hAnsi="Arial"/>
                <w:sz w:val="14"/>
                <w:szCs w:val="14"/>
                <w:color w:val="auto"/>
              </w:rPr>
              <w:t>Proceeds from sale of assets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900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184"/>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Business acquisitions, net of cash acquired</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(1,844,164)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7"/>
        </w:trPr>
        <w:tc>
          <w:tcPr>
            <w:tcW w:w="8240" w:type="dxa"/>
            <w:vAlign w:val="bottom"/>
          </w:tcPr>
          <w:p>
            <w:pPr>
              <w:ind w:left="120"/>
              <w:spacing w:after="0"/>
              <w:rPr>
                <w:sz w:val="20"/>
                <w:szCs w:val="20"/>
                <w:color w:val="auto"/>
              </w:rPr>
            </w:pPr>
            <w:r>
              <w:rPr>
                <w:rFonts w:ascii="Arial" w:cs="Arial" w:eastAsia="Arial" w:hAnsi="Arial"/>
                <w:sz w:val="14"/>
                <w:szCs w:val="14"/>
                <w:color w:val="auto"/>
              </w:rPr>
              <w:t>Intangible asset additions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(2,387)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(1,874)</w:t>
            </w:r>
          </w:p>
        </w:tc>
      </w:tr>
      <w:tr>
        <w:trPr>
          <w:trHeight w:val="184"/>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Purchases of investment securities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(10,034)</w:t>
            </w:r>
          </w:p>
        </w:tc>
      </w:tr>
      <w:tr>
        <w:trPr>
          <w:trHeight w:val="177"/>
        </w:trPr>
        <w:tc>
          <w:tcPr>
            <w:tcW w:w="824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Proceeds from sale of investment securities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3,500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7,000</w:t>
            </w:r>
          </w:p>
        </w:tc>
      </w:tr>
      <w:tr>
        <w:trPr>
          <w:trHeight w:val="176"/>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cash used in investing activities</w:t>
            </w: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(1,867,750)</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(18,881)</w:t>
            </w:r>
          </w:p>
        </w:tc>
      </w:tr>
      <w:tr>
        <w:trPr>
          <w:trHeight w:val="168"/>
        </w:trPr>
        <w:tc>
          <w:tcPr>
            <w:tcW w:w="8240" w:type="dxa"/>
            <w:vAlign w:val="bottom"/>
          </w:tcPr>
          <w:p>
            <w:pPr>
              <w:ind w:left="20"/>
              <w:spacing w:after="0"/>
              <w:rPr>
                <w:sz w:val="20"/>
                <w:szCs w:val="20"/>
                <w:color w:val="auto"/>
              </w:rPr>
            </w:pPr>
            <w:r>
              <w:rPr>
                <w:rFonts w:ascii="Arial" w:cs="Arial" w:eastAsia="Arial" w:hAnsi="Arial"/>
                <w:sz w:val="14"/>
                <w:szCs w:val="14"/>
                <w:color w:val="auto"/>
              </w:rPr>
              <w:t>CASH FLOWS FROM FINANCING ACTIVITIES:</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6"/>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Proceeds from issuance of long-term debt, net of lender debt issuance costs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1,672,698</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7"/>
        </w:trPr>
        <w:tc>
          <w:tcPr>
            <w:tcW w:w="8240" w:type="dxa"/>
            <w:vAlign w:val="bottom"/>
          </w:tcPr>
          <w:p>
            <w:pPr>
              <w:ind w:left="120"/>
              <w:spacing w:after="0"/>
              <w:rPr>
                <w:sz w:val="20"/>
                <w:szCs w:val="20"/>
                <w:color w:val="auto"/>
              </w:rPr>
            </w:pPr>
            <w:r>
              <w:rPr>
                <w:rFonts w:ascii="Arial" w:cs="Arial" w:eastAsia="Arial" w:hAnsi="Arial"/>
                <w:sz w:val="14"/>
                <w:szCs w:val="14"/>
                <w:color w:val="auto"/>
              </w:rPr>
              <w:t>Principal repayments of long-term debt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(16,000)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4"/>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Payment of third-party debt issuance costs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7"/>
        </w:trPr>
        <w:tc>
          <w:tcPr>
            <w:tcW w:w="8240" w:type="dxa"/>
            <w:vAlign w:val="bottom"/>
          </w:tcPr>
          <w:p>
            <w:pPr>
              <w:ind w:left="120"/>
              <w:spacing w:after="0"/>
              <w:rPr>
                <w:sz w:val="20"/>
                <w:szCs w:val="20"/>
                <w:color w:val="auto"/>
              </w:rPr>
            </w:pPr>
            <w:r>
              <w:rPr>
                <w:rFonts w:ascii="Arial" w:cs="Arial" w:eastAsia="Arial" w:hAnsi="Arial"/>
                <w:sz w:val="14"/>
                <w:szCs w:val="14"/>
                <w:color w:val="auto"/>
              </w:rPr>
              <w:t>Proceeds from exercise of stock options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2,974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4,864</w:t>
            </w:r>
          </w:p>
        </w:tc>
      </w:tr>
      <w:tr>
        <w:trPr>
          <w:trHeight w:val="184"/>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Payments on finance leases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w:t>
            </w:r>
          </w:p>
        </w:tc>
      </w:tr>
      <w:tr>
        <w:trPr>
          <w:trHeight w:val="177"/>
        </w:trPr>
        <w:tc>
          <w:tcPr>
            <w:tcW w:w="824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Tax withholding payments related to net share settlement of equity awards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(8,743)</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(7,723)</w:t>
            </w:r>
          </w:p>
        </w:tc>
      </w:tr>
      <w:tr>
        <w:trPr>
          <w:trHeight w:val="176"/>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cash provided by (used in) financing activities</w:t>
            </w: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1,648,917</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(3,000)</w:t>
            </w:r>
          </w:p>
        </w:tc>
      </w:tr>
      <w:tr>
        <w:trPr>
          <w:trHeight w:val="17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Effect of exchange rate changes on cash</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(3,224)</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(1,287)</w:t>
            </w:r>
          </w:p>
        </w:tc>
      </w:tr>
      <w:tr>
        <w:trPr>
          <w:trHeight w:val="176"/>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(DECREASE) INCREASE IN CASH AND CASH EQUIVALENTS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(223,399)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28,152</w:t>
            </w:r>
          </w:p>
        </w:tc>
      </w:tr>
      <w:tr>
        <w:trPr>
          <w:trHeight w:val="177"/>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beginning of period</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552,827</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396,097</w:t>
            </w:r>
          </w:p>
        </w:tc>
      </w:tr>
      <w:tr>
        <w:trPr>
          <w:trHeight w:val="201"/>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end of period</w:t>
            </w:r>
          </w:p>
        </w:tc>
        <w:tc>
          <w:tcPr>
            <w:tcW w:w="3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329,428</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424,249</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 w:name="page8"/>
    <w:bookmarkEnd w:id="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ICU MEDICAL, INC. AND SUBSIDIARIES</w:t>
      </w: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CONDENSED CONSOLIDATED STATEMENTS OF CASH FLOWS (Unaudited) - CONTINUED</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(In thousands)</w:t>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8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40" w:type="dxa"/>
            <w:vAlign w:val="bottom"/>
            <w:gridSpan w:val="4"/>
          </w:tcPr>
          <w:p>
            <w:pPr>
              <w:jc w:val="center"/>
              <w:ind w:right="283"/>
              <w:spacing w:after="0"/>
              <w:rPr>
                <w:sz w:val="20"/>
                <w:szCs w:val="20"/>
                <w:color w:val="auto"/>
              </w:rPr>
            </w:pPr>
            <w:r>
              <w:rPr>
                <w:rFonts w:ascii="Arial" w:cs="Arial" w:eastAsia="Arial" w:hAnsi="Arial"/>
                <w:sz w:val="17"/>
                <w:szCs w:val="17"/>
                <w:b w:val="1"/>
                <w:bCs w:val="1"/>
                <w:color w:val="auto"/>
                <w:w w:val="89"/>
              </w:rPr>
              <w:t>Three months ended</w:t>
            </w:r>
          </w:p>
        </w:tc>
      </w:tr>
      <w:tr>
        <w:trPr>
          <w:trHeight w:val="219"/>
        </w:trPr>
        <w:tc>
          <w:tcPr>
            <w:tcW w:w="83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center"/>
              <w:ind w:left="561"/>
              <w:spacing w:after="0"/>
              <w:rPr>
                <w:sz w:val="20"/>
                <w:szCs w:val="20"/>
                <w:color w:val="auto"/>
              </w:rPr>
            </w:pPr>
            <w:r>
              <w:rPr>
                <w:rFonts w:ascii="Arial" w:cs="Arial" w:eastAsia="Arial" w:hAnsi="Arial"/>
                <w:sz w:val="17"/>
                <w:szCs w:val="17"/>
                <w:b w:val="1"/>
                <w:bCs w:val="1"/>
                <w:color w:val="auto"/>
                <w:w w:val="96"/>
              </w:rPr>
              <w:t>March 31,</w:t>
            </w:r>
          </w:p>
        </w:tc>
        <w:tc>
          <w:tcPr>
            <w:tcW w:w="940" w:type="dxa"/>
            <w:vAlign w:val="bottom"/>
            <w:tcBorders>
              <w:bottom w:val="single" w:sz="8" w:color="auto"/>
            </w:tcBorders>
          </w:tcPr>
          <w:p>
            <w:pPr>
              <w:spacing w:after="0"/>
              <w:rPr>
                <w:sz w:val="19"/>
                <w:szCs w:val="19"/>
                <w:color w:val="auto"/>
              </w:rPr>
            </w:pPr>
          </w:p>
        </w:tc>
      </w:tr>
      <w:tr>
        <w:trPr>
          <w:trHeight w:val="197"/>
        </w:trPr>
        <w:tc>
          <w:tcPr>
            <w:tcW w:w="83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1"/>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63"/>
              <w:spacing w:after="0"/>
              <w:rPr>
                <w:sz w:val="20"/>
                <w:szCs w:val="20"/>
                <w:color w:val="auto"/>
              </w:rPr>
            </w:pPr>
            <w:r>
              <w:rPr>
                <w:rFonts w:ascii="Arial" w:cs="Arial" w:eastAsia="Arial" w:hAnsi="Arial"/>
                <w:sz w:val="15"/>
                <w:szCs w:val="15"/>
                <w:b w:val="1"/>
                <w:bCs w:val="1"/>
                <w:color w:val="auto"/>
              </w:rPr>
              <w:t>2021</w:t>
            </w:r>
          </w:p>
        </w:tc>
      </w:tr>
      <w:tr>
        <w:trPr>
          <w:trHeight w:val="188"/>
        </w:trPr>
        <w:tc>
          <w:tcPr>
            <w:tcW w:w="8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SUPPLEMENTAL DISCLOSURE OF NON-CASH INVESTING ACTIVITIES:</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03"/>
        </w:trPr>
        <w:tc>
          <w:tcPr>
            <w:tcW w:w="8300" w:type="dxa"/>
            <w:vAlign w:val="bottom"/>
          </w:tcPr>
          <w:p>
            <w:pPr>
              <w:ind w:left="80"/>
              <w:spacing w:after="0"/>
              <w:rPr>
                <w:sz w:val="20"/>
                <w:szCs w:val="20"/>
                <w:color w:val="auto"/>
              </w:rPr>
            </w:pPr>
            <w:r>
              <w:rPr>
                <w:rFonts w:ascii="Arial" w:cs="Arial" w:eastAsia="Arial" w:hAnsi="Arial"/>
                <w:sz w:val="15"/>
                <w:szCs w:val="15"/>
                <w:color w:val="auto"/>
              </w:rPr>
              <w:t>Accounts payable for property, plant and equipment</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5,178</w:t>
            </w:r>
          </w:p>
        </w:tc>
        <w:tc>
          <w:tcPr>
            <w:tcW w:w="540" w:type="dxa"/>
            <w:vAlign w:val="bottom"/>
            <w:gridSpan w:val="2"/>
          </w:tcPr>
          <w:p>
            <w:pPr>
              <w:jc w:val="right"/>
              <w:ind w:right="340"/>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3"/>
              <w:spacing w:after="0"/>
              <w:rPr>
                <w:sz w:val="20"/>
                <w:szCs w:val="20"/>
                <w:color w:val="auto"/>
              </w:rPr>
            </w:pPr>
            <w:r>
              <w:rPr>
                <w:rFonts w:ascii="Arial" w:cs="Arial" w:eastAsia="Arial" w:hAnsi="Arial"/>
                <w:sz w:val="15"/>
                <w:szCs w:val="15"/>
                <w:color w:val="auto"/>
              </w:rPr>
              <w:t>1,068</w:t>
            </w:r>
          </w:p>
        </w:tc>
      </w:tr>
      <w:tr>
        <w:trPr>
          <w:trHeight w:val="248"/>
        </w:trPr>
        <w:tc>
          <w:tcPr>
            <w:tcW w:w="83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r>
      <w:tr>
        <w:trPr>
          <w:trHeight w:val="203"/>
        </w:trPr>
        <w:tc>
          <w:tcPr>
            <w:tcW w:w="8300" w:type="dxa"/>
            <w:vAlign w:val="bottom"/>
          </w:tcPr>
          <w:p>
            <w:pPr>
              <w:ind w:left="20"/>
              <w:spacing w:after="0"/>
              <w:rPr>
                <w:sz w:val="20"/>
                <w:szCs w:val="20"/>
                <w:color w:val="auto"/>
              </w:rPr>
            </w:pPr>
            <w:r>
              <w:rPr>
                <w:rFonts w:ascii="Arial" w:cs="Arial" w:eastAsia="Arial" w:hAnsi="Arial"/>
                <w:sz w:val="15"/>
                <w:szCs w:val="15"/>
                <w:color w:val="auto"/>
              </w:rPr>
              <w:t>Detail of assets acquired and liabilities assumed in acquisitions*:</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9"/>
        </w:trPr>
        <w:tc>
          <w:tcPr>
            <w:tcW w:w="83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Fair value of assets acquired</w:t>
            </w:r>
          </w:p>
        </w:tc>
        <w:tc>
          <w:tcPr>
            <w:tcW w:w="3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1,594,776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03"/>
        </w:trPr>
        <w:tc>
          <w:tcPr>
            <w:tcW w:w="8300" w:type="dxa"/>
            <w:vAlign w:val="bottom"/>
          </w:tcPr>
          <w:p>
            <w:pPr>
              <w:ind w:left="220"/>
              <w:spacing w:after="0"/>
              <w:rPr>
                <w:sz w:val="20"/>
                <w:szCs w:val="20"/>
                <w:color w:val="auto"/>
              </w:rPr>
            </w:pPr>
            <w:r>
              <w:rPr>
                <w:rFonts w:ascii="Arial" w:cs="Arial" w:eastAsia="Arial" w:hAnsi="Arial"/>
                <w:sz w:val="15"/>
                <w:szCs w:val="15"/>
                <w:color w:val="auto"/>
              </w:rPr>
              <w:t>Cash paid for acquisitions, net of cash acquired</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(1,844,164)</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9"/>
        </w:trPr>
        <w:tc>
          <w:tcPr>
            <w:tcW w:w="83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Share consideration</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(575,975)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03"/>
        </w:trPr>
        <w:tc>
          <w:tcPr>
            <w:tcW w:w="8300" w:type="dxa"/>
            <w:vAlign w:val="bottom"/>
          </w:tcPr>
          <w:p>
            <w:pPr>
              <w:ind w:left="220"/>
              <w:spacing w:after="0"/>
              <w:rPr>
                <w:sz w:val="20"/>
                <w:szCs w:val="20"/>
                <w:color w:val="auto"/>
              </w:rPr>
            </w:pPr>
            <w:r>
              <w:rPr>
                <w:rFonts w:ascii="Arial" w:cs="Arial" w:eastAsia="Arial" w:hAnsi="Arial"/>
                <w:sz w:val="15"/>
                <w:szCs w:val="15"/>
                <w:color w:val="auto"/>
              </w:rPr>
              <w:t>Contingent consideration</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(55,158)</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6"/>
        </w:trPr>
        <w:tc>
          <w:tcPr>
            <w:tcW w:w="83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Goodwill, acquired during period</w:t>
            </w: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1,485,987</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02"/>
        </w:trPr>
        <w:tc>
          <w:tcPr>
            <w:tcW w:w="8300" w:type="dxa"/>
            <w:vAlign w:val="bottom"/>
          </w:tcPr>
          <w:p>
            <w:pPr>
              <w:ind w:left="420"/>
              <w:spacing w:after="0"/>
              <w:rPr>
                <w:sz w:val="20"/>
                <w:szCs w:val="20"/>
                <w:color w:val="auto"/>
              </w:rPr>
            </w:pPr>
            <w:r>
              <w:rPr>
                <w:rFonts w:ascii="Arial" w:cs="Arial" w:eastAsia="Arial" w:hAnsi="Arial"/>
                <w:sz w:val="15"/>
                <w:szCs w:val="15"/>
                <w:color w:val="auto"/>
              </w:rPr>
              <w:t>Liabilities assumed/Adjustments to liabilities assumed</w:t>
            </w:r>
          </w:p>
        </w:tc>
        <w:tc>
          <w:tcPr>
            <w:tcW w:w="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(605,466)</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83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r>
      <w:tr>
        <w:trPr>
          <w:trHeight w:val="56"/>
        </w:trPr>
        <w:tc>
          <w:tcPr>
            <w:tcW w:w="830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10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940" w:type="dxa"/>
            <w:vAlign w:val="bottom"/>
            <w:shd w:val="clear" w:color="auto" w:fill="CCEEFF"/>
          </w:tcPr>
          <w:p>
            <w:pPr>
              <w:spacing w:after="0"/>
              <w:rPr>
                <w:sz w:val="4"/>
                <w:szCs w:val="4"/>
                <w:color w:val="auto"/>
              </w:rPr>
            </w:pPr>
          </w:p>
        </w:tc>
      </w:tr>
    </w:tbl>
    <w:p>
      <w:pPr>
        <w:spacing w:after="0" w:line="5" w:lineRule="exact"/>
        <w:rPr>
          <w:sz w:val="20"/>
          <w:szCs w:val="20"/>
          <w:color w:val="auto"/>
        </w:rPr>
      </w:pPr>
    </w:p>
    <w:p>
      <w:pPr>
        <w:ind w:left="80" w:right="2920"/>
        <w:spacing w:after="0" w:line="247" w:lineRule="auto"/>
        <w:rPr>
          <w:sz w:val="20"/>
          <w:szCs w:val="20"/>
          <w:color w:val="auto"/>
        </w:rPr>
      </w:pPr>
      <w:r>
        <w:rPr>
          <w:rFonts w:ascii="Arial" w:cs="Arial" w:eastAsia="Arial" w:hAnsi="Arial"/>
          <w:sz w:val="15"/>
          <w:szCs w:val="15"/>
          <w:color w:val="auto"/>
        </w:rPr>
        <w:t>*Includes amounts related to the acquisition of Smiths Medical 2020 Limited and measurement period adjustments related to a 2021 acquisition of a small foreign infusion systems supplier.</w:t>
      </w: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8" w:name="page9"/>
    <w:bookmarkEnd w:id="8"/>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Basis of Presentation</w:t>
      </w:r>
    </w:p>
    <w:p>
      <w:pPr>
        <w:spacing w:after="0" w:line="223" w:lineRule="exact"/>
        <w:rPr>
          <w:sz w:val="20"/>
          <w:szCs w:val="20"/>
          <w:color w:val="auto"/>
        </w:rPr>
      </w:pPr>
    </w:p>
    <w:p>
      <w:pPr>
        <w:ind w:right="40" w:firstLine="619"/>
        <w:spacing w:after="0" w:line="257" w:lineRule="auto"/>
        <w:rPr>
          <w:sz w:val="20"/>
          <w:szCs w:val="20"/>
          <w:color w:val="auto"/>
        </w:rPr>
      </w:pPr>
      <w:r>
        <w:rPr>
          <w:rFonts w:ascii="Arial" w:cs="Arial" w:eastAsia="Arial" w:hAnsi="Arial"/>
          <w:sz w:val="17"/>
          <w:szCs w:val="17"/>
          <w:color w:val="auto"/>
        </w:rPr>
        <w:t>The accompanying unaudited interim condensed consolidated financial statements have been prepared in accordance with accounting principles generally accepted in the United States of America ("U.S.") and pursuant to the rules and regulations of the Securities and Exchange Commission (“SEC”) and reflect all adjustments, consisting of only normal recurring adjustments, which are, in the opinion of management, necessary for a fair statement of the consolidated results for the interim periods presented. Results for the interim period are not necessarily indicative of results for the full year. Certain information and footnote disclosures normally included in annual consolidated financial statements prepared in accordance with generally accepted accounting principles have been condensed or omitted pursuant to such rules and regulations. The condensed consolidated financial statements should be read in conjunction with the consolidated financial statements and notes thereto included in the Annual Report on Form 10-K of ICU Medical, Inc., ("ICU") a Delaware corporation, filed with the SEC for the year ended December 31, 2021.</w:t>
      </w:r>
    </w:p>
    <w:p>
      <w:pPr>
        <w:spacing w:after="0" w:line="182" w:lineRule="exact"/>
        <w:rPr>
          <w:sz w:val="20"/>
          <w:szCs w:val="20"/>
          <w:color w:val="auto"/>
        </w:rPr>
      </w:pPr>
    </w:p>
    <w:p>
      <w:pPr>
        <w:ind w:firstLine="619"/>
        <w:spacing w:after="0" w:line="283" w:lineRule="auto"/>
        <w:rPr>
          <w:sz w:val="20"/>
          <w:szCs w:val="20"/>
          <w:color w:val="auto"/>
        </w:rPr>
      </w:pPr>
      <w:r>
        <w:rPr>
          <w:rFonts w:ascii="Arial" w:cs="Arial" w:eastAsia="Arial" w:hAnsi="Arial"/>
          <w:sz w:val="16"/>
          <w:szCs w:val="16"/>
          <w:color w:val="auto"/>
        </w:rPr>
        <w:t>We are engaged in the development, manufacturing and sale of innovative medical products used in infusion therapy and critical care applications. We sell the majority of our products through our direct sales force and through independent distributors throughout the U.S. and internationally. We also sell certain products on an original equipment manufacturer basis to other medical device manufacturers. All subsidiaries are wholly owned and are included in the condensed consolidated financial statements. All intercompany balances and transactions have been eliminated.</w:t>
      </w:r>
    </w:p>
    <w:p>
      <w:pPr>
        <w:spacing w:after="0" w:line="189" w:lineRule="exact"/>
        <w:rPr>
          <w:sz w:val="20"/>
          <w:szCs w:val="20"/>
          <w:color w:val="auto"/>
        </w:rPr>
      </w:pPr>
    </w:p>
    <w:p>
      <w:pPr>
        <w:jc w:val="both"/>
        <w:ind w:right="120" w:firstLine="619"/>
        <w:spacing w:after="0" w:line="266" w:lineRule="auto"/>
        <w:rPr>
          <w:sz w:val="20"/>
          <w:szCs w:val="20"/>
          <w:color w:val="auto"/>
        </w:rPr>
      </w:pPr>
      <w:r>
        <w:rPr>
          <w:rFonts w:ascii="Arial" w:cs="Arial" w:eastAsia="Arial" w:hAnsi="Arial"/>
          <w:sz w:val="17"/>
          <w:szCs w:val="17"/>
          <w:color w:val="auto"/>
        </w:rPr>
        <w:t>On January 6, 2022, we acquired Smiths Medical 2020 Limited ("Smiths Medical"), see Note 3: Acquisitions. Our condensed consolidated statement of operations includes the results of operations for Smiths Medical from January 7, 2022 through March 26, 2022, which is the current end of their 4-4-5 accounting period.</w:t>
      </w:r>
    </w:p>
    <w:p>
      <w:pPr>
        <w:spacing w:after="0" w:line="195"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Note 2:</w:t>
      </w:r>
      <w:r>
        <w:rPr>
          <w:sz w:val="20"/>
          <w:szCs w:val="20"/>
          <w:color w:val="auto"/>
        </w:rPr>
        <w:tab/>
      </w:r>
      <w:r>
        <w:rPr>
          <w:rFonts w:ascii="Arial" w:cs="Arial" w:eastAsia="Arial" w:hAnsi="Arial"/>
          <w:sz w:val="15"/>
          <w:szCs w:val="15"/>
          <w:b w:val="1"/>
          <w:bCs w:val="1"/>
          <w:color w:val="auto"/>
        </w:rPr>
        <w:t>New Accounting Pronouncements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Recently Issued Accounting Standards</w:t>
      </w:r>
    </w:p>
    <w:p>
      <w:pPr>
        <w:spacing w:after="0" w:line="243" w:lineRule="exact"/>
        <w:rPr>
          <w:sz w:val="20"/>
          <w:szCs w:val="20"/>
          <w:color w:val="auto"/>
        </w:rPr>
      </w:pPr>
    </w:p>
    <w:p>
      <w:pPr>
        <w:ind w:firstLine="172"/>
        <w:spacing w:after="0" w:line="271" w:lineRule="auto"/>
        <w:rPr>
          <w:sz w:val="20"/>
          <w:szCs w:val="20"/>
          <w:color w:val="auto"/>
        </w:rPr>
      </w:pPr>
      <w:r>
        <w:rPr>
          <w:rFonts w:ascii="Arial" w:cs="Arial" w:eastAsia="Arial" w:hAnsi="Arial"/>
          <w:sz w:val="16"/>
          <w:szCs w:val="16"/>
          <w:color w:val="auto"/>
        </w:rPr>
        <w:t>In March 2020, the Financial Accounting Standards Board issued ASU No. 2020-04, Reference Rate Reform (Topic 848) - Facilitation of the Effects of Reference Rate Reform on Financial Reporting. The amendments in this update provide optional guidance for a limited period of time to ease the potential burden for reference rate reform on financial reporting. Due to concerns about structural risks of interbank offered rates and, particularly, the risk of cessation of the London Interbank Offered Rate ("LIBOR"), regulators around the world have undertaken reference rate reform initiatives to identify alternative reference rates that are more observable or transaction-based and less susceptible to manipulation. The amendments in this update apply only to contracts, hedging relationships, and other transactions that reference LIBOR or another reference rate expected to be discontinued as a result of reference rate reform. Optional expedients may be applied to contracts that are modified as a result of the reference rate reform. Modifications of contracts within the scope of Topic 470, Debt, should be accounted for by prospectively adjusting the effective interest rate. Modifications of contracts within the scope of ASC 842, Leases, should be accounted for as a continuation of the existing contracts with no reassessments of the lease classification and the discount rate (incremental borrowing rate). Exceptions to Topic 815, Derivatives and Hedging, results in not having a dedesignation of a hedging relationship if certain criteria are met. The amendments in this ASU are effective for all entities as of March 12, 2020 through December 31, 2022. In November 2021, we entered into two forward-starting swaps whereby the variable leg of the swap referenced LIBOR. These swaps were amended in early 2022 to transition to an alternative reference rate (see Note 8: Derivatives and Hedging Activities). The amendments in this ASU allow for certain expedients that will allow us to assume that our hedged interest payments are probable of occurring regardless of any expected modification in their terms related to reference rate reform and will allow us to continue hedge accounting for a cash flow hedge for which the hedged interest rate risk changes if the hedge is highly effective under ASC 815, Derivatives and Hedging, or the optional expedient under this ASU is elected. The impact of this ASU on our contracts has not been and is not expected to be material.</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7"/>
          <w:szCs w:val="17"/>
          <w:b w:val="1"/>
          <w:bCs w:val="1"/>
          <w:color w:val="auto"/>
        </w:rPr>
        <w:t>ICU MEDICAL, INC. AND SUBSIDIARIES</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310"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Note 3:</w:t>
      </w:r>
      <w:r>
        <w:rPr>
          <w:sz w:val="20"/>
          <w:szCs w:val="20"/>
          <w:color w:val="auto"/>
        </w:rPr>
        <w:tab/>
      </w:r>
      <w:r>
        <w:rPr>
          <w:rFonts w:ascii="Arial" w:cs="Arial" w:eastAsia="Arial" w:hAnsi="Arial"/>
          <w:sz w:val="14"/>
          <w:szCs w:val="14"/>
          <w:b w:val="1"/>
          <w:bCs w:val="1"/>
          <w:color w:val="auto"/>
        </w:rPr>
        <w:t>Acquisitions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2022 Acquisition</w:t>
      </w:r>
    </w:p>
    <w:p>
      <w:pPr>
        <w:spacing w:after="0" w:line="243" w:lineRule="exact"/>
        <w:rPr>
          <w:sz w:val="20"/>
          <w:szCs w:val="20"/>
          <w:color w:val="auto"/>
        </w:rPr>
      </w:pPr>
    </w:p>
    <w:p>
      <w:pPr>
        <w:ind w:firstLine="619"/>
        <w:spacing w:after="0" w:line="262" w:lineRule="auto"/>
        <w:rPr>
          <w:sz w:val="20"/>
          <w:szCs w:val="20"/>
          <w:color w:val="auto"/>
        </w:rPr>
      </w:pPr>
      <w:r>
        <w:rPr>
          <w:rFonts w:ascii="Arial" w:cs="Arial" w:eastAsia="Arial" w:hAnsi="Arial"/>
          <w:sz w:val="17"/>
          <w:szCs w:val="17"/>
          <w:color w:val="auto"/>
        </w:rPr>
        <w:t>On January 6, 2022, we acquired 100.0% of the equity interests in Smiths Medical, the holding company of Smiths Group plc's global medical device business, from Smiths Group International Holdings Limited (“Smiths”). The acquisition of Smiths Medical aligns with our strategic growth plans, enabling us to broaden our product offerings to include syringe and ambulatory infusion devices, vascular access, and vital care products and to strengthen and expand our global market reach.</w:t>
      </w:r>
    </w:p>
    <w:p>
      <w:pPr>
        <w:spacing w:after="0" w:line="204" w:lineRule="exact"/>
        <w:rPr>
          <w:sz w:val="20"/>
          <w:szCs w:val="20"/>
          <w:color w:val="auto"/>
        </w:rPr>
      </w:pPr>
    </w:p>
    <w:p>
      <w:pPr>
        <w:ind w:right="40" w:firstLine="619"/>
        <w:spacing w:after="0" w:line="272" w:lineRule="auto"/>
        <w:rPr>
          <w:sz w:val="20"/>
          <w:szCs w:val="20"/>
          <w:color w:val="auto"/>
        </w:rPr>
      </w:pPr>
      <w:r>
        <w:rPr>
          <w:rFonts w:ascii="Arial" w:cs="Arial" w:eastAsia="Arial" w:hAnsi="Arial"/>
          <w:sz w:val="16"/>
          <w:szCs w:val="16"/>
          <w:color w:val="auto"/>
        </w:rPr>
        <w:t>Total cash consideration for the acquisition was $1.9 billion, which was financed with existing cash balances and proceeds from the credit agreement entered into on January 6, 2022 (see Note 17: Long-Term Debt). We also issued share consideration to Smiths of 2.5 million shares of our common stock. The fair value of the common shares issued to Smiths was determined based on the closing market price of our common stock on the acquisition date. Smiths may be entitled to an additional $100.0 million in cash consideration contingent on our common stock achieving certain price targets for certain periods after closing in accordance with the terms of the Share Sale and Purchase Agreement (the "Purchase Agreement"). In the event that (a) on or prior to the third anniversary of closing the 30-day volume-weighted average price for our common stock, as defined in the Purchase Agreement, equals or exceeds $300.00 per share or (b) on or prior to the fourth anniversary of closing the 45-day volume-weighted average price for our common stock, as defined in the Purchase Agreement, equals or exceeds $300.00 per share (each a "Price Target"), and provided Smiths beneficially owns at least 50.0% of the shares of common stock issued at closing at the time the Price Target is achieved, then Smiths will be entitled to receive the additional $100.0 million in cash consideration. The fair value of the contingent consideration was determined using an option pricing model, specifically the Monte Carlo Simulation. In the analysis, the determinants of payout are simulated in a risk neutral framework over a large number of simulation paths. The fair value of the contingent consideration is then calculated as the average present value across all simulated paths.</w:t>
      </w:r>
    </w:p>
    <w:p>
      <w:pPr>
        <w:spacing w:after="0" w:line="205"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Preliminary Purchase Price Allocation</w:t>
      </w:r>
    </w:p>
    <w:p>
      <w:pPr>
        <w:spacing w:after="0" w:line="243" w:lineRule="exact"/>
        <w:rPr>
          <w:sz w:val="20"/>
          <w:szCs w:val="20"/>
          <w:color w:val="auto"/>
        </w:rPr>
      </w:pPr>
    </w:p>
    <w:p>
      <w:pPr>
        <w:ind w:right="320" w:firstLine="619"/>
        <w:spacing w:after="0" w:line="279" w:lineRule="auto"/>
        <w:rPr>
          <w:sz w:val="20"/>
          <w:szCs w:val="20"/>
          <w:color w:val="auto"/>
        </w:rPr>
      </w:pPr>
      <w:r>
        <w:rPr>
          <w:rFonts w:ascii="Arial" w:cs="Arial" w:eastAsia="Arial" w:hAnsi="Arial"/>
          <w:sz w:val="17"/>
          <w:szCs w:val="17"/>
          <w:color w:val="auto"/>
        </w:rPr>
        <w:t>The following table summarizes the preliminary purchase price and the preliminary allocation of the purchase price related to the assets acquired and liabilities assumed (in thousands):</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 w:name="page11"/>
    <w:bookmarkEnd w:id="10"/>
    <w:p>
      <w:pPr>
        <w:jc w:val="center"/>
        <w:ind w:left="2340"/>
        <w:spacing w:after="0"/>
        <w:rPr>
          <w:sz w:val="20"/>
          <w:szCs w:val="20"/>
          <w:color w:val="auto"/>
        </w:rPr>
      </w:pPr>
      <w:r>
        <w:rPr>
          <w:rFonts w:ascii="Arial" w:cs="Arial" w:eastAsia="Arial" w:hAnsi="Arial"/>
          <w:sz w:val="17"/>
          <w:szCs w:val="17"/>
          <w:b w:val="1"/>
          <w:bCs w:val="1"/>
          <w:color w:val="auto"/>
        </w:rPr>
        <w:t>ICU MEDICAL, INC. AND SUBSIDIARIES</w:t>
      </w:r>
    </w:p>
    <w:p>
      <w:pPr>
        <w:spacing w:after="0" w:line="28" w:lineRule="exact"/>
        <w:rPr>
          <w:sz w:val="20"/>
          <w:szCs w:val="20"/>
          <w:color w:val="auto"/>
        </w:rPr>
      </w:pPr>
    </w:p>
    <w:p>
      <w:pPr>
        <w:jc w:val="center"/>
        <w:ind w:left="2340"/>
        <w:spacing w:after="0"/>
        <w:rPr>
          <w:sz w:val="20"/>
          <w:szCs w:val="20"/>
          <w:color w:val="auto"/>
        </w:rPr>
      </w:pPr>
      <w:r>
        <w:rPr>
          <w:rFonts w:ascii="Arial" w:cs="Arial" w:eastAsia="Arial" w:hAnsi="Arial"/>
          <w:sz w:val="16"/>
          <w:szCs w:val="16"/>
          <w:b w:val="1"/>
          <w:bCs w:val="1"/>
          <w:color w:val="auto"/>
        </w:rPr>
        <w:t>NOTES TO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506095</wp:posOffset>
            </wp:positionV>
            <wp:extent cx="7138670" cy="1390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0"/>
        <w:spacing w:after="0"/>
        <w:rPr>
          <w:sz w:val="20"/>
          <w:szCs w:val="20"/>
          <w:color w:val="auto"/>
        </w:rPr>
      </w:pPr>
      <w:r>
        <w:rPr>
          <w:rFonts w:ascii="Arial" w:cs="Arial" w:eastAsia="Arial" w:hAnsi="Arial"/>
          <w:sz w:val="17"/>
          <w:szCs w:val="17"/>
          <w:color w:val="auto"/>
        </w:rPr>
        <w:t>Estimated cash consideration for acquired assets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Preliminary fair value of contingent consideration payable to Smiths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63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262" w:lineRule="exact"/>
        <w:rPr>
          <w:sz w:val="20"/>
          <w:szCs w:val="20"/>
          <w:color w:val="auto"/>
        </w:rPr>
      </w:pPr>
    </w:p>
    <w:p>
      <w:pPr>
        <w:ind w:left="20"/>
        <w:spacing w:after="0"/>
        <w:rPr>
          <w:sz w:val="20"/>
          <w:szCs w:val="20"/>
          <w:color w:val="auto"/>
        </w:rPr>
      </w:pPr>
      <w:r>
        <w:rPr>
          <w:rFonts w:ascii="Arial" w:cs="Arial" w:eastAsia="Arial" w:hAnsi="Arial"/>
          <w:sz w:val="17"/>
          <w:szCs w:val="17"/>
          <w:color w:val="auto"/>
        </w:rPr>
        <w:t>Issuance of ICU Medical, Inc.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390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Number of shares issued to Smiths</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Price per share (ICU's opening market price on the acquisition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47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p>
      <w:pPr>
        <w:spacing w:after="0" w:line="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Fair value of ICU shares issued to Smiths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7"/>
          <w:szCs w:val="17"/>
          <w:color w:val="auto"/>
        </w:rPr>
        <w:t>Total estimated consideration to be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63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25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Preliminary Purchase Price Allocation: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7138670" cy="147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p>
      <w:pPr>
        <w:spacing w:after="0" w:line="23" w:lineRule="exact"/>
        <w:rPr>
          <w:sz w:val="20"/>
          <w:szCs w:val="20"/>
          <w:color w:val="auto"/>
        </w:rPr>
      </w:pPr>
    </w:p>
    <w:p>
      <w:pPr>
        <w:ind w:left="20"/>
        <w:spacing w:after="0"/>
        <w:rPr>
          <w:sz w:val="20"/>
          <w:szCs w:val="20"/>
          <w:color w:val="auto"/>
        </w:rPr>
      </w:pPr>
      <w:r>
        <w:rPr>
          <w:rFonts w:ascii="Arial" w:cs="Arial" w:eastAsia="Arial" w:hAnsi="Arial"/>
          <w:sz w:val="17"/>
          <w:szCs w:val="17"/>
          <w:color w:val="auto"/>
        </w:rPr>
        <w:t>Cash and cash equivalents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390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Arial" w:cs="Arial" w:eastAsia="Arial" w:hAnsi="Arial"/>
          <w:sz w:val="17"/>
          <w:szCs w:val="17"/>
          <w:color w:val="auto"/>
        </w:rPr>
        <w:t>Inventories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390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Property, plant and equipment</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Operating lease right-of-use assets</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7"/>
          <w:szCs w:val="17"/>
          <w:color w:val="auto"/>
        </w:rPr>
        <w:t>Intangible assets</w:t>
      </w:r>
      <w:r>
        <w:rPr>
          <w:rFonts w:ascii="Arial" w:cs="Arial" w:eastAsia="Arial" w:hAnsi="Arial"/>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138670" cy="1390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ind w:left="20"/>
        <w:spacing w:after="0"/>
        <w:rPr>
          <w:sz w:val="20"/>
          <w:szCs w:val="20"/>
          <w:color w:val="auto"/>
        </w:rPr>
      </w:pPr>
      <w:r>
        <w:rPr>
          <w:rFonts w:ascii="Arial" w:cs="Arial" w:eastAsia="Arial" w:hAnsi="Arial"/>
          <w:sz w:val="17"/>
          <w:szCs w:val="17"/>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7138670" cy="1390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ind w:left="20"/>
        <w:spacing w:after="0"/>
        <w:rPr>
          <w:sz w:val="20"/>
          <w:szCs w:val="20"/>
          <w:color w:val="auto"/>
        </w:rPr>
      </w:pPr>
      <w:r>
        <w:rPr>
          <w:rFonts w:ascii="Arial" w:cs="Arial" w:eastAsia="Arial" w:hAnsi="Arial"/>
          <w:sz w:val="17"/>
          <w:szCs w:val="17"/>
          <w:color w:val="auto"/>
        </w:rPr>
        <w:t>Other assets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Accounts payable</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7"/>
          <w:szCs w:val="17"/>
          <w:color w:val="auto"/>
        </w:rPr>
        <w:t>Accrued liabilities</w:t>
      </w:r>
      <w:r>
        <w:rPr>
          <w:rFonts w:ascii="Arial" w:cs="Arial" w:eastAsia="Arial" w:hAnsi="Arial"/>
          <w:sz w:val="22"/>
          <w:szCs w:val="22"/>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138670" cy="1390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ind w:left="20"/>
        <w:spacing w:after="0"/>
        <w:rPr>
          <w:sz w:val="20"/>
          <w:szCs w:val="20"/>
          <w:color w:val="auto"/>
        </w:rPr>
      </w:pPr>
      <w:r>
        <w:rPr>
          <w:rFonts w:ascii="Arial" w:cs="Arial" w:eastAsia="Arial" w:hAnsi="Arial"/>
          <w:sz w:val="17"/>
          <w:szCs w:val="17"/>
          <w:color w:val="auto"/>
        </w:rPr>
        <w:t>Income tax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7138670" cy="1390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ind w:left="20"/>
        <w:spacing w:after="0"/>
        <w:rPr>
          <w:sz w:val="20"/>
          <w:szCs w:val="20"/>
          <w:color w:val="auto"/>
        </w:rPr>
      </w:pPr>
      <w:r>
        <w:rPr>
          <w:rFonts w:ascii="Arial" w:cs="Arial" w:eastAsia="Arial" w:hAnsi="Arial"/>
          <w:sz w:val="17"/>
          <w:szCs w:val="17"/>
          <w:color w:val="auto"/>
        </w:rPr>
        <w:t>Other long-term liabilities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Deferred income taxes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010" w:hanging="1010"/>
        <w:spacing w:after="0"/>
        <w:tabs>
          <w:tab w:leader="none" w:pos="1010" w:val="left"/>
        </w:tabs>
        <w:numPr>
          <w:ilvl w:val="0"/>
          <w:numId w:val="3"/>
        </w:numPr>
        <w:rPr>
          <w:rFonts w:ascii="Arial" w:cs="Arial" w:eastAsia="Arial" w:hAnsi="Arial"/>
          <w:sz w:val="16"/>
          <w:szCs w:val="16"/>
          <w:color w:val="auto"/>
        </w:rPr>
      </w:pPr>
      <w:r>
        <w:rPr>
          <w:rFonts w:ascii="Arial" w:cs="Arial" w:eastAsia="Arial" w:hAnsi="Arial"/>
          <w:sz w:val="16"/>
          <w:szCs w:val="16"/>
          <w:color w:val="auto"/>
        </w:rPr>
        <w:t>1,922,955</w:t>
      </w:r>
    </w:p>
    <w:p>
      <w:pPr>
        <w:spacing w:after="0" w:line="35" w:lineRule="exact"/>
        <w:rPr>
          <w:rFonts w:ascii="Arial" w:cs="Arial" w:eastAsia="Arial" w:hAnsi="Arial"/>
          <w:sz w:val="16"/>
          <w:szCs w:val="16"/>
          <w:color w:val="auto"/>
        </w:rPr>
      </w:pPr>
    </w:p>
    <w:p>
      <w:pPr>
        <w:ind w:left="1230"/>
        <w:spacing w:after="0"/>
        <w:rPr>
          <w:rFonts w:ascii="Arial" w:cs="Arial" w:eastAsia="Arial" w:hAnsi="Arial"/>
          <w:sz w:val="16"/>
          <w:szCs w:val="16"/>
          <w:color w:val="auto"/>
        </w:rPr>
      </w:pPr>
      <w:r>
        <w:rPr>
          <w:rFonts w:ascii="Arial" w:cs="Arial" w:eastAsia="Arial" w:hAnsi="Arial"/>
          <w:sz w:val="17"/>
          <w:szCs w:val="17"/>
          <w:color w:val="auto"/>
        </w:rPr>
        <w:t>53,520</w:t>
      </w:r>
    </w:p>
    <w:p>
      <w:pPr>
        <w:spacing w:after="0" w:line="200" w:lineRule="exact"/>
        <w:rPr>
          <w:sz w:val="20"/>
          <w:szCs w:val="20"/>
          <w:color w:val="auto"/>
        </w:rPr>
      </w:pPr>
    </w:p>
    <w:p>
      <w:pPr>
        <w:spacing w:after="0" w:line="301" w:lineRule="exact"/>
        <w:rPr>
          <w:sz w:val="20"/>
          <w:szCs w:val="20"/>
          <w:color w:val="auto"/>
        </w:rPr>
      </w:pPr>
    </w:p>
    <w:p>
      <w:pPr>
        <w:ind w:left="1310"/>
        <w:spacing w:after="0"/>
        <w:rPr>
          <w:sz w:val="20"/>
          <w:szCs w:val="20"/>
          <w:color w:val="auto"/>
        </w:rPr>
      </w:pPr>
      <w:r>
        <w:rPr>
          <w:rFonts w:ascii="Arial" w:cs="Arial" w:eastAsia="Arial" w:hAnsi="Arial"/>
          <w:sz w:val="17"/>
          <w:szCs w:val="17"/>
          <w:color w:val="auto"/>
        </w:rPr>
        <w:t>2,500</w:t>
      </w:r>
    </w:p>
    <w:p>
      <w:pPr>
        <w:spacing w:after="0" w:line="24" w:lineRule="exact"/>
        <w:rPr>
          <w:sz w:val="20"/>
          <w:szCs w:val="20"/>
          <w:color w:val="auto"/>
        </w:rPr>
      </w:pPr>
    </w:p>
    <w:p>
      <w:pPr>
        <w:ind w:left="1230" w:hanging="1230"/>
        <w:spacing w:after="0"/>
        <w:tabs>
          <w:tab w:leader="none" w:pos="1230" w:val="left"/>
        </w:tabs>
        <w:numPr>
          <w:ilvl w:val="0"/>
          <w:numId w:val="4"/>
        </w:numPr>
        <w:rPr>
          <w:rFonts w:ascii="Arial" w:cs="Arial" w:eastAsia="Arial" w:hAnsi="Arial"/>
          <w:sz w:val="17"/>
          <w:szCs w:val="17"/>
          <w:color w:val="auto"/>
        </w:rPr>
      </w:pPr>
      <w:r>
        <w:rPr>
          <w:rFonts w:ascii="Arial" w:cs="Arial" w:eastAsia="Arial" w:hAnsi="Arial"/>
          <w:sz w:val="17"/>
          <w:szCs w:val="17"/>
          <w:color w:val="auto"/>
        </w:rPr>
        <w:t>230.39</w:t>
      </w:r>
    </w:p>
    <w:p>
      <w:pPr>
        <w:spacing w:after="0" w:line="37" w:lineRule="exact"/>
        <w:rPr>
          <w:sz w:val="20"/>
          <w:szCs w:val="20"/>
          <w:color w:val="auto"/>
        </w:rPr>
      </w:pPr>
    </w:p>
    <w:p>
      <w:pPr>
        <w:ind w:left="1150" w:hanging="1150"/>
        <w:spacing w:after="0"/>
        <w:tabs>
          <w:tab w:leader="none" w:pos="1150" w:val="left"/>
        </w:tabs>
        <w:numPr>
          <w:ilvl w:val="0"/>
          <w:numId w:val="5"/>
        </w:numPr>
        <w:rPr>
          <w:rFonts w:ascii="Arial" w:cs="Arial" w:eastAsia="Arial" w:hAnsi="Arial"/>
          <w:sz w:val="16"/>
          <w:szCs w:val="16"/>
          <w:color w:val="auto"/>
        </w:rPr>
      </w:pPr>
      <w:r>
        <w:rPr>
          <w:rFonts w:ascii="Arial" w:cs="Arial" w:eastAsia="Arial" w:hAnsi="Arial"/>
          <w:sz w:val="16"/>
          <w:szCs w:val="16"/>
          <w:color w:val="auto"/>
        </w:rPr>
        <w:t>575,975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22225</wp:posOffset>
            </wp:positionV>
            <wp:extent cx="11379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37920" cy="8255"/>
                    </a:xfrm>
                    <a:prstGeom prst="rect">
                      <a:avLst/>
                    </a:prstGeom>
                    <a:noFill/>
                  </pic:spPr>
                </pic:pic>
              </a:graphicData>
            </a:graphic>
          </wp:anchor>
        </w:drawing>
      </w:r>
    </w:p>
    <w:p>
      <w:pPr>
        <w:spacing w:after="0" w:line="28" w:lineRule="exact"/>
        <w:rPr>
          <w:sz w:val="20"/>
          <w:szCs w:val="20"/>
          <w:color w:val="auto"/>
        </w:rPr>
      </w:pPr>
    </w:p>
    <w:p>
      <w:pPr>
        <w:ind w:left="1010" w:hanging="1010"/>
        <w:spacing w:after="0"/>
        <w:tabs>
          <w:tab w:leader="none" w:pos="1010" w:val="left"/>
        </w:tabs>
        <w:numPr>
          <w:ilvl w:val="0"/>
          <w:numId w:val="6"/>
        </w:numPr>
        <w:rPr>
          <w:rFonts w:ascii="Arial" w:cs="Arial" w:eastAsia="Arial" w:hAnsi="Arial"/>
          <w:sz w:val="16"/>
          <w:szCs w:val="16"/>
          <w:color w:val="auto"/>
        </w:rPr>
      </w:pPr>
      <w:r>
        <w:rPr>
          <w:rFonts w:ascii="Arial" w:cs="Arial" w:eastAsia="Arial" w:hAnsi="Arial"/>
          <w:sz w:val="16"/>
          <w:szCs w:val="16"/>
          <w:color w:val="auto"/>
        </w:rPr>
        <w:t>2,552,450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22225</wp:posOffset>
            </wp:positionV>
            <wp:extent cx="11379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37920" cy="825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left="1230" w:hanging="1230"/>
        <w:spacing w:after="0"/>
        <w:tabs>
          <w:tab w:leader="none" w:pos="1230" w:val="left"/>
        </w:tabs>
        <w:numPr>
          <w:ilvl w:val="0"/>
          <w:numId w:val="7"/>
        </w:numPr>
        <w:rPr>
          <w:rFonts w:ascii="Arial" w:cs="Arial" w:eastAsia="Arial" w:hAnsi="Arial"/>
          <w:sz w:val="17"/>
          <w:szCs w:val="17"/>
          <w:color w:val="auto"/>
        </w:rPr>
      </w:pPr>
      <w:r>
        <w:rPr>
          <w:rFonts w:ascii="Arial" w:cs="Arial" w:eastAsia="Arial" w:hAnsi="Arial"/>
          <w:sz w:val="17"/>
          <w:szCs w:val="17"/>
          <w:color w:val="auto"/>
        </w:rPr>
        <w:t>78,791</w:t>
      </w:r>
    </w:p>
    <w:p>
      <w:pPr>
        <w:spacing w:after="0" w:line="23" w:lineRule="exact"/>
        <w:rPr>
          <w:rFonts w:ascii="Arial" w:cs="Arial" w:eastAsia="Arial" w:hAnsi="Arial"/>
          <w:sz w:val="17"/>
          <w:szCs w:val="17"/>
          <w:color w:val="auto"/>
        </w:rPr>
      </w:pPr>
    </w:p>
    <w:p>
      <w:pPr>
        <w:ind w:left="1150"/>
        <w:spacing w:after="0"/>
        <w:rPr>
          <w:rFonts w:ascii="Arial" w:cs="Arial" w:eastAsia="Arial" w:hAnsi="Arial"/>
          <w:sz w:val="17"/>
          <w:szCs w:val="17"/>
          <w:color w:val="auto"/>
        </w:rPr>
      </w:pPr>
      <w:r>
        <w:rPr>
          <w:rFonts w:ascii="Arial" w:cs="Arial" w:eastAsia="Arial" w:hAnsi="Arial"/>
          <w:sz w:val="16"/>
          <w:szCs w:val="16"/>
          <w:color w:val="auto"/>
        </w:rPr>
        <w:t>120,497</w:t>
      </w:r>
    </w:p>
    <w:p>
      <w:pPr>
        <w:spacing w:after="0" w:line="35" w:lineRule="exact"/>
        <w:rPr>
          <w:rFonts w:ascii="Arial" w:cs="Arial" w:eastAsia="Arial" w:hAnsi="Arial"/>
          <w:sz w:val="17"/>
          <w:szCs w:val="17"/>
          <w:color w:val="auto"/>
        </w:rPr>
      </w:pPr>
    </w:p>
    <w:p>
      <w:pPr>
        <w:ind w:left="1150"/>
        <w:spacing w:after="0"/>
        <w:rPr>
          <w:rFonts w:ascii="Arial" w:cs="Arial" w:eastAsia="Arial" w:hAnsi="Arial"/>
          <w:sz w:val="17"/>
          <w:szCs w:val="17"/>
          <w:color w:val="auto"/>
        </w:rPr>
      </w:pPr>
      <w:r>
        <w:rPr>
          <w:rFonts w:ascii="Arial" w:cs="Arial" w:eastAsia="Arial" w:hAnsi="Arial"/>
          <w:sz w:val="16"/>
          <w:szCs w:val="16"/>
          <w:color w:val="auto"/>
        </w:rPr>
        <w:t>226,996</w:t>
      </w:r>
    </w:p>
    <w:p>
      <w:pPr>
        <w:spacing w:after="0" w:line="35" w:lineRule="exact"/>
        <w:rPr>
          <w:rFonts w:ascii="Arial" w:cs="Arial" w:eastAsia="Arial" w:hAnsi="Arial"/>
          <w:sz w:val="17"/>
          <w:szCs w:val="17"/>
          <w:color w:val="auto"/>
        </w:rPr>
      </w:pPr>
    </w:p>
    <w:p>
      <w:pPr>
        <w:ind w:left="1230"/>
        <w:spacing w:after="0"/>
        <w:rPr>
          <w:rFonts w:ascii="Arial" w:cs="Arial" w:eastAsia="Arial" w:hAnsi="Arial"/>
          <w:sz w:val="17"/>
          <w:szCs w:val="17"/>
          <w:color w:val="auto"/>
        </w:rPr>
      </w:pPr>
      <w:r>
        <w:rPr>
          <w:rFonts w:ascii="Arial" w:cs="Arial" w:eastAsia="Arial" w:hAnsi="Arial"/>
          <w:sz w:val="17"/>
          <w:szCs w:val="17"/>
          <w:color w:val="auto"/>
        </w:rPr>
        <w:t>34,554</w:t>
      </w:r>
    </w:p>
    <w:p>
      <w:pPr>
        <w:spacing w:after="0" w:line="23" w:lineRule="exact"/>
        <w:rPr>
          <w:rFonts w:ascii="Arial" w:cs="Arial" w:eastAsia="Arial" w:hAnsi="Arial"/>
          <w:sz w:val="17"/>
          <w:szCs w:val="17"/>
          <w:color w:val="auto"/>
        </w:rPr>
      </w:pPr>
    </w:p>
    <w:p>
      <w:pPr>
        <w:ind w:left="1150"/>
        <w:spacing w:after="0"/>
        <w:rPr>
          <w:rFonts w:ascii="Arial" w:cs="Arial" w:eastAsia="Arial" w:hAnsi="Arial"/>
          <w:sz w:val="17"/>
          <w:szCs w:val="17"/>
          <w:color w:val="auto"/>
        </w:rPr>
      </w:pPr>
      <w:r>
        <w:rPr>
          <w:rFonts w:ascii="Arial" w:cs="Arial" w:eastAsia="Arial" w:hAnsi="Arial"/>
          <w:sz w:val="16"/>
          <w:szCs w:val="16"/>
          <w:color w:val="auto"/>
        </w:rPr>
        <w:t>210,000</w:t>
      </w:r>
    </w:p>
    <w:p>
      <w:pPr>
        <w:spacing w:after="0" w:line="35" w:lineRule="exact"/>
        <w:rPr>
          <w:rFonts w:ascii="Arial" w:cs="Arial" w:eastAsia="Arial" w:hAnsi="Arial"/>
          <w:sz w:val="17"/>
          <w:szCs w:val="17"/>
          <w:color w:val="auto"/>
        </w:rPr>
      </w:pPr>
    </w:p>
    <w:p>
      <w:pPr>
        <w:ind w:left="1230"/>
        <w:spacing w:after="0"/>
        <w:rPr>
          <w:rFonts w:ascii="Arial" w:cs="Arial" w:eastAsia="Arial" w:hAnsi="Arial"/>
          <w:sz w:val="17"/>
          <w:szCs w:val="17"/>
          <w:color w:val="auto"/>
        </w:rPr>
      </w:pPr>
      <w:r>
        <w:rPr>
          <w:rFonts w:ascii="Arial" w:cs="Arial" w:eastAsia="Arial" w:hAnsi="Arial"/>
          <w:sz w:val="17"/>
          <w:szCs w:val="17"/>
          <w:color w:val="auto"/>
        </w:rPr>
        <w:t>57,225</w:t>
      </w:r>
    </w:p>
    <w:p>
      <w:pPr>
        <w:spacing w:after="0" w:line="23" w:lineRule="exact"/>
        <w:rPr>
          <w:rFonts w:ascii="Arial" w:cs="Arial" w:eastAsia="Arial" w:hAnsi="Arial"/>
          <w:sz w:val="17"/>
          <w:szCs w:val="17"/>
          <w:color w:val="auto"/>
        </w:rPr>
      </w:pPr>
    </w:p>
    <w:p>
      <w:pPr>
        <w:ind w:left="1150"/>
        <w:spacing w:after="0"/>
        <w:rPr>
          <w:rFonts w:ascii="Arial" w:cs="Arial" w:eastAsia="Arial" w:hAnsi="Arial"/>
          <w:sz w:val="17"/>
          <w:szCs w:val="17"/>
          <w:color w:val="auto"/>
        </w:rPr>
      </w:pPr>
      <w:r>
        <w:rPr>
          <w:rFonts w:ascii="Arial" w:cs="Arial" w:eastAsia="Arial" w:hAnsi="Arial"/>
          <w:sz w:val="16"/>
          <w:szCs w:val="16"/>
          <w:color w:val="auto"/>
        </w:rPr>
        <w:t>925,000</w:t>
      </w:r>
    </w:p>
    <w:p>
      <w:pPr>
        <w:spacing w:after="0" w:line="35" w:lineRule="exact"/>
        <w:rPr>
          <w:rFonts w:ascii="Arial" w:cs="Arial" w:eastAsia="Arial" w:hAnsi="Arial"/>
          <w:sz w:val="17"/>
          <w:szCs w:val="17"/>
          <w:color w:val="auto"/>
        </w:rPr>
      </w:pPr>
    </w:p>
    <w:p>
      <w:pPr>
        <w:ind w:left="1310"/>
        <w:spacing w:after="0"/>
        <w:rPr>
          <w:rFonts w:ascii="Arial" w:cs="Arial" w:eastAsia="Arial" w:hAnsi="Arial"/>
          <w:sz w:val="17"/>
          <w:szCs w:val="17"/>
          <w:color w:val="auto"/>
        </w:rPr>
      </w:pPr>
      <w:r>
        <w:rPr>
          <w:rFonts w:ascii="Arial" w:cs="Arial" w:eastAsia="Arial" w:hAnsi="Arial"/>
          <w:sz w:val="17"/>
          <w:szCs w:val="17"/>
          <w:color w:val="auto"/>
        </w:rPr>
        <w:t>9,303</w:t>
      </w:r>
    </w:p>
    <w:p>
      <w:pPr>
        <w:spacing w:after="0" w:line="23" w:lineRule="exact"/>
        <w:rPr>
          <w:rFonts w:ascii="Arial" w:cs="Arial" w:eastAsia="Arial" w:hAnsi="Arial"/>
          <w:sz w:val="17"/>
          <w:szCs w:val="17"/>
          <w:color w:val="auto"/>
        </w:rPr>
      </w:pPr>
    </w:p>
    <w:p>
      <w:pPr>
        <w:ind w:left="1450"/>
        <w:spacing w:after="0"/>
        <w:rPr>
          <w:rFonts w:ascii="Arial" w:cs="Arial" w:eastAsia="Arial" w:hAnsi="Arial"/>
          <w:sz w:val="17"/>
          <w:szCs w:val="17"/>
          <w:color w:val="auto"/>
        </w:rPr>
      </w:pPr>
      <w:r>
        <w:rPr>
          <w:rFonts w:ascii="Arial" w:cs="Arial" w:eastAsia="Arial" w:hAnsi="Arial"/>
          <w:sz w:val="17"/>
          <w:szCs w:val="17"/>
          <w:color w:val="auto"/>
        </w:rPr>
        <w:t>379</w:t>
      </w:r>
    </w:p>
    <w:p>
      <w:pPr>
        <w:spacing w:after="0" w:line="24"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(105,291)</w:t>
      </w:r>
    </w:p>
    <w:p>
      <w:pPr>
        <w:spacing w:after="0" w:line="24"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(175,098)</w:t>
      </w:r>
    </w:p>
    <w:p>
      <w:pPr>
        <w:spacing w:after="0" w:line="24"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(24,332)</w:t>
      </w:r>
    </w:p>
    <w:p>
      <w:pPr>
        <w:spacing w:after="0" w:line="24"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(85,739)</w:t>
      </w:r>
    </w:p>
    <w:p>
      <w:pPr>
        <w:spacing w:after="0" w:line="24"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(212,950)</w:t>
      </w:r>
    </w:p>
    <w:p>
      <w:pPr>
        <w:spacing w:after="0" w:line="21" w:lineRule="exact"/>
        <w:rPr>
          <w:sz w:val="20"/>
          <w:szCs w:val="20"/>
          <w:color w:val="auto"/>
        </w:rPr>
      </w:pPr>
    </w:p>
    <w:p>
      <w:pPr>
        <w:sectPr>
          <w:pgSz w:w="11900" w:h="16838" w:orient="portrait"/>
          <w:cols w:equalWidth="0" w:num="2">
            <w:col w:w="8900" w:space="570"/>
            <w:col w:w="1770"/>
          </w:cols>
          <w:pgMar w:left="320" w:top="121" w:right="339" w:bottom="1440" w:gutter="0" w:footer="0" w:header="0"/>
        </w:sectPr>
      </w:pPr>
    </w:p>
    <w:tbl>
      <w:tblPr>
        <w:tblLayout w:type="fixed"/>
        <w:tblInd w:w="0" w:type="dxa"/>
        <w:tblCellMar>
          <w:top w:w="0" w:type="dxa"/>
          <w:left w:w="0" w:type="dxa"/>
          <w:bottom w:w="0" w:type="dxa"/>
          <w:right w:w="0" w:type="dxa"/>
        </w:tblCellMar>
      </w:tblPr>
      <w:tr>
        <w:trPr>
          <w:trHeight w:val="214"/>
        </w:trPr>
        <w:tc>
          <w:tcPr>
            <w:tcW w:w="9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identifiable net assets acquired</w:t>
            </w:r>
          </w:p>
        </w:tc>
        <w:tc>
          <w:tcPr>
            <w:tcW w:w="560" w:type="dxa"/>
            <w:vAlign w:val="bottom"/>
            <w:tcBorders>
              <w:top w:val="single" w:sz="8" w:color="auto"/>
              <w:bottom w:val="single" w:sz="8" w:color="auto"/>
            </w:tcBorders>
            <w:shd w:val="clear" w:color="auto" w:fill="CCEEFF"/>
          </w:tcPr>
          <w:p>
            <w:pPr>
              <w:jc w:val="right"/>
              <w:ind w:right="374"/>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1,059,335</w:t>
            </w:r>
          </w:p>
        </w:tc>
      </w:tr>
      <w:tr>
        <w:trPr>
          <w:trHeight w:val="211"/>
        </w:trPr>
        <w:tc>
          <w:tcPr>
            <w:tcW w:w="94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Goodwill - not tax deductible</w:t>
            </w:r>
          </w:p>
        </w:tc>
        <w:tc>
          <w:tcPr>
            <w:tcW w:w="5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1,493,115</w:t>
            </w:r>
          </w:p>
        </w:tc>
      </w:tr>
      <w:tr>
        <w:trPr>
          <w:trHeight w:val="238"/>
        </w:trPr>
        <w:tc>
          <w:tcPr>
            <w:tcW w:w="9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Estimated Purchase Consideration</w:t>
            </w:r>
          </w:p>
        </w:tc>
        <w:tc>
          <w:tcPr>
            <w:tcW w:w="560" w:type="dxa"/>
            <w:vAlign w:val="bottom"/>
            <w:tcBorders>
              <w:bottom w:val="single" w:sz="8" w:color="auto"/>
            </w:tcBorders>
            <w:shd w:val="clear" w:color="auto" w:fill="CCEEFF"/>
          </w:tcPr>
          <w:p>
            <w:pPr>
              <w:jc w:val="right"/>
              <w:ind w:right="37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2,552,450</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w:t>
      </w:r>
    </w:p>
    <w:p>
      <w:pPr>
        <w:spacing w:after="0" w:line="67" w:lineRule="exact"/>
        <w:rPr>
          <w:sz w:val="20"/>
          <w:szCs w:val="20"/>
          <w:color w:val="auto"/>
        </w:rPr>
      </w:pPr>
    </w:p>
    <w:p>
      <w:pPr>
        <w:ind w:left="320" w:right="80" w:hanging="317"/>
        <w:spacing w:after="0" w:line="232" w:lineRule="auto"/>
        <w:tabs>
          <w:tab w:leader="none" w:pos="228" w:val="left"/>
        </w:tabs>
        <w:numPr>
          <w:ilvl w:val="0"/>
          <w:numId w:val="8"/>
        </w:numPr>
        <w:rPr>
          <w:rFonts w:ascii="Arial" w:cs="Arial" w:eastAsia="Arial" w:hAnsi="Arial"/>
          <w:sz w:val="20"/>
          <w:szCs w:val="20"/>
          <w:color w:val="auto"/>
          <w:vertAlign w:val="superscript"/>
        </w:rPr>
      </w:pPr>
      <w:r>
        <w:rPr>
          <w:rFonts w:ascii="Arial" w:cs="Arial" w:eastAsia="Arial" w:hAnsi="Arial"/>
          <w:sz w:val="15"/>
          <w:szCs w:val="15"/>
          <w:color w:val="auto"/>
        </w:rPr>
        <w:t>Preliminary identifiable intangible assets include $500.0 million of customer relationships, $420.0 million of developed technology, and $5.0 million of trade mark. The estimated weighted-average amortization period for the total identifiable intangible assets is approximately nine years, and, for each identifiable intangible asset is estimated as follows: eight years for customer relationships, ten years for developed technology, and six months for the trade mark.</w:t>
      </w:r>
    </w:p>
    <w:p>
      <w:pPr>
        <w:spacing w:after="0" w:line="37" w:lineRule="exact"/>
        <w:rPr>
          <w:rFonts w:ascii="Arial" w:cs="Arial" w:eastAsia="Arial" w:hAnsi="Arial"/>
          <w:sz w:val="20"/>
          <w:szCs w:val="20"/>
          <w:color w:val="auto"/>
          <w:vertAlign w:val="superscript"/>
        </w:rPr>
      </w:pPr>
    </w:p>
    <w:p>
      <w:pPr>
        <w:ind w:left="320" w:right="160" w:hanging="317"/>
        <w:spacing w:after="0" w:line="224" w:lineRule="auto"/>
        <w:tabs>
          <w:tab w:leader="none" w:pos="228" w:val="left"/>
        </w:tabs>
        <w:numPr>
          <w:ilvl w:val="0"/>
          <w:numId w:val="8"/>
        </w:numPr>
        <w:rPr>
          <w:rFonts w:ascii="Arial" w:cs="Arial" w:eastAsia="Arial" w:hAnsi="Arial"/>
          <w:sz w:val="20"/>
          <w:szCs w:val="20"/>
          <w:color w:val="auto"/>
          <w:vertAlign w:val="superscript"/>
        </w:rPr>
      </w:pPr>
      <w:r>
        <w:rPr>
          <w:rFonts w:ascii="Arial" w:cs="Arial" w:eastAsia="Arial" w:hAnsi="Arial"/>
          <w:sz w:val="15"/>
          <w:szCs w:val="15"/>
          <w:color w:val="auto"/>
        </w:rPr>
        <w:t>Preliminary accrued liabilities includes, among other things, accrued warranty reserves, accrued restructuring initiatives, accrued salaries and related benefits, deferred revenue and accrued sales and use taxes.</w:t>
      </w:r>
    </w:p>
    <w:p>
      <w:pPr>
        <w:spacing w:after="0" w:line="213" w:lineRule="exact"/>
        <w:rPr>
          <w:sz w:val="20"/>
          <w:szCs w:val="20"/>
          <w:color w:val="auto"/>
        </w:rPr>
      </w:pPr>
    </w:p>
    <w:p>
      <w:pPr>
        <w:ind w:right="280" w:firstLine="619"/>
        <w:spacing w:after="0" w:line="279" w:lineRule="auto"/>
        <w:rPr>
          <w:sz w:val="20"/>
          <w:szCs w:val="20"/>
          <w:color w:val="auto"/>
        </w:rPr>
      </w:pPr>
      <w:r>
        <w:rPr>
          <w:rFonts w:ascii="Arial" w:cs="Arial" w:eastAsia="Arial" w:hAnsi="Arial"/>
          <w:sz w:val="17"/>
          <w:szCs w:val="17"/>
          <w:color w:val="auto"/>
        </w:rPr>
        <w:t>The above purchase price and purchase price allocation are preliminary and subject to future revision as the acquired assets and liabilities assumed are dependent upon the finalization of the related valuations.</w:t>
      </w:r>
    </w:p>
    <w:p>
      <w:pPr>
        <w:spacing w:after="0" w:line="177" w:lineRule="exact"/>
        <w:rPr>
          <w:sz w:val="20"/>
          <w:szCs w:val="20"/>
          <w:color w:val="auto"/>
        </w:rPr>
      </w:pPr>
    </w:p>
    <w:p>
      <w:pPr>
        <w:ind w:right="120" w:firstLine="619"/>
        <w:spacing w:after="0"/>
        <w:rPr>
          <w:sz w:val="20"/>
          <w:szCs w:val="20"/>
          <w:color w:val="auto"/>
        </w:rPr>
      </w:pPr>
      <w:r>
        <w:rPr>
          <w:rFonts w:ascii="Arial" w:cs="Arial" w:eastAsia="Arial" w:hAnsi="Arial"/>
          <w:sz w:val="16"/>
          <w:szCs w:val="16"/>
          <w:color w:val="auto"/>
        </w:rPr>
        <w:t>The identifiable intangible assets and other long-lived assets acquired have been valued as Level 3 assets at fair value. The estimated fair value of identifiable intangible assets were developed using the income approach and are based on critical estimates, judgments and assumptions derived from: analysis of market conditions; discount rate; discounted cash flows; royalty rates; customer retention rates; and/or estimated useful lives. Certain other intangible assets were valued using a cost to replace method, estimating the labor and non-labor costs required to replace the asset under the premise that it was not part of the transaction. Property, plant and equipment was valued with the consideration of remaining economic lives. The raw materials inventory was valued at historical cost and adjusted for any obsolescence which we estimate to approximate replacement cost, the work in process was valued at estimated sales proceeds less costs to complete and costs to sell, and finished goods inventory was valued at estimated sales proceeds less costs to sell. The prepaid expenses and other current assets and assumed liabilities were recorded at their carrying values as of the date of the acquisition, as their carrying values approximated their fair values due to their short-term nature.</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316"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Unaudited Pro Forma Information</w:t>
      </w:r>
    </w:p>
    <w:p>
      <w:pPr>
        <w:spacing w:after="0" w:line="243" w:lineRule="exact"/>
        <w:rPr>
          <w:sz w:val="20"/>
          <w:szCs w:val="20"/>
          <w:color w:val="auto"/>
        </w:rPr>
      </w:pPr>
    </w:p>
    <w:p>
      <w:pPr>
        <w:ind w:right="80" w:firstLine="619"/>
        <w:spacing w:after="0" w:line="259" w:lineRule="auto"/>
        <w:rPr>
          <w:sz w:val="20"/>
          <w:szCs w:val="20"/>
          <w:color w:val="auto"/>
        </w:rPr>
      </w:pPr>
      <w:r>
        <w:rPr>
          <w:rFonts w:ascii="Arial" w:cs="Arial" w:eastAsia="Arial" w:hAnsi="Arial"/>
          <w:sz w:val="17"/>
          <w:szCs w:val="17"/>
          <w:color w:val="auto"/>
        </w:rPr>
        <w:t>Smiths Medical is included in our consolidated results beginning on January 7, 2022. Total revenues and net loss attributable to Smiths Medical for the period from January 7, 2022 to March 31, 2022 were $214.9 million and $40.4 million, respectively. The following unaudited pro forma financial information presents the combined results of operations of ICU and Smiths Medical as if the acquisition had occurred on January 1, 2021. The pro forma financial information is presented for informational purposes only and is not indicative of the results of operations that would have been achieved if the acquisition had taken place on the date indicated or of results that may occur in the future.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380" w:type="dxa"/>
            <w:vAlign w:val="bottom"/>
            <w:gridSpan w:val="4"/>
          </w:tcPr>
          <w:p>
            <w:pPr>
              <w:ind w:left="440"/>
              <w:spacing w:after="0"/>
              <w:rPr>
                <w:sz w:val="20"/>
                <w:szCs w:val="20"/>
                <w:color w:val="auto"/>
              </w:rPr>
            </w:pPr>
            <w:r>
              <w:rPr>
                <w:rFonts w:ascii="Arial" w:cs="Arial" w:eastAsia="Arial" w:hAnsi="Arial"/>
                <w:sz w:val="15"/>
                <w:szCs w:val="15"/>
                <w:b w:val="1"/>
                <w:bCs w:val="1"/>
                <w:color w:val="auto"/>
              </w:rPr>
              <w:t>Three months ended March 31,</w:t>
            </w:r>
          </w:p>
        </w:tc>
      </w:tr>
      <w:tr>
        <w:trPr>
          <w:trHeight w:val="209"/>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(In thousands)</w:t>
            </w: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8"/>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7"/>
              <w:spacing w:after="0"/>
              <w:rPr>
                <w:sz w:val="20"/>
                <w:szCs w:val="20"/>
                <w:color w:val="auto"/>
              </w:rPr>
            </w:pPr>
            <w:r>
              <w:rPr>
                <w:rFonts w:ascii="Arial" w:cs="Arial" w:eastAsia="Arial" w:hAnsi="Arial"/>
                <w:sz w:val="15"/>
                <w:szCs w:val="15"/>
                <w:b w:val="1"/>
                <w:bCs w:val="1"/>
                <w:color w:val="auto"/>
              </w:rPr>
              <w:t>2021</w:t>
            </w:r>
          </w:p>
        </w:tc>
      </w:tr>
      <w:tr>
        <w:trPr>
          <w:trHeight w:val="215"/>
        </w:trPr>
        <w:tc>
          <w:tcPr>
            <w:tcW w:w="7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Revenues</w:t>
            </w:r>
          </w:p>
        </w:tc>
        <w:tc>
          <w:tcPr>
            <w:tcW w:w="44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ind w:left="800"/>
              <w:spacing w:after="0"/>
              <w:rPr>
                <w:sz w:val="20"/>
                <w:szCs w:val="20"/>
                <w:color w:val="auto"/>
              </w:rPr>
            </w:pPr>
            <w:r>
              <w:rPr>
                <w:rFonts w:ascii="Arial" w:cs="Arial" w:eastAsia="Arial" w:hAnsi="Arial"/>
                <w:sz w:val="17"/>
                <w:szCs w:val="17"/>
                <w:color w:val="auto"/>
                <w:w w:val="97"/>
              </w:rPr>
              <w:t>563,743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594,144</w:t>
            </w:r>
          </w:p>
        </w:tc>
      </w:tr>
      <w:tr>
        <w:trPr>
          <w:trHeight w:val="218"/>
        </w:trPr>
        <w:tc>
          <w:tcPr>
            <w:tcW w:w="7420" w:type="dxa"/>
            <w:vAlign w:val="bottom"/>
          </w:tcPr>
          <w:p>
            <w:pPr>
              <w:ind w:left="20"/>
              <w:spacing w:after="0"/>
              <w:rPr>
                <w:sz w:val="20"/>
                <w:szCs w:val="20"/>
                <w:color w:val="auto"/>
              </w:rPr>
            </w:pPr>
            <w:r>
              <w:rPr>
                <w:rFonts w:ascii="Arial" w:cs="Arial" w:eastAsia="Arial" w:hAnsi="Arial"/>
                <w:sz w:val="17"/>
                <w:szCs w:val="17"/>
                <w:color w:val="auto"/>
              </w:rPr>
              <w:t>Net Loss</w:t>
            </w:r>
          </w:p>
        </w:tc>
        <w:tc>
          <w:tcPr>
            <w:tcW w:w="440" w:type="dxa"/>
            <w:vAlign w:val="bottom"/>
          </w:tcPr>
          <w:p>
            <w:pPr>
              <w:jc w:val="right"/>
              <w:ind w:right="234"/>
              <w:spacing w:after="0"/>
              <w:rPr>
                <w:sz w:val="20"/>
                <w:szCs w:val="20"/>
                <w:color w:val="auto"/>
              </w:rPr>
            </w:pPr>
            <w:r>
              <w:rPr>
                <w:rFonts w:ascii="Arial" w:cs="Arial" w:eastAsia="Arial" w:hAnsi="Arial"/>
                <w:sz w:val="17"/>
                <w:szCs w:val="17"/>
                <w:color w:val="auto"/>
              </w:rPr>
              <w:t>$</w:t>
            </w:r>
          </w:p>
        </w:tc>
        <w:tc>
          <w:tcPr>
            <w:tcW w:w="1420" w:type="dxa"/>
            <w:vAlign w:val="bottom"/>
          </w:tcPr>
          <w:p>
            <w:pPr>
              <w:ind w:left="820"/>
              <w:spacing w:after="0"/>
              <w:rPr>
                <w:sz w:val="20"/>
                <w:szCs w:val="20"/>
                <w:color w:val="auto"/>
              </w:rPr>
            </w:pPr>
            <w:r>
              <w:rPr>
                <w:rFonts w:ascii="Arial" w:cs="Arial" w:eastAsia="Arial" w:hAnsi="Arial"/>
                <w:sz w:val="17"/>
                <w:szCs w:val="17"/>
                <w:color w:val="auto"/>
                <w:w w:val="91"/>
              </w:rPr>
              <w:t>(34,994)</w:t>
            </w:r>
          </w:p>
        </w:tc>
        <w:tc>
          <w:tcPr>
            <w:tcW w:w="100" w:type="dxa"/>
            <w:vAlign w:val="bottom"/>
          </w:tcPr>
          <w:p>
            <w:pPr>
              <w:spacing w:after="0"/>
              <w:rPr>
                <w:sz w:val="18"/>
                <w:szCs w:val="18"/>
                <w:color w:val="auto"/>
              </w:rPr>
            </w:pPr>
          </w:p>
        </w:tc>
        <w:tc>
          <w:tcPr>
            <w:tcW w:w="440" w:type="dxa"/>
            <w:vAlign w:val="bottom"/>
          </w:tcPr>
          <w:p>
            <w:pPr>
              <w:jc w:val="right"/>
              <w:ind w:right="234"/>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(1,994)</w:t>
            </w:r>
          </w:p>
        </w:tc>
      </w:tr>
    </w:tbl>
    <w:p>
      <w:pPr>
        <w:spacing w:after="0" w:line="311" w:lineRule="exact"/>
        <w:rPr>
          <w:sz w:val="20"/>
          <w:szCs w:val="20"/>
          <w:color w:val="auto"/>
        </w:rPr>
      </w:pPr>
    </w:p>
    <w:p>
      <w:pPr>
        <w:ind w:right="20" w:firstLine="619"/>
        <w:spacing w:after="0" w:line="274" w:lineRule="auto"/>
        <w:rPr>
          <w:sz w:val="20"/>
          <w:szCs w:val="20"/>
          <w:color w:val="auto"/>
        </w:rPr>
      </w:pPr>
      <w:r>
        <w:rPr>
          <w:rFonts w:ascii="Arial" w:cs="Arial" w:eastAsia="Arial" w:hAnsi="Arial"/>
          <w:sz w:val="16"/>
          <w:szCs w:val="16"/>
          <w:color w:val="auto"/>
        </w:rPr>
        <w:t>The unaudited pro forma results presented above include the impact of the following adjustments: incremental amortization expense on intangible assets acquired of $3.3 million and $26.3 million for the three months ended March 31, 2022 and 2021, respectively, incremental interest expense, including amortization of debt discount and debt issuance costs, on the Credit Facilities of $0.8 million and $12.6 million for the three months ended March 31, 2022 and 2021, respectively; and a $18.8 million expense related to the increase in fair value of inventory for the three months ended March 31, 2021. In addition, there were non-recurring adjustments directly attributable to the business combination, including acquisition-related cost of $13.5 million for the three months ended March 31, 2021 and adjustments related to the extinguishment of related party loans receivable and payable equal to $81.0 million and $31.0 million for the three months ended March 31, 2022 and 2021, respectively. The unaudited pro forma results include IFRS to U.S. GAAP adjustments for Smiths Medical historical results and adjustments for accounting policy alignment, which were materially similar to the Company. Any differences in accounting policies were adjusted to reflect the accounting policies of the Company in the unaudited pro forma results presented.</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2021 Acquisition</w:t>
      </w:r>
    </w:p>
    <w:p>
      <w:pPr>
        <w:spacing w:after="0" w:line="243" w:lineRule="exact"/>
        <w:rPr>
          <w:sz w:val="20"/>
          <w:szCs w:val="20"/>
          <w:color w:val="auto"/>
        </w:rPr>
      </w:pPr>
    </w:p>
    <w:p>
      <w:pPr>
        <w:ind w:right="100" w:firstLine="619"/>
        <w:spacing w:after="0" w:line="258" w:lineRule="auto"/>
        <w:rPr>
          <w:sz w:val="20"/>
          <w:szCs w:val="20"/>
          <w:color w:val="auto"/>
        </w:rPr>
      </w:pPr>
      <w:r>
        <w:rPr>
          <w:rFonts w:ascii="Arial" w:cs="Arial" w:eastAsia="Arial" w:hAnsi="Arial"/>
          <w:sz w:val="17"/>
          <w:szCs w:val="17"/>
          <w:color w:val="auto"/>
        </w:rPr>
        <w:t>During November 2021, we acquired a small foreign infusion systems supplier and paid an initial gross cash payment of approximately $15.4 million. In addition to the initial cash consideration, total consideration for the acquisition includes an additional holdback of $0.5 million, to be paid two years from the completion date of the acquisition, and also a potential earn-out payment of up to $2.5 million, consisting of (i) a cash payment of $1.0 million contingent on the achievement of certain revenue targets for the annual period ending December 31, 2022 and, separately, (ii) a cash payment of $1.5 million contingent on certain product-related regulatory certifications obtained by May 26, 2024. As of March 31, 2022, the total consideration which includes the acquisition date fair value of the contingent consideration was $17.1 million.</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Restructuring, Strategic Transaction and Integration</w:t>
      </w:r>
    </w:p>
    <w:p>
      <w:pPr>
        <w:spacing w:after="0" w:line="249" w:lineRule="exact"/>
        <w:rPr>
          <w:sz w:val="20"/>
          <w:szCs w:val="20"/>
          <w:color w:val="auto"/>
        </w:rPr>
      </w:pPr>
    </w:p>
    <w:p>
      <w:pPr>
        <w:ind w:right="660" w:firstLine="172"/>
        <w:spacing w:after="0" w:line="279" w:lineRule="auto"/>
        <w:rPr>
          <w:sz w:val="20"/>
          <w:szCs w:val="20"/>
          <w:color w:val="auto"/>
        </w:rPr>
      </w:pPr>
      <w:r>
        <w:rPr>
          <w:rFonts w:ascii="Arial" w:cs="Arial" w:eastAsia="Arial" w:hAnsi="Arial"/>
          <w:sz w:val="17"/>
          <w:szCs w:val="17"/>
          <w:color w:val="auto"/>
        </w:rPr>
        <w:t>Restructuring, strategic transaction and integration expenses were $33.9 million and $2.9 million for the three months ended March 31, 2022 and 2021, respectively.</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Restructuring</w:t>
      </w:r>
    </w:p>
    <w:p>
      <w:pPr>
        <w:spacing w:after="0" w:line="243" w:lineRule="exact"/>
        <w:rPr>
          <w:sz w:val="20"/>
          <w:szCs w:val="20"/>
          <w:color w:val="auto"/>
        </w:rPr>
      </w:pPr>
    </w:p>
    <w:p>
      <w:pPr>
        <w:ind w:right="220" w:firstLine="172"/>
        <w:spacing w:after="0" w:line="279" w:lineRule="auto"/>
        <w:rPr>
          <w:sz w:val="20"/>
          <w:szCs w:val="20"/>
          <w:color w:val="auto"/>
        </w:rPr>
      </w:pPr>
      <w:r>
        <w:rPr>
          <w:rFonts w:ascii="Arial" w:cs="Arial" w:eastAsia="Arial" w:hAnsi="Arial"/>
          <w:sz w:val="17"/>
          <w:szCs w:val="17"/>
          <w:color w:val="auto"/>
        </w:rPr>
        <w:t>During the three months ended March 31, 2022, restructuring charges were $3.2 million and were related to severance costs. Restructuring charges during the three months ended March 31, 2021 were not material.</w:t>
      </w:r>
    </w:p>
    <w:p>
      <w:pPr>
        <w:spacing w:after="0" w:line="164"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summarizes the activity in our restructuring-related accrual by major type of cost for the period ended March 31, 2022 (in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vMerge w:val="restart"/>
          </w:tcPr>
          <w:p>
            <w:pPr>
              <w:jc w:val="center"/>
              <w:ind w:right="180"/>
              <w:spacing w:after="0"/>
              <w:rPr>
                <w:sz w:val="20"/>
                <w:szCs w:val="20"/>
                <w:color w:val="auto"/>
              </w:rPr>
            </w:pPr>
            <w:r>
              <w:rPr>
                <w:rFonts w:ascii="Arial" w:cs="Arial" w:eastAsia="Arial" w:hAnsi="Arial"/>
                <w:sz w:val="15"/>
                <w:szCs w:val="15"/>
                <w:b w:val="1"/>
                <w:bCs w:val="1"/>
                <w:color w:val="auto"/>
                <w:w w:val="91"/>
              </w:rPr>
              <w:t>Accrued Balance</w:t>
            </w:r>
          </w:p>
        </w:tc>
        <w:tc>
          <w:tcPr>
            <w:tcW w:w="16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5"/>
              </w:rPr>
              <w:t>Acquired</w:t>
            </w:r>
          </w:p>
        </w:tc>
        <w:tc>
          <w:tcPr>
            <w:tcW w:w="240" w:type="dxa"/>
            <w:vAlign w:val="bottom"/>
          </w:tcPr>
          <w:p>
            <w:pPr>
              <w:spacing w:after="0"/>
              <w:rPr>
                <w:sz w:val="14"/>
                <w:szCs w:val="14"/>
                <w:color w:val="auto"/>
              </w:rPr>
            </w:pPr>
          </w:p>
        </w:tc>
        <w:tc>
          <w:tcPr>
            <w:tcW w:w="1200" w:type="dxa"/>
            <w:vAlign w:val="bottom"/>
            <w:gridSpan w:val="2"/>
            <w:vMerge w:val="restart"/>
          </w:tcPr>
          <w:p>
            <w:pPr>
              <w:ind w:left="160"/>
              <w:spacing w:after="0"/>
              <w:rPr>
                <w:sz w:val="20"/>
                <w:szCs w:val="20"/>
                <w:color w:val="auto"/>
              </w:rPr>
            </w:pPr>
            <w:r>
              <w:rPr>
                <w:rFonts w:ascii="Arial" w:cs="Arial" w:eastAsia="Arial" w:hAnsi="Arial"/>
                <w:sz w:val="15"/>
                <w:szCs w:val="15"/>
                <w:b w:val="1"/>
                <w:bCs w:val="1"/>
                <w:color w:val="auto"/>
              </w:rPr>
              <w:t>Charges</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vMerge w:val="restart"/>
          </w:tcPr>
          <w:p>
            <w:pPr>
              <w:jc w:val="right"/>
              <w:ind w:right="338"/>
              <w:spacing w:after="0"/>
              <w:rPr>
                <w:sz w:val="20"/>
                <w:szCs w:val="20"/>
                <w:color w:val="auto"/>
              </w:rPr>
            </w:pPr>
            <w:r>
              <w:rPr>
                <w:rFonts w:ascii="Arial" w:cs="Arial" w:eastAsia="Arial" w:hAnsi="Arial"/>
                <w:sz w:val="15"/>
                <w:szCs w:val="15"/>
                <w:b w:val="1"/>
                <w:bCs w:val="1"/>
                <w:color w:val="auto"/>
              </w:rPr>
              <w:t>Currency</w:t>
            </w:r>
          </w:p>
        </w:tc>
        <w:tc>
          <w:tcPr>
            <w:tcW w:w="160" w:type="dxa"/>
            <w:vAlign w:val="bottom"/>
          </w:tcPr>
          <w:p>
            <w:pPr>
              <w:spacing w:after="0"/>
              <w:rPr>
                <w:sz w:val="14"/>
                <w:szCs w:val="14"/>
                <w:color w:val="auto"/>
              </w:rPr>
            </w:pPr>
          </w:p>
        </w:tc>
        <w:tc>
          <w:tcPr>
            <w:tcW w:w="1240" w:type="dxa"/>
            <w:vAlign w:val="bottom"/>
            <w:vMerge w:val="restart"/>
          </w:tcPr>
          <w:p>
            <w:pPr>
              <w:jc w:val="right"/>
              <w:ind w:right="38"/>
              <w:spacing w:after="0"/>
              <w:rPr>
                <w:sz w:val="20"/>
                <w:szCs w:val="20"/>
                <w:color w:val="auto"/>
              </w:rPr>
            </w:pPr>
            <w:r>
              <w:rPr>
                <w:rFonts w:ascii="Arial" w:cs="Arial" w:eastAsia="Arial" w:hAnsi="Arial"/>
                <w:sz w:val="15"/>
                <w:szCs w:val="15"/>
                <w:b w:val="1"/>
                <w:bCs w:val="1"/>
                <w:color w:val="auto"/>
                <w:w w:val="90"/>
              </w:rPr>
              <w:t>Accrued Balance</w:t>
            </w:r>
          </w:p>
        </w:tc>
        <w:tc>
          <w:tcPr>
            <w:tcW w:w="0" w:type="dxa"/>
            <w:vAlign w:val="bottom"/>
          </w:tcPr>
          <w:p>
            <w:pPr>
              <w:spacing w:after="0"/>
              <w:rPr>
                <w:sz w:val="1"/>
                <w:szCs w:val="1"/>
                <w:color w:val="auto"/>
              </w:rPr>
            </w:pPr>
          </w:p>
        </w:tc>
      </w:tr>
      <w:tr>
        <w:trPr>
          <w:trHeight w:val="155"/>
        </w:trPr>
        <w:tc>
          <w:tcPr>
            <w:tcW w:w="2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240"/>
              <w:spacing w:after="0" w:line="155" w:lineRule="exact"/>
              <w:rPr>
                <w:sz w:val="20"/>
                <w:szCs w:val="20"/>
                <w:color w:val="auto"/>
              </w:rPr>
            </w:pPr>
            <w:r>
              <w:rPr>
                <w:rFonts w:ascii="Arial" w:cs="Arial" w:eastAsia="Arial" w:hAnsi="Arial"/>
                <w:sz w:val="15"/>
                <w:szCs w:val="15"/>
                <w:b w:val="1"/>
                <w:bCs w:val="1"/>
                <w:color w:val="auto"/>
                <w:w w:val="95"/>
              </w:rPr>
              <w:t>Restructuring</w:t>
            </w:r>
          </w:p>
        </w:tc>
        <w:tc>
          <w:tcPr>
            <w:tcW w:w="24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5"/>
                <w:szCs w:val="15"/>
                <w:b w:val="1"/>
                <w:bCs w:val="1"/>
                <w:color w:val="auto"/>
              </w:rPr>
              <w:t>Payments</w:t>
            </w:r>
          </w:p>
        </w:tc>
        <w:tc>
          <w:tcPr>
            <w:tcW w:w="20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4"/>
              </w:rPr>
              <w:t>January 1, 2022</w:t>
            </w:r>
          </w:p>
        </w:tc>
        <w:tc>
          <w:tcPr>
            <w:tcW w:w="16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5"/>
              </w:rPr>
              <w:t>Liabilities</w:t>
            </w:r>
          </w:p>
        </w:tc>
        <w:tc>
          <w:tcPr>
            <w:tcW w:w="240" w:type="dxa"/>
            <w:vAlign w:val="bottom"/>
          </w:tcPr>
          <w:p>
            <w:pPr>
              <w:spacing w:after="0"/>
              <w:rPr>
                <w:sz w:val="17"/>
                <w:szCs w:val="17"/>
                <w:color w:val="auto"/>
              </w:rPr>
            </w:pPr>
          </w:p>
        </w:tc>
        <w:tc>
          <w:tcPr>
            <w:tcW w:w="1200" w:type="dxa"/>
            <w:vAlign w:val="bottom"/>
            <w:gridSpan w:val="2"/>
          </w:tcPr>
          <w:p>
            <w:pPr>
              <w:ind w:left="140"/>
              <w:spacing w:after="0"/>
              <w:rPr>
                <w:sz w:val="20"/>
                <w:szCs w:val="20"/>
                <w:color w:val="auto"/>
              </w:rPr>
            </w:pPr>
            <w:r>
              <w:rPr>
                <w:rFonts w:ascii="Arial" w:cs="Arial" w:eastAsia="Arial" w:hAnsi="Arial"/>
                <w:sz w:val="15"/>
                <w:szCs w:val="15"/>
                <w:b w:val="1"/>
                <w:bCs w:val="1"/>
                <w:color w:val="auto"/>
              </w:rPr>
              <w:t>Incurred</w:t>
            </w:r>
          </w:p>
        </w:tc>
        <w:tc>
          <w:tcPr>
            <w:tcW w:w="24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ind w:right="258"/>
              <w:spacing w:after="0"/>
              <w:rPr>
                <w:sz w:val="20"/>
                <w:szCs w:val="20"/>
                <w:color w:val="auto"/>
              </w:rPr>
            </w:pPr>
            <w:r>
              <w:rPr>
                <w:rFonts w:ascii="Arial" w:cs="Arial" w:eastAsia="Arial" w:hAnsi="Arial"/>
                <w:sz w:val="15"/>
                <w:szCs w:val="15"/>
                <w:b w:val="1"/>
                <w:bCs w:val="1"/>
                <w:color w:val="auto"/>
              </w:rPr>
              <w:t>Translation</w:t>
            </w:r>
          </w:p>
        </w:tc>
        <w:tc>
          <w:tcPr>
            <w:tcW w:w="160" w:type="dxa"/>
            <w:vAlign w:val="bottom"/>
          </w:tcPr>
          <w:p>
            <w:pPr>
              <w:spacing w:after="0"/>
              <w:rPr>
                <w:sz w:val="17"/>
                <w:szCs w:val="17"/>
                <w:color w:val="auto"/>
              </w:rPr>
            </w:pPr>
          </w:p>
        </w:tc>
        <w:tc>
          <w:tcPr>
            <w:tcW w:w="1240" w:type="dxa"/>
            <w:vAlign w:val="bottom"/>
          </w:tcPr>
          <w:p>
            <w:pPr>
              <w:jc w:val="right"/>
              <w:ind w:right="78"/>
              <w:spacing w:after="0"/>
              <w:rPr>
                <w:sz w:val="20"/>
                <w:szCs w:val="20"/>
                <w:color w:val="auto"/>
              </w:rPr>
            </w:pPr>
            <w:r>
              <w:rPr>
                <w:rFonts w:ascii="Arial" w:cs="Arial" w:eastAsia="Arial" w:hAnsi="Arial"/>
                <w:sz w:val="15"/>
                <w:szCs w:val="15"/>
                <w:b w:val="1"/>
                <w:bCs w:val="1"/>
                <w:color w:val="auto"/>
                <w:w w:val="99"/>
              </w:rPr>
              <w:t>March 31, 2022</w:t>
            </w:r>
          </w:p>
        </w:tc>
        <w:tc>
          <w:tcPr>
            <w:tcW w:w="0" w:type="dxa"/>
            <w:vAlign w:val="bottom"/>
          </w:tcPr>
          <w:p>
            <w:pPr>
              <w:spacing w:after="0"/>
              <w:rPr>
                <w:sz w:val="1"/>
                <w:szCs w:val="1"/>
                <w:color w:val="auto"/>
              </w:rPr>
            </w:pPr>
          </w:p>
        </w:tc>
      </w:tr>
      <w:tr>
        <w:trPr>
          <w:trHeight w:val="214"/>
        </w:trPr>
        <w:tc>
          <w:tcPr>
            <w:tcW w:w="2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Severance pay and benefits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499</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5,796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3,222</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(2,030)</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(147)</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7,340</w:t>
            </w:r>
          </w:p>
        </w:tc>
        <w:tc>
          <w:tcPr>
            <w:tcW w:w="0" w:type="dxa"/>
            <w:vAlign w:val="bottom"/>
          </w:tcPr>
          <w:p>
            <w:pPr>
              <w:spacing w:after="0"/>
              <w:rPr>
                <w:sz w:val="1"/>
                <w:szCs w:val="1"/>
                <w:color w:val="auto"/>
              </w:rPr>
            </w:pPr>
          </w:p>
        </w:tc>
      </w:tr>
      <w:tr>
        <w:trPr>
          <w:trHeight w:val="218"/>
        </w:trPr>
        <w:tc>
          <w:tcPr>
            <w:tcW w:w="2660" w:type="dxa"/>
            <w:vAlign w:val="bottom"/>
          </w:tcPr>
          <w:p>
            <w:pPr>
              <w:ind w:left="20"/>
              <w:spacing w:after="0"/>
              <w:rPr>
                <w:sz w:val="20"/>
                <w:szCs w:val="20"/>
                <w:color w:val="auto"/>
              </w:rPr>
            </w:pPr>
            <w:r>
              <w:rPr>
                <w:rFonts w:ascii="Arial" w:cs="Arial" w:eastAsia="Arial" w:hAnsi="Arial"/>
                <w:sz w:val="17"/>
                <w:szCs w:val="17"/>
                <w:color w:val="auto"/>
              </w:rPr>
              <w:t>Facility closure expenses</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165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1,740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200" w:type="dxa"/>
            <w:vAlign w:val="bottom"/>
            <w:gridSpan w:val="2"/>
          </w:tcPr>
          <w:p>
            <w:pPr>
              <w:ind w:left="8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(40)</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1,865</w:t>
            </w:r>
          </w:p>
        </w:tc>
        <w:tc>
          <w:tcPr>
            <w:tcW w:w="0" w:type="dxa"/>
            <w:vAlign w:val="bottom"/>
          </w:tcPr>
          <w:p>
            <w:pPr>
              <w:spacing w:after="0"/>
              <w:rPr>
                <w:sz w:val="1"/>
                <w:szCs w:val="1"/>
                <w:color w:val="auto"/>
              </w:rPr>
            </w:pPr>
          </w:p>
        </w:tc>
      </w:tr>
      <w:tr>
        <w:trPr>
          <w:trHeight w:val="237"/>
        </w:trPr>
        <w:tc>
          <w:tcPr>
            <w:tcW w:w="26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7,536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3,222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(2,030)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(187)</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9,205</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Strategic Transaction and Integration Expenses</w:t>
      </w:r>
    </w:p>
    <w:p>
      <w:pPr>
        <w:spacing w:after="0" w:line="243" w:lineRule="exact"/>
        <w:rPr>
          <w:sz w:val="20"/>
          <w:szCs w:val="20"/>
          <w:color w:val="auto"/>
        </w:rPr>
      </w:pPr>
    </w:p>
    <w:p>
      <w:pPr>
        <w:ind w:right="100" w:firstLine="169"/>
        <w:spacing w:after="0" w:line="257" w:lineRule="auto"/>
        <w:rPr>
          <w:sz w:val="20"/>
          <w:szCs w:val="20"/>
          <w:color w:val="auto"/>
        </w:rPr>
      </w:pPr>
      <w:r>
        <w:rPr>
          <w:rFonts w:ascii="Arial" w:cs="Arial" w:eastAsia="Arial" w:hAnsi="Arial"/>
          <w:sz w:val="17"/>
          <w:szCs w:val="17"/>
          <w:color w:val="auto"/>
        </w:rPr>
        <w:t>We incurred and expensed $30.7 million and $2.9 million in strategic transaction and integration expenses during the three months ended March 31, 2022 and 2021, respectively, which are included in restructuring, strategic transaction and integration expenses in our condensed consolidated statements of operations. The strategic transaction and integration expenses during the three months ended March 31, 2022 were primarily related to transaction and integration expenses associated with our acquisition of Smiths Medical on January 6, 2022 (see Note 3: Acquisitions) which primarily included legal expenses, bank fees, a United Kingdom stamp tax and employee costs. The strategic transaction and integration expenses for the three months ended March 31, 2021 were primarily related to integration costs associated with acquisitions, the Hospira Infusion Systems ("HIS") earn-out dispute with Pfizer and one-time costs incurred to comply with regulatory initiatives.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Revenue</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 Recognition</w:t>
      </w:r>
    </w:p>
    <w:p>
      <w:pPr>
        <w:spacing w:after="0" w:line="243" w:lineRule="exact"/>
        <w:rPr>
          <w:sz w:val="20"/>
          <w:szCs w:val="20"/>
          <w:color w:val="auto"/>
        </w:rPr>
      </w:pPr>
    </w:p>
    <w:p>
      <w:pPr>
        <w:ind w:right="60" w:firstLine="172"/>
        <w:spacing w:after="0" w:line="259" w:lineRule="auto"/>
        <w:rPr>
          <w:sz w:val="20"/>
          <w:szCs w:val="20"/>
          <w:color w:val="auto"/>
        </w:rPr>
      </w:pPr>
      <w:r>
        <w:rPr>
          <w:rFonts w:ascii="Arial" w:cs="Arial" w:eastAsia="Arial" w:hAnsi="Arial"/>
          <w:sz w:val="17"/>
          <w:szCs w:val="17"/>
          <w:color w:val="auto"/>
        </w:rPr>
        <w:t>Following our acquisition of Smiths Medical, our primary product lines are Infusion Consumables, Infusion Systems, IV Solutions, Critical Care, Infusion Systems-Smiths Medical, Vascular Access-Smiths Medical and Vital Care-Smiths Medical. The vast majority of our sales of these products are made on a stand-alone basis to hospitals and distributors. Revenue is typically recognized upon transfer of control of the products, which we deem to be at point of shipment. However, for purposes of revenue recognition for our software licenses and renewals, we consider the control of these products to be transferred to a customer at a certain point in time; therefore, we recognize revenue at the start of the applicable license term.</w:t>
      </w:r>
    </w:p>
    <w:p>
      <w:pPr>
        <w:spacing w:after="0" w:line="209" w:lineRule="exact"/>
        <w:rPr>
          <w:sz w:val="20"/>
          <w:szCs w:val="20"/>
          <w:color w:val="auto"/>
        </w:rPr>
      </w:pPr>
    </w:p>
    <w:p>
      <w:pPr>
        <w:ind w:right="160" w:firstLine="172"/>
        <w:spacing w:after="0" w:line="297" w:lineRule="auto"/>
        <w:rPr>
          <w:sz w:val="20"/>
          <w:szCs w:val="20"/>
          <w:color w:val="auto"/>
        </w:rPr>
      </w:pPr>
      <w:r>
        <w:rPr>
          <w:rFonts w:ascii="Arial" w:cs="Arial" w:eastAsia="Arial" w:hAnsi="Arial"/>
          <w:sz w:val="15"/>
          <w:szCs w:val="15"/>
          <w:color w:val="auto"/>
        </w:rPr>
        <w:t>Payment is typically due in full within 30 days of delivery or the start of the contract term. Revenue is recorded in an amount that reflects the consideration we expect to be entitled to in exchange for those goods or services. We offer certain volume-based rebates to our distribution customers, which we record as variable consideration when calculating the transaction price. Rebates are offered on both a fixed and tiered/variable basis. In both cases, we use information available at the time and our historical experience with each customer to estimate the most likely rebate amount. We also provide chargebacks to distributors that sell to end customers at prices determined under a contract between us and the end customer. Chargebacks are the difference between the prices we charge our distribution customers and the contracted prices we have with the end customer which are processed as credits to our distribution customers. In estimating the expected value of chargeback amounts in order to determine the transaction price, we use information available at the time, including our historical experience.</w:t>
      </w:r>
    </w:p>
    <w:p>
      <w:pPr>
        <w:spacing w:after="0" w:line="182" w:lineRule="exact"/>
        <w:rPr>
          <w:sz w:val="20"/>
          <w:szCs w:val="20"/>
          <w:color w:val="auto"/>
        </w:rPr>
      </w:pPr>
    </w:p>
    <w:p>
      <w:pPr>
        <w:ind w:right="340" w:firstLine="169"/>
        <w:spacing w:after="0" w:line="262" w:lineRule="auto"/>
        <w:rPr>
          <w:sz w:val="20"/>
          <w:szCs w:val="20"/>
          <w:color w:val="auto"/>
        </w:rPr>
      </w:pPr>
      <w:r>
        <w:rPr>
          <w:rFonts w:ascii="Arial" w:cs="Arial" w:eastAsia="Arial" w:hAnsi="Arial"/>
          <w:sz w:val="17"/>
          <w:szCs w:val="17"/>
          <w:color w:val="auto"/>
        </w:rPr>
        <w:t>We also warranty products against defects and have a policy permitting the return of defective products, for which we accrue and expense at the time of sale using information available at that time and our historical experience. We also provide for extended service-type warranties, which we consider to be separate performance obligations. We allocate a portion of the transaction price to the extended service-type warranty based on its estimated relative selling price, and recognize revenue over</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316" w:lineRule="exact"/>
        <w:rPr>
          <w:sz w:val="20"/>
          <w:szCs w:val="20"/>
          <w:color w:val="auto"/>
        </w:rPr>
      </w:pPr>
    </w:p>
    <w:p>
      <w:pPr>
        <w:ind w:right="520"/>
        <w:spacing w:after="0" w:line="279" w:lineRule="auto"/>
        <w:rPr>
          <w:sz w:val="20"/>
          <w:szCs w:val="20"/>
          <w:color w:val="auto"/>
        </w:rPr>
      </w:pPr>
      <w:r>
        <w:rPr>
          <w:rFonts w:ascii="Arial" w:cs="Arial" w:eastAsia="Arial" w:hAnsi="Arial"/>
          <w:sz w:val="17"/>
          <w:szCs w:val="17"/>
          <w:color w:val="auto"/>
        </w:rPr>
        <w:t>the period the warranty service is provided. Our revenues are recorded at the net sales price, which includes an estimate for variable consideration related to rebates, chargebacks and product returns.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560" w:type="dxa"/>
            <w:vAlign w:val="bottom"/>
          </w:tcPr>
          <w:p>
            <w:pPr>
              <w:spacing w:after="0"/>
              <w:rPr>
                <w:sz w:val="20"/>
                <w:szCs w:val="20"/>
                <w:color w:val="auto"/>
              </w:rPr>
            </w:pPr>
            <w:r>
              <w:rPr>
                <w:rFonts w:ascii="Arial" w:cs="Arial" w:eastAsia="Arial" w:hAnsi="Arial"/>
                <w:sz w:val="17"/>
                <w:szCs w:val="17"/>
                <w:i w:val="1"/>
                <w:iCs w:val="1"/>
                <w:color w:val="auto"/>
              </w:rPr>
              <w:t>Revenue disaggregated</w:t>
            </w: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438"/>
        </w:trPr>
        <w:tc>
          <w:tcPr>
            <w:tcW w:w="7560" w:type="dxa"/>
            <w:vAlign w:val="bottom"/>
          </w:tcPr>
          <w:p>
            <w:pPr>
              <w:ind w:left="620"/>
              <w:spacing w:after="0"/>
              <w:rPr>
                <w:sz w:val="20"/>
                <w:szCs w:val="20"/>
                <w:color w:val="auto"/>
              </w:rPr>
            </w:pPr>
            <w:r>
              <w:rPr>
                <w:rFonts w:ascii="Arial" w:cs="Arial" w:eastAsia="Arial" w:hAnsi="Arial"/>
                <w:sz w:val="17"/>
                <w:szCs w:val="17"/>
                <w:color w:val="auto"/>
              </w:rPr>
              <w:t>The following table represents our revenues disaggregated by product line (in thousands):</w:t>
            </w: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27"/>
        </w:trPr>
        <w:tc>
          <w:tcPr>
            <w:tcW w:w="7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80" w:type="dxa"/>
            <w:vAlign w:val="bottom"/>
            <w:gridSpan w:val="3"/>
          </w:tcPr>
          <w:p>
            <w:pPr>
              <w:jc w:val="right"/>
              <w:spacing w:after="0"/>
              <w:rPr>
                <w:sz w:val="20"/>
                <w:szCs w:val="20"/>
                <w:color w:val="auto"/>
              </w:rPr>
            </w:pPr>
            <w:r>
              <w:rPr>
                <w:rFonts w:ascii="Arial" w:cs="Arial" w:eastAsia="Arial" w:hAnsi="Arial"/>
                <w:sz w:val="17"/>
                <w:szCs w:val="17"/>
                <w:b w:val="1"/>
                <w:bCs w:val="1"/>
                <w:color w:val="auto"/>
              </w:rPr>
              <w:t>Three months ended</w:t>
            </w:r>
          </w:p>
        </w:tc>
        <w:tc>
          <w:tcPr>
            <w:tcW w:w="1080" w:type="dxa"/>
            <w:vAlign w:val="bottom"/>
          </w:tcPr>
          <w:p>
            <w:pPr>
              <w:spacing w:after="0"/>
              <w:rPr>
                <w:sz w:val="24"/>
                <w:szCs w:val="24"/>
                <w:color w:val="auto"/>
              </w:rPr>
            </w:pPr>
          </w:p>
        </w:tc>
      </w:tr>
      <w:tr>
        <w:trPr>
          <w:trHeight w:val="219"/>
        </w:trPr>
        <w:tc>
          <w:tcPr>
            <w:tcW w:w="75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3"/>
          </w:tcPr>
          <w:p>
            <w:pPr>
              <w:jc w:val="right"/>
              <w:ind w:right="294"/>
              <w:spacing w:after="0"/>
              <w:rPr>
                <w:sz w:val="20"/>
                <w:szCs w:val="20"/>
                <w:color w:val="auto"/>
              </w:rPr>
            </w:pPr>
            <w:r>
              <w:rPr>
                <w:rFonts w:ascii="Arial" w:cs="Arial" w:eastAsia="Arial" w:hAnsi="Arial"/>
                <w:sz w:val="17"/>
                <w:szCs w:val="17"/>
                <w:b w:val="1"/>
                <w:bCs w:val="1"/>
                <w:color w:val="auto"/>
              </w:rPr>
              <w:t>March 31,</w:t>
            </w:r>
          </w:p>
        </w:tc>
        <w:tc>
          <w:tcPr>
            <w:tcW w:w="1080" w:type="dxa"/>
            <w:vAlign w:val="bottom"/>
            <w:tcBorders>
              <w:bottom w:val="single" w:sz="8" w:color="auto"/>
            </w:tcBorders>
          </w:tcPr>
          <w:p>
            <w:pPr>
              <w:spacing w:after="0"/>
              <w:rPr>
                <w:sz w:val="19"/>
                <w:szCs w:val="19"/>
                <w:color w:val="auto"/>
              </w:rPr>
            </w:pPr>
          </w:p>
        </w:tc>
      </w:tr>
      <w:tr>
        <w:trPr>
          <w:trHeight w:val="212"/>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Product line</w:t>
            </w: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4"/>
              <w:spacing w:after="0"/>
              <w:rPr>
                <w:sz w:val="20"/>
                <w:szCs w:val="20"/>
                <w:color w:val="auto"/>
              </w:rPr>
            </w:pPr>
            <w:r>
              <w:rPr>
                <w:rFonts w:ascii="Arial" w:cs="Arial" w:eastAsia="Arial" w:hAnsi="Arial"/>
                <w:sz w:val="17"/>
                <w:szCs w:val="17"/>
                <w:b w:val="1"/>
                <w:bCs w:val="1"/>
                <w:color w:val="auto"/>
              </w:rPr>
              <w:t>2022</w:t>
            </w:r>
          </w:p>
        </w:tc>
        <w:tc>
          <w:tcPr>
            <w:tcW w:w="12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34"/>
              <w:spacing w:after="0"/>
              <w:rPr>
                <w:sz w:val="20"/>
                <w:szCs w:val="20"/>
                <w:color w:val="auto"/>
              </w:rPr>
            </w:pPr>
            <w:r>
              <w:rPr>
                <w:rFonts w:ascii="Arial" w:cs="Arial" w:eastAsia="Arial" w:hAnsi="Arial"/>
                <w:sz w:val="17"/>
                <w:szCs w:val="17"/>
                <w:b w:val="1"/>
                <w:bCs w:val="1"/>
                <w:color w:val="auto"/>
                <w:w w:val="89"/>
              </w:rPr>
              <w:t>2021</w:t>
            </w:r>
          </w:p>
        </w:tc>
      </w:tr>
      <w:tr>
        <w:trPr>
          <w:trHeight w:val="212"/>
        </w:trPr>
        <w:tc>
          <w:tcPr>
            <w:tcW w:w="75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Infusion Consumables</w:t>
            </w: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140,521</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126,370</w:t>
            </w:r>
          </w:p>
        </w:tc>
      </w:tr>
      <w:tr>
        <w:trPr>
          <w:trHeight w:val="218"/>
        </w:trPr>
        <w:tc>
          <w:tcPr>
            <w:tcW w:w="7560" w:type="dxa"/>
            <w:vAlign w:val="bottom"/>
          </w:tcPr>
          <w:p>
            <w:pPr>
              <w:ind w:left="140"/>
              <w:spacing w:after="0"/>
              <w:rPr>
                <w:sz w:val="20"/>
                <w:szCs w:val="20"/>
                <w:color w:val="auto"/>
              </w:rPr>
            </w:pPr>
            <w:r>
              <w:rPr>
                <w:rFonts w:ascii="Arial" w:cs="Arial" w:eastAsia="Arial" w:hAnsi="Arial"/>
                <w:sz w:val="17"/>
                <w:szCs w:val="17"/>
                <w:color w:val="auto"/>
              </w:rPr>
              <w:t>Infusion Systems</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87,012</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84,334</w:t>
            </w:r>
          </w:p>
        </w:tc>
      </w:tr>
      <w:tr>
        <w:trPr>
          <w:trHeight w:val="220"/>
        </w:trPr>
        <w:tc>
          <w:tcPr>
            <w:tcW w:w="75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IV Solutions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88,480</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94,176</w:t>
            </w:r>
          </w:p>
        </w:tc>
      </w:tr>
      <w:tr>
        <w:trPr>
          <w:trHeight w:val="218"/>
        </w:trPr>
        <w:tc>
          <w:tcPr>
            <w:tcW w:w="7560" w:type="dxa"/>
            <w:vAlign w:val="bottom"/>
          </w:tcPr>
          <w:p>
            <w:pPr>
              <w:ind w:left="140"/>
              <w:spacing w:after="0"/>
              <w:rPr>
                <w:sz w:val="20"/>
                <w:szCs w:val="20"/>
                <w:color w:val="auto"/>
              </w:rPr>
            </w:pPr>
            <w:r>
              <w:rPr>
                <w:rFonts w:ascii="Arial" w:cs="Arial" w:eastAsia="Arial" w:hAnsi="Arial"/>
                <w:sz w:val="17"/>
                <w:szCs w:val="17"/>
                <w:color w:val="auto"/>
              </w:rPr>
              <w:t>Critical Care</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12,157</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13,166</w:t>
            </w:r>
          </w:p>
        </w:tc>
      </w:tr>
      <w:tr>
        <w:trPr>
          <w:trHeight w:val="220"/>
        </w:trPr>
        <w:tc>
          <w:tcPr>
            <w:tcW w:w="75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Infusion Systems-Smiths Medical</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66,290</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7560" w:type="dxa"/>
            <w:vAlign w:val="bottom"/>
          </w:tcPr>
          <w:p>
            <w:pPr>
              <w:ind w:left="120"/>
              <w:spacing w:after="0"/>
              <w:rPr>
                <w:sz w:val="20"/>
                <w:szCs w:val="20"/>
                <w:color w:val="auto"/>
              </w:rPr>
            </w:pPr>
            <w:r>
              <w:rPr>
                <w:rFonts w:ascii="Arial" w:cs="Arial" w:eastAsia="Arial" w:hAnsi="Arial"/>
                <w:sz w:val="17"/>
                <w:szCs w:val="17"/>
                <w:color w:val="auto"/>
              </w:rPr>
              <w:t>Vascular Access-Smiths Medical</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79,008</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75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Vital Care-Smiths Medical</w:t>
            </w: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69,654</w:t>
            </w:r>
          </w:p>
        </w:tc>
        <w:tc>
          <w:tcPr>
            <w:tcW w:w="12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7560" w:type="dxa"/>
            <w:vAlign w:val="bottom"/>
          </w:tcPr>
          <w:p>
            <w:pPr>
              <w:ind w:left="20"/>
              <w:spacing w:after="0"/>
              <w:rPr>
                <w:sz w:val="20"/>
                <w:szCs w:val="20"/>
                <w:color w:val="auto"/>
              </w:rPr>
            </w:pPr>
            <w:r>
              <w:rPr>
                <w:rFonts w:ascii="Arial" w:cs="Arial" w:eastAsia="Arial" w:hAnsi="Arial"/>
                <w:sz w:val="17"/>
                <w:szCs w:val="17"/>
                <w:b w:val="1"/>
                <w:bCs w:val="1"/>
                <w:color w:val="auto"/>
              </w:rPr>
              <w:t>Total Revenues</w:t>
            </w:r>
          </w:p>
        </w:tc>
        <w:tc>
          <w:tcPr>
            <w:tcW w:w="42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543,122</w:t>
            </w:r>
          </w:p>
        </w:tc>
        <w:tc>
          <w:tcPr>
            <w:tcW w:w="120" w:type="dxa"/>
            <w:vAlign w:val="bottom"/>
          </w:tcPr>
          <w:p>
            <w:pPr>
              <w:spacing w:after="0"/>
              <w:rPr>
                <w:sz w:val="18"/>
                <w:szCs w:val="18"/>
                <w:color w:val="auto"/>
              </w:rPr>
            </w:pPr>
          </w:p>
        </w:tc>
        <w:tc>
          <w:tcPr>
            <w:tcW w:w="70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318,046</w:t>
            </w:r>
          </w:p>
        </w:tc>
      </w:tr>
      <w:tr>
        <w:trPr>
          <w:trHeight w:val="20"/>
        </w:trPr>
        <w:tc>
          <w:tcPr>
            <w:tcW w:w="75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700" w:firstLine="619"/>
        <w:spacing w:after="0" w:line="279" w:lineRule="auto"/>
        <w:rPr>
          <w:sz w:val="20"/>
          <w:szCs w:val="20"/>
          <w:color w:val="auto"/>
        </w:rPr>
      </w:pPr>
      <w:r>
        <w:rPr>
          <w:rFonts w:ascii="Arial" w:cs="Arial" w:eastAsia="Arial" w:hAnsi="Arial"/>
          <w:sz w:val="17"/>
          <w:szCs w:val="17"/>
          <w:color w:val="auto"/>
        </w:rPr>
        <w:t>Infusion Systems-Smiths Medical, Vascular Access-Smiths Medical and Vital Care-Smiths Medical represent our newly integrated product lines following our acquisition of Smiths Medical on January 6, 2022.</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560" w:type="dxa"/>
            <w:vAlign w:val="bottom"/>
          </w:tcPr>
          <w:p>
            <w:pPr>
              <w:ind w:left="180"/>
              <w:spacing w:after="0"/>
              <w:rPr>
                <w:sz w:val="20"/>
                <w:szCs w:val="20"/>
                <w:color w:val="auto"/>
              </w:rPr>
            </w:pPr>
            <w:r>
              <w:rPr>
                <w:rFonts w:ascii="Arial" w:cs="Arial" w:eastAsia="Arial" w:hAnsi="Arial"/>
                <w:sz w:val="17"/>
                <w:szCs w:val="17"/>
                <w:color w:val="auto"/>
              </w:rPr>
              <w:t>The following table represents our revenues disaggregated by geography (in thousands):</w:t>
            </w: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72"/>
        </w:trPr>
        <w:tc>
          <w:tcPr>
            <w:tcW w:w="7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180" w:type="dxa"/>
            <w:vAlign w:val="bottom"/>
            <w:gridSpan w:val="3"/>
          </w:tcPr>
          <w:p>
            <w:pPr>
              <w:jc w:val="right"/>
              <w:spacing w:after="0"/>
              <w:rPr>
                <w:sz w:val="20"/>
                <w:szCs w:val="20"/>
                <w:color w:val="auto"/>
              </w:rPr>
            </w:pPr>
            <w:r>
              <w:rPr>
                <w:rFonts w:ascii="Arial" w:cs="Arial" w:eastAsia="Arial" w:hAnsi="Arial"/>
                <w:sz w:val="17"/>
                <w:szCs w:val="17"/>
                <w:b w:val="1"/>
                <w:bCs w:val="1"/>
                <w:color w:val="auto"/>
              </w:rPr>
              <w:t>Three months ended</w:t>
            </w:r>
          </w:p>
        </w:tc>
        <w:tc>
          <w:tcPr>
            <w:tcW w:w="1080" w:type="dxa"/>
            <w:vAlign w:val="bottom"/>
          </w:tcPr>
          <w:p>
            <w:pPr>
              <w:spacing w:after="0"/>
              <w:rPr>
                <w:sz w:val="23"/>
                <w:szCs w:val="23"/>
                <w:color w:val="auto"/>
              </w:rPr>
            </w:pPr>
          </w:p>
        </w:tc>
      </w:tr>
      <w:tr>
        <w:trPr>
          <w:trHeight w:val="219"/>
        </w:trPr>
        <w:tc>
          <w:tcPr>
            <w:tcW w:w="75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3"/>
          </w:tcPr>
          <w:p>
            <w:pPr>
              <w:jc w:val="right"/>
              <w:ind w:right="294"/>
              <w:spacing w:after="0"/>
              <w:rPr>
                <w:sz w:val="20"/>
                <w:szCs w:val="20"/>
                <w:color w:val="auto"/>
              </w:rPr>
            </w:pPr>
            <w:r>
              <w:rPr>
                <w:rFonts w:ascii="Arial" w:cs="Arial" w:eastAsia="Arial" w:hAnsi="Arial"/>
                <w:sz w:val="17"/>
                <w:szCs w:val="17"/>
                <w:b w:val="1"/>
                <w:bCs w:val="1"/>
                <w:color w:val="auto"/>
              </w:rPr>
              <w:t>March 31,</w:t>
            </w:r>
          </w:p>
        </w:tc>
        <w:tc>
          <w:tcPr>
            <w:tcW w:w="1080" w:type="dxa"/>
            <w:vAlign w:val="bottom"/>
            <w:tcBorders>
              <w:bottom w:val="single" w:sz="8" w:color="auto"/>
            </w:tcBorders>
          </w:tcPr>
          <w:p>
            <w:pPr>
              <w:spacing w:after="0"/>
              <w:rPr>
                <w:sz w:val="19"/>
                <w:szCs w:val="19"/>
                <w:color w:val="auto"/>
              </w:rPr>
            </w:pPr>
          </w:p>
        </w:tc>
      </w:tr>
      <w:tr>
        <w:trPr>
          <w:trHeight w:val="212"/>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Geography</w:t>
            </w: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4"/>
              <w:spacing w:after="0"/>
              <w:rPr>
                <w:sz w:val="20"/>
                <w:szCs w:val="20"/>
                <w:color w:val="auto"/>
              </w:rPr>
            </w:pPr>
            <w:r>
              <w:rPr>
                <w:rFonts w:ascii="Arial" w:cs="Arial" w:eastAsia="Arial" w:hAnsi="Arial"/>
                <w:sz w:val="17"/>
                <w:szCs w:val="17"/>
                <w:b w:val="1"/>
                <w:bCs w:val="1"/>
                <w:color w:val="auto"/>
              </w:rPr>
              <w:t>2022</w:t>
            </w:r>
          </w:p>
        </w:tc>
        <w:tc>
          <w:tcPr>
            <w:tcW w:w="12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34"/>
              <w:spacing w:after="0"/>
              <w:rPr>
                <w:sz w:val="20"/>
                <w:szCs w:val="20"/>
                <w:color w:val="auto"/>
              </w:rPr>
            </w:pPr>
            <w:r>
              <w:rPr>
                <w:rFonts w:ascii="Arial" w:cs="Arial" w:eastAsia="Arial" w:hAnsi="Arial"/>
                <w:sz w:val="17"/>
                <w:szCs w:val="17"/>
                <w:b w:val="1"/>
                <w:bCs w:val="1"/>
                <w:color w:val="auto"/>
                <w:w w:val="89"/>
              </w:rPr>
              <w:t>2021</w:t>
            </w:r>
          </w:p>
        </w:tc>
      </w:tr>
      <w:tr>
        <w:trPr>
          <w:trHeight w:val="212"/>
        </w:trPr>
        <w:tc>
          <w:tcPr>
            <w:tcW w:w="75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Europe, the Middle East and Africa</w:t>
            </w: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86,204</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34,800</w:t>
            </w:r>
          </w:p>
        </w:tc>
      </w:tr>
      <w:tr>
        <w:trPr>
          <w:trHeight w:val="218"/>
        </w:trPr>
        <w:tc>
          <w:tcPr>
            <w:tcW w:w="75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Other Foreign</w:t>
            </w: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109,127</w:t>
            </w:r>
          </w:p>
        </w:tc>
        <w:tc>
          <w:tcPr>
            <w:tcW w:w="12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55,895</w:t>
            </w:r>
          </w:p>
        </w:tc>
      </w:tr>
      <w:tr>
        <w:trPr>
          <w:trHeight w:val="213"/>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Foreign</w:t>
            </w: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195,331</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90,695</w:t>
            </w:r>
          </w:p>
        </w:tc>
      </w:tr>
      <w:tr>
        <w:trPr>
          <w:trHeight w:val="218"/>
        </w:trPr>
        <w:tc>
          <w:tcPr>
            <w:tcW w:w="75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United States</w:t>
            </w: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347,791</w:t>
            </w:r>
          </w:p>
        </w:tc>
        <w:tc>
          <w:tcPr>
            <w:tcW w:w="12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227,351</w:t>
            </w:r>
          </w:p>
        </w:tc>
      </w:tr>
      <w:tr>
        <w:trPr>
          <w:trHeight w:val="238"/>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Revenues</w:t>
            </w: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543,122</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51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318,046</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 balances</w:t>
      </w:r>
    </w:p>
    <w:p>
      <w:pPr>
        <w:spacing w:after="0" w:line="24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presents the changes in our contract balances for the three months ended March 31, 2022 and 2021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648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Contract Liabilities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Beginning balance, January 1, 2022</w:t>
            </w:r>
          </w:p>
        </w:tc>
        <w:tc>
          <w:tcPr>
            <w:tcW w:w="4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(7,461)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80" w:type="dxa"/>
            <w:vAlign w:val="bottom"/>
          </w:tcPr>
          <w:p>
            <w:pPr>
              <w:ind w:left="140"/>
              <w:spacing w:after="0"/>
              <w:rPr>
                <w:sz w:val="20"/>
                <w:szCs w:val="20"/>
                <w:color w:val="auto"/>
              </w:rPr>
            </w:pPr>
            <w:r>
              <w:rPr>
                <w:rFonts w:ascii="Arial" w:cs="Arial" w:eastAsia="Arial" w:hAnsi="Arial"/>
                <w:sz w:val="17"/>
                <w:szCs w:val="17"/>
                <w:color w:val="auto"/>
              </w:rPr>
              <w:t>Fair value of acquired deferred revenue</w:t>
            </w:r>
          </w:p>
        </w:tc>
        <w:tc>
          <w:tcPr>
            <w:tcW w:w="4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(51,245)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4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Equipment revenue recognized</w:t>
            </w:r>
          </w:p>
        </w:tc>
        <w:tc>
          <w:tcPr>
            <w:tcW w:w="40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5,574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80" w:type="dxa"/>
            <w:vAlign w:val="bottom"/>
          </w:tcPr>
          <w:p>
            <w:pPr>
              <w:ind w:left="140"/>
              <w:spacing w:after="0"/>
              <w:rPr>
                <w:sz w:val="20"/>
                <w:szCs w:val="20"/>
                <w:color w:val="auto"/>
              </w:rPr>
            </w:pPr>
            <w:r>
              <w:rPr>
                <w:rFonts w:ascii="Arial" w:cs="Arial" w:eastAsia="Arial" w:hAnsi="Arial"/>
                <w:sz w:val="17"/>
                <w:szCs w:val="17"/>
                <w:color w:val="auto"/>
              </w:rPr>
              <w:t>Equipment revenue deferred due to implementation</w:t>
            </w:r>
          </w:p>
        </w:tc>
        <w:tc>
          <w:tcPr>
            <w:tcW w:w="4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(3,447)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4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Software revenue recognized</w:t>
            </w:r>
          </w:p>
        </w:tc>
        <w:tc>
          <w:tcPr>
            <w:tcW w:w="40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4,299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80" w:type="dxa"/>
            <w:vAlign w:val="bottom"/>
          </w:tcPr>
          <w:p>
            <w:pPr>
              <w:ind w:left="140"/>
              <w:spacing w:after="0"/>
              <w:rPr>
                <w:sz w:val="20"/>
                <w:szCs w:val="20"/>
                <w:color w:val="auto"/>
              </w:rPr>
            </w:pPr>
            <w:r>
              <w:rPr>
                <w:rFonts w:ascii="Arial" w:cs="Arial" w:eastAsia="Arial" w:hAnsi="Arial"/>
                <w:sz w:val="17"/>
                <w:szCs w:val="17"/>
                <w:color w:val="auto"/>
              </w:rPr>
              <w:t>Software revenue deferred due to implementation</w:t>
            </w:r>
          </w:p>
        </w:tc>
        <w:tc>
          <w:tcPr>
            <w:tcW w:w="4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(4,777)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4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Government grant deferred revenue</w:t>
            </w:r>
          </w:p>
        </w:tc>
        <w:tc>
          <w:tcPr>
            <w:tcW w:w="40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80" w:type="dxa"/>
            <w:vAlign w:val="bottom"/>
          </w:tcPr>
          <w:p>
            <w:pPr>
              <w:ind w:left="140"/>
              <w:spacing w:after="0"/>
              <w:rPr>
                <w:sz w:val="20"/>
                <w:szCs w:val="20"/>
                <w:color w:val="auto"/>
              </w:rPr>
            </w:pPr>
            <w:r>
              <w:rPr>
                <w:rFonts w:ascii="Arial" w:cs="Arial" w:eastAsia="Arial" w:hAnsi="Arial"/>
                <w:sz w:val="17"/>
                <w:szCs w:val="17"/>
                <w:color w:val="auto"/>
              </w:rPr>
              <w:t>Government grant recognized</w:t>
            </w:r>
          </w:p>
        </w:tc>
        <w:tc>
          <w:tcPr>
            <w:tcW w:w="4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171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4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deferred revenue</w:t>
            </w:r>
          </w:p>
        </w:tc>
        <w:tc>
          <w:tcPr>
            <w:tcW w:w="40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8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Other deferred revenue recognized</w:t>
            </w:r>
          </w:p>
        </w:tc>
        <w:tc>
          <w:tcPr>
            <w:tcW w:w="400" w:type="dxa"/>
            <w:vAlign w:val="bottom"/>
            <w:tcBorders>
              <w:bottom w:val="single" w:sz="8" w:color="CCEEFF"/>
            </w:tcBorders>
          </w:tcPr>
          <w:p>
            <w:pPr>
              <w:spacing w:after="0"/>
              <w:rPr>
                <w:sz w:val="18"/>
                <w:szCs w:val="18"/>
                <w:color w:val="auto"/>
              </w:rPr>
            </w:pPr>
          </w:p>
        </w:tc>
        <w:tc>
          <w:tcPr>
            <w:tcW w:w="19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1,683</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4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Ending balance, March 31, 2022</w:t>
            </w:r>
          </w:p>
        </w:tc>
        <w:tc>
          <w:tcPr>
            <w:tcW w:w="40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(58,236)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6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Beginning balance, January 1, 2021</w:t>
            </w:r>
          </w:p>
        </w:tc>
        <w:tc>
          <w:tcPr>
            <w:tcW w:w="40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(6,430)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80" w:type="dxa"/>
            <w:vAlign w:val="bottom"/>
          </w:tcPr>
          <w:p>
            <w:pPr>
              <w:ind w:left="140"/>
              <w:spacing w:after="0"/>
              <w:rPr>
                <w:sz w:val="20"/>
                <w:szCs w:val="20"/>
                <w:color w:val="auto"/>
              </w:rPr>
            </w:pPr>
            <w:r>
              <w:rPr>
                <w:rFonts w:ascii="Arial" w:cs="Arial" w:eastAsia="Arial" w:hAnsi="Arial"/>
                <w:sz w:val="17"/>
                <w:szCs w:val="17"/>
                <w:color w:val="auto"/>
              </w:rPr>
              <w:t>Equipment revenue recognized</w:t>
            </w:r>
          </w:p>
        </w:tc>
        <w:tc>
          <w:tcPr>
            <w:tcW w:w="4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461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4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Equipment revenue deferred due to implementation</w:t>
            </w:r>
          </w:p>
        </w:tc>
        <w:tc>
          <w:tcPr>
            <w:tcW w:w="40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(2,921)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80" w:type="dxa"/>
            <w:vAlign w:val="bottom"/>
          </w:tcPr>
          <w:p>
            <w:pPr>
              <w:ind w:left="140"/>
              <w:spacing w:after="0"/>
              <w:rPr>
                <w:sz w:val="20"/>
                <w:szCs w:val="20"/>
                <w:color w:val="auto"/>
              </w:rPr>
            </w:pPr>
            <w:r>
              <w:rPr>
                <w:rFonts w:ascii="Arial" w:cs="Arial" w:eastAsia="Arial" w:hAnsi="Arial"/>
                <w:sz w:val="17"/>
                <w:szCs w:val="17"/>
                <w:color w:val="auto"/>
              </w:rPr>
              <w:t>Software revenue recognized</w:t>
            </w:r>
          </w:p>
        </w:tc>
        <w:tc>
          <w:tcPr>
            <w:tcW w:w="4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1,796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Software revenue deferred due to implementation</w:t>
            </w:r>
          </w:p>
        </w:tc>
        <w:tc>
          <w:tcPr>
            <w:tcW w:w="40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(1,794)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80" w:type="dxa"/>
            <w:vAlign w:val="bottom"/>
          </w:tcPr>
          <w:p>
            <w:pPr>
              <w:ind w:left="20"/>
              <w:spacing w:after="0"/>
              <w:rPr>
                <w:sz w:val="20"/>
                <w:szCs w:val="20"/>
                <w:color w:val="auto"/>
              </w:rPr>
            </w:pPr>
            <w:r>
              <w:rPr>
                <w:rFonts w:ascii="Arial" w:cs="Arial" w:eastAsia="Arial" w:hAnsi="Arial"/>
                <w:sz w:val="17"/>
                <w:szCs w:val="17"/>
                <w:b w:val="1"/>
                <w:bCs w:val="1"/>
                <w:color w:val="auto"/>
              </w:rPr>
              <w:t>Ending balance, March 31, 2021</w:t>
            </w:r>
          </w:p>
        </w:tc>
        <w:tc>
          <w:tcPr>
            <w:tcW w:w="4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960" w:type="dxa"/>
            <w:vAlign w:val="bottom"/>
          </w:tcPr>
          <w:p>
            <w:pPr>
              <w:jc w:val="right"/>
              <w:spacing w:after="0"/>
              <w:rPr>
                <w:sz w:val="20"/>
                <w:szCs w:val="20"/>
                <w:color w:val="auto"/>
              </w:rPr>
            </w:pPr>
            <w:r>
              <w:rPr>
                <w:rFonts w:ascii="Arial" w:cs="Arial" w:eastAsia="Arial" w:hAnsi="Arial"/>
                <w:sz w:val="17"/>
                <w:szCs w:val="17"/>
                <w:color w:val="auto"/>
              </w:rPr>
              <w:t>(8,888)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vMerge w:val="restart"/>
          </w:tcPr>
          <w:p>
            <w:pPr>
              <w:ind w:left="140"/>
              <w:spacing w:after="0"/>
              <w:rPr>
                <w:sz w:val="20"/>
                <w:szCs w:val="20"/>
                <w:color w:val="auto"/>
              </w:rPr>
            </w:pPr>
            <w:r>
              <w:rPr>
                <w:rFonts w:ascii="Arial" w:cs="Arial" w:eastAsia="Arial" w:hAnsi="Arial"/>
                <w:sz w:val="17"/>
                <w:szCs w:val="17"/>
                <w:color w:val="auto"/>
                <w:w w:val="99"/>
              </w:rPr>
              <w:t>As of March 31, 2022, revenue from remaining performance obligations is as follows:</w:t>
            </w:r>
          </w:p>
        </w:tc>
        <w:tc>
          <w:tcPr>
            <w:tcW w:w="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64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64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2420" w:type="dxa"/>
            <w:vAlign w:val="bottom"/>
            <w:gridSpan w:val="4"/>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4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4340" w:type="dxa"/>
            <w:vAlign w:val="bottom"/>
            <w:tcBorders>
              <w:bottom w:val="single" w:sz="8" w:color="auto"/>
            </w:tcBorders>
            <w:gridSpan w:val="5"/>
            <w:shd w:val="clear" w:color="auto" w:fill="CCEEFF"/>
          </w:tcPr>
          <w:p>
            <w:pPr>
              <w:jc w:val="right"/>
              <w:ind w:right="1554"/>
              <w:spacing w:after="0"/>
              <w:rPr>
                <w:sz w:val="20"/>
                <w:szCs w:val="20"/>
                <w:color w:val="auto"/>
              </w:rPr>
            </w:pPr>
            <w:r>
              <w:rPr>
                <w:rFonts w:ascii="Arial" w:cs="Arial" w:eastAsia="Arial" w:hAnsi="Arial"/>
                <w:sz w:val="17"/>
                <w:szCs w:val="17"/>
                <w:b w:val="1"/>
                <w:bCs w:val="1"/>
                <w:color w:val="auto"/>
              </w:rPr>
              <w:t>Recognition Timing</w:t>
            </w:r>
          </w:p>
        </w:tc>
        <w:tc>
          <w:tcPr>
            <w:tcW w:w="0" w:type="dxa"/>
            <w:vAlign w:val="bottom"/>
          </w:tcPr>
          <w:p>
            <w:pPr>
              <w:spacing w:after="0"/>
              <w:rPr>
                <w:sz w:val="1"/>
                <w:szCs w:val="1"/>
                <w:color w:val="auto"/>
              </w:rPr>
            </w:pPr>
          </w:p>
        </w:tc>
      </w:tr>
      <w:tr>
        <w:trPr>
          <w:trHeight w:val="212"/>
        </w:trPr>
        <w:tc>
          <w:tcPr>
            <w:tcW w:w="6500" w:type="dxa"/>
            <w:vAlign w:val="bottom"/>
            <w:gridSpan w:val="2"/>
          </w:tcPr>
          <w:p>
            <w:pPr>
              <w:ind w:left="20"/>
              <w:spacing w:after="0"/>
              <w:rPr>
                <w:sz w:val="20"/>
                <w:szCs w:val="20"/>
                <w:color w:val="auto"/>
              </w:rPr>
            </w:pPr>
            <w:r>
              <w:rPr>
                <w:rFonts w:ascii="Arial" w:cs="Arial" w:eastAsia="Arial" w:hAnsi="Arial"/>
                <w:sz w:val="17"/>
                <w:szCs w:val="17"/>
                <w:i w:val="1"/>
                <w:iCs w:val="1"/>
                <w:color w:val="auto"/>
              </w:rPr>
              <w:t>(in millions)</w:t>
            </w:r>
          </w:p>
        </w:tc>
        <w:tc>
          <w:tcPr>
            <w:tcW w:w="400" w:type="dxa"/>
            <w:vAlign w:val="bottom"/>
          </w:tcPr>
          <w:p>
            <w:pPr>
              <w:spacing w:after="0"/>
              <w:rPr>
                <w:sz w:val="18"/>
                <w:szCs w:val="18"/>
                <w:color w:val="auto"/>
              </w:rPr>
            </w:pPr>
          </w:p>
        </w:tc>
        <w:tc>
          <w:tcPr>
            <w:tcW w:w="2020" w:type="dxa"/>
            <w:vAlign w:val="bottom"/>
            <w:gridSpan w:val="2"/>
          </w:tcPr>
          <w:p>
            <w:pPr>
              <w:ind w:left="300"/>
              <w:spacing w:after="0"/>
              <w:rPr>
                <w:sz w:val="20"/>
                <w:szCs w:val="20"/>
                <w:color w:val="auto"/>
              </w:rPr>
            </w:pPr>
            <w:r>
              <w:rPr>
                <w:rFonts w:ascii="Arial" w:cs="Arial" w:eastAsia="Arial" w:hAnsi="Arial"/>
                <w:sz w:val="17"/>
                <w:szCs w:val="17"/>
                <w:b w:val="1"/>
                <w:bCs w:val="1"/>
                <w:color w:val="auto"/>
              </w:rPr>
              <w:t>&lt; 12 Months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jc w:val="right"/>
              <w:ind w:right="614"/>
              <w:spacing w:after="0"/>
              <w:rPr>
                <w:sz w:val="20"/>
                <w:szCs w:val="20"/>
                <w:color w:val="auto"/>
              </w:rPr>
            </w:pPr>
            <w:r>
              <w:rPr>
                <w:rFonts w:ascii="Arial" w:cs="Arial" w:eastAsia="Arial" w:hAnsi="Arial"/>
                <w:sz w:val="17"/>
                <w:szCs w:val="17"/>
                <w:b w:val="1"/>
                <w:bCs w:val="1"/>
                <w:color w:val="auto"/>
              </w:rPr>
              <w:t>&gt; 12 Months</w:t>
            </w:r>
          </w:p>
        </w:tc>
        <w:tc>
          <w:tcPr>
            <w:tcW w:w="0" w:type="dxa"/>
            <w:vAlign w:val="bottom"/>
          </w:tcPr>
          <w:p>
            <w:pPr>
              <w:spacing w:after="0"/>
              <w:rPr>
                <w:sz w:val="1"/>
                <w:szCs w:val="1"/>
                <w:color w:val="auto"/>
              </w:rPr>
            </w:pPr>
          </w:p>
        </w:tc>
      </w:tr>
      <w:tr>
        <w:trPr>
          <w:trHeight w:val="212"/>
        </w:trPr>
        <w:tc>
          <w:tcPr>
            <w:tcW w:w="65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Equipment revenue</w:t>
            </w:r>
          </w:p>
        </w:tc>
        <w:tc>
          <w:tcPr>
            <w:tcW w:w="400" w:type="dxa"/>
            <w:vAlign w:val="bottom"/>
            <w:tcBorders>
              <w:top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220" w:type="dxa"/>
            <w:vAlign w:val="bottom"/>
            <w:tcBorders>
              <w:top w:val="single" w:sz="8" w:color="auto"/>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6500" w:type="dxa"/>
            <w:vAlign w:val="bottom"/>
            <w:gridSpan w:val="2"/>
          </w:tcPr>
          <w:p>
            <w:pPr>
              <w:ind w:left="20"/>
              <w:spacing w:after="0"/>
              <w:rPr>
                <w:sz w:val="20"/>
                <w:szCs w:val="20"/>
                <w:color w:val="auto"/>
              </w:rPr>
            </w:pPr>
            <w:r>
              <w:rPr>
                <w:rFonts w:ascii="Arial" w:cs="Arial" w:eastAsia="Arial" w:hAnsi="Arial"/>
                <w:sz w:val="17"/>
                <w:szCs w:val="17"/>
                <w:color w:val="auto"/>
              </w:rPr>
              <w:t>Software revenue</w:t>
            </w:r>
          </w:p>
        </w:tc>
        <w:tc>
          <w:tcPr>
            <w:tcW w:w="4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220"/>
        </w:trPr>
        <w:tc>
          <w:tcPr>
            <w:tcW w:w="65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Government grant revenue</w:t>
            </w:r>
          </w:p>
        </w:tc>
        <w:tc>
          <w:tcPr>
            <w:tcW w:w="4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w:t>
            </w:r>
          </w:p>
        </w:tc>
        <w:tc>
          <w:tcPr>
            <w:tcW w:w="0" w:type="dxa"/>
            <w:vAlign w:val="bottom"/>
          </w:tcPr>
          <w:p>
            <w:pPr>
              <w:spacing w:after="0"/>
              <w:rPr>
                <w:sz w:val="1"/>
                <w:szCs w:val="1"/>
                <w:color w:val="auto"/>
              </w:rPr>
            </w:pPr>
          </w:p>
        </w:tc>
      </w:tr>
      <w:tr>
        <w:trPr>
          <w:trHeight w:val="218"/>
        </w:trPr>
        <w:tc>
          <w:tcPr>
            <w:tcW w:w="65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Other revenue*</w:t>
            </w:r>
          </w:p>
        </w:tc>
        <w:tc>
          <w:tcPr>
            <w:tcW w:w="4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238"/>
        </w:trPr>
        <w:tc>
          <w:tcPr>
            <w:tcW w:w="6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220" w:type="dxa"/>
            <w:vAlign w:val="bottom"/>
            <w:tcBorders>
              <w:bottom w:val="single" w:sz="8" w:color="auto"/>
            </w:tcBorders>
            <w:shd w:val="clear" w:color="auto" w:fill="CCEEFF"/>
          </w:tcPr>
          <w:p>
            <w:pPr>
              <w:spacing w:after="0"/>
              <w:rPr>
                <w:sz w:val="20"/>
                <w:szCs w:val="20"/>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23.0</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7"/>
                <w:szCs w:val="17"/>
                <w:color w:val="auto"/>
              </w:rPr>
              <w:t>_________________________________</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6500" w:type="dxa"/>
            <w:vAlign w:val="bottom"/>
            <w:gridSpan w:val="2"/>
            <w:vMerge w:val="continue"/>
          </w:tcPr>
          <w:p>
            <w:pPr>
              <w:spacing w:after="0"/>
              <w:rPr>
                <w:sz w:val="23"/>
                <w:szCs w:val="23"/>
                <w:color w:val="auto"/>
              </w:rPr>
            </w:pPr>
          </w:p>
        </w:tc>
        <w:tc>
          <w:tcPr>
            <w:tcW w:w="40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*Other deferred revenue includes pump development programs, purchased training and extended warranty.</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Leases</w:t>
      </w:r>
    </w:p>
    <w:p>
      <w:pPr>
        <w:spacing w:after="0" w:line="206" w:lineRule="exact"/>
        <w:rPr>
          <w:sz w:val="20"/>
          <w:szCs w:val="20"/>
          <w:color w:val="auto"/>
        </w:rPr>
      </w:pPr>
    </w:p>
    <w:p>
      <w:pPr>
        <w:ind w:right="180" w:firstLine="172"/>
        <w:spacing w:after="0" w:line="262" w:lineRule="auto"/>
        <w:rPr>
          <w:sz w:val="20"/>
          <w:szCs w:val="20"/>
          <w:color w:val="auto"/>
        </w:rPr>
      </w:pPr>
      <w:r>
        <w:rPr>
          <w:rFonts w:ascii="Arial" w:cs="Arial" w:eastAsia="Arial" w:hAnsi="Arial"/>
          <w:sz w:val="17"/>
          <w:szCs w:val="17"/>
          <w:color w:val="auto"/>
        </w:rPr>
        <w:t>We determine if an arrangement is a lease at inception. Our operating lease assets are separately stated in operating lease right-of-use ("ROU") assets and our financing lease assets are included in other assets on our condensed consolidated balance sheets. Our lease liabilities are included in accrued liabilities, and other long-term liabilities on our condensed consolidated balance sheets. We have elected not to recognize an ROU asset and lease liability for leases with terms of twelve months or less.</w:t>
      </w:r>
    </w:p>
    <w:p>
      <w:pPr>
        <w:spacing w:after="0" w:line="204" w:lineRule="exact"/>
        <w:rPr>
          <w:sz w:val="20"/>
          <w:szCs w:val="20"/>
          <w:color w:val="auto"/>
        </w:rPr>
      </w:pPr>
    </w:p>
    <w:p>
      <w:pPr>
        <w:ind w:firstLine="172"/>
        <w:spacing w:after="0" w:line="283" w:lineRule="auto"/>
        <w:rPr>
          <w:sz w:val="20"/>
          <w:szCs w:val="20"/>
          <w:color w:val="auto"/>
        </w:rPr>
      </w:pPr>
      <w:r>
        <w:rPr>
          <w:rFonts w:ascii="Arial" w:cs="Arial" w:eastAsia="Arial" w:hAnsi="Arial"/>
          <w:sz w:val="16"/>
          <w:szCs w:val="16"/>
          <w:color w:val="auto"/>
        </w:rPr>
        <w:t>Lease ROU assets and lease liabilities are recognized based on the present value of the future minimum lease payments over the lease term at commencement date. Most of our leases do not provide an implicit rate, therefore we use our incremental borrowing rate, which is the rate incurred to borrow on a collateralized basis over a similar term based on the information available at commencement date. Our lease ROU assets exclude lease incentives and initial direct costs incurred. Our lease terms include options to extend when it is reasonably certain that we will exercise that option. All of our leases have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316"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stated lease payments, which may include fixed rental increases. Lease expense for minimum lease payments is recognized on a straight-line basis over the lease term.</w:t>
      </w:r>
    </w:p>
    <w:p>
      <w:pPr>
        <w:spacing w:after="0" w:line="164" w:lineRule="exact"/>
        <w:rPr>
          <w:sz w:val="20"/>
          <w:szCs w:val="20"/>
          <w:color w:val="auto"/>
        </w:rPr>
      </w:pPr>
    </w:p>
    <w:p>
      <w:pPr>
        <w:ind w:right="220" w:firstLine="172"/>
        <w:spacing w:after="0" w:line="318" w:lineRule="auto"/>
        <w:rPr>
          <w:sz w:val="20"/>
          <w:szCs w:val="20"/>
          <w:color w:val="auto"/>
        </w:rPr>
      </w:pPr>
      <w:r>
        <w:rPr>
          <w:rFonts w:ascii="Arial" w:cs="Arial" w:eastAsia="Arial" w:hAnsi="Arial"/>
          <w:sz w:val="15"/>
          <w:szCs w:val="15"/>
          <w:color w:val="auto"/>
        </w:rPr>
        <w:t>Our leases are for corporate, research and development and sales and support offices, distribution facilities, device service centers and certain equipment. Our leases have original lease terms of one year to fifteen years, some of which include options to extend the leases for up to an additional five years. For all of our leases, we do not include optional periods of extension in our current lease terms for the exercise of options to extend is not reasonably certain.</w:t>
      </w:r>
    </w:p>
    <w:p>
      <w:pPr>
        <w:spacing w:after="0" w:line="13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presents the components of our lease cost (in thousands):</w:t>
      </w:r>
    </w:p>
    <w:p>
      <w:pPr>
        <w:spacing w:after="0" w:line="126" w:lineRule="exact"/>
        <w:rPr>
          <w:sz w:val="20"/>
          <w:szCs w:val="20"/>
          <w:color w:val="auto"/>
        </w:rPr>
      </w:pPr>
    </w:p>
    <w:p>
      <w:pPr>
        <w:ind w:left="8620"/>
        <w:spacing w:after="0"/>
        <w:rPr>
          <w:sz w:val="20"/>
          <w:szCs w:val="20"/>
          <w:color w:val="auto"/>
        </w:rPr>
      </w:pPr>
      <w:r>
        <w:rPr>
          <w:rFonts w:ascii="Arial" w:cs="Arial" w:eastAsia="Arial" w:hAnsi="Arial"/>
          <w:sz w:val="17"/>
          <w:szCs w:val="17"/>
          <w:b w:val="1"/>
          <w:bCs w:val="1"/>
          <w:color w:val="auto"/>
        </w:rPr>
        <w:t>Three months ended</w:t>
      </w:r>
    </w:p>
    <w:p>
      <w:pPr>
        <w:ind w:left="9020"/>
        <w:spacing w:after="0"/>
        <w:rPr>
          <w:sz w:val="20"/>
          <w:szCs w:val="20"/>
          <w:color w:val="auto"/>
        </w:rPr>
      </w:pPr>
      <w:r>
        <w:rPr>
          <w:rFonts w:ascii="Arial" w:cs="Arial" w:eastAsia="Arial" w:hAnsi="Arial"/>
          <w:sz w:val="17"/>
          <w:szCs w:val="17"/>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560" w:type="dxa"/>
            <w:vAlign w:val="bottom"/>
            <w:tcBorders>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rPr>
              <w:t>2022</w:t>
            </w:r>
          </w:p>
        </w:tc>
        <w:tc>
          <w:tcPr>
            <w:tcW w:w="5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34"/>
              <w:spacing w:after="0"/>
              <w:rPr>
                <w:sz w:val="20"/>
                <w:szCs w:val="20"/>
                <w:color w:val="auto"/>
              </w:rPr>
            </w:pPr>
            <w:r>
              <w:rPr>
                <w:rFonts w:ascii="Arial" w:cs="Arial" w:eastAsia="Arial" w:hAnsi="Arial"/>
                <w:sz w:val="17"/>
                <w:szCs w:val="17"/>
                <w:b w:val="1"/>
                <w:bCs w:val="1"/>
                <w:color w:val="auto"/>
              </w:rPr>
              <w:t>2021</w:t>
            </w:r>
          </w:p>
        </w:tc>
      </w:tr>
      <w:tr>
        <w:trPr>
          <w:trHeight w:val="212"/>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cost</w:t>
            </w:r>
          </w:p>
        </w:tc>
        <w:tc>
          <w:tcPr>
            <w:tcW w:w="1200" w:type="dxa"/>
            <w:vAlign w:val="bottom"/>
            <w:shd w:val="clear" w:color="auto" w:fill="CCEEFF"/>
          </w:tcPr>
          <w:p>
            <w:pPr>
              <w:jc w:val="right"/>
              <w:ind w:right="1014"/>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5,178</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2,835</w:t>
            </w:r>
          </w:p>
        </w:tc>
      </w:tr>
      <w:tr>
        <w:trPr>
          <w:trHeight w:val="218"/>
        </w:trPr>
        <w:tc>
          <w:tcPr>
            <w:tcW w:w="7560" w:type="dxa"/>
            <w:vAlign w:val="bottom"/>
          </w:tcPr>
          <w:p>
            <w:pPr>
              <w:ind w:left="20"/>
              <w:spacing w:after="0"/>
              <w:rPr>
                <w:sz w:val="20"/>
                <w:szCs w:val="20"/>
                <w:color w:val="auto"/>
              </w:rPr>
            </w:pPr>
            <w:r>
              <w:rPr>
                <w:rFonts w:ascii="Arial" w:cs="Arial" w:eastAsia="Arial" w:hAnsi="Arial"/>
                <w:sz w:val="17"/>
                <w:szCs w:val="17"/>
                <w:color w:val="auto"/>
              </w:rPr>
              <w:t>Finance lease cost — interest</w:t>
            </w:r>
          </w:p>
        </w:tc>
        <w:tc>
          <w:tcPr>
            <w:tcW w:w="1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31</w:t>
            </w:r>
          </w:p>
        </w:tc>
      </w:tr>
      <w:tr>
        <w:trPr>
          <w:trHeight w:val="220"/>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Finance lease cost — reduction of ROU asset</w:t>
            </w:r>
          </w:p>
        </w:tc>
        <w:tc>
          <w:tcPr>
            <w:tcW w:w="1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w:t>
            </w:r>
          </w:p>
        </w:tc>
      </w:tr>
      <w:tr>
        <w:trPr>
          <w:trHeight w:val="218"/>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Short-term lease cost</w:t>
            </w:r>
          </w:p>
        </w:tc>
        <w:tc>
          <w:tcPr>
            <w:tcW w:w="1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r>
      <w:tr>
        <w:trPr>
          <w:trHeight w:val="238"/>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lease cost</w:t>
            </w:r>
          </w:p>
        </w:tc>
        <w:tc>
          <w:tcPr>
            <w:tcW w:w="1200" w:type="dxa"/>
            <w:vAlign w:val="bottom"/>
            <w:tcBorders>
              <w:bottom w:val="single" w:sz="8" w:color="auto"/>
            </w:tcBorders>
            <w:shd w:val="clear" w:color="auto" w:fill="CCEEFF"/>
          </w:tcPr>
          <w:p>
            <w:pPr>
              <w:jc w:val="right"/>
              <w:ind w:right="1014"/>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5,380</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3,020</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ind w:right="20" w:firstLine="619"/>
        <w:spacing w:after="0" w:line="266" w:lineRule="auto"/>
        <w:rPr>
          <w:sz w:val="20"/>
          <w:szCs w:val="20"/>
          <w:color w:val="auto"/>
        </w:rPr>
      </w:pPr>
      <w:r>
        <w:rPr>
          <w:rFonts w:ascii="Arial" w:cs="Arial" w:eastAsia="Arial" w:hAnsi="Arial"/>
          <w:sz w:val="17"/>
          <w:szCs w:val="17"/>
          <w:color w:val="auto"/>
        </w:rPr>
        <w:t>Interest expense on our finance leases is included in other income (expense), net in our condensed consolidated statements of operations. The reduction of the operating and finance ROU assets is included as noncash lease expense in selling, general and administrative expenses in our condensed consolidated statements of operations.</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presents the supplemental cash flow information related to our leases (in thousands):</w:t>
      </w:r>
    </w:p>
    <w:p>
      <w:pPr>
        <w:spacing w:after="0" w:line="126" w:lineRule="exact"/>
        <w:rPr>
          <w:sz w:val="20"/>
          <w:szCs w:val="20"/>
          <w:color w:val="auto"/>
        </w:rPr>
      </w:pPr>
    </w:p>
    <w:p>
      <w:pPr>
        <w:ind w:left="8620"/>
        <w:spacing w:after="0"/>
        <w:rPr>
          <w:sz w:val="20"/>
          <w:szCs w:val="20"/>
          <w:color w:val="auto"/>
        </w:rPr>
      </w:pPr>
      <w:r>
        <w:rPr>
          <w:rFonts w:ascii="Arial" w:cs="Arial" w:eastAsia="Arial" w:hAnsi="Arial"/>
          <w:sz w:val="17"/>
          <w:szCs w:val="17"/>
          <w:b w:val="1"/>
          <w:bCs w:val="1"/>
          <w:color w:val="auto"/>
        </w:rPr>
        <w:t>Three months ended</w:t>
      </w:r>
    </w:p>
    <w:p>
      <w:pPr>
        <w:ind w:left="9020"/>
        <w:spacing w:after="0"/>
        <w:rPr>
          <w:sz w:val="20"/>
          <w:szCs w:val="20"/>
          <w:color w:val="auto"/>
        </w:rPr>
      </w:pPr>
      <w:r>
        <w:rPr>
          <w:rFonts w:ascii="Arial" w:cs="Arial" w:eastAsia="Arial" w:hAnsi="Arial"/>
          <w:sz w:val="17"/>
          <w:szCs w:val="17"/>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56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634"/>
              <w:spacing w:after="0"/>
              <w:rPr>
                <w:sz w:val="20"/>
                <w:szCs w:val="20"/>
                <w:color w:val="auto"/>
              </w:rPr>
            </w:pPr>
            <w:r>
              <w:rPr>
                <w:rFonts w:ascii="Arial" w:cs="Arial" w:eastAsia="Arial" w:hAnsi="Arial"/>
                <w:sz w:val="17"/>
                <w:szCs w:val="17"/>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34"/>
              <w:spacing w:after="0"/>
              <w:rPr>
                <w:sz w:val="20"/>
                <w:szCs w:val="20"/>
                <w:color w:val="auto"/>
              </w:rPr>
            </w:pPr>
            <w:r>
              <w:rPr>
                <w:rFonts w:ascii="Arial" w:cs="Arial" w:eastAsia="Arial" w:hAnsi="Arial"/>
                <w:sz w:val="17"/>
                <w:szCs w:val="17"/>
                <w:b w:val="1"/>
                <w:bCs w:val="1"/>
                <w:color w:val="auto"/>
              </w:rPr>
              <w:t>2021</w:t>
            </w:r>
          </w:p>
        </w:tc>
      </w:tr>
      <w:tr>
        <w:trPr>
          <w:trHeight w:val="199"/>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paid for amounts included in the measurement of lease liabilities:</w:t>
            </w: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18"/>
        </w:trPr>
        <w:tc>
          <w:tcPr>
            <w:tcW w:w="7560" w:type="dxa"/>
            <w:vAlign w:val="bottom"/>
          </w:tcPr>
          <w:p>
            <w:pPr>
              <w:ind w:left="140"/>
              <w:spacing w:after="0"/>
              <w:rPr>
                <w:sz w:val="20"/>
                <w:szCs w:val="20"/>
                <w:color w:val="auto"/>
              </w:rPr>
            </w:pPr>
            <w:r>
              <w:rPr>
                <w:rFonts w:ascii="Arial" w:cs="Arial" w:eastAsia="Arial" w:hAnsi="Arial"/>
                <w:sz w:val="17"/>
                <w:szCs w:val="17"/>
                <w:color w:val="auto"/>
              </w:rPr>
              <w:t>Operating cash flows from operating leases</w:t>
            </w: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6,548</w:t>
            </w:r>
          </w:p>
        </w:tc>
        <w:tc>
          <w:tcPr>
            <w:tcW w:w="120" w:type="dxa"/>
            <w:vAlign w:val="bottom"/>
          </w:tcPr>
          <w:p>
            <w:pPr>
              <w:spacing w:after="0"/>
              <w:rPr>
                <w:sz w:val="18"/>
                <w:szCs w:val="18"/>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2,821</w:t>
            </w:r>
          </w:p>
        </w:tc>
      </w:tr>
      <w:tr>
        <w:trPr>
          <w:trHeight w:val="220"/>
        </w:trPr>
        <w:tc>
          <w:tcPr>
            <w:tcW w:w="75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Operating cash flows from finance leases</w:t>
            </w: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r>
      <w:tr>
        <w:trPr>
          <w:trHeight w:val="258"/>
        </w:trPr>
        <w:tc>
          <w:tcPr>
            <w:tcW w:w="75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Right-of-use assets obtained in exchange for lease obligations: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18"/>
        </w:trPr>
        <w:tc>
          <w:tcPr>
            <w:tcW w:w="7560" w:type="dxa"/>
            <w:vAlign w:val="bottom"/>
          </w:tcPr>
          <w:p>
            <w:pPr>
              <w:ind w:left="140"/>
              <w:spacing w:after="0"/>
              <w:rPr>
                <w:sz w:val="20"/>
                <w:szCs w:val="20"/>
                <w:color w:val="auto"/>
              </w:rPr>
            </w:pPr>
            <w:r>
              <w:rPr>
                <w:rFonts w:ascii="Arial" w:cs="Arial" w:eastAsia="Arial" w:hAnsi="Arial"/>
                <w:sz w:val="17"/>
                <w:szCs w:val="17"/>
                <w:color w:val="auto"/>
              </w:rPr>
              <w:t>Operating leases</w:t>
            </w: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1,493</w:t>
            </w:r>
          </w:p>
        </w:tc>
        <w:tc>
          <w:tcPr>
            <w:tcW w:w="120" w:type="dxa"/>
            <w:vAlign w:val="bottom"/>
          </w:tcPr>
          <w:p>
            <w:pPr>
              <w:spacing w:after="0"/>
              <w:rPr>
                <w:sz w:val="18"/>
                <w:szCs w:val="18"/>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1,095</w:t>
            </w:r>
          </w:p>
        </w:tc>
      </w:tr>
      <w:tr>
        <w:trPr>
          <w:trHeight w:val="220"/>
        </w:trPr>
        <w:tc>
          <w:tcPr>
            <w:tcW w:w="75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Finance leases</w:t>
            </w: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316"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presents the supplemental balance sheet information related to our operating leases (in thousands, except lease term and discount</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rate):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73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right"/>
              <w:ind w:right="14"/>
              <w:spacing w:after="0"/>
              <w:rPr>
                <w:sz w:val="20"/>
                <w:szCs w:val="20"/>
                <w:color w:val="auto"/>
              </w:rPr>
            </w:pPr>
            <w:r>
              <w:rPr>
                <w:rFonts w:ascii="Arial" w:cs="Arial" w:eastAsia="Arial" w:hAnsi="Arial"/>
                <w:sz w:val="15"/>
                <w:szCs w:val="15"/>
                <w:b w:val="1"/>
                <w:bCs w:val="1"/>
                <w:color w:val="auto"/>
              </w:rPr>
              <w:t>As of</w:t>
            </w:r>
          </w:p>
        </w:tc>
        <w:tc>
          <w:tcPr>
            <w:tcW w:w="16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7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gridSpan w:val="2"/>
          </w:tcPr>
          <w:p>
            <w:pPr>
              <w:ind w:left="160"/>
              <w:spacing w:after="0"/>
              <w:rPr>
                <w:sz w:val="20"/>
                <w:szCs w:val="20"/>
                <w:color w:val="auto"/>
              </w:rPr>
            </w:pPr>
            <w:r>
              <w:rPr>
                <w:rFonts w:ascii="Arial" w:cs="Arial" w:eastAsia="Arial" w:hAnsi="Arial"/>
                <w:sz w:val="15"/>
                <w:szCs w:val="15"/>
                <w:b w:val="1"/>
                <w:bCs w:val="1"/>
                <w:color w:val="auto"/>
              </w:rPr>
              <w:t>March 31, 2022</w:t>
            </w:r>
          </w:p>
        </w:tc>
        <w:tc>
          <w:tcPr>
            <w:tcW w:w="220" w:type="dxa"/>
            <w:vAlign w:val="bottom"/>
          </w:tcPr>
          <w:p>
            <w:pPr>
              <w:spacing w:after="0"/>
              <w:rPr>
                <w:sz w:val="17"/>
                <w:szCs w:val="17"/>
                <w:color w:val="auto"/>
              </w:rPr>
            </w:pPr>
          </w:p>
        </w:tc>
        <w:tc>
          <w:tcPr>
            <w:tcW w:w="1700" w:type="dxa"/>
            <w:vAlign w:val="bottom"/>
            <w:gridSpan w:val="2"/>
          </w:tcPr>
          <w:p>
            <w:pPr>
              <w:ind w:left="100"/>
              <w:spacing w:after="0"/>
              <w:rPr>
                <w:sz w:val="20"/>
                <w:szCs w:val="20"/>
                <w:color w:val="auto"/>
              </w:rPr>
            </w:pPr>
            <w:r>
              <w:rPr>
                <w:rFonts w:ascii="Arial" w:cs="Arial" w:eastAsia="Arial" w:hAnsi="Arial"/>
                <w:sz w:val="15"/>
                <w:szCs w:val="15"/>
                <w:b w:val="1"/>
                <w:bCs w:val="1"/>
                <w:color w:val="auto"/>
              </w:rPr>
              <w:t>December 31, 2021</w:t>
            </w:r>
          </w:p>
        </w:tc>
      </w:tr>
      <w:tr>
        <w:trPr>
          <w:trHeight w:val="201"/>
        </w:trPr>
        <w:tc>
          <w:tcPr>
            <w:tcW w:w="20" w:type="dxa"/>
            <w:vAlign w:val="bottom"/>
            <w:tcBorders>
              <w:top w:val="single" w:sz="8" w:color="CCEEFF"/>
            </w:tcBorders>
            <w:shd w:val="clear" w:color="auto" w:fill="CCEEFF"/>
          </w:tcPr>
          <w:p>
            <w:pPr>
              <w:spacing w:after="0"/>
              <w:rPr>
                <w:sz w:val="17"/>
                <w:szCs w:val="17"/>
                <w:color w:val="auto"/>
              </w:rPr>
            </w:pPr>
          </w:p>
        </w:tc>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Operating leases</w:t>
            </w:r>
          </w:p>
        </w:tc>
        <w:tc>
          <w:tcPr>
            <w:tcW w:w="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r>
      <w:tr>
        <w:trPr>
          <w:trHeight w:val="218"/>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7"/>
                <w:szCs w:val="17"/>
                <w:color w:val="auto"/>
              </w:rPr>
              <w:t>Operating lease right-of-use assets</w:t>
            </w:r>
          </w:p>
        </w:tc>
        <w:tc>
          <w:tcPr>
            <w:tcW w:w="280" w:type="dxa"/>
            <w:vAlign w:val="bottom"/>
            <w:gridSpan w:val="2"/>
          </w:tcPr>
          <w:p>
            <w:pPr>
              <w:jc w:val="right"/>
              <w:ind w:right="180"/>
              <w:spacing w:after="0"/>
              <w:rPr>
                <w:sz w:val="20"/>
                <w:szCs w:val="20"/>
                <w:color w:val="auto"/>
              </w:rPr>
            </w:pPr>
            <w:r>
              <w:rPr>
                <w:rFonts w:ascii="Arial" w:cs="Arial" w:eastAsia="Arial" w:hAnsi="Arial"/>
                <w:sz w:val="17"/>
                <w:szCs w:val="17"/>
                <w:color w:val="auto"/>
                <w:w w:val="84"/>
              </w:rPr>
              <w:t>$</w:t>
            </w:r>
          </w:p>
        </w:tc>
        <w:tc>
          <w:tcPr>
            <w:tcW w:w="1620" w:type="dxa"/>
            <w:vAlign w:val="bottom"/>
          </w:tcPr>
          <w:p>
            <w:pPr>
              <w:jc w:val="right"/>
              <w:ind w:right="36"/>
              <w:spacing w:after="0"/>
              <w:rPr>
                <w:sz w:val="20"/>
                <w:szCs w:val="20"/>
                <w:color w:val="auto"/>
              </w:rPr>
            </w:pPr>
            <w:r>
              <w:rPr>
                <w:rFonts w:ascii="Arial" w:cs="Arial" w:eastAsia="Arial" w:hAnsi="Arial"/>
                <w:sz w:val="17"/>
                <w:szCs w:val="17"/>
                <w:color w:val="auto"/>
              </w:rPr>
              <w:t>92,027</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680" w:type="dxa"/>
            <w:vAlign w:val="bottom"/>
          </w:tcPr>
          <w:p>
            <w:pPr>
              <w:jc w:val="right"/>
              <w:ind w:right="35"/>
              <w:spacing w:after="0"/>
              <w:rPr>
                <w:sz w:val="20"/>
                <w:szCs w:val="20"/>
                <w:color w:val="auto"/>
              </w:rPr>
            </w:pPr>
            <w:r>
              <w:rPr>
                <w:rFonts w:ascii="Arial" w:cs="Arial" w:eastAsia="Arial" w:hAnsi="Arial"/>
                <w:sz w:val="17"/>
                <w:szCs w:val="17"/>
                <w:color w:val="auto"/>
              </w:rPr>
              <w:t>39,847</w:t>
            </w:r>
          </w:p>
        </w:tc>
        <w:tc>
          <w:tcPr>
            <w:tcW w:w="20" w:type="dxa"/>
            <w:vAlign w:val="bottom"/>
          </w:tcPr>
          <w:p>
            <w:pPr>
              <w:spacing w:after="0"/>
              <w:rPr>
                <w:sz w:val="18"/>
                <w:szCs w:val="18"/>
                <w:color w:val="auto"/>
              </w:rPr>
            </w:pPr>
          </w:p>
        </w:tc>
      </w:tr>
      <w:tr>
        <w:trPr>
          <w:trHeight w:val="259"/>
        </w:trPr>
        <w:tc>
          <w:tcPr>
            <w:tcW w:w="20" w:type="dxa"/>
            <w:vAlign w:val="bottom"/>
            <w:shd w:val="clear" w:color="auto" w:fill="CCEEFF"/>
          </w:tcPr>
          <w:p>
            <w:pPr>
              <w:spacing w:after="0"/>
              <w:rPr>
                <w:sz w:val="22"/>
                <w:szCs w:val="22"/>
                <w:color w:val="auto"/>
              </w:rPr>
            </w:pPr>
          </w:p>
        </w:tc>
        <w:tc>
          <w:tcPr>
            <w:tcW w:w="73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r>
      <w:tr>
        <w:trPr>
          <w:trHeight w:val="218"/>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7"/>
                <w:szCs w:val="17"/>
                <w:color w:val="auto"/>
              </w:rPr>
              <w:t>Accrued liabilities</w:t>
            </w:r>
          </w:p>
        </w:tc>
        <w:tc>
          <w:tcPr>
            <w:tcW w:w="280" w:type="dxa"/>
            <w:vAlign w:val="bottom"/>
            <w:gridSpan w:val="2"/>
          </w:tcPr>
          <w:p>
            <w:pPr>
              <w:jc w:val="right"/>
              <w:ind w:right="180"/>
              <w:spacing w:after="0"/>
              <w:rPr>
                <w:sz w:val="20"/>
                <w:szCs w:val="20"/>
                <w:color w:val="auto"/>
              </w:rPr>
            </w:pPr>
            <w:r>
              <w:rPr>
                <w:rFonts w:ascii="Arial" w:cs="Arial" w:eastAsia="Arial" w:hAnsi="Arial"/>
                <w:sz w:val="17"/>
                <w:szCs w:val="17"/>
                <w:color w:val="auto"/>
                <w:w w:val="84"/>
              </w:rPr>
              <w:t>$</w:t>
            </w:r>
          </w:p>
        </w:tc>
        <w:tc>
          <w:tcPr>
            <w:tcW w:w="1620" w:type="dxa"/>
            <w:vAlign w:val="bottom"/>
          </w:tcPr>
          <w:p>
            <w:pPr>
              <w:jc w:val="right"/>
              <w:ind w:right="36"/>
              <w:spacing w:after="0"/>
              <w:rPr>
                <w:sz w:val="20"/>
                <w:szCs w:val="20"/>
                <w:color w:val="auto"/>
              </w:rPr>
            </w:pPr>
            <w:r>
              <w:rPr>
                <w:rFonts w:ascii="Arial" w:cs="Arial" w:eastAsia="Arial" w:hAnsi="Arial"/>
                <w:sz w:val="17"/>
                <w:szCs w:val="17"/>
                <w:color w:val="auto"/>
              </w:rPr>
              <w:t>20,786</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680" w:type="dxa"/>
            <w:vAlign w:val="bottom"/>
          </w:tcPr>
          <w:p>
            <w:pPr>
              <w:jc w:val="right"/>
              <w:ind w:right="35"/>
              <w:spacing w:after="0"/>
              <w:rPr>
                <w:sz w:val="20"/>
                <w:szCs w:val="20"/>
                <w:color w:val="auto"/>
              </w:rPr>
            </w:pPr>
            <w:r>
              <w:rPr>
                <w:rFonts w:ascii="Arial" w:cs="Arial" w:eastAsia="Arial" w:hAnsi="Arial"/>
                <w:sz w:val="17"/>
                <w:szCs w:val="17"/>
                <w:color w:val="auto"/>
              </w:rPr>
              <w:t>9,009</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Other long-term liabilities</w:t>
            </w: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73,391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33,971</w:t>
            </w:r>
          </w:p>
        </w:tc>
        <w:tc>
          <w:tcPr>
            <w:tcW w:w="20" w:type="dxa"/>
            <w:vAlign w:val="bottom"/>
            <w:tcBorders>
              <w:bottom w:val="single" w:sz="8" w:color="auto"/>
            </w:tcBorders>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7320" w:type="dxa"/>
            <w:vAlign w:val="bottom"/>
          </w:tcPr>
          <w:p>
            <w:pPr>
              <w:ind w:left="120"/>
              <w:spacing w:after="0"/>
              <w:rPr>
                <w:sz w:val="20"/>
                <w:szCs w:val="20"/>
                <w:color w:val="auto"/>
              </w:rPr>
            </w:pPr>
            <w:r>
              <w:rPr>
                <w:rFonts w:ascii="Arial" w:cs="Arial" w:eastAsia="Arial" w:hAnsi="Arial"/>
                <w:sz w:val="17"/>
                <w:szCs w:val="17"/>
                <w:color w:val="auto"/>
              </w:rPr>
              <w:t>Total operating lease liabilities</w:t>
            </w:r>
          </w:p>
        </w:tc>
        <w:tc>
          <w:tcPr>
            <w:tcW w:w="2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7"/>
                <w:szCs w:val="17"/>
                <w:color w:val="auto"/>
                <w:w w:val="84"/>
              </w:rPr>
              <w:t>$</w:t>
            </w:r>
          </w:p>
        </w:tc>
        <w:tc>
          <w:tcPr>
            <w:tcW w:w="16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94,177</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6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42,980</w:t>
            </w:r>
          </w:p>
        </w:tc>
        <w:tc>
          <w:tcPr>
            <w:tcW w:w="20" w:type="dxa"/>
            <w:vAlign w:val="bottom"/>
            <w:tcBorders>
              <w:bottom w:val="single" w:sz="8" w:color="auto"/>
            </w:tcBorders>
          </w:tcPr>
          <w:p>
            <w:pPr>
              <w:spacing w:after="0"/>
              <w:rPr>
                <w:sz w:val="18"/>
                <w:szCs w:val="18"/>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3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7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7"/>
                <w:szCs w:val="17"/>
                <w:b w:val="1"/>
                <w:bCs w:val="1"/>
                <w:color w:val="auto"/>
              </w:rPr>
              <w:t>Weighted-Average Remaining Lease Term</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Operating leases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ind w:left="980"/>
              <w:spacing w:after="0"/>
              <w:rPr>
                <w:sz w:val="20"/>
                <w:szCs w:val="20"/>
                <w:color w:val="auto"/>
              </w:rPr>
            </w:pPr>
            <w:r>
              <w:rPr>
                <w:rFonts w:ascii="Arial" w:cs="Arial" w:eastAsia="Arial" w:hAnsi="Arial"/>
                <w:sz w:val="17"/>
                <w:szCs w:val="17"/>
                <w:color w:val="auto"/>
              </w:rPr>
              <w:t>6.5 years</w:t>
            </w:r>
          </w:p>
        </w:tc>
        <w:tc>
          <w:tcPr>
            <w:tcW w:w="2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040"/>
              <w:spacing w:after="0"/>
              <w:rPr>
                <w:sz w:val="20"/>
                <w:szCs w:val="20"/>
                <w:color w:val="auto"/>
              </w:rPr>
            </w:pPr>
            <w:r>
              <w:rPr>
                <w:rFonts w:ascii="Arial" w:cs="Arial" w:eastAsia="Arial" w:hAnsi="Arial"/>
                <w:sz w:val="17"/>
                <w:szCs w:val="17"/>
                <w:color w:val="auto"/>
                <w:w w:val="91"/>
              </w:rPr>
              <w:t>5.9 years</w:t>
            </w:r>
          </w:p>
        </w:tc>
      </w:tr>
      <w:tr>
        <w:trPr>
          <w:trHeight w:val="258"/>
        </w:trPr>
        <w:tc>
          <w:tcPr>
            <w:tcW w:w="20" w:type="dxa"/>
            <w:vAlign w:val="bottom"/>
          </w:tcPr>
          <w:p>
            <w:pPr>
              <w:spacing w:after="0"/>
              <w:rPr>
                <w:sz w:val="22"/>
                <w:szCs w:val="22"/>
                <w:color w:val="auto"/>
              </w:rPr>
            </w:pPr>
          </w:p>
        </w:tc>
        <w:tc>
          <w:tcPr>
            <w:tcW w:w="7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19"/>
        </w:trPr>
        <w:tc>
          <w:tcPr>
            <w:tcW w:w="20" w:type="dxa"/>
            <w:vAlign w:val="bottom"/>
            <w:shd w:val="clear" w:color="auto" w:fill="CCEEFF"/>
          </w:tcPr>
          <w:p>
            <w:pPr>
              <w:spacing w:after="0"/>
              <w:rPr>
                <w:sz w:val="19"/>
                <w:szCs w:val="19"/>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Weighted-Average Discount Rate</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7320" w:type="dxa"/>
            <w:vAlign w:val="bottom"/>
          </w:tcPr>
          <w:p>
            <w:pPr>
              <w:ind w:left="200"/>
              <w:spacing w:after="0"/>
              <w:rPr>
                <w:sz w:val="20"/>
                <w:szCs w:val="20"/>
                <w:color w:val="auto"/>
              </w:rPr>
            </w:pPr>
            <w:r>
              <w:rPr>
                <w:rFonts w:ascii="Arial" w:cs="Arial" w:eastAsia="Arial" w:hAnsi="Arial"/>
                <w:sz w:val="17"/>
                <w:szCs w:val="17"/>
                <w:color w:val="auto"/>
              </w:rPr>
              <w:t>Operating leases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4.06 %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4.98 %</w:t>
            </w:r>
          </w:p>
        </w:tc>
        <w:tc>
          <w:tcPr>
            <w:tcW w:w="20" w:type="dxa"/>
            <w:vAlign w:val="bottom"/>
          </w:tcPr>
          <w:p>
            <w:pPr>
              <w:spacing w:after="0"/>
              <w:rPr>
                <w:sz w:val="18"/>
                <w:szCs w:val="18"/>
                <w:color w:val="auto"/>
              </w:rPr>
            </w:pPr>
          </w:p>
        </w:tc>
      </w:tr>
      <w:tr>
        <w:trPr>
          <w:trHeight w:val="490"/>
        </w:trPr>
        <w:tc>
          <w:tcPr>
            <w:tcW w:w="20" w:type="dxa"/>
            <w:vAlign w:val="bottom"/>
          </w:tcPr>
          <w:p>
            <w:pPr>
              <w:spacing w:after="0"/>
              <w:rPr>
                <w:sz w:val="24"/>
                <w:szCs w:val="24"/>
                <w:color w:val="auto"/>
              </w:rPr>
            </w:pPr>
          </w:p>
        </w:tc>
        <w:tc>
          <w:tcPr>
            <w:tcW w:w="11240" w:type="dxa"/>
            <w:vAlign w:val="bottom"/>
            <w:gridSpan w:val="8"/>
          </w:tcPr>
          <w:p>
            <w:pPr>
              <w:ind w:left="600"/>
              <w:spacing w:after="0"/>
              <w:rPr>
                <w:sz w:val="20"/>
                <w:szCs w:val="20"/>
                <w:color w:val="auto"/>
              </w:rPr>
            </w:pPr>
            <w:r>
              <w:rPr>
                <w:rFonts w:ascii="Arial" w:cs="Arial" w:eastAsia="Arial" w:hAnsi="Arial"/>
                <w:sz w:val="17"/>
                <w:szCs w:val="17"/>
                <w:color w:val="auto"/>
                <w:w w:val="91"/>
              </w:rPr>
              <w:t>The following table presents the supplemental balance sheet information related to our finance leases (in thousands, except lease term and discount rate):</w:t>
            </w:r>
          </w:p>
        </w:tc>
      </w:tr>
      <w:tr>
        <w:trPr>
          <w:trHeight w:val="321"/>
        </w:trPr>
        <w:tc>
          <w:tcPr>
            <w:tcW w:w="2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jc w:val="right"/>
              <w:ind w:right="14"/>
              <w:spacing w:after="0"/>
              <w:rPr>
                <w:sz w:val="20"/>
                <w:szCs w:val="20"/>
                <w:color w:val="auto"/>
              </w:rPr>
            </w:pPr>
            <w:r>
              <w:rPr>
                <w:rFonts w:ascii="Arial" w:cs="Arial" w:eastAsia="Arial" w:hAnsi="Arial"/>
                <w:sz w:val="15"/>
                <w:szCs w:val="15"/>
                <w:b w:val="1"/>
                <w:bCs w:val="1"/>
                <w:color w:val="auto"/>
              </w:rPr>
              <w:t>As of</w:t>
            </w:r>
          </w:p>
        </w:tc>
        <w:tc>
          <w:tcPr>
            <w:tcW w:w="16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0"/>
        </w:trPr>
        <w:tc>
          <w:tcPr>
            <w:tcW w:w="20" w:type="dxa"/>
            <w:vAlign w:val="bottom"/>
          </w:tcPr>
          <w:p>
            <w:pPr>
              <w:spacing w:after="0"/>
              <w:rPr>
                <w:sz w:val="17"/>
                <w:szCs w:val="17"/>
                <w:color w:val="auto"/>
              </w:rPr>
            </w:pPr>
          </w:p>
        </w:tc>
        <w:tc>
          <w:tcPr>
            <w:tcW w:w="7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gridSpan w:val="2"/>
          </w:tcPr>
          <w:p>
            <w:pPr>
              <w:ind w:left="160"/>
              <w:spacing w:after="0"/>
              <w:rPr>
                <w:sz w:val="20"/>
                <w:szCs w:val="20"/>
                <w:color w:val="auto"/>
              </w:rPr>
            </w:pPr>
            <w:r>
              <w:rPr>
                <w:rFonts w:ascii="Arial" w:cs="Arial" w:eastAsia="Arial" w:hAnsi="Arial"/>
                <w:sz w:val="15"/>
                <w:szCs w:val="15"/>
                <w:b w:val="1"/>
                <w:bCs w:val="1"/>
                <w:color w:val="auto"/>
              </w:rPr>
              <w:t>March 31, 2022</w:t>
            </w:r>
          </w:p>
        </w:tc>
        <w:tc>
          <w:tcPr>
            <w:tcW w:w="220" w:type="dxa"/>
            <w:vAlign w:val="bottom"/>
          </w:tcPr>
          <w:p>
            <w:pPr>
              <w:spacing w:after="0"/>
              <w:rPr>
                <w:sz w:val="17"/>
                <w:szCs w:val="17"/>
                <w:color w:val="auto"/>
              </w:rPr>
            </w:pPr>
          </w:p>
        </w:tc>
        <w:tc>
          <w:tcPr>
            <w:tcW w:w="1680" w:type="dxa"/>
            <w:vAlign w:val="bottom"/>
          </w:tcPr>
          <w:p>
            <w:pPr>
              <w:jc w:val="right"/>
              <w:ind w:right="255"/>
              <w:spacing w:after="0"/>
              <w:rPr>
                <w:sz w:val="20"/>
                <w:szCs w:val="20"/>
                <w:color w:val="auto"/>
              </w:rPr>
            </w:pPr>
            <w:r>
              <w:rPr>
                <w:rFonts w:ascii="Arial" w:cs="Arial" w:eastAsia="Arial" w:hAnsi="Arial"/>
                <w:sz w:val="15"/>
                <w:szCs w:val="15"/>
                <w:b w:val="1"/>
                <w:bCs w:val="1"/>
                <w:color w:val="auto"/>
                <w:w w:val="97"/>
              </w:rPr>
              <w:t>December 31, 2021</w:t>
            </w:r>
          </w:p>
        </w:tc>
        <w:tc>
          <w:tcPr>
            <w:tcW w:w="2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7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Finance leases</w:t>
            </w: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8"/>
        </w:trPr>
        <w:tc>
          <w:tcPr>
            <w:tcW w:w="20" w:type="dxa"/>
            <w:vAlign w:val="bottom"/>
          </w:tcPr>
          <w:p>
            <w:pPr>
              <w:spacing w:after="0"/>
              <w:rPr>
                <w:sz w:val="18"/>
                <w:szCs w:val="18"/>
                <w:color w:val="auto"/>
              </w:rPr>
            </w:pPr>
          </w:p>
        </w:tc>
        <w:tc>
          <w:tcPr>
            <w:tcW w:w="7320" w:type="dxa"/>
            <w:vAlign w:val="bottom"/>
          </w:tcPr>
          <w:p>
            <w:pPr>
              <w:ind w:left="20"/>
              <w:spacing w:after="0"/>
              <w:rPr>
                <w:sz w:val="20"/>
                <w:szCs w:val="20"/>
                <w:color w:val="auto"/>
              </w:rPr>
            </w:pPr>
            <w:r>
              <w:rPr>
                <w:rFonts w:ascii="Arial" w:cs="Arial" w:eastAsia="Arial" w:hAnsi="Arial"/>
                <w:sz w:val="17"/>
                <w:szCs w:val="17"/>
                <w:color w:val="auto"/>
              </w:rPr>
              <w:t>Finance lease right-of-use assets</w:t>
            </w:r>
          </w:p>
        </w:tc>
        <w:tc>
          <w:tcPr>
            <w:tcW w:w="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20" w:type="dxa"/>
            <w:vAlign w:val="bottom"/>
          </w:tcPr>
          <w:p>
            <w:pPr>
              <w:jc w:val="right"/>
              <w:ind w:right="36"/>
              <w:spacing w:after="0"/>
              <w:rPr>
                <w:sz w:val="20"/>
                <w:szCs w:val="20"/>
                <w:color w:val="auto"/>
              </w:rPr>
            </w:pPr>
            <w:r>
              <w:rPr>
                <w:rFonts w:ascii="Arial" w:cs="Arial" w:eastAsia="Arial" w:hAnsi="Arial"/>
                <w:sz w:val="17"/>
                <w:szCs w:val="17"/>
                <w:color w:val="auto"/>
              </w:rPr>
              <w:t>2,545</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680" w:type="dxa"/>
            <w:vAlign w:val="bottom"/>
          </w:tcPr>
          <w:p>
            <w:pPr>
              <w:jc w:val="right"/>
              <w:ind w:right="35"/>
              <w:spacing w:after="0"/>
              <w:rPr>
                <w:sz w:val="20"/>
                <w:szCs w:val="20"/>
                <w:color w:val="auto"/>
              </w:rPr>
            </w:pPr>
            <w:r>
              <w:rPr>
                <w:rFonts w:ascii="Arial" w:cs="Arial" w:eastAsia="Arial" w:hAnsi="Arial"/>
                <w:sz w:val="17"/>
                <w:szCs w:val="17"/>
                <w:color w:val="auto"/>
              </w:rPr>
              <w:t>2,673</w:t>
            </w:r>
          </w:p>
        </w:tc>
        <w:tc>
          <w:tcPr>
            <w:tcW w:w="20" w:type="dxa"/>
            <w:vAlign w:val="bottom"/>
          </w:tcPr>
          <w:p>
            <w:pPr>
              <w:spacing w:after="0"/>
              <w:rPr>
                <w:sz w:val="18"/>
                <w:szCs w:val="18"/>
                <w:color w:val="auto"/>
              </w:rPr>
            </w:pPr>
          </w:p>
        </w:tc>
      </w:tr>
      <w:tr>
        <w:trPr>
          <w:trHeight w:val="259"/>
        </w:trPr>
        <w:tc>
          <w:tcPr>
            <w:tcW w:w="20" w:type="dxa"/>
            <w:vAlign w:val="bottom"/>
          </w:tcPr>
          <w:p>
            <w:pPr>
              <w:spacing w:after="0"/>
              <w:rPr>
                <w:sz w:val="22"/>
                <w:szCs w:val="22"/>
                <w:color w:val="auto"/>
              </w:rPr>
            </w:pPr>
          </w:p>
        </w:tc>
        <w:tc>
          <w:tcPr>
            <w:tcW w:w="73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18"/>
        </w:trPr>
        <w:tc>
          <w:tcPr>
            <w:tcW w:w="20" w:type="dxa"/>
            <w:vAlign w:val="bottom"/>
          </w:tcPr>
          <w:p>
            <w:pPr>
              <w:spacing w:after="0"/>
              <w:rPr>
                <w:sz w:val="18"/>
                <w:szCs w:val="18"/>
                <w:color w:val="auto"/>
              </w:rPr>
            </w:pPr>
          </w:p>
        </w:tc>
        <w:tc>
          <w:tcPr>
            <w:tcW w:w="7320" w:type="dxa"/>
            <w:vAlign w:val="bottom"/>
          </w:tcPr>
          <w:p>
            <w:pPr>
              <w:ind w:left="20"/>
              <w:spacing w:after="0"/>
              <w:rPr>
                <w:sz w:val="20"/>
                <w:szCs w:val="20"/>
                <w:color w:val="auto"/>
              </w:rPr>
            </w:pPr>
            <w:r>
              <w:rPr>
                <w:rFonts w:ascii="Arial" w:cs="Arial" w:eastAsia="Arial" w:hAnsi="Arial"/>
                <w:sz w:val="17"/>
                <w:szCs w:val="17"/>
                <w:color w:val="auto"/>
              </w:rPr>
              <w:t>Accrued liabilities</w:t>
            </w:r>
          </w:p>
        </w:tc>
        <w:tc>
          <w:tcPr>
            <w:tcW w:w="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20" w:type="dxa"/>
            <w:vAlign w:val="bottom"/>
          </w:tcPr>
          <w:p>
            <w:pPr>
              <w:jc w:val="right"/>
              <w:ind w:right="36"/>
              <w:spacing w:after="0"/>
              <w:rPr>
                <w:sz w:val="20"/>
                <w:szCs w:val="20"/>
                <w:color w:val="auto"/>
              </w:rPr>
            </w:pPr>
            <w:r>
              <w:rPr>
                <w:rFonts w:ascii="Arial" w:cs="Arial" w:eastAsia="Arial" w:hAnsi="Arial"/>
                <w:sz w:val="17"/>
                <w:szCs w:val="17"/>
                <w:color w:val="auto"/>
              </w:rPr>
              <w:t>669</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680" w:type="dxa"/>
            <w:vAlign w:val="bottom"/>
          </w:tcPr>
          <w:p>
            <w:pPr>
              <w:jc w:val="right"/>
              <w:ind w:right="35"/>
              <w:spacing w:after="0"/>
              <w:rPr>
                <w:sz w:val="20"/>
                <w:szCs w:val="20"/>
                <w:color w:val="auto"/>
              </w:rPr>
            </w:pPr>
            <w:r>
              <w:rPr>
                <w:rFonts w:ascii="Arial" w:cs="Arial" w:eastAsia="Arial" w:hAnsi="Arial"/>
                <w:sz w:val="17"/>
                <w:szCs w:val="17"/>
                <w:color w:val="auto"/>
              </w:rPr>
              <w:t>643</w:t>
            </w:r>
          </w:p>
        </w:tc>
        <w:tc>
          <w:tcPr>
            <w:tcW w:w="2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long-term liabilities</w:t>
            </w: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1,923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2,067</w:t>
            </w:r>
          </w:p>
        </w:tc>
        <w:tc>
          <w:tcPr>
            <w:tcW w:w="2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7320" w:type="dxa"/>
            <w:vAlign w:val="bottom"/>
          </w:tcPr>
          <w:p>
            <w:pPr>
              <w:ind w:left="120"/>
              <w:spacing w:after="0"/>
              <w:rPr>
                <w:sz w:val="20"/>
                <w:szCs w:val="20"/>
                <w:color w:val="auto"/>
              </w:rPr>
            </w:pPr>
            <w:r>
              <w:rPr>
                <w:rFonts w:ascii="Arial" w:cs="Arial" w:eastAsia="Arial" w:hAnsi="Arial"/>
                <w:sz w:val="17"/>
                <w:szCs w:val="17"/>
                <w:color w:val="auto"/>
              </w:rPr>
              <w:t>Total finance lease liabilities</w:t>
            </w:r>
          </w:p>
        </w:tc>
        <w:tc>
          <w:tcPr>
            <w:tcW w:w="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20" w:type="dxa"/>
            <w:vAlign w:val="bottom"/>
          </w:tcPr>
          <w:p>
            <w:pPr>
              <w:jc w:val="right"/>
              <w:ind w:right="36"/>
              <w:spacing w:after="0"/>
              <w:rPr>
                <w:sz w:val="20"/>
                <w:szCs w:val="20"/>
                <w:color w:val="auto"/>
              </w:rPr>
            </w:pPr>
            <w:r>
              <w:rPr>
                <w:rFonts w:ascii="Arial" w:cs="Arial" w:eastAsia="Arial" w:hAnsi="Arial"/>
                <w:sz w:val="17"/>
                <w:szCs w:val="17"/>
                <w:color w:val="auto"/>
              </w:rPr>
              <w:t>2,592</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680" w:type="dxa"/>
            <w:vAlign w:val="bottom"/>
          </w:tcPr>
          <w:p>
            <w:pPr>
              <w:jc w:val="right"/>
              <w:ind w:right="35"/>
              <w:spacing w:after="0"/>
              <w:rPr>
                <w:sz w:val="20"/>
                <w:szCs w:val="20"/>
                <w:color w:val="auto"/>
              </w:rPr>
            </w:pPr>
            <w:r>
              <w:rPr>
                <w:rFonts w:ascii="Arial" w:cs="Arial" w:eastAsia="Arial" w:hAnsi="Arial"/>
                <w:sz w:val="17"/>
                <w:szCs w:val="17"/>
                <w:color w:val="auto"/>
              </w:rPr>
              <w:t>2,710</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7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7320" w:type="dxa"/>
            <w:vAlign w:val="bottom"/>
          </w:tcPr>
          <w:p>
            <w:pPr>
              <w:ind w:left="20"/>
              <w:spacing w:after="0"/>
              <w:rPr>
                <w:sz w:val="20"/>
                <w:szCs w:val="20"/>
                <w:color w:val="auto"/>
              </w:rPr>
            </w:pPr>
            <w:r>
              <w:rPr>
                <w:rFonts w:ascii="Arial" w:cs="Arial" w:eastAsia="Arial" w:hAnsi="Arial"/>
                <w:sz w:val="17"/>
                <w:szCs w:val="17"/>
                <w:b w:val="1"/>
                <w:bCs w:val="1"/>
                <w:color w:val="auto"/>
              </w:rPr>
              <w:t>Weighted-Average Remaining Lease Term</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Finance leases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ind w:left="980"/>
              <w:spacing w:after="0"/>
              <w:rPr>
                <w:sz w:val="20"/>
                <w:szCs w:val="20"/>
                <w:color w:val="auto"/>
              </w:rPr>
            </w:pPr>
            <w:r>
              <w:rPr>
                <w:rFonts w:ascii="Arial" w:cs="Arial" w:eastAsia="Arial" w:hAnsi="Arial"/>
                <w:sz w:val="17"/>
                <w:szCs w:val="17"/>
                <w:color w:val="auto"/>
              </w:rPr>
              <w:t>5.4 years</w:t>
            </w: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 years</w:t>
            </w:r>
          </w:p>
        </w:tc>
        <w:tc>
          <w:tcPr>
            <w:tcW w:w="20" w:type="dxa"/>
            <w:vAlign w:val="bottom"/>
          </w:tcPr>
          <w:p>
            <w:pPr>
              <w:spacing w:after="0"/>
              <w:rPr>
                <w:sz w:val="19"/>
                <w:szCs w:val="19"/>
                <w:color w:val="auto"/>
              </w:rPr>
            </w:pPr>
          </w:p>
        </w:tc>
      </w:tr>
      <w:tr>
        <w:trPr>
          <w:trHeight w:val="258"/>
        </w:trPr>
        <w:tc>
          <w:tcPr>
            <w:tcW w:w="20" w:type="dxa"/>
            <w:vAlign w:val="bottom"/>
          </w:tcPr>
          <w:p>
            <w:pPr>
              <w:spacing w:after="0"/>
              <w:rPr>
                <w:sz w:val="22"/>
                <w:szCs w:val="22"/>
                <w:color w:val="auto"/>
              </w:rPr>
            </w:pPr>
          </w:p>
        </w:tc>
        <w:tc>
          <w:tcPr>
            <w:tcW w:w="7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19"/>
        </w:trPr>
        <w:tc>
          <w:tcPr>
            <w:tcW w:w="20" w:type="dxa"/>
            <w:vAlign w:val="bottom"/>
          </w:tcPr>
          <w:p>
            <w:pPr>
              <w:spacing w:after="0"/>
              <w:rPr>
                <w:sz w:val="19"/>
                <w:szCs w:val="19"/>
                <w:color w:val="auto"/>
              </w:rPr>
            </w:pPr>
          </w:p>
        </w:tc>
        <w:tc>
          <w:tcPr>
            <w:tcW w:w="73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Weighted-Average Discount Rate</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7320" w:type="dxa"/>
            <w:vAlign w:val="bottom"/>
          </w:tcPr>
          <w:p>
            <w:pPr>
              <w:ind w:left="200"/>
              <w:spacing w:after="0"/>
              <w:rPr>
                <w:sz w:val="20"/>
                <w:szCs w:val="20"/>
                <w:color w:val="auto"/>
              </w:rPr>
            </w:pPr>
            <w:r>
              <w:rPr>
                <w:rFonts w:ascii="Arial" w:cs="Arial" w:eastAsia="Arial" w:hAnsi="Arial"/>
                <w:sz w:val="17"/>
                <w:szCs w:val="17"/>
                <w:color w:val="auto"/>
              </w:rPr>
              <w:t>Finance leases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4.28 %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4.28 %</w:t>
            </w:r>
          </w:p>
        </w:tc>
        <w:tc>
          <w:tcPr>
            <w:tcW w:w="2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As of March 31, 2022, the maturities of our operating and finance lease liabilities for each of the next five years are approximately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2"/>
          </w:tcPr>
          <w:p>
            <w:pPr>
              <w:ind w:left="80"/>
              <w:spacing w:after="0"/>
              <w:rPr>
                <w:sz w:val="20"/>
                <w:szCs w:val="20"/>
                <w:color w:val="auto"/>
              </w:rPr>
            </w:pPr>
            <w:r>
              <w:rPr>
                <w:rFonts w:ascii="Arial" w:cs="Arial" w:eastAsia="Arial" w:hAnsi="Arial"/>
                <w:sz w:val="17"/>
                <w:szCs w:val="17"/>
                <w:b w:val="1"/>
                <w:bCs w:val="1"/>
                <w:color w:val="auto"/>
              </w:rPr>
              <w:t>Operating Leases</w:t>
            </w:r>
          </w:p>
        </w:tc>
        <w:tc>
          <w:tcPr>
            <w:tcW w:w="220" w:type="dxa"/>
            <w:vAlign w:val="bottom"/>
          </w:tcPr>
          <w:p>
            <w:pPr>
              <w:spacing w:after="0"/>
              <w:rPr>
                <w:sz w:val="19"/>
                <w:szCs w:val="19"/>
                <w:color w:val="auto"/>
              </w:rPr>
            </w:pPr>
          </w:p>
        </w:tc>
        <w:tc>
          <w:tcPr>
            <w:tcW w:w="1560" w:type="dxa"/>
            <w:vAlign w:val="bottom"/>
          </w:tcPr>
          <w:p>
            <w:pPr>
              <w:jc w:val="right"/>
              <w:ind w:right="254"/>
              <w:spacing w:after="0"/>
              <w:rPr>
                <w:sz w:val="20"/>
                <w:szCs w:val="20"/>
                <w:color w:val="auto"/>
              </w:rPr>
            </w:pPr>
            <w:r>
              <w:rPr>
                <w:rFonts w:ascii="Arial" w:cs="Arial" w:eastAsia="Arial" w:hAnsi="Arial"/>
                <w:sz w:val="17"/>
                <w:szCs w:val="17"/>
                <w:b w:val="1"/>
                <w:bCs w:val="1"/>
                <w:color w:val="auto"/>
                <w:w w:val="94"/>
              </w:rPr>
              <w:t>Finance Leases</w:t>
            </w:r>
          </w:p>
        </w:tc>
      </w:tr>
      <w:tr>
        <w:trPr>
          <w:trHeight w:val="213"/>
        </w:trPr>
        <w:tc>
          <w:tcPr>
            <w:tcW w:w="7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Remainder of 2022</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18,934</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577</w:t>
            </w:r>
          </w:p>
        </w:tc>
      </w:tr>
      <w:tr>
        <w:trPr>
          <w:trHeight w:val="218"/>
        </w:trPr>
        <w:tc>
          <w:tcPr>
            <w:tcW w:w="7560" w:type="dxa"/>
            <w:vAlign w:val="bottom"/>
          </w:tcPr>
          <w:p>
            <w:pPr>
              <w:ind w:left="20"/>
              <w:spacing w:after="0"/>
              <w:rPr>
                <w:sz w:val="20"/>
                <w:szCs w:val="20"/>
                <w:color w:val="auto"/>
              </w:rPr>
            </w:pPr>
            <w:r>
              <w:rPr>
                <w:rFonts w:ascii="Arial" w:cs="Arial" w:eastAsia="Arial" w:hAnsi="Arial"/>
                <w:sz w:val="17"/>
                <w:szCs w:val="17"/>
                <w:color w:val="auto"/>
              </w:rPr>
              <w:t>2023</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20,911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770</w:t>
            </w:r>
          </w:p>
        </w:tc>
      </w:tr>
      <w:tr>
        <w:trPr>
          <w:trHeight w:val="220"/>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17,106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464</w:t>
            </w:r>
          </w:p>
        </w:tc>
      </w:tr>
      <w:tr>
        <w:trPr>
          <w:trHeight w:val="218"/>
        </w:trPr>
        <w:tc>
          <w:tcPr>
            <w:tcW w:w="7560" w:type="dxa"/>
            <w:vAlign w:val="bottom"/>
          </w:tcPr>
          <w:p>
            <w:pPr>
              <w:ind w:left="20"/>
              <w:spacing w:after="0"/>
              <w:rPr>
                <w:sz w:val="20"/>
                <w:szCs w:val="20"/>
                <w:color w:val="auto"/>
              </w:rPr>
            </w:pPr>
            <w:r>
              <w:rPr>
                <w:rFonts w:ascii="Arial" w:cs="Arial" w:eastAsia="Arial" w:hAnsi="Arial"/>
                <w:sz w:val="17"/>
                <w:szCs w:val="17"/>
                <w:color w:val="auto"/>
              </w:rPr>
              <w:t>2025</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12,481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267</w:t>
            </w:r>
          </w:p>
        </w:tc>
      </w:tr>
      <w:tr>
        <w:trPr>
          <w:trHeight w:val="220"/>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11,121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w:t>
            </w:r>
          </w:p>
        </w:tc>
      </w:tr>
      <w:tr>
        <w:trPr>
          <w:trHeight w:val="218"/>
        </w:trPr>
        <w:tc>
          <w:tcPr>
            <w:tcW w:w="7560" w:type="dxa"/>
            <w:vAlign w:val="bottom"/>
          </w:tcPr>
          <w:p>
            <w:pPr>
              <w:ind w:left="20"/>
              <w:spacing w:after="0"/>
              <w:rPr>
                <w:sz w:val="20"/>
                <w:szCs w:val="20"/>
                <w:color w:val="auto"/>
              </w:rPr>
            </w:pPr>
            <w:r>
              <w:rPr>
                <w:rFonts w:ascii="Arial" w:cs="Arial" w:eastAsia="Arial" w:hAnsi="Arial"/>
                <w:sz w:val="17"/>
                <w:szCs w:val="17"/>
                <w:color w:val="auto"/>
              </w:rPr>
              <w:t>2027</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7,839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189</w:t>
            </w:r>
          </w:p>
        </w:tc>
      </w:tr>
      <w:tr>
        <w:trPr>
          <w:trHeight w:val="220"/>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Thereafter</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18,121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426</w:t>
            </w:r>
          </w:p>
        </w:tc>
      </w:tr>
      <w:tr>
        <w:trPr>
          <w:trHeight w:val="211"/>
        </w:trPr>
        <w:tc>
          <w:tcPr>
            <w:tcW w:w="7560" w:type="dxa"/>
            <w:vAlign w:val="bottom"/>
          </w:tcPr>
          <w:p>
            <w:pPr>
              <w:ind w:left="140"/>
              <w:spacing w:after="0"/>
              <w:rPr>
                <w:sz w:val="20"/>
                <w:szCs w:val="20"/>
                <w:color w:val="auto"/>
              </w:rPr>
            </w:pPr>
            <w:r>
              <w:rPr>
                <w:rFonts w:ascii="Arial" w:cs="Arial" w:eastAsia="Arial" w:hAnsi="Arial"/>
                <w:sz w:val="17"/>
                <w:szCs w:val="17"/>
                <w:color w:val="auto"/>
              </w:rPr>
              <w:t>Total Lease Payments</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106,513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2,906</w:t>
            </w:r>
          </w:p>
        </w:tc>
      </w:tr>
      <w:tr>
        <w:trPr>
          <w:trHeight w:val="219"/>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imputed interest</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(12,336)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(314)</w:t>
            </w:r>
          </w:p>
        </w:tc>
      </w:tr>
      <w:tr>
        <w:trPr>
          <w:trHeight w:val="213"/>
        </w:trPr>
        <w:tc>
          <w:tcPr>
            <w:tcW w:w="7560" w:type="dxa"/>
            <w:vAlign w:val="bottom"/>
          </w:tcPr>
          <w:p>
            <w:pPr>
              <w:ind w:left="140"/>
              <w:spacing w:after="0"/>
              <w:rPr>
                <w:sz w:val="20"/>
                <w:szCs w:val="20"/>
                <w:color w:val="auto"/>
              </w:rPr>
            </w:pPr>
            <w:r>
              <w:rPr>
                <w:rFonts w:ascii="Arial" w:cs="Arial" w:eastAsia="Arial" w:hAnsi="Arial"/>
                <w:sz w:val="17"/>
                <w:szCs w:val="17"/>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94,177</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2,592</w:t>
            </w:r>
          </w:p>
        </w:tc>
      </w:tr>
      <w:tr>
        <w:trPr>
          <w:trHeight w:val="20"/>
        </w:trPr>
        <w:tc>
          <w:tcPr>
            <w:tcW w:w="7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81"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Note 7:</w:t>
      </w:r>
      <w:r>
        <w:rPr>
          <w:sz w:val="20"/>
          <w:szCs w:val="20"/>
          <w:color w:val="auto"/>
        </w:rPr>
        <w:tab/>
      </w:r>
      <w:r>
        <w:rPr>
          <w:rFonts w:ascii="Arial" w:cs="Arial" w:eastAsia="Arial" w:hAnsi="Arial"/>
          <w:sz w:val="15"/>
          <w:szCs w:val="15"/>
          <w:b w:val="1"/>
          <w:bCs w:val="1"/>
          <w:color w:val="auto"/>
        </w:rPr>
        <w:t>Net Income Per Share</w:t>
      </w:r>
    </w:p>
    <w:p>
      <w:pPr>
        <w:spacing w:after="0" w:line="223" w:lineRule="exact"/>
        <w:rPr>
          <w:sz w:val="20"/>
          <w:szCs w:val="20"/>
          <w:color w:val="auto"/>
        </w:rPr>
      </w:pPr>
    </w:p>
    <w:p>
      <w:pPr>
        <w:ind w:right="160" w:firstLine="619"/>
        <w:spacing w:after="0" w:line="297" w:lineRule="auto"/>
        <w:rPr>
          <w:sz w:val="20"/>
          <w:szCs w:val="20"/>
          <w:color w:val="auto"/>
        </w:rPr>
      </w:pPr>
      <w:r>
        <w:rPr>
          <w:rFonts w:ascii="Arial" w:cs="Arial" w:eastAsia="Arial" w:hAnsi="Arial"/>
          <w:sz w:val="15"/>
          <w:szCs w:val="15"/>
          <w:color w:val="auto"/>
        </w:rPr>
        <w:t>Basic earnings per share is computed by dividing net income by the weighted-average number of common shares outstanding during the period. Diluted earnings per share is computed by dividing net income by the weighted-average number of common shares outstanding during the period plus dilutive securities. Dilutive securities include outstanding common stock options and unvested restricted stock units, less the number of shares that could have been purchased with the proceeds from the exercise of the options, using the treasury stock method. Options and restricted stock units that are anti-dilutive are not included in the treasury stock method calculation. Due to the net loss for the three months ended March 31, 2022, any potentially common shares were not included in the computation of diluted earnings per share as they would have had an anti-dilutive effect, therefore basic and diluted net loss per share are equal for the period. There were nil and 12,080 anti-dilutive securities for the three months ended March 31, 2022 and March 31, 2021, respectively.</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presents the calculation of net earnings per common share (“EPS”) — basic and diluted (in thousands, except per share data):</w:t>
      </w:r>
    </w:p>
    <w:p>
      <w:pPr>
        <w:spacing w:after="0" w:line="138" w:lineRule="exact"/>
        <w:rPr>
          <w:sz w:val="20"/>
          <w:szCs w:val="20"/>
          <w:color w:val="auto"/>
        </w:rPr>
      </w:pPr>
    </w:p>
    <w:p>
      <w:pPr>
        <w:ind w:left="8700"/>
        <w:spacing w:after="0"/>
        <w:rPr>
          <w:sz w:val="20"/>
          <w:szCs w:val="20"/>
          <w:color w:val="auto"/>
        </w:rPr>
      </w:pPr>
      <w:r>
        <w:rPr>
          <w:rFonts w:ascii="Arial" w:cs="Arial" w:eastAsia="Arial" w:hAnsi="Arial"/>
          <w:sz w:val="15"/>
          <w:szCs w:val="15"/>
          <w:b w:val="1"/>
          <w:bCs w:val="1"/>
          <w:color w:val="auto"/>
        </w:rPr>
        <w:t>Three months ended</w:t>
      </w:r>
    </w:p>
    <w:p>
      <w:pPr>
        <w:ind w:left="9060"/>
        <w:spacing w:after="0"/>
        <w:rPr>
          <w:sz w:val="20"/>
          <w:szCs w:val="20"/>
          <w:color w:val="auto"/>
        </w:rPr>
      </w:pPr>
      <w:r>
        <w:rPr>
          <w:rFonts w:ascii="Arial" w:cs="Arial" w:eastAsia="Arial" w:hAnsi="Arial"/>
          <w:sz w:val="15"/>
          <w:szCs w:val="15"/>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60" w:type="dxa"/>
            <w:vAlign w:val="bottom"/>
            <w:tcBorders>
              <w:bottom w:val="single" w:sz="8" w:color="CCEEFF"/>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2022</w:t>
            </w:r>
          </w:p>
        </w:tc>
        <w:tc>
          <w:tcPr>
            <w:tcW w:w="6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655"/>
              <w:spacing w:after="0"/>
              <w:rPr>
                <w:sz w:val="20"/>
                <w:szCs w:val="20"/>
                <w:color w:val="auto"/>
              </w:rPr>
            </w:pPr>
            <w:r>
              <w:rPr>
                <w:rFonts w:ascii="Arial" w:cs="Arial" w:eastAsia="Arial" w:hAnsi="Arial"/>
                <w:sz w:val="15"/>
                <w:szCs w:val="15"/>
                <w:b w:val="1"/>
                <w:bCs w:val="1"/>
                <w:color w:val="auto"/>
              </w:rPr>
              <w:t>2021</w:t>
            </w:r>
          </w:p>
        </w:tc>
      </w:tr>
      <w:tr>
        <w:trPr>
          <w:trHeight w:val="213"/>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 income</w:t>
            </w:r>
          </w:p>
        </w:tc>
        <w:tc>
          <w:tcPr>
            <w:tcW w:w="1120" w:type="dxa"/>
            <w:vAlign w:val="bottom"/>
            <w:shd w:val="clear" w:color="auto" w:fill="CCEEFF"/>
          </w:tcPr>
          <w:p>
            <w:pPr>
              <w:jc w:val="right"/>
              <w:ind w:right="936"/>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(38,068)</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23,731</w:t>
            </w:r>
          </w:p>
        </w:tc>
      </w:tr>
      <w:tr>
        <w:trPr>
          <w:trHeight w:val="218"/>
        </w:trPr>
        <w:tc>
          <w:tcPr>
            <w:tcW w:w="7560" w:type="dxa"/>
            <w:vAlign w:val="bottom"/>
          </w:tcPr>
          <w:p>
            <w:pPr>
              <w:ind w:left="20"/>
              <w:spacing w:after="0"/>
              <w:rPr>
                <w:sz w:val="20"/>
                <w:szCs w:val="20"/>
                <w:color w:val="auto"/>
              </w:rPr>
            </w:pPr>
            <w:r>
              <w:rPr>
                <w:rFonts w:ascii="Arial" w:cs="Arial" w:eastAsia="Arial" w:hAnsi="Arial"/>
                <w:sz w:val="17"/>
                <w:szCs w:val="17"/>
                <w:color w:val="auto"/>
              </w:rPr>
              <w:t>Weighted-average number of common shares outstanding (basic)</w:t>
            </w: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23,646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21,149</w:t>
            </w:r>
          </w:p>
        </w:tc>
      </w:tr>
      <w:tr>
        <w:trPr>
          <w:trHeight w:val="220"/>
        </w:trPr>
        <w:tc>
          <w:tcPr>
            <w:tcW w:w="756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Dilutive securities</w:t>
            </w:r>
            <w:r>
              <w:rPr>
                <w:rFonts w:ascii="Arial" w:cs="Arial" w:eastAsia="Arial" w:hAnsi="Arial"/>
                <w:sz w:val="22"/>
                <w:szCs w:val="22"/>
                <w:color w:val="auto"/>
                <w:vertAlign w:val="superscript"/>
              </w:rPr>
              <w:t>(1)</w:t>
            </w:r>
          </w:p>
        </w:tc>
        <w:tc>
          <w:tcPr>
            <w:tcW w:w="1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546</w:t>
            </w:r>
          </w:p>
        </w:tc>
      </w:tr>
      <w:tr>
        <w:trPr>
          <w:trHeight w:val="212"/>
        </w:trPr>
        <w:tc>
          <w:tcPr>
            <w:tcW w:w="7560" w:type="dxa"/>
            <w:vAlign w:val="bottom"/>
          </w:tcPr>
          <w:p>
            <w:pPr>
              <w:ind w:left="20"/>
              <w:spacing w:after="0"/>
              <w:rPr>
                <w:sz w:val="20"/>
                <w:szCs w:val="20"/>
                <w:color w:val="auto"/>
              </w:rPr>
            </w:pPr>
            <w:r>
              <w:rPr>
                <w:rFonts w:ascii="Arial" w:cs="Arial" w:eastAsia="Arial" w:hAnsi="Arial"/>
                <w:sz w:val="17"/>
                <w:szCs w:val="17"/>
                <w:color w:val="auto"/>
              </w:rPr>
              <w:t>Weighted-average common and common equivalent shares outstanding (diluted)</w:t>
            </w:r>
          </w:p>
        </w:tc>
        <w:tc>
          <w:tcPr>
            <w:tcW w:w="1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23,646</w:t>
            </w:r>
          </w:p>
        </w:tc>
        <w:tc>
          <w:tcPr>
            <w:tcW w:w="12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21,695</w:t>
            </w: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11"/>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EPS — basic</w:t>
            </w:r>
          </w:p>
        </w:tc>
        <w:tc>
          <w:tcPr>
            <w:tcW w:w="1120" w:type="dxa"/>
            <w:vAlign w:val="bottom"/>
            <w:shd w:val="clear" w:color="auto" w:fill="CCEEFF"/>
          </w:tcPr>
          <w:p>
            <w:pPr>
              <w:jc w:val="right"/>
              <w:ind w:right="936"/>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w:t>
            </w:r>
          </w:p>
        </w:tc>
      </w:tr>
      <w:tr>
        <w:trPr>
          <w:trHeight w:val="218"/>
        </w:trPr>
        <w:tc>
          <w:tcPr>
            <w:tcW w:w="7560" w:type="dxa"/>
            <w:vAlign w:val="bottom"/>
          </w:tcPr>
          <w:p>
            <w:pPr>
              <w:ind w:left="20"/>
              <w:spacing w:after="0"/>
              <w:rPr>
                <w:sz w:val="20"/>
                <w:szCs w:val="20"/>
                <w:color w:val="auto"/>
              </w:rPr>
            </w:pPr>
            <w:r>
              <w:rPr>
                <w:rFonts w:ascii="Arial" w:cs="Arial" w:eastAsia="Arial" w:hAnsi="Arial"/>
                <w:sz w:val="17"/>
                <w:szCs w:val="17"/>
                <w:color w:val="auto"/>
              </w:rPr>
              <w:t>EPS — diluted</w:t>
            </w:r>
          </w:p>
        </w:tc>
        <w:tc>
          <w:tcPr>
            <w:tcW w:w="1120" w:type="dxa"/>
            <w:vAlign w:val="bottom"/>
          </w:tcPr>
          <w:p>
            <w:pPr>
              <w:jc w:val="right"/>
              <w:ind w:right="936"/>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(1.61)</w:t>
            </w:r>
          </w:p>
        </w:tc>
        <w:tc>
          <w:tcPr>
            <w:tcW w:w="120" w:type="dxa"/>
            <w:vAlign w:val="bottom"/>
          </w:tcPr>
          <w:p>
            <w:pPr>
              <w:spacing w:after="0"/>
              <w:rPr>
                <w:sz w:val="18"/>
                <w:szCs w:val="18"/>
                <w:color w:val="auto"/>
              </w:rPr>
            </w:pP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1.09</w:t>
            </w:r>
          </w:p>
        </w:tc>
      </w:tr>
    </w:tbl>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w:t>
      </w:r>
    </w:p>
    <w:p>
      <w:pPr>
        <w:spacing w:after="0" w:line="33" w:lineRule="exact"/>
        <w:rPr>
          <w:sz w:val="20"/>
          <w:szCs w:val="20"/>
          <w:color w:val="auto"/>
        </w:rPr>
      </w:pPr>
    </w:p>
    <w:p>
      <w:pPr>
        <w:ind w:left="220" w:hanging="217"/>
        <w:spacing w:after="0"/>
        <w:tabs>
          <w:tab w:leader="none" w:pos="220" w:val="left"/>
        </w:tabs>
        <w:numPr>
          <w:ilvl w:val="0"/>
          <w:numId w:val="9"/>
        </w:numPr>
        <w:rPr>
          <w:rFonts w:ascii="Arial" w:cs="Arial" w:eastAsia="Arial" w:hAnsi="Arial"/>
          <w:sz w:val="20"/>
          <w:szCs w:val="20"/>
          <w:color w:val="auto"/>
          <w:vertAlign w:val="superscript"/>
        </w:rPr>
      </w:pPr>
      <w:r>
        <w:rPr>
          <w:rFonts w:ascii="Arial" w:cs="Arial" w:eastAsia="Arial" w:hAnsi="Arial"/>
          <w:sz w:val="15"/>
          <w:szCs w:val="15"/>
          <w:color w:val="auto"/>
        </w:rPr>
        <w:t>No dilutive effect for the three months ended March 31, 2022; therefore, zero incremental shares included for the period.</w:t>
      </w:r>
    </w:p>
    <w:p>
      <w:pPr>
        <w:spacing w:after="0" w:line="206"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Note 8:</w:t>
      </w:r>
      <w:r>
        <w:rPr>
          <w:sz w:val="20"/>
          <w:szCs w:val="20"/>
          <w:color w:val="auto"/>
        </w:rPr>
        <w:tab/>
      </w:r>
      <w:r>
        <w:rPr>
          <w:rFonts w:ascii="Arial" w:cs="Arial" w:eastAsia="Arial" w:hAnsi="Arial"/>
          <w:sz w:val="15"/>
          <w:szCs w:val="15"/>
          <w:b w:val="1"/>
          <w:bCs w:val="1"/>
          <w:color w:val="auto"/>
        </w:rPr>
        <w:t>Derivatives and Hedging Activities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Hedge Accounting and Hedging Program</w:t>
      </w:r>
    </w:p>
    <w:p>
      <w:pPr>
        <w:spacing w:after="0" w:line="243" w:lineRule="exact"/>
        <w:rPr>
          <w:sz w:val="20"/>
          <w:szCs w:val="20"/>
          <w:color w:val="auto"/>
        </w:rPr>
      </w:pPr>
    </w:p>
    <w:p>
      <w:pPr>
        <w:ind w:right="240" w:firstLine="215"/>
        <w:spacing w:after="0" w:line="266" w:lineRule="auto"/>
        <w:rPr>
          <w:sz w:val="20"/>
          <w:szCs w:val="20"/>
          <w:color w:val="auto"/>
        </w:rPr>
      </w:pPr>
      <w:r>
        <w:rPr>
          <w:rFonts w:ascii="Arial" w:cs="Arial" w:eastAsia="Arial" w:hAnsi="Arial"/>
          <w:sz w:val="17"/>
          <w:szCs w:val="17"/>
          <w:color w:val="auto"/>
        </w:rPr>
        <w:t>The purposes of our cash flow hedging programs are to manage the foreign currency exchange rate risk on forecasted revenues and expenses denominated in currencies other than the functional currency of the operating unit, and to manage floating interest rate risk associated with future interest payments on the variable-rate term loans issued in January 2022. We do not issue derivatives for trading or speculative purposes.</w:t>
      </w:r>
    </w:p>
    <w:p>
      <w:pPr>
        <w:spacing w:after="0" w:line="201" w:lineRule="exact"/>
        <w:rPr>
          <w:sz w:val="20"/>
          <w:szCs w:val="20"/>
          <w:color w:val="auto"/>
        </w:rPr>
      </w:pPr>
    </w:p>
    <w:p>
      <w:pPr>
        <w:ind w:right="60" w:firstLine="169"/>
        <w:spacing w:after="0" w:line="279" w:lineRule="auto"/>
        <w:rPr>
          <w:sz w:val="20"/>
          <w:szCs w:val="20"/>
          <w:color w:val="auto"/>
        </w:rPr>
      </w:pPr>
      <w:r>
        <w:rPr>
          <w:rFonts w:ascii="Arial" w:cs="Arial" w:eastAsia="Arial" w:hAnsi="Arial"/>
          <w:sz w:val="17"/>
          <w:szCs w:val="17"/>
          <w:color w:val="auto"/>
        </w:rPr>
        <w:t>To receive hedge accounting treatment, all hedging relationships are formally documented at the inception of the hedge, and the hedges must be highly effective in offsetting changes to future cash flows on hedged transactions. The derivative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316" w:lineRule="exact"/>
        <w:rPr>
          <w:sz w:val="20"/>
          <w:szCs w:val="20"/>
          <w:color w:val="auto"/>
        </w:rPr>
      </w:pPr>
    </w:p>
    <w:p>
      <w:pPr>
        <w:ind w:right="140"/>
        <w:spacing w:after="0" w:line="277" w:lineRule="auto"/>
        <w:rPr>
          <w:sz w:val="20"/>
          <w:szCs w:val="20"/>
          <w:color w:val="auto"/>
        </w:rPr>
      </w:pPr>
      <w:r>
        <w:rPr>
          <w:rFonts w:ascii="Arial" w:cs="Arial" w:eastAsia="Arial" w:hAnsi="Arial"/>
          <w:sz w:val="16"/>
          <w:szCs w:val="16"/>
          <w:color w:val="auto"/>
        </w:rPr>
        <w:t>instruments we utilize, including various foreign exchange contracts and interest rate swaps, are designated and qualify as cash flow hedges. Our derivative instruments are recorded at fair value on the condensed consolidated balance sheets and are classified based on the instrument's maturity date. We record gains or losses from changes in the fair values of the derivative instruments as a component of other comprehensive income (loss) and we reclassify those gains or losses into earnings in the same line item associated with the forecasted transaction and in the same period during which the hedged transaction affects earnings. If the underlying forecasted transaction does not occur, or it becomes probable that it will not occur, we reclassify the gain or loss on the related derivative instrument from accumulated other comprehensive loss into earnings immediately.</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Foreign Currency Exchange Rate Risk</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Foreign Exchange Forward Contracts</w:t>
      </w:r>
    </w:p>
    <w:p>
      <w:pPr>
        <w:spacing w:after="0" w:line="243" w:lineRule="exact"/>
        <w:rPr>
          <w:sz w:val="20"/>
          <w:szCs w:val="20"/>
          <w:color w:val="auto"/>
        </w:rPr>
      </w:pPr>
    </w:p>
    <w:p>
      <w:pPr>
        <w:ind w:right="120" w:firstLine="619"/>
        <w:spacing w:after="0" w:line="290" w:lineRule="auto"/>
        <w:rPr>
          <w:sz w:val="20"/>
          <w:szCs w:val="20"/>
          <w:color w:val="auto"/>
        </w:rPr>
      </w:pPr>
      <w:r>
        <w:rPr>
          <w:rFonts w:ascii="Arial" w:cs="Arial" w:eastAsia="Arial" w:hAnsi="Arial"/>
          <w:sz w:val="15"/>
          <w:szCs w:val="15"/>
          <w:color w:val="auto"/>
        </w:rPr>
        <w:t>We enter into foreign exchange forward contracts to hedge a portion of our forecasted foreign currency-denominated revenues and expenses to minimize the effect of foreign exchange rate movements on the related cash flows. These contracts are agreements to buy or sell a quantity of a currency at a predetermined future date and at a predetermined exchange rate. Our foreign exchange forward contracts hedge exposures principally denominated in Mexican Pesos, Euros, Czech Koruna and Japanese Yen, and have varying maturities with an average term of approximately twelve months. The total notional amount of these outstanding derivative contracts as of March 31, 2022 was $231.8 million, which included the notional equivalent of $58.7 million in Mexican Pesos,</w:t>
      </w:r>
    </w:p>
    <w:p>
      <w:pPr>
        <w:ind w:right="140"/>
        <w:spacing w:after="0" w:line="266" w:lineRule="auto"/>
        <w:rPr>
          <w:sz w:val="20"/>
          <w:szCs w:val="20"/>
          <w:color w:val="auto"/>
        </w:rPr>
      </w:pPr>
      <w:r>
        <w:rPr>
          <w:rFonts w:ascii="Arial" w:cs="Arial" w:eastAsia="Arial" w:hAnsi="Arial"/>
          <w:sz w:val="17"/>
          <w:szCs w:val="17"/>
          <w:color w:val="auto"/>
        </w:rPr>
        <w:t>$42.4 million in Euros, $23.5 million in Czech Koruna, $22.2 million in Japanese Yen and $85.0 million in other foreign currencies, with terms currently through July 2023. We did not have such derivative contracts as of December 31, 2021.</w:t>
      </w:r>
    </w:p>
    <w:p>
      <w:pPr>
        <w:spacing w:after="0" w:line="200"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Cross-currency Par Forward Contracts</w:t>
      </w:r>
    </w:p>
    <w:p>
      <w:pPr>
        <w:spacing w:after="0" w:line="243" w:lineRule="exact"/>
        <w:rPr>
          <w:sz w:val="20"/>
          <w:szCs w:val="20"/>
          <w:color w:val="auto"/>
        </w:rPr>
      </w:pPr>
    </w:p>
    <w:p>
      <w:pPr>
        <w:ind w:right="20" w:firstLine="619"/>
        <w:spacing w:after="0" w:line="290" w:lineRule="auto"/>
        <w:rPr>
          <w:sz w:val="20"/>
          <w:szCs w:val="20"/>
          <w:color w:val="auto"/>
        </w:rPr>
      </w:pPr>
      <w:r>
        <w:rPr>
          <w:rFonts w:ascii="Arial" w:cs="Arial" w:eastAsia="Arial" w:hAnsi="Arial"/>
          <w:sz w:val="15"/>
          <w:szCs w:val="15"/>
          <w:color w:val="auto"/>
        </w:rPr>
        <w:t>We enter into cross-currency par forward contracts to hedge a portion of our Mexico forecasted expenses denominated in Mexican Pesos ("MXN"). These contracts are agreements to exchange cash flows from one currency to another at specified intervals over the contract term with all exchanges occurring at the same predetermined rate. In November 2021, we entered into a one-year cross-currency par forward contract with a term from December 1, 2021 to December 1, 2022. The total notional amount of this outstanding derivative as of March 31, 2022 and December 31, 2021 was approximately 311.6 million MXN and</w:t>
      </w:r>
    </w:p>
    <w:p>
      <w:pPr>
        <w:spacing w:after="0" w:line="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413.1 million MXN, respectively. The derivative instrument matures in equal monthly amounts at a fixed forward rate of 21.60 MXN/USD. Preceding this contract we had a one-year cross-currency par forward contract with a term from November 3, 2020 to December 1, 2021 that matured in equal monthly amounts at a fixed forward rate of 24.26 MXN/USD.</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Floating Interest Rate Risk</w:t>
      </w:r>
    </w:p>
    <w:p>
      <w:pPr>
        <w:spacing w:after="0" w:line="243" w:lineRule="exact"/>
        <w:rPr>
          <w:sz w:val="20"/>
          <w:szCs w:val="20"/>
          <w:color w:val="auto"/>
        </w:rPr>
      </w:pPr>
    </w:p>
    <w:p>
      <w:pPr>
        <w:ind w:right="20" w:firstLine="619"/>
        <w:spacing w:after="0" w:line="274" w:lineRule="auto"/>
        <w:rPr>
          <w:sz w:val="20"/>
          <w:szCs w:val="20"/>
          <w:color w:val="auto"/>
        </w:rPr>
      </w:pPr>
      <w:r>
        <w:rPr>
          <w:rFonts w:ascii="Arial" w:cs="Arial" w:eastAsia="Arial" w:hAnsi="Arial"/>
          <w:sz w:val="16"/>
          <w:szCs w:val="16"/>
          <w:color w:val="auto"/>
        </w:rPr>
        <w:t>In November 2021, in anticipation of entering into the new senior secured credit facilities in January 2022, which includes a variable-rate term loan A and a variable-rate term loan B (see Note 17: Long-Term Debt), we entered into two forward-starting interest rate swaps. In February 2022, certain terms under the agreements were amended to reflect the transition from LIBOR to the Secured Overnight Financing Rate ("SOFR"), an alternative reference rate. Under the interest rate swap agreements we exchange, at specified intervals, the difference between fixed and floating interest amounts calculated by reference to an agreed-upon notional amount. Effective March 30, 2022, the term loan A swap, as amended, has an initial notional amount of $300.0 million, reducing to $150.0 million evenly on a quarterly basis excluding its final maturity on March 30, 2027. We will pay a fixed rate of 1.32% and will receive the greater of 3-month USD SOFR or (0.15)%. Effective March 30, 2022, the term loan B swap, as amended, has an initial notional amount of $750.0 million, reducing to $46.9 million evenly on a quarterly basis excluding its final maturity on March 30, 2026. We will pay a fixed rate of 1.17% and will receive the greater of 3-month USD SOFR or 0.35%. These swaps effectively convert the relevant portion of the floating-rate term loans to fixed rates.</w:t>
      </w:r>
    </w:p>
    <w:p>
      <w:pPr>
        <w:spacing w:after="0" w:line="379"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following table presents the fair values of our derivative instruments included within the Condensed Consolidated Balance Sheets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0" w:type="dxa"/>
            <w:vAlign w:val="bottom"/>
            <w:gridSpan w:val="5"/>
          </w:tcPr>
          <w:p>
            <w:pPr>
              <w:ind w:left="140"/>
              <w:spacing w:after="0"/>
              <w:rPr>
                <w:sz w:val="20"/>
                <w:szCs w:val="20"/>
                <w:color w:val="auto"/>
              </w:rPr>
            </w:pPr>
            <w:r>
              <w:rPr>
                <w:rFonts w:ascii="Arial" w:cs="Arial" w:eastAsia="Arial" w:hAnsi="Arial"/>
                <w:sz w:val="15"/>
                <w:szCs w:val="15"/>
                <w:b w:val="1"/>
                <w:bCs w:val="1"/>
                <w:color w:val="auto"/>
              </w:rPr>
              <w:t>Derivatives Designated as Cash Flow Hedging</w:t>
            </w:r>
          </w:p>
        </w:tc>
        <w:tc>
          <w:tcPr>
            <w:tcW w:w="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5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500" w:type="dxa"/>
            <w:vAlign w:val="bottom"/>
            <w:tcBorders>
              <w:bottom w:val="single" w:sz="8" w:color="auto"/>
            </w:tcBorders>
            <w:gridSpan w:val="4"/>
          </w:tcPr>
          <w:p>
            <w:pPr>
              <w:jc w:val="right"/>
              <w:ind w:right="1363"/>
              <w:spacing w:after="0"/>
              <w:rPr>
                <w:sz w:val="20"/>
                <w:szCs w:val="20"/>
                <w:color w:val="auto"/>
              </w:rPr>
            </w:pPr>
            <w:r>
              <w:rPr>
                <w:rFonts w:ascii="Arial" w:cs="Arial" w:eastAsia="Arial" w:hAnsi="Arial"/>
                <w:sz w:val="15"/>
                <w:szCs w:val="15"/>
                <w:b w:val="1"/>
                <w:bCs w:val="1"/>
                <w:color w:val="auto"/>
              </w:rPr>
              <w:t>Instruments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5620" w:type="dxa"/>
            <w:vAlign w:val="bottom"/>
            <w:gridSpan w:val="2"/>
            <w:vMerge w:val="restart"/>
          </w:tcPr>
          <w:p>
            <w:pPr>
              <w:ind w:left="20"/>
              <w:spacing w:after="0"/>
              <w:rPr>
                <w:sz w:val="20"/>
                <w:szCs w:val="20"/>
                <w:color w:val="auto"/>
              </w:rPr>
            </w:pPr>
            <w:r>
              <w:rPr>
                <w:rFonts w:ascii="Arial" w:cs="Arial" w:eastAsia="Arial" w:hAnsi="Arial"/>
                <w:sz w:val="15"/>
                <w:szCs w:val="15"/>
                <w:b w:val="1"/>
                <w:bCs w:val="1"/>
                <w:color w:val="auto"/>
              </w:rPr>
              <w:t>Condensed Consolidated Balance Sheet Location</w:t>
            </w:r>
          </w:p>
        </w:tc>
        <w:tc>
          <w:tcPr>
            <w:tcW w:w="200" w:type="dxa"/>
            <w:vAlign w:val="bottom"/>
          </w:tcPr>
          <w:p>
            <w:pPr>
              <w:spacing w:after="0"/>
              <w:rPr>
                <w:sz w:val="13"/>
                <w:szCs w:val="13"/>
                <w:color w:val="auto"/>
              </w:rPr>
            </w:pPr>
          </w:p>
        </w:tc>
        <w:tc>
          <w:tcPr>
            <w:tcW w:w="1700" w:type="dxa"/>
            <w:vAlign w:val="bottom"/>
            <w:gridSpan w:val="2"/>
          </w:tcPr>
          <w:p>
            <w:pPr>
              <w:jc w:val="center"/>
              <w:ind w:right="300"/>
              <w:spacing w:after="0" w:line="150" w:lineRule="exact"/>
              <w:rPr>
                <w:sz w:val="20"/>
                <w:szCs w:val="20"/>
                <w:color w:val="auto"/>
              </w:rPr>
            </w:pPr>
            <w:r>
              <w:rPr>
                <w:rFonts w:ascii="Arial" w:cs="Arial" w:eastAsia="Arial" w:hAnsi="Arial"/>
                <w:sz w:val="15"/>
                <w:szCs w:val="15"/>
                <w:b w:val="1"/>
                <w:bCs w:val="1"/>
                <w:color w:val="auto"/>
                <w:w w:val="92"/>
              </w:rPr>
              <w:t>Foreign Exchange</w:t>
            </w:r>
          </w:p>
        </w:tc>
        <w:tc>
          <w:tcPr>
            <w:tcW w:w="160" w:type="dxa"/>
            <w:vAlign w:val="bottom"/>
          </w:tcPr>
          <w:p>
            <w:pPr>
              <w:spacing w:after="0"/>
              <w:rPr>
                <w:sz w:val="13"/>
                <w:szCs w:val="13"/>
                <w:color w:val="auto"/>
              </w:rPr>
            </w:pPr>
          </w:p>
        </w:tc>
        <w:tc>
          <w:tcPr>
            <w:tcW w:w="1740" w:type="dxa"/>
            <w:vAlign w:val="bottom"/>
            <w:gridSpan w:val="2"/>
            <w:vMerge w:val="restart"/>
          </w:tcPr>
          <w:p>
            <w:pPr>
              <w:ind w:left="80"/>
              <w:spacing w:after="0"/>
              <w:rPr>
                <w:sz w:val="20"/>
                <w:szCs w:val="20"/>
                <w:color w:val="auto"/>
              </w:rPr>
            </w:pPr>
            <w:r>
              <w:rPr>
                <w:rFonts w:ascii="Arial" w:cs="Arial" w:eastAsia="Arial" w:hAnsi="Arial"/>
                <w:sz w:val="15"/>
                <w:szCs w:val="15"/>
                <w:b w:val="1"/>
                <w:bCs w:val="1"/>
                <w:color w:val="auto"/>
              </w:rPr>
              <w:t>Interest Rate Swaps</w:t>
            </w:r>
          </w:p>
        </w:tc>
        <w:tc>
          <w:tcPr>
            <w:tcW w:w="200" w:type="dxa"/>
            <w:vAlign w:val="bottom"/>
          </w:tcPr>
          <w:p>
            <w:pPr>
              <w:spacing w:after="0"/>
              <w:rPr>
                <w:sz w:val="13"/>
                <w:szCs w:val="13"/>
                <w:color w:val="auto"/>
              </w:rPr>
            </w:pPr>
          </w:p>
        </w:tc>
        <w:tc>
          <w:tcPr>
            <w:tcW w:w="1580" w:type="dxa"/>
            <w:vAlign w:val="bottom"/>
            <w:vMerge w:val="restart"/>
          </w:tcPr>
          <w:p>
            <w:pPr>
              <w:jc w:val="right"/>
              <w:ind w:right="223"/>
              <w:spacing w:after="0"/>
              <w:rPr>
                <w:sz w:val="20"/>
                <w:szCs w:val="20"/>
                <w:color w:val="auto"/>
              </w:rPr>
            </w:pPr>
            <w:r>
              <w:rPr>
                <w:rFonts w:ascii="Arial" w:cs="Arial" w:eastAsia="Arial" w:hAnsi="Arial"/>
                <w:sz w:val="15"/>
                <w:szCs w:val="15"/>
                <w:b w:val="1"/>
                <w:bCs w:val="1"/>
                <w:color w:val="auto"/>
                <w:w w:val="98"/>
              </w:rPr>
              <w:t>Gross Derivatives</w:t>
            </w:r>
          </w:p>
        </w:tc>
        <w:tc>
          <w:tcPr>
            <w:tcW w:w="0" w:type="dxa"/>
            <w:vAlign w:val="bottom"/>
          </w:tcPr>
          <w:p>
            <w:pPr>
              <w:spacing w:after="0"/>
              <w:rPr>
                <w:sz w:val="1"/>
                <w:szCs w:val="1"/>
                <w:color w:val="auto"/>
              </w:rPr>
            </w:pPr>
          </w:p>
        </w:tc>
      </w:tr>
      <w:tr>
        <w:trPr>
          <w:trHeight w:val="204"/>
        </w:trPr>
        <w:tc>
          <w:tcPr>
            <w:tcW w:w="56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1"/>
              </w:rPr>
              <w:t>Contracts</w:t>
            </w:r>
          </w:p>
        </w:tc>
        <w:tc>
          <w:tcPr>
            <w:tcW w:w="160" w:type="dxa"/>
            <w:vAlign w:val="bottom"/>
          </w:tcPr>
          <w:p>
            <w:pPr>
              <w:spacing w:after="0"/>
              <w:rPr>
                <w:sz w:val="17"/>
                <w:szCs w:val="17"/>
                <w:color w:val="auto"/>
              </w:rPr>
            </w:pPr>
          </w:p>
        </w:tc>
        <w:tc>
          <w:tcPr>
            <w:tcW w:w="17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55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6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6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58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As of March 31, 2022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6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6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5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Prepaid expenses and other current assets</w:t>
            </w: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7,629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7,629</w:t>
            </w:r>
          </w:p>
        </w:tc>
        <w:tc>
          <w:tcPr>
            <w:tcW w:w="0" w:type="dxa"/>
            <w:vAlign w:val="bottom"/>
          </w:tcPr>
          <w:p>
            <w:pPr>
              <w:spacing w:after="0"/>
              <w:rPr>
                <w:sz w:val="1"/>
                <w:szCs w:val="1"/>
                <w:color w:val="auto"/>
              </w:rPr>
            </w:pPr>
          </w:p>
        </w:tc>
      </w:tr>
      <w:tr>
        <w:trPr>
          <w:trHeight w:val="203"/>
        </w:trPr>
        <w:tc>
          <w:tcPr>
            <w:tcW w:w="562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Other assets</w:t>
            </w:r>
          </w:p>
        </w:tc>
        <w:tc>
          <w:tcPr>
            <w:tcW w:w="2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28,570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28,685</w:t>
            </w:r>
          </w:p>
        </w:tc>
        <w:tc>
          <w:tcPr>
            <w:tcW w:w="0" w:type="dxa"/>
            <w:vAlign w:val="bottom"/>
          </w:tcPr>
          <w:p>
            <w:pPr>
              <w:spacing w:after="0"/>
              <w:rPr>
                <w:sz w:val="1"/>
                <w:szCs w:val="1"/>
                <w:color w:val="auto"/>
              </w:rPr>
            </w:pPr>
          </w:p>
        </w:tc>
      </w:tr>
      <w:tr>
        <w:trPr>
          <w:trHeight w:val="227"/>
        </w:trPr>
        <w:tc>
          <w:tcPr>
            <w:tcW w:w="56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5"/>
                <w:szCs w:val="15"/>
                <w:color w:val="auto"/>
              </w:rPr>
              <w:t>Total assets</w:t>
            </w: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7,744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6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28,570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36,314</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Accrued liabilities</w:t>
            </w: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895</w:t>
            </w:r>
          </w:p>
        </w:tc>
        <w:tc>
          <w:tcPr>
            <w:tcW w:w="0" w:type="dxa"/>
            <w:vAlign w:val="bottom"/>
          </w:tcPr>
          <w:p>
            <w:pPr>
              <w:spacing w:after="0"/>
              <w:rPr>
                <w:sz w:val="1"/>
                <w:szCs w:val="1"/>
                <w:color w:val="auto"/>
              </w:rPr>
            </w:pPr>
          </w:p>
        </w:tc>
      </w:tr>
      <w:tr>
        <w:trPr>
          <w:trHeight w:val="203"/>
        </w:trPr>
        <w:tc>
          <w:tcPr>
            <w:tcW w:w="562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Other long-term liabilities</w:t>
            </w:r>
          </w:p>
        </w:tc>
        <w:tc>
          <w:tcPr>
            <w:tcW w:w="2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w:t>
            </w:r>
          </w:p>
        </w:tc>
        <w:tc>
          <w:tcPr>
            <w:tcW w:w="0" w:type="dxa"/>
            <w:vAlign w:val="bottom"/>
          </w:tcPr>
          <w:p>
            <w:pPr>
              <w:spacing w:after="0"/>
              <w:rPr>
                <w:sz w:val="1"/>
                <w:szCs w:val="1"/>
                <w:color w:val="auto"/>
              </w:rPr>
            </w:pPr>
          </w:p>
        </w:tc>
      </w:tr>
      <w:tr>
        <w:trPr>
          <w:trHeight w:val="222"/>
        </w:trPr>
        <w:tc>
          <w:tcPr>
            <w:tcW w:w="562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Total liabilities</w:t>
            </w: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922</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5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As of December 31, 2021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20" w:type="dxa"/>
            <w:vAlign w:val="bottom"/>
            <w:gridSpan w:val="2"/>
          </w:tcPr>
          <w:p>
            <w:pPr>
              <w:ind w:left="20"/>
              <w:spacing w:after="0"/>
              <w:rPr>
                <w:sz w:val="20"/>
                <w:szCs w:val="20"/>
                <w:color w:val="auto"/>
              </w:rPr>
            </w:pPr>
            <w:r>
              <w:rPr>
                <w:rFonts w:ascii="Arial" w:cs="Arial" w:eastAsia="Arial" w:hAnsi="Arial"/>
                <w:sz w:val="15"/>
                <w:szCs w:val="15"/>
                <w:color w:val="auto"/>
              </w:rPr>
              <w:t>Prepaid expenses and other current assets</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600" w:type="dxa"/>
            <w:vAlign w:val="bottom"/>
          </w:tcPr>
          <w:p>
            <w:pPr>
              <w:jc w:val="right"/>
              <w:spacing w:after="0"/>
              <w:rPr>
                <w:sz w:val="20"/>
                <w:szCs w:val="20"/>
                <w:color w:val="auto"/>
              </w:rPr>
            </w:pPr>
            <w:r>
              <w:rPr>
                <w:rFonts w:ascii="Arial" w:cs="Arial" w:eastAsia="Arial" w:hAnsi="Arial"/>
                <w:sz w:val="15"/>
                <w:szCs w:val="15"/>
                <w:color w:val="auto"/>
              </w:rPr>
              <w:t>1,061</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7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580" w:type="dxa"/>
            <w:vAlign w:val="bottom"/>
          </w:tcPr>
          <w:p>
            <w:pPr>
              <w:jc w:val="right"/>
              <w:spacing w:after="0"/>
              <w:rPr>
                <w:sz w:val="20"/>
                <w:szCs w:val="20"/>
                <w:color w:val="auto"/>
              </w:rPr>
            </w:pPr>
            <w:r>
              <w:rPr>
                <w:rFonts w:ascii="Arial" w:cs="Arial" w:eastAsia="Arial" w:hAnsi="Arial"/>
                <w:sz w:val="15"/>
                <w:szCs w:val="15"/>
                <w:color w:val="auto"/>
              </w:rPr>
              <w:t>1,061</w:t>
            </w:r>
          </w:p>
        </w:tc>
        <w:tc>
          <w:tcPr>
            <w:tcW w:w="0" w:type="dxa"/>
            <w:vAlign w:val="bottom"/>
          </w:tcPr>
          <w:p>
            <w:pPr>
              <w:spacing w:after="0"/>
              <w:rPr>
                <w:sz w:val="1"/>
                <w:szCs w:val="1"/>
                <w:color w:val="auto"/>
              </w:rPr>
            </w:pPr>
          </w:p>
        </w:tc>
      </w:tr>
      <w:tr>
        <w:trPr>
          <w:trHeight w:val="206"/>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Other assets</w:t>
            </w:r>
          </w:p>
        </w:tc>
        <w:tc>
          <w:tcPr>
            <w:tcW w:w="20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2"/>
        </w:trPr>
        <w:tc>
          <w:tcPr>
            <w:tcW w:w="5620" w:type="dxa"/>
            <w:vAlign w:val="bottom"/>
            <w:gridSpan w:val="2"/>
          </w:tcPr>
          <w:p>
            <w:pPr>
              <w:ind w:left="220"/>
              <w:spacing w:after="0"/>
              <w:rPr>
                <w:sz w:val="20"/>
                <w:szCs w:val="20"/>
                <w:color w:val="auto"/>
              </w:rPr>
            </w:pPr>
            <w:r>
              <w:rPr>
                <w:rFonts w:ascii="Arial" w:cs="Arial" w:eastAsia="Arial" w:hAnsi="Arial"/>
                <w:sz w:val="15"/>
                <w:szCs w:val="15"/>
                <w:color w:val="auto"/>
              </w:rPr>
              <w:t>Total assets</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600" w:type="dxa"/>
            <w:vAlign w:val="bottom"/>
          </w:tcPr>
          <w:p>
            <w:pPr>
              <w:jc w:val="right"/>
              <w:spacing w:after="0"/>
              <w:rPr>
                <w:sz w:val="20"/>
                <w:szCs w:val="20"/>
                <w:color w:val="auto"/>
              </w:rPr>
            </w:pPr>
            <w:r>
              <w:rPr>
                <w:rFonts w:ascii="Arial" w:cs="Arial" w:eastAsia="Arial" w:hAnsi="Arial"/>
                <w:sz w:val="15"/>
                <w:szCs w:val="15"/>
                <w:color w:val="auto"/>
              </w:rPr>
              <w:t>1,061</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7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580" w:type="dxa"/>
            <w:vAlign w:val="bottom"/>
          </w:tcPr>
          <w:p>
            <w:pPr>
              <w:jc w:val="right"/>
              <w:spacing w:after="0"/>
              <w:rPr>
                <w:sz w:val="20"/>
                <w:szCs w:val="20"/>
                <w:color w:val="auto"/>
              </w:rPr>
            </w:pPr>
            <w:r>
              <w:rPr>
                <w:rFonts w:ascii="Arial" w:cs="Arial" w:eastAsia="Arial" w:hAnsi="Arial"/>
                <w:sz w:val="15"/>
                <w:szCs w:val="15"/>
                <w:color w:val="auto"/>
              </w:rPr>
              <w:t>1,061</w:t>
            </w:r>
          </w:p>
        </w:tc>
        <w:tc>
          <w:tcPr>
            <w:tcW w:w="0" w:type="dxa"/>
            <w:vAlign w:val="bottom"/>
          </w:tcPr>
          <w:p>
            <w:pPr>
              <w:spacing w:after="0"/>
              <w:rPr>
                <w:sz w:val="1"/>
                <w:szCs w:val="1"/>
                <w:color w:val="auto"/>
              </w:rPr>
            </w:pP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620" w:type="dxa"/>
            <w:vAlign w:val="bottom"/>
            <w:gridSpan w:val="2"/>
          </w:tcPr>
          <w:p>
            <w:pPr>
              <w:ind w:left="20"/>
              <w:spacing w:after="0"/>
              <w:rPr>
                <w:sz w:val="20"/>
                <w:szCs w:val="20"/>
                <w:color w:val="auto"/>
              </w:rPr>
            </w:pPr>
            <w:r>
              <w:rPr>
                <w:rFonts w:ascii="Arial" w:cs="Arial" w:eastAsia="Arial" w:hAnsi="Arial"/>
                <w:sz w:val="15"/>
                <w:szCs w:val="15"/>
                <w:color w:val="auto"/>
              </w:rPr>
              <w:t>Accrued liabilities</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7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7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5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Other long-term liabilities</w:t>
            </w:r>
          </w:p>
        </w:tc>
        <w:tc>
          <w:tcPr>
            <w:tcW w:w="20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1,480</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1,480</w:t>
            </w:r>
          </w:p>
        </w:tc>
        <w:tc>
          <w:tcPr>
            <w:tcW w:w="0" w:type="dxa"/>
            <w:vAlign w:val="bottom"/>
          </w:tcPr>
          <w:p>
            <w:pPr>
              <w:spacing w:after="0"/>
              <w:rPr>
                <w:sz w:val="1"/>
                <w:szCs w:val="1"/>
                <w:color w:val="auto"/>
              </w:rPr>
            </w:pPr>
          </w:p>
        </w:tc>
      </w:tr>
      <w:tr>
        <w:trPr>
          <w:trHeight w:val="202"/>
        </w:trPr>
        <w:tc>
          <w:tcPr>
            <w:tcW w:w="5620" w:type="dxa"/>
            <w:vAlign w:val="bottom"/>
            <w:gridSpan w:val="2"/>
          </w:tcPr>
          <w:p>
            <w:pPr>
              <w:ind w:left="220"/>
              <w:spacing w:after="0"/>
              <w:rPr>
                <w:sz w:val="20"/>
                <w:szCs w:val="20"/>
                <w:color w:val="auto"/>
              </w:rPr>
            </w:pPr>
            <w:r>
              <w:rPr>
                <w:rFonts w:ascii="Arial" w:cs="Arial" w:eastAsia="Arial" w:hAnsi="Arial"/>
                <w:sz w:val="15"/>
                <w:szCs w:val="15"/>
                <w:color w:val="auto"/>
              </w:rPr>
              <w:t>Total liabilities</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7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640" w:type="dxa"/>
            <w:vAlign w:val="bottom"/>
          </w:tcPr>
          <w:p>
            <w:pPr>
              <w:jc w:val="right"/>
              <w:ind w:right="3"/>
              <w:spacing w:after="0"/>
              <w:rPr>
                <w:sz w:val="20"/>
                <w:szCs w:val="20"/>
                <w:color w:val="auto"/>
              </w:rPr>
            </w:pPr>
            <w:r>
              <w:rPr>
                <w:rFonts w:ascii="Arial" w:cs="Arial" w:eastAsia="Arial" w:hAnsi="Arial"/>
                <w:sz w:val="15"/>
                <w:szCs w:val="15"/>
                <w:color w:val="auto"/>
              </w:rPr>
              <w:t>1,480</w:t>
            </w:r>
          </w:p>
        </w:tc>
        <w:tc>
          <w:tcPr>
            <w:tcW w:w="100" w:type="dxa"/>
            <w:vAlign w:val="bottom"/>
          </w:tcPr>
          <w:p>
            <w:pPr>
              <w:spacing w:after="0"/>
              <w:rPr>
                <w:sz w:val="17"/>
                <w:szCs w:val="17"/>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580" w:type="dxa"/>
            <w:vAlign w:val="bottom"/>
          </w:tcPr>
          <w:p>
            <w:pPr>
              <w:jc w:val="right"/>
              <w:spacing w:after="0"/>
              <w:rPr>
                <w:sz w:val="20"/>
                <w:szCs w:val="20"/>
                <w:color w:val="auto"/>
              </w:rPr>
            </w:pPr>
            <w:r>
              <w:rPr>
                <w:rFonts w:ascii="Arial" w:cs="Arial" w:eastAsia="Arial" w:hAnsi="Arial"/>
                <w:sz w:val="15"/>
                <w:szCs w:val="15"/>
                <w:color w:val="auto"/>
              </w:rPr>
              <w:t>1,480</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recognized the following gains (losses) on our derivative instruments designated as cash flow hedges (in thousands):</w:t>
      </w:r>
    </w:p>
    <w:p>
      <w:pPr>
        <w:spacing w:after="0" w:line="48" w:lineRule="exact"/>
        <w:rPr>
          <w:sz w:val="20"/>
          <w:szCs w:val="20"/>
          <w:color w:val="auto"/>
        </w:rPr>
      </w:pPr>
    </w:p>
    <w:p>
      <w:pPr>
        <w:jc w:val="center"/>
        <w:ind w:left="7560"/>
        <w:spacing w:after="0"/>
        <w:rPr>
          <w:sz w:val="20"/>
          <w:szCs w:val="20"/>
          <w:color w:val="auto"/>
        </w:rPr>
      </w:pPr>
      <w:r>
        <w:rPr>
          <w:rFonts w:ascii="Arial" w:cs="Arial" w:eastAsia="Arial" w:hAnsi="Arial"/>
          <w:sz w:val="15"/>
          <w:szCs w:val="15"/>
          <w:b w:val="1"/>
          <w:bCs w:val="1"/>
          <w:color w:val="auto"/>
        </w:rPr>
        <w:t>Gain (Loss) Recognized in Other Comprehensive</w:t>
      </w:r>
    </w:p>
    <w:p>
      <w:pPr>
        <w:jc w:val="center"/>
        <w:ind w:left="7560"/>
        <w:spacing w:after="0"/>
        <w:rPr>
          <w:sz w:val="20"/>
          <w:szCs w:val="20"/>
          <w:color w:val="auto"/>
        </w:rPr>
      </w:pPr>
      <w:r>
        <w:rPr>
          <w:rFonts w:ascii="Arial" w:cs="Arial" w:eastAsia="Arial" w:hAnsi="Arial"/>
          <w:sz w:val="15"/>
          <w:szCs w:val="15"/>
          <w:b w:val="1"/>
          <w:bCs w:val="1"/>
          <w:color w:val="auto"/>
        </w:rPr>
        <w:t>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4815840</wp:posOffset>
            </wp:positionH>
            <wp:positionV relativeFrom="paragraph">
              <wp:posOffset>10795</wp:posOffset>
            </wp:positionV>
            <wp:extent cx="23247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324735" cy="8255"/>
                    </a:xfrm>
                    <a:prstGeom prst="rect">
                      <a:avLst/>
                    </a:prstGeom>
                    <a:noFill/>
                  </pic:spPr>
                </pic:pic>
              </a:graphicData>
            </a:graphic>
          </wp:anchor>
        </w:drawing>
      </w:r>
    </w:p>
    <w:p>
      <w:pPr>
        <w:spacing w:after="0" w:line="150" w:lineRule="exact"/>
        <w:rPr>
          <w:sz w:val="20"/>
          <w:szCs w:val="20"/>
          <w:color w:val="auto"/>
        </w:rPr>
      </w:pPr>
    </w:p>
    <w:p>
      <w:pPr>
        <w:ind w:left="8720"/>
        <w:spacing w:after="0"/>
        <w:rPr>
          <w:sz w:val="20"/>
          <w:szCs w:val="20"/>
          <w:color w:val="auto"/>
        </w:rPr>
      </w:pPr>
      <w:r>
        <w:rPr>
          <w:rFonts w:ascii="Arial" w:cs="Arial" w:eastAsia="Arial" w:hAnsi="Arial"/>
          <w:sz w:val="15"/>
          <w:szCs w:val="15"/>
          <w:b w:val="1"/>
          <w:bCs w:val="1"/>
          <w:color w:val="auto"/>
        </w:rPr>
        <w:t>Three months ended</w:t>
      </w:r>
    </w:p>
    <w:p>
      <w:pPr>
        <w:ind w:left="9080"/>
        <w:spacing w:after="0"/>
        <w:rPr>
          <w:sz w:val="20"/>
          <w:szCs w:val="20"/>
          <w:color w:val="auto"/>
        </w:rPr>
      </w:pPr>
      <w:r>
        <w:rPr>
          <w:rFonts w:ascii="Arial" w:cs="Arial" w:eastAsia="Arial" w:hAnsi="Arial"/>
          <w:sz w:val="15"/>
          <w:szCs w:val="15"/>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80" w:type="dxa"/>
            <w:vAlign w:val="bottom"/>
            <w:tcBorders>
              <w:bottom w:val="single" w:sz="8" w:color="CCEEFF"/>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rPr>
              <w:t>2022</w:t>
            </w:r>
          </w:p>
        </w:tc>
        <w:tc>
          <w:tcPr>
            <w:tcW w:w="6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643"/>
              <w:spacing w:after="0"/>
              <w:rPr>
                <w:sz w:val="20"/>
                <w:szCs w:val="20"/>
                <w:color w:val="auto"/>
              </w:rPr>
            </w:pPr>
            <w:r>
              <w:rPr>
                <w:rFonts w:ascii="Arial" w:cs="Arial" w:eastAsia="Arial" w:hAnsi="Arial"/>
                <w:sz w:val="15"/>
                <w:szCs w:val="15"/>
                <w:b w:val="1"/>
                <w:bCs w:val="1"/>
                <w:color w:val="auto"/>
              </w:rPr>
              <w:t>2021</w:t>
            </w:r>
          </w:p>
        </w:tc>
      </w:tr>
      <w:tr>
        <w:trPr>
          <w:trHeight w:val="188"/>
        </w:trPr>
        <w:tc>
          <w:tcPr>
            <w:tcW w:w="7580" w:type="dxa"/>
            <w:vAlign w:val="bottom"/>
            <w:shd w:val="clear" w:color="auto" w:fill="CCEEFF"/>
          </w:tcPr>
          <w:p>
            <w:pPr>
              <w:ind w:left="20"/>
              <w:spacing w:after="0"/>
              <w:rPr>
                <w:sz w:val="20"/>
                <w:szCs w:val="20"/>
                <w:color w:val="auto"/>
              </w:rPr>
            </w:pPr>
            <w:r>
              <w:rPr>
                <w:rFonts w:ascii="Arial" w:cs="Arial" w:eastAsia="Arial" w:hAnsi="Arial"/>
                <w:sz w:val="15"/>
                <w:szCs w:val="15"/>
                <w:i w:val="1"/>
                <w:iCs w:val="1"/>
                <w:color w:val="auto"/>
              </w:rPr>
              <w:t>Derivatives designated as cash flow hedging instruments:</w:t>
            </w:r>
          </w:p>
        </w:tc>
        <w:tc>
          <w:tcPr>
            <w:tcW w:w="1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r>
      <w:tr>
        <w:trPr>
          <w:trHeight w:val="203"/>
        </w:trPr>
        <w:tc>
          <w:tcPr>
            <w:tcW w:w="7580" w:type="dxa"/>
            <w:vAlign w:val="bottom"/>
          </w:tcPr>
          <w:p>
            <w:pPr>
              <w:ind w:left="140"/>
              <w:spacing w:after="0"/>
              <w:rPr>
                <w:sz w:val="20"/>
                <w:szCs w:val="20"/>
                <w:color w:val="auto"/>
              </w:rPr>
            </w:pPr>
            <w:r>
              <w:rPr>
                <w:rFonts w:ascii="Arial" w:cs="Arial" w:eastAsia="Arial" w:hAnsi="Arial"/>
                <w:sz w:val="15"/>
                <w:szCs w:val="15"/>
                <w:color w:val="auto"/>
              </w:rPr>
              <w:t>Foreign exchange contracts</w:t>
            </w:r>
          </w:p>
        </w:tc>
        <w:tc>
          <w:tcPr>
            <w:tcW w:w="1180" w:type="dxa"/>
            <w:vAlign w:val="bottom"/>
          </w:tcPr>
          <w:p>
            <w:pPr>
              <w:jc w:val="right"/>
              <w:ind w:right="1003"/>
              <w:spacing w:after="0"/>
              <w:rPr>
                <w:sz w:val="20"/>
                <w:szCs w:val="20"/>
                <w:color w:val="auto"/>
              </w:rPr>
            </w:pPr>
            <w:r>
              <w:rPr>
                <w:rFonts w:ascii="Arial" w:cs="Arial" w:eastAsia="Arial" w:hAnsi="Arial"/>
                <w:sz w:val="15"/>
                <w:szCs w:val="15"/>
                <w:color w:val="auto"/>
                <w:w w:val="95"/>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3,112</w:t>
            </w:r>
          </w:p>
        </w:tc>
        <w:tc>
          <w:tcPr>
            <w:tcW w:w="100" w:type="dxa"/>
            <w:vAlign w:val="bottom"/>
          </w:tcPr>
          <w:p>
            <w:pPr>
              <w:spacing w:after="0"/>
              <w:rPr>
                <w:sz w:val="17"/>
                <w:szCs w:val="17"/>
                <w:color w:val="auto"/>
              </w:rPr>
            </w:pPr>
          </w:p>
        </w:tc>
        <w:tc>
          <w:tcPr>
            <w:tcW w:w="420" w:type="dxa"/>
            <w:vAlign w:val="bottom"/>
          </w:tcPr>
          <w:p>
            <w:pPr>
              <w:jc w:val="right"/>
              <w:ind w:right="243"/>
              <w:spacing w:after="0"/>
              <w:rPr>
                <w:sz w:val="20"/>
                <w:szCs w:val="20"/>
                <w:color w:val="auto"/>
              </w:rPr>
            </w:pPr>
            <w:r>
              <w:rPr>
                <w:rFonts w:ascii="Arial" w:cs="Arial" w:eastAsia="Arial" w:hAnsi="Arial"/>
                <w:sz w:val="15"/>
                <w:szCs w:val="15"/>
                <w:color w:val="auto"/>
                <w:w w:val="95"/>
              </w:rPr>
              <w:t>$</w:t>
            </w:r>
          </w:p>
        </w:tc>
        <w:tc>
          <w:tcPr>
            <w:tcW w:w="1360" w:type="dxa"/>
            <w:vAlign w:val="bottom"/>
          </w:tcPr>
          <w:p>
            <w:pPr>
              <w:jc w:val="right"/>
              <w:spacing w:after="0"/>
              <w:rPr>
                <w:sz w:val="20"/>
                <w:szCs w:val="20"/>
                <w:color w:val="auto"/>
              </w:rPr>
            </w:pPr>
            <w:r>
              <w:rPr>
                <w:rFonts w:ascii="Arial" w:cs="Arial" w:eastAsia="Arial" w:hAnsi="Arial"/>
                <w:sz w:val="15"/>
                <w:szCs w:val="15"/>
                <w:color w:val="auto"/>
              </w:rPr>
              <w:t>(402)</w:t>
            </w:r>
          </w:p>
        </w:tc>
      </w:tr>
      <w:tr>
        <w:trPr>
          <w:trHeight w:val="206"/>
        </w:trPr>
        <w:tc>
          <w:tcPr>
            <w:tcW w:w="75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Interest rate swaps</w:t>
            </w:r>
          </w:p>
        </w:tc>
        <w:tc>
          <w:tcPr>
            <w:tcW w:w="11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30,051</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2"/>
        </w:trPr>
        <w:tc>
          <w:tcPr>
            <w:tcW w:w="7580" w:type="dxa"/>
            <w:vAlign w:val="bottom"/>
          </w:tcPr>
          <w:p>
            <w:pPr>
              <w:ind w:left="20"/>
              <w:spacing w:after="0"/>
              <w:rPr>
                <w:sz w:val="20"/>
                <w:szCs w:val="20"/>
                <w:color w:val="auto"/>
              </w:rPr>
            </w:pPr>
            <w:r>
              <w:rPr>
                <w:rFonts w:ascii="Arial" w:cs="Arial" w:eastAsia="Arial" w:hAnsi="Arial"/>
                <w:sz w:val="15"/>
                <w:szCs w:val="15"/>
                <w:color w:val="auto"/>
              </w:rPr>
              <w:t>Total derivatives designated as cash flow hedging instruments</w:t>
            </w:r>
          </w:p>
        </w:tc>
        <w:tc>
          <w:tcPr>
            <w:tcW w:w="1180" w:type="dxa"/>
            <w:vAlign w:val="bottom"/>
            <w:tcBorders>
              <w:bottom w:val="single" w:sz="8" w:color="auto"/>
            </w:tcBorders>
          </w:tcPr>
          <w:p>
            <w:pPr>
              <w:jc w:val="right"/>
              <w:ind w:right="1003"/>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33,163</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(402)</w:t>
            </w:r>
          </w:p>
        </w:tc>
      </w:tr>
      <w:tr>
        <w:trPr>
          <w:trHeight w:val="20"/>
        </w:trPr>
        <w:tc>
          <w:tcPr>
            <w:tcW w:w="75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ind w:right="100"/>
        <w:spacing w:after="0"/>
        <w:rPr>
          <w:sz w:val="20"/>
          <w:szCs w:val="20"/>
          <w:color w:val="auto"/>
        </w:rPr>
      </w:pPr>
      <w:r>
        <w:rPr>
          <w:rFonts w:ascii="Arial" w:cs="Arial" w:eastAsia="Arial" w:hAnsi="Arial"/>
          <w:sz w:val="17"/>
          <w:szCs w:val="17"/>
          <w:b w:val="1"/>
          <w:bCs w:val="1"/>
          <w:color w:val="auto"/>
        </w:rPr>
        <w:t>ICU MEDICAL, INC. AND SUBSIDIARIES</w:t>
      </w:r>
    </w:p>
    <w:p>
      <w:pPr>
        <w:spacing w:after="0" w:line="2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31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following table presents the effects of our derivative instruments designated as cash flow hedges on the Condensed Consolidated Statements of</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Operations (in thousands):</w:t>
      </w:r>
    </w:p>
    <w:p>
      <w:pPr>
        <w:spacing w:after="0" w:line="127" w:lineRule="exact"/>
        <w:rPr>
          <w:sz w:val="20"/>
          <w:szCs w:val="20"/>
          <w:color w:val="auto"/>
        </w:rPr>
      </w:pPr>
    </w:p>
    <w:p>
      <w:pPr>
        <w:jc w:val="right"/>
        <w:ind w:right="40"/>
        <w:spacing w:after="0"/>
        <w:rPr>
          <w:sz w:val="20"/>
          <w:szCs w:val="20"/>
          <w:color w:val="auto"/>
        </w:rPr>
      </w:pPr>
      <w:r>
        <w:rPr>
          <w:rFonts w:ascii="Arial" w:cs="Arial" w:eastAsia="Arial" w:hAnsi="Arial"/>
          <w:sz w:val="15"/>
          <w:szCs w:val="15"/>
          <w:b w:val="1"/>
          <w:bCs w:val="1"/>
          <w:color w:val="auto"/>
        </w:rPr>
        <w:t>Gain (Loss) Reclassified From Accumulated Other Comprehensive Inco</w:t>
      </w:r>
    </w:p>
    <w:tbl>
      <w:tblPr>
        <w:tblLayout w:type="fixed"/>
        <w:tblInd w:w="620" w:type="dxa"/>
        <w:tblCellMar>
          <w:top w:w="0" w:type="dxa"/>
          <w:left w:w="0" w:type="dxa"/>
          <w:bottom w:w="0" w:type="dxa"/>
          <w:right w:w="0" w:type="dxa"/>
        </w:tblCellMar>
      </w:tblPr>
      <w:tr>
        <w:trPr>
          <w:trHeight w:val="189"/>
        </w:trPr>
        <w:tc>
          <w:tcPr>
            <w:tcW w:w="5240" w:type="dxa"/>
            <w:vAlign w:val="bottom"/>
          </w:tcPr>
          <w:p>
            <w:pPr>
              <w:spacing w:after="0"/>
              <w:rPr>
                <w:sz w:val="16"/>
                <w:szCs w:val="16"/>
                <w:color w:val="auto"/>
              </w:rPr>
            </w:pPr>
          </w:p>
        </w:tc>
        <w:tc>
          <w:tcPr>
            <w:tcW w:w="2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423"/>
              <w:spacing w:after="0"/>
              <w:rPr>
                <w:sz w:val="20"/>
                <w:szCs w:val="20"/>
                <w:color w:val="auto"/>
              </w:rPr>
            </w:pPr>
            <w:r>
              <w:rPr>
                <w:rFonts w:ascii="Arial" w:cs="Arial" w:eastAsia="Arial" w:hAnsi="Arial"/>
                <w:sz w:val="15"/>
                <w:szCs w:val="15"/>
                <w:b w:val="1"/>
                <w:bCs w:val="1"/>
                <w:color w:val="auto"/>
              </w:rPr>
              <w:t>Income</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89"/>
        </w:trPr>
        <w:tc>
          <w:tcPr>
            <w:tcW w:w="52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740" w:type="dxa"/>
            <w:vAlign w:val="bottom"/>
            <w:gridSpan w:val="4"/>
          </w:tcPr>
          <w:p>
            <w:pPr>
              <w:jc w:val="right"/>
              <w:ind w:right="223"/>
              <w:spacing w:after="0"/>
              <w:rPr>
                <w:sz w:val="20"/>
                <w:szCs w:val="20"/>
                <w:color w:val="auto"/>
              </w:rPr>
            </w:pPr>
            <w:r>
              <w:rPr>
                <w:rFonts w:ascii="Arial" w:cs="Arial" w:eastAsia="Arial" w:hAnsi="Arial"/>
                <w:sz w:val="15"/>
                <w:szCs w:val="15"/>
                <w:b w:val="1"/>
                <w:bCs w:val="1"/>
                <w:color w:val="auto"/>
                <w:w w:val="96"/>
              </w:rPr>
              <w:t>Three months ended</w:t>
            </w:r>
          </w:p>
        </w:tc>
        <w:tc>
          <w:tcPr>
            <w:tcW w:w="0" w:type="dxa"/>
            <w:vAlign w:val="bottom"/>
          </w:tcPr>
          <w:p>
            <w:pPr>
              <w:spacing w:after="0"/>
              <w:rPr>
                <w:sz w:val="1"/>
                <w:szCs w:val="1"/>
                <w:color w:val="auto"/>
              </w:rPr>
            </w:pPr>
          </w:p>
        </w:tc>
      </w:tr>
      <w:tr>
        <w:trPr>
          <w:trHeight w:val="202"/>
        </w:trPr>
        <w:tc>
          <w:tcPr>
            <w:tcW w:w="52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3"/>
          </w:tcPr>
          <w:p>
            <w:pPr>
              <w:ind w:left="120"/>
              <w:spacing w:after="0"/>
              <w:rPr>
                <w:sz w:val="20"/>
                <w:szCs w:val="20"/>
                <w:color w:val="auto"/>
              </w:rPr>
            </w:pPr>
            <w:r>
              <w:rPr>
                <w:rFonts w:ascii="Arial" w:cs="Arial" w:eastAsia="Arial" w:hAnsi="Arial"/>
                <w:sz w:val="15"/>
                <w:szCs w:val="15"/>
                <w:b w:val="1"/>
                <w:bCs w:val="1"/>
                <w:color w:val="auto"/>
              </w:rPr>
              <w:t>March 31,</w:t>
            </w: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5240" w:type="dxa"/>
            <w:vAlign w:val="bottom"/>
          </w:tcPr>
          <w:p>
            <w:pPr>
              <w:spacing w:after="0"/>
              <w:rPr>
                <w:sz w:val="12"/>
                <w:szCs w:val="12"/>
                <w:color w:val="auto"/>
              </w:rPr>
            </w:pPr>
          </w:p>
        </w:tc>
        <w:tc>
          <w:tcPr>
            <w:tcW w:w="2400" w:type="dxa"/>
            <w:vAlign w:val="bottom"/>
            <w:gridSpan w:val="2"/>
          </w:tcPr>
          <w:p>
            <w:pPr>
              <w:ind w:left="680"/>
              <w:spacing w:after="0" w:line="139" w:lineRule="exact"/>
              <w:rPr>
                <w:sz w:val="20"/>
                <w:szCs w:val="20"/>
                <w:color w:val="auto"/>
              </w:rPr>
            </w:pPr>
            <w:r>
              <w:rPr>
                <w:rFonts w:ascii="Arial" w:cs="Arial" w:eastAsia="Arial" w:hAnsi="Arial"/>
                <w:sz w:val="15"/>
                <w:szCs w:val="15"/>
                <w:b w:val="1"/>
                <w:bCs w:val="1"/>
                <w:color w:val="auto"/>
              </w:rPr>
              <w:t>Location of Gain (Loss)</w:t>
            </w:r>
          </w:p>
        </w:tc>
        <w:tc>
          <w:tcPr>
            <w:tcW w:w="13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2022</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20</w:t>
            </w:r>
          </w:p>
        </w:tc>
        <w:tc>
          <w:tcPr>
            <w:tcW w:w="0" w:type="dxa"/>
            <w:vAlign w:val="bottom"/>
          </w:tcPr>
          <w:p>
            <w:pPr>
              <w:spacing w:after="0"/>
              <w:rPr>
                <w:sz w:val="1"/>
                <w:szCs w:val="1"/>
                <w:color w:val="auto"/>
              </w:rPr>
            </w:pPr>
          </w:p>
        </w:tc>
      </w:tr>
      <w:tr>
        <w:trPr>
          <w:trHeight w:val="204"/>
        </w:trPr>
        <w:tc>
          <w:tcPr>
            <w:tcW w:w="5240" w:type="dxa"/>
            <w:vAlign w:val="bottom"/>
          </w:tcPr>
          <w:p>
            <w:pPr>
              <w:spacing w:after="0"/>
              <w:rPr>
                <w:sz w:val="17"/>
                <w:szCs w:val="17"/>
                <w:color w:val="auto"/>
              </w:rPr>
            </w:pPr>
          </w:p>
        </w:tc>
        <w:tc>
          <w:tcPr>
            <w:tcW w:w="2400" w:type="dxa"/>
            <w:vAlign w:val="bottom"/>
            <w:gridSpan w:val="2"/>
          </w:tcPr>
          <w:p>
            <w:pPr>
              <w:ind w:left="420"/>
              <w:spacing w:after="0"/>
              <w:rPr>
                <w:sz w:val="20"/>
                <w:szCs w:val="20"/>
                <w:color w:val="auto"/>
              </w:rPr>
            </w:pPr>
            <w:r>
              <w:rPr>
                <w:rFonts w:ascii="Arial" w:cs="Arial" w:eastAsia="Arial" w:hAnsi="Arial"/>
                <w:sz w:val="15"/>
                <w:szCs w:val="15"/>
                <w:b w:val="1"/>
                <w:bCs w:val="1"/>
                <w:color w:val="auto"/>
              </w:rPr>
              <w:t>Recognized in Income</w:t>
            </w:r>
          </w:p>
        </w:tc>
        <w:tc>
          <w:tcPr>
            <w:tcW w:w="13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24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5"/>
                <w:szCs w:val="15"/>
                <w:i w:val="1"/>
                <w:iCs w:val="1"/>
                <w:color w:val="auto"/>
              </w:rPr>
              <w:t>Derivatives designated as cash flow hedging instruments:</w:t>
            </w:r>
          </w:p>
        </w:tc>
        <w:tc>
          <w:tcPr>
            <w:tcW w:w="2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240" w:type="dxa"/>
            <w:vAlign w:val="bottom"/>
          </w:tcPr>
          <w:p>
            <w:pPr>
              <w:ind w:left="760"/>
              <w:spacing w:after="0"/>
              <w:rPr>
                <w:sz w:val="20"/>
                <w:szCs w:val="20"/>
                <w:color w:val="auto"/>
              </w:rPr>
            </w:pPr>
            <w:r>
              <w:rPr>
                <w:rFonts w:ascii="Arial" w:cs="Arial" w:eastAsia="Arial" w:hAnsi="Arial"/>
                <w:sz w:val="15"/>
                <w:szCs w:val="15"/>
                <w:color w:val="auto"/>
              </w:rPr>
              <w:t>Foreign exchange contracts</w:t>
            </w:r>
          </w:p>
        </w:tc>
        <w:tc>
          <w:tcPr>
            <w:tcW w:w="2400" w:type="dxa"/>
            <w:vAlign w:val="bottom"/>
            <w:gridSpan w:val="2"/>
          </w:tcPr>
          <w:p>
            <w:pPr>
              <w:jc w:val="right"/>
              <w:ind w:right="120"/>
              <w:spacing w:after="0"/>
              <w:rPr>
                <w:sz w:val="20"/>
                <w:szCs w:val="20"/>
                <w:color w:val="auto"/>
              </w:rPr>
            </w:pPr>
            <w:r>
              <w:rPr>
                <w:rFonts w:ascii="Arial" w:cs="Arial" w:eastAsia="Arial" w:hAnsi="Arial"/>
                <w:sz w:val="15"/>
                <w:szCs w:val="15"/>
                <w:color w:val="auto"/>
              </w:rPr>
              <w:t>Total revenues</w:t>
            </w:r>
          </w:p>
        </w:tc>
        <w:tc>
          <w:tcPr>
            <w:tcW w:w="1340" w:type="dxa"/>
            <w:vAlign w:val="bottom"/>
          </w:tcPr>
          <w:p>
            <w:pPr>
              <w:jc w:val="right"/>
              <w:ind w:right="543"/>
              <w:spacing w:after="0"/>
              <w:rPr>
                <w:sz w:val="20"/>
                <w:szCs w:val="20"/>
                <w:color w:val="auto"/>
              </w:rPr>
            </w:pPr>
            <w:r>
              <w:rPr>
                <w:rFonts w:ascii="Arial" w:cs="Arial" w:eastAsia="Arial" w:hAnsi="Arial"/>
                <w:sz w:val="15"/>
                <w:szCs w:val="15"/>
                <w:color w:val="auto"/>
              </w:rPr>
              <w:t>$</w:t>
            </w:r>
          </w:p>
        </w:tc>
        <w:tc>
          <w:tcPr>
            <w:tcW w:w="420" w:type="dxa"/>
            <w:vAlign w:val="bottom"/>
          </w:tcPr>
          <w:p>
            <w:pPr>
              <w:jc w:val="right"/>
              <w:spacing w:after="0"/>
              <w:rPr>
                <w:sz w:val="20"/>
                <w:szCs w:val="20"/>
                <w:color w:val="auto"/>
              </w:rPr>
            </w:pPr>
            <w:r>
              <w:rPr>
                <w:rFonts w:ascii="Arial" w:cs="Arial" w:eastAsia="Arial" w:hAnsi="Arial"/>
                <w:sz w:val="15"/>
                <w:szCs w:val="15"/>
                <w:color w:val="auto"/>
                <w:w w:val="90"/>
              </w:rPr>
              <w:t>2,543</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jc w:val="right"/>
              <w:ind w:right="4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5240" w:type="dxa"/>
            <w:vAlign w:val="bottom"/>
            <w:shd w:val="clear" w:color="auto" w:fill="CCEEFF"/>
          </w:tcPr>
          <w:p>
            <w:pPr>
              <w:ind w:left="760"/>
              <w:spacing w:after="0"/>
              <w:rPr>
                <w:sz w:val="20"/>
                <w:szCs w:val="20"/>
                <w:color w:val="auto"/>
              </w:rPr>
            </w:pPr>
            <w:r>
              <w:rPr>
                <w:rFonts w:ascii="Arial" w:cs="Arial" w:eastAsia="Arial" w:hAnsi="Arial"/>
                <w:sz w:val="15"/>
                <w:szCs w:val="15"/>
                <w:color w:val="auto"/>
              </w:rPr>
              <w:t>Foreign exchange contracts</w:t>
            </w:r>
          </w:p>
        </w:tc>
        <w:tc>
          <w:tcPr>
            <w:tcW w:w="24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Cost of goods sold</w:t>
            </w:r>
          </w:p>
        </w:tc>
        <w:tc>
          <w:tcPr>
            <w:tcW w:w="13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240" w:type="dxa"/>
            <w:vAlign w:val="bottom"/>
            <w:tcBorders>
              <w:bottom w:val="single" w:sz="8" w:color="CCEEFF"/>
            </w:tcBorders>
          </w:tcPr>
          <w:p>
            <w:pPr>
              <w:ind w:left="760"/>
              <w:spacing w:after="0"/>
              <w:rPr>
                <w:sz w:val="20"/>
                <w:szCs w:val="20"/>
                <w:color w:val="auto"/>
              </w:rPr>
            </w:pPr>
            <w:r>
              <w:rPr>
                <w:rFonts w:ascii="Arial" w:cs="Arial" w:eastAsia="Arial" w:hAnsi="Arial"/>
                <w:sz w:val="15"/>
                <w:szCs w:val="15"/>
                <w:color w:val="auto"/>
              </w:rPr>
              <w:t>Foreign exchange contracts</w:t>
            </w:r>
          </w:p>
        </w:tc>
        <w:tc>
          <w:tcPr>
            <w:tcW w:w="2400" w:type="dxa"/>
            <w:vAlign w:val="bottom"/>
            <w:tcBorders>
              <w:bottom w:val="single" w:sz="8" w:color="CCEEFF"/>
            </w:tcBorders>
            <w:gridSpan w:val="2"/>
          </w:tcPr>
          <w:p>
            <w:pPr>
              <w:jc w:val="right"/>
              <w:ind w:right="120"/>
              <w:spacing w:after="0" w:line="207" w:lineRule="exact"/>
              <w:rPr>
                <w:sz w:val="20"/>
                <w:szCs w:val="20"/>
                <w:color w:val="auto"/>
              </w:rPr>
            </w:pPr>
            <w:r>
              <w:rPr>
                <w:rFonts w:ascii="Arial" w:cs="Arial" w:eastAsia="Arial" w:hAnsi="Arial"/>
                <w:sz w:val="15"/>
                <w:szCs w:val="15"/>
                <w:color w:val="auto"/>
              </w:rPr>
              <w:t>Interest expense</w:t>
            </w:r>
            <w:r>
              <w:rPr>
                <w:rFonts w:ascii="Arial" w:cs="Arial" w:eastAsia="Arial" w:hAnsi="Arial"/>
                <w:sz w:val="20"/>
                <w:szCs w:val="20"/>
                <w:color w:val="auto"/>
                <w:vertAlign w:val="superscript"/>
              </w:rPr>
              <w:t>(1)</w:t>
            </w:r>
          </w:p>
        </w:tc>
        <w:tc>
          <w:tcPr>
            <w:tcW w:w="13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249</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2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5"/>
                <w:szCs w:val="15"/>
                <w:color w:val="auto"/>
              </w:rPr>
              <w:t>Total derivatives designated as cash flow hedging instruments</w:t>
            </w:r>
          </w:p>
        </w:tc>
        <w:tc>
          <w:tcPr>
            <w:tcW w:w="23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543"/>
              <w:spacing w:after="0"/>
              <w:rPr>
                <w:sz w:val="20"/>
                <w:szCs w:val="20"/>
                <w:color w:val="auto"/>
              </w:rPr>
            </w:pPr>
            <w:r>
              <w:rPr>
                <w:rFonts w:ascii="Arial" w:cs="Arial" w:eastAsia="Arial" w:hAnsi="Arial"/>
                <w:sz w:val="15"/>
                <w:szCs w:val="15"/>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0"/>
              </w:rPr>
              <w:t>2,279</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4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w:t>
      </w:r>
    </w:p>
    <w:p>
      <w:pPr>
        <w:spacing w:after="0" w:line="56" w:lineRule="exact"/>
        <w:rPr>
          <w:sz w:val="20"/>
          <w:szCs w:val="20"/>
          <w:color w:val="auto"/>
        </w:rPr>
      </w:pPr>
    </w:p>
    <w:p>
      <w:pPr>
        <w:ind w:left="220" w:hanging="217"/>
        <w:spacing w:after="0"/>
        <w:tabs>
          <w:tab w:leader="none" w:pos="22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Represents location of gain reclassified from accumulated other comprehensive income into income as a result that a forecasted transaction is no longer probable of occurring.</w:t>
      </w:r>
    </w:p>
    <w:p>
      <w:pPr>
        <w:spacing w:after="0" w:line="303" w:lineRule="exact"/>
        <w:rPr>
          <w:sz w:val="20"/>
          <w:szCs w:val="20"/>
          <w:color w:val="auto"/>
        </w:rPr>
      </w:pPr>
    </w:p>
    <w:p>
      <w:pPr>
        <w:ind w:right="160" w:firstLine="619"/>
        <w:spacing w:after="0" w:line="266" w:lineRule="auto"/>
        <w:rPr>
          <w:sz w:val="20"/>
          <w:szCs w:val="20"/>
          <w:color w:val="auto"/>
        </w:rPr>
      </w:pPr>
      <w:r>
        <w:rPr>
          <w:rFonts w:ascii="Arial" w:cs="Arial" w:eastAsia="Arial" w:hAnsi="Arial"/>
          <w:sz w:val="17"/>
          <w:szCs w:val="17"/>
          <w:color w:val="auto"/>
        </w:rPr>
        <w:t>As of March 31, 2022, we expect an estimated $1.9 million in deferred gains on the outstanding foreign exchange contracts and an estimated $3.9 million in deferred losses on the interest rate swaps will be reclassified from accumulated other comprehensive loss to net income during the next 12 months concurrent with the underlying hedged transactions also being reported in net income.</w:t>
      </w:r>
    </w:p>
    <w:p>
      <w:pPr>
        <w:spacing w:after="0" w:line="195"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Note 9:</w:t>
      </w:r>
      <w:r>
        <w:rPr>
          <w:sz w:val="20"/>
          <w:szCs w:val="20"/>
          <w:color w:val="auto"/>
        </w:rPr>
        <w:tab/>
      </w:r>
      <w:r>
        <w:rPr>
          <w:rFonts w:ascii="Arial" w:cs="Arial" w:eastAsia="Arial" w:hAnsi="Arial"/>
          <w:sz w:val="15"/>
          <w:szCs w:val="15"/>
          <w:b w:val="1"/>
          <w:bCs w:val="1"/>
          <w:color w:val="auto"/>
        </w:rPr>
        <w:t>Fair Value Measurements</w:t>
      </w:r>
    </w:p>
    <w:p>
      <w:pPr>
        <w:spacing w:after="0" w:line="223" w:lineRule="exact"/>
        <w:rPr>
          <w:sz w:val="20"/>
          <w:szCs w:val="20"/>
          <w:color w:val="auto"/>
        </w:rPr>
      </w:pPr>
    </w:p>
    <w:p>
      <w:pPr>
        <w:ind w:right="520" w:firstLine="172"/>
        <w:spacing w:after="0" w:line="279" w:lineRule="auto"/>
        <w:rPr>
          <w:sz w:val="20"/>
          <w:szCs w:val="20"/>
          <w:color w:val="auto"/>
        </w:rPr>
      </w:pPr>
      <w:r>
        <w:rPr>
          <w:rFonts w:ascii="Arial" w:cs="Arial" w:eastAsia="Arial" w:hAnsi="Arial"/>
          <w:sz w:val="17"/>
          <w:szCs w:val="17"/>
          <w:color w:val="auto"/>
        </w:rPr>
        <w:t>Fair value is the price that would be received from selling an asset or paid to transfer a liability in an orderly transaction between market participants at the measurement date. There are three levels of inputs that may be used to measure fair value:</w:t>
      </w:r>
    </w:p>
    <w:p>
      <w:pPr>
        <w:spacing w:after="0" w:line="190" w:lineRule="exact"/>
        <w:rPr>
          <w:sz w:val="20"/>
          <w:szCs w:val="20"/>
          <w:color w:val="auto"/>
        </w:rPr>
      </w:pPr>
    </w:p>
    <w:p>
      <w:pPr>
        <w:ind w:left="620" w:hanging="307"/>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Level 1: quoted prices in active markets for identical assets or liabilities;</w:t>
      </w:r>
    </w:p>
    <w:p>
      <w:pPr>
        <w:spacing w:after="0" w:line="21" w:lineRule="exact"/>
        <w:rPr>
          <w:rFonts w:ascii="Arial" w:cs="Arial" w:eastAsia="Arial" w:hAnsi="Arial"/>
          <w:sz w:val="17"/>
          <w:szCs w:val="17"/>
          <w:color w:val="auto"/>
        </w:rPr>
      </w:pPr>
    </w:p>
    <w:p>
      <w:pPr>
        <w:ind w:left="620" w:right="240" w:hanging="307"/>
        <w:spacing w:after="0" w:line="253" w:lineRule="auto"/>
        <w:tabs>
          <w:tab w:leader="none" w:pos="616" w:val="left"/>
        </w:tabs>
        <w:numPr>
          <w:ilvl w:val="0"/>
          <w:numId w:val="11"/>
        </w:numPr>
        <w:rPr>
          <w:rFonts w:ascii="Arial" w:cs="Arial" w:eastAsia="Arial" w:hAnsi="Arial"/>
          <w:sz w:val="17"/>
          <w:szCs w:val="17"/>
          <w:color w:val="auto"/>
        </w:rPr>
      </w:pPr>
      <w:r>
        <w:rPr>
          <w:rFonts w:ascii="Arial" w:cs="Arial" w:eastAsia="Arial" w:hAnsi="Arial"/>
          <w:sz w:val="17"/>
          <w:szCs w:val="17"/>
          <w:color w:val="auto"/>
        </w:rPr>
        <w:t>Level 2: inputs other than Level 1 that are observable, either directly or indirectly, such as quoted prices in active markets for similar assets or liabilities, quoted prices for identical or similar assets or liabilities in markets that are not active, or other inputs that are observable or can be corroborated by observable market data for substantially the full term of the assets or liabilities; or</w:t>
      </w:r>
    </w:p>
    <w:p>
      <w:pPr>
        <w:ind w:left="620" w:hanging="307"/>
        <w:spacing w:after="0"/>
        <w:tabs>
          <w:tab w:leader="none" w:pos="6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Level 3: unobservable inputs that are supported by little or no market activity and that are significant to the fair values of the assets or liabilities.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Contingent Earn-out Liabilities</w:t>
      </w:r>
    </w:p>
    <w:p>
      <w:pPr>
        <w:spacing w:after="0" w:line="243" w:lineRule="exact"/>
        <w:rPr>
          <w:sz w:val="20"/>
          <w:szCs w:val="20"/>
          <w:color w:val="auto"/>
        </w:rPr>
      </w:pPr>
    </w:p>
    <w:p>
      <w:pPr>
        <w:ind w:right="100" w:firstLine="619"/>
        <w:spacing w:after="0" w:line="273" w:lineRule="auto"/>
        <w:rPr>
          <w:sz w:val="20"/>
          <w:szCs w:val="20"/>
          <w:color w:val="auto"/>
        </w:rPr>
      </w:pPr>
      <w:r>
        <w:rPr>
          <w:rFonts w:ascii="Arial" w:cs="Arial" w:eastAsia="Arial" w:hAnsi="Arial"/>
          <w:sz w:val="16"/>
          <w:szCs w:val="16"/>
          <w:color w:val="auto"/>
        </w:rPr>
        <w:t>On January 6, 2022, we acquired Smiths Medical with a combination of cash consideration and share consideration issued at closing. Total consideration for the acquisition includes a potential earn-out payment of $100.0 million in cash contingent on our common stock achieving certain Price Targets from the closing date to either the third or fourth anniversary of closing (see Note 3: Acquisitions for additional information) and provided Smiths beneficially owns at least 50.0% of the shares of common stock issued at closing at the time the Price Target is achieved. The initial estimated fair value of the earn-out was determined to be $53.5 million. The initial fair value of the earn-out was determined using a Monte Carlo simulation model. The model utilized several assumptions including volatility and the risk-free interest rate. The assumed volatility is based on the average of the historical volatility of our common stock price and the implied volatility of certain at-the-money traded options. The risk-free interest rate is equal to the yield on U.S. Treasury securities at constant maturity for the period commensurate with the term of the earn-out. At each reporting date subsequent to the acquisition, we will remeasure the earn-out liability and recognize any changes in its fair value in our consolidated statements of operations. If the probability of achieving the Price Targets during their respective measurement periods is significantly greater than initially anticipated, the realization of an additional liability and related expense will have a significant impact on our consolidated financial statements in the period recognized.</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316" w:lineRule="exact"/>
        <w:rPr>
          <w:sz w:val="20"/>
          <w:szCs w:val="20"/>
          <w:color w:val="auto"/>
        </w:rPr>
      </w:pPr>
    </w:p>
    <w:p>
      <w:pPr>
        <w:ind w:right="100" w:firstLine="619"/>
        <w:spacing w:after="0" w:line="262" w:lineRule="auto"/>
        <w:rPr>
          <w:sz w:val="20"/>
          <w:szCs w:val="20"/>
          <w:color w:val="auto"/>
        </w:rPr>
      </w:pPr>
      <w:r>
        <w:rPr>
          <w:rFonts w:ascii="Arial" w:cs="Arial" w:eastAsia="Arial" w:hAnsi="Arial"/>
          <w:sz w:val="17"/>
          <w:szCs w:val="17"/>
          <w:color w:val="auto"/>
        </w:rPr>
        <w:t>During November 2021, we acquired a small foreign infusion systems supplier. Total consideration for the acquisition includes a potential earn-out payment of up to $2.5 million, consisting of (i) a cash payment of $1.0 million contingent on the achievement of certain revenue targets for the annual period ending December 31, 2022 and, separately, (ii) a cash payment of $1.5 million contingent on certain product-related regulatory certifications obtained by May 26, 2024. As of March 31, 2022, the estimated fair value of the total contingent earn-out is $1.6 million.</w:t>
      </w:r>
    </w:p>
    <w:p>
      <w:pPr>
        <w:spacing w:after="0" w:line="204" w:lineRule="exact"/>
        <w:rPr>
          <w:sz w:val="20"/>
          <w:szCs w:val="20"/>
          <w:color w:val="auto"/>
        </w:rPr>
      </w:pPr>
    </w:p>
    <w:p>
      <w:pPr>
        <w:ind w:right="100" w:firstLine="619"/>
        <w:spacing w:after="0" w:line="257" w:lineRule="auto"/>
        <w:rPr>
          <w:sz w:val="20"/>
          <w:szCs w:val="20"/>
          <w:color w:val="auto"/>
        </w:rPr>
      </w:pPr>
      <w:r>
        <w:rPr>
          <w:rFonts w:ascii="Arial" w:cs="Arial" w:eastAsia="Arial" w:hAnsi="Arial"/>
          <w:sz w:val="17"/>
          <w:szCs w:val="17"/>
          <w:color w:val="auto"/>
        </w:rPr>
        <w:t>During August 2021, we entered into an agreement with one of our international distributors whereby that distributor would not compete with us in a specific territory for a three-year period that will end in September 2024. The terms of the agreement include a contingent earn-out payment. The contingent earn-out payment shall not exceed $6.0 million, which will be earned based on certain revenue targets over a twelve-month measurement period determined by the highest four consecutive quarters commencing over a two-year period starting on the closing date of the agreement and provided that the distributor is in compliance with its obligations under the agreement. As of both March 31, 2022 and December 31, 2021, the estimated fair value of the contingent earn-out is $2.6 million. The estimated fair value of the contingent earn-out is calculated using a probability-weighted cash flow model based on historical revenue streams and the likelihood that the revenue targets will be met.</w:t>
      </w:r>
    </w:p>
    <w:p>
      <w:pPr>
        <w:spacing w:after="0" w:line="211" w:lineRule="exact"/>
        <w:rPr>
          <w:sz w:val="20"/>
          <w:szCs w:val="20"/>
          <w:color w:val="auto"/>
        </w:rPr>
      </w:pPr>
    </w:p>
    <w:p>
      <w:pPr>
        <w:ind w:right="60" w:firstLine="172"/>
        <w:spacing w:after="0" w:line="293" w:lineRule="auto"/>
        <w:rPr>
          <w:sz w:val="20"/>
          <w:szCs w:val="20"/>
          <w:color w:val="auto"/>
        </w:rPr>
      </w:pPr>
      <w:r>
        <w:rPr>
          <w:rFonts w:ascii="Arial" w:cs="Arial" w:eastAsia="Arial" w:hAnsi="Arial"/>
          <w:sz w:val="15"/>
          <w:szCs w:val="15"/>
          <w:color w:val="auto"/>
        </w:rPr>
        <w:t>During the fourth quarter of 2019, we recognized an earn-out liability related to the acquisition of Pursuit Vascular, Inc. ("Pursuit"). Pursuit's former equity holders were entitled up to $50.0 million in additional cash consideration contingent upon the achievement of certain sales and gross profit targets for specific customers. The earn-out was calculated as a percentage of gross profit achieved during the earn-out period against a pre-determined target gross profit, not to exceed $50.0 million. During the earn-out period, we used a Monte Carlo simulation model to determine the fair value of the earn-out liability. The Monte Carlo simulation model utilized multiple input variables to determine the value of the earn-out liability including historical volatility, a risk-free interest rate, counter party credit risk and projected future gross profit (see the simulation input table below related to Pursuit). The historical volatility was based on the median of ICU and a certain peer group. The risk-free interest rate was equal to the yield, as of the valuation date, of the zero-coupon U.S. Treasury bill that was commensurate with the term of the earn-out. The counter party credit risk was based on a synthetic credit rating of B1. As of June 30, 2021, the earn-out measurement period ended. Based on the actual sales and gross profit achieved during the measurement period, we calculated the actual earn-out amount to be $26.3 million. The $26.3 million earn-out calculation was finalized and accepted by Pursuit's former equity holders and was paid out in the fourth quarter of 2021.</w:t>
      </w:r>
    </w:p>
    <w:p>
      <w:pPr>
        <w:spacing w:after="0" w:line="18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contingent earn-out liabilities are separately stated on our condensed consolidated balance sheets.</w:t>
      </w:r>
    </w:p>
    <w:p>
      <w:pPr>
        <w:spacing w:after="0" w:line="23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tables provide a reconciliation of the Level 3 earn-out liabilities measured at estimated fair value (in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4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196"/>
              <w:spacing w:after="0"/>
              <w:rPr>
                <w:sz w:val="20"/>
                <w:szCs w:val="20"/>
                <w:color w:val="auto"/>
              </w:rPr>
            </w:pPr>
            <w:r>
              <w:rPr>
                <w:rFonts w:ascii="Arial" w:cs="Arial" w:eastAsia="Arial" w:hAnsi="Arial"/>
                <w:sz w:val="15"/>
                <w:szCs w:val="15"/>
                <w:b w:val="1"/>
                <w:bCs w:val="1"/>
                <w:color w:val="auto"/>
              </w:rPr>
              <w:t>Earn-out Liability</w:t>
            </w:r>
          </w:p>
        </w:tc>
      </w:tr>
      <w:tr>
        <w:trPr>
          <w:trHeight w:val="215"/>
        </w:trPr>
        <w:tc>
          <w:tcPr>
            <w:tcW w:w="94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Accrued balance, January 1, 2022</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2,589</w:t>
            </w:r>
          </w:p>
        </w:tc>
      </w:tr>
      <w:tr>
        <w:trPr>
          <w:trHeight w:val="219"/>
        </w:trPr>
        <w:tc>
          <w:tcPr>
            <w:tcW w:w="9460" w:type="dxa"/>
            <w:vAlign w:val="bottom"/>
          </w:tcPr>
          <w:p>
            <w:pPr>
              <w:ind w:left="140"/>
              <w:spacing w:after="0" w:line="219" w:lineRule="exact"/>
              <w:rPr>
                <w:sz w:val="20"/>
                <w:szCs w:val="20"/>
                <w:color w:val="auto"/>
              </w:rPr>
            </w:pPr>
            <w:r>
              <w:rPr>
                <w:rFonts w:ascii="Arial" w:cs="Arial" w:eastAsia="Arial" w:hAnsi="Arial"/>
                <w:sz w:val="17"/>
                <w:szCs w:val="17"/>
                <w:color w:val="auto"/>
              </w:rPr>
              <w:t>Acquisition date fair value estimate of earn-out</w:t>
            </w:r>
            <w:r>
              <w:rPr>
                <w:rFonts w:ascii="Arial" w:cs="Arial" w:eastAsia="Arial" w:hAnsi="Arial"/>
                <w:sz w:val="22"/>
                <w:szCs w:val="22"/>
                <w:color w:val="auto"/>
                <w:vertAlign w:val="superscript"/>
              </w:rPr>
              <w:t>(1)</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55,158</w:t>
            </w:r>
          </w:p>
        </w:tc>
      </w:tr>
      <w:tr>
        <w:trPr>
          <w:trHeight w:val="218"/>
        </w:trPr>
        <w:tc>
          <w:tcPr>
            <w:tcW w:w="9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Currency translation</w:t>
            </w:r>
          </w:p>
        </w:tc>
        <w:tc>
          <w:tcPr>
            <w:tcW w:w="2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w:t>
            </w:r>
          </w:p>
        </w:tc>
      </w:tr>
      <w:tr>
        <w:trPr>
          <w:trHeight w:val="213"/>
        </w:trPr>
        <w:tc>
          <w:tcPr>
            <w:tcW w:w="9460" w:type="dxa"/>
            <w:vAlign w:val="bottom"/>
          </w:tcPr>
          <w:p>
            <w:pPr>
              <w:ind w:left="20"/>
              <w:spacing w:after="0"/>
              <w:rPr>
                <w:sz w:val="20"/>
                <w:szCs w:val="20"/>
                <w:color w:val="auto"/>
              </w:rPr>
            </w:pPr>
            <w:r>
              <w:rPr>
                <w:rFonts w:ascii="Arial" w:cs="Arial" w:eastAsia="Arial" w:hAnsi="Arial"/>
                <w:sz w:val="17"/>
                <w:szCs w:val="17"/>
                <w:b w:val="1"/>
                <w:bCs w:val="1"/>
                <w:color w:val="auto"/>
              </w:rPr>
              <w:t>Accrued balance, March 31, 2022</w:t>
            </w: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57,701</w:t>
            </w:r>
          </w:p>
        </w:tc>
      </w:tr>
      <w:tr>
        <w:trPr>
          <w:trHeight w:val="20"/>
        </w:trPr>
        <w:tc>
          <w:tcPr>
            <w:tcW w:w="9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w:t>
      </w:r>
    </w:p>
    <w:p>
      <w:pPr>
        <w:spacing w:after="0" w:line="67" w:lineRule="exact"/>
        <w:rPr>
          <w:sz w:val="20"/>
          <w:szCs w:val="20"/>
          <w:color w:val="auto"/>
        </w:rPr>
      </w:pPr>
    </w:p>
    <w:p>
      <w:pPr>
        <w:ind w:left="320" w:right="140" w:hanging="317"/>
        <w:spacing w:after="0" w:line="212" w:lineRule="auto"/>
        <w:tabs>
          <w:tab w:leader="none" w:pos="295" w:val="left"/>
        </w:tabs>
        <w:numPr>
          <w:ilvl w:val="0"/>
          <w:numId w:val="12"/>
        </w:numPr>
        <w:rPr>
          <w:rFonts w:ascii="Arial" w:cs="Arial" w:eastAsia="Arial" w:hAnsi="Arial"/>
          <w:sz w:val="22"/>
          <w:szCs w:val="22"/>
          <w:color w:val="auto"/>
          <w:vertAlign w:val="superscript"/>
        </w:rPr>
      </w:pPr>
      <w:r>
        <w:rPr>
          <w:rFonts w:ascii="Arial" w:cs="Arial" w:eastAsia="Arial" w:hAnsi="Arial"/>
          <w:sz w:val="15"/>
          <w:szCs w:val="15"/>
          <w:color w:val="auto"/>
        </w:rPr>
        <w:t>$53.5 million relates to our acquisition of Smiths Medical and $1.6 million relates to our acquisition of a small foreign infusions systems supplier in the fourth quarter of 2021 (see Note 3: Acquisitions).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4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196"/>
              <w:spacing w:after="0"/>
              <w:rPr>
                <w:sz w:val="20"/>
                <w:szCs w:val="20"/>
                <w:color w:val="auto"/>
              </w:rPr>
            </w:pPr>
            <w:r>
              <w:rPr>
                <w:rFonts w:ascii="Arial" w:cs="Arial" w:eastAsia="Arial" w:hAnsi="Arial"/>
                <w:sz w:val="15"/>
                <w:szCs w:val="15"/>
                <w:b w:val="1"/>
                <w:bCs w:val="1"/>
                <w:color w:val="auto"/>
              </w:rPr>
              <w:t>Earn-out Liability</w:t>
            </w:r>
          </w:p>
        </w:tc>
      </w:tr>
      <w:tr>
        <w:trPr>
          <w:trHeight w:val="215"/>
        </w:trPr>
        <w:tc>
          <w:tcPr>
            <w:tcW w:w="94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Accrued balance, January 1, 2021</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26,300</w:t>
            </w:r>
          </w:p>
        </w:tc>
      </w:tr>
      <w:tr>
        <w:trPr>
          <w:trHeight w:val="218"/>
        </w:trPr>
        <w:tc>
          <w:tcPr>
            <w:tcW w:w="94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Change in fair value of earn-out (included in income from operations as a separate line item)</w:t>
            </w: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38"/>
        </w:trPr>
        <w:tc>
          <w:tcPr>
            <w:tcW w:w="9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Accrued balance, March 31, 2021</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26,300</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following tables provide quantitative information about Level 3 inputs for fair value measurement of our earn-out liabilities related to Smiths Medical and Pursuit:</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Smiths Medical Earn-out</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06"/>
        </w:trPr>
        <w:tc>
          <w:tcPr>
            <w:tcW w:w="2160" w:type="dxa"/>
            <w:vAlign w:val="bottom"/>
          </w:tcPr>
          <w:p>
            <w:pPr>
              <w:spacing w:after="0"/>
              <w:rPr>
                <w:sz w:val="17"/>
                <w:szCs w:val="17"/>
                <w:color w:val="auto"/>
              </w:rPr>
            </w:pPr>
          </w:p>
        </w:tc>
        <w:tc>
          <w:tcPr>
            <w:tcW w:w="9080" w:type="dxa"/>
            <w:vAlign w:val="bottom"/>
            <w:gridSpan w:val="4"/>
          </w:tcPr>
          <w:p>
            <w:pPr>
              <w:jc w:val="right"/>
              <w:ind w:right="3883"/>
              <w:spacing w:after="0"/>
              <w:rPr>
                <w:sz w:val="20"/>
                <w:szCs w:val="20"/>
                <w:color w:val="auto"/>
              </w:rPr>
            </w:pPr>
            <w:r>
              <w:rPr>
                <w:rFonts w:ascii="Arial" w:cs="Arial" w:eastAsia="Arial" w:hAnsi="Arial"/>
                <w:sz w:val="17"/>
                <w:szCs w:val="17"/>
                <w:b w:val="1"/>
                <w:bCs w:val="1"/>
                <w:color w:val="auto"/>
              </w:rPr>
              <w:t>ICU MEDICAL, INC. AND SUBSIDIARIES</w:t>
            </w:r>
          </w:p>
        </w:tc>
        <w:tc>
          <w:tcPr>
            <w:tcW w:w="0" w:type="dxa"/>
            <w:vAlign w:val="bottom"/>
          </w:tcPr>
          <w:p>
            <w:pPr>
              <w:spacing w:after="0"/>
              <w:rPr>
                <w:sz w:val="1"/>
                <w:szCs w:val="1"/>
                <w:color w:val="auto"/>
              </w:rPr>
            </w:pPr>
          </w:p>
        </w:tc>
      </w:tr>
      <w:tr>
        <w:trPr>
          <w:trHeight w:val="223"/>
        </w:trPr>
        <w:tc>
          <w:tcPr>
            <w:tcW w:w="2160" w:type="dxa"/>
            <w:vAlign w:val="bottom"/>
          </w:tcPr>
          <w:p>
            <w:pPr>
              <w:spacing w:after="0"/>
              <w:rPr>
                <w:sz w:val="19"/>
                <w:szCs w:val="19"/>
                <w:color w:val="auto"/>
              </w:rPr>
            </w:pPr>
          </w:p>
        </w:tc>
        <w:tc>
          <w:tcPr>
            <w:tcW w:w="9080" w:type="dxa"/>
            <w:vAlign w:val="bottom"/>
            <w:gridSpan w:val="4"/>
          </w:tcPr>
          <w:p>
            <w:pPr>
              <w:jc w:val="right"/>
              <w:ind w:right="2263"/>
              <w:spacing w:after="0"/>
              <w:rPr>
                <w:sz w:val="20"/>
                <w:szCs w:val="20"/>
                <w:color w:val="auto"/>
              </w:rPr>
            </w:pPr>
            <w:r>
              <w:rPr>
                <w:rFonts w:ascii="Arial" w:cs="Arial" w:eastAsia="Arial" w:hAnsi="Arial"/>
                <w:sz w:val="17"/>
                <w:szCs w:val="17"/>
                <w:b w:val="1"/>
                <w:bCs w:val="1"/>
                <w:color w:val="auto"/>
              </w:rPr>
              <w:t>NOTES TO CONDENSED CONSOLIDATED FINANCIAL STATEMENTS (Continued)</w:t>
            </w:r>
          </w:p>
        </w:tc>
        <w:tc>
          <w:tcPr>
            <w:tcW w:w="0" w:type="dxa"/>
            <w:vAlign w:val="bottom"/>
          </w:tcPr>
          <w:p>
            <w:pPr>
              <w:spacing w:after="0"/>
              <w:rPr>
                <w:sz w:val="1"/>
                <w:szCs w:val="1"/>
                <w:color w:val="auto"/>
              </w:rPr>
            </w:pPr>
          </w:p>
        </w:tc>
      </w:tr>
      <w:tr>
        <w:trPr>
          <w:trHeight w:val="698"/>
        </w:trPr>
        <w:tc>
          <w:tcPr>
            <w:tcW w:w="216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Simulation Input</w:t>
            </w:r>
          </w:p>
        </w:tc>
        <w:tc>
          <w:tcPr>
            <w:tcW w:w="6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40" w:type="dxa"/>
            <w:vAlign w:val="bottom"/>
          </w:tcPr>
          <w:p>
            <w:pPr>
              <w:jc w:val="center"/>
              <w:spacing w:after="0"/>
              <w:rPr>
                <w:sz w:val="20"/>
                <w:szCs w:val="20"/>
                <w:color w:val="auto"/>
              </w:rPr>
            </w:pPr>
            <w:r>
              <w:rPr>
                <w:rFonts w:ascii="Arial" w:cs="Arial" w:eastAsia="Arial" w:hAnsi="Arial"/>
                <w:sz w:val="15"/>
                <w:szCs w:val="15"/>
                <w:b w:val="1"/>
                <w:bCs w:val="1"/>
                <w:color w:val="auto"/>
                <w:w w:val="94"/>
              </w:rPr>
              <w:t>At Acquisition</w:t>
            </w:r>
          </w:p>
        </w:tc>
        <w:tc>
          <w:tcPr>
            <w:tcW w:w="0" w:type="dxa"/>
            <w:vAlign w:val="bottom"/>
          </w:tcPr>
          <w:p>
            <w:pPr>
              <w:spacing w:after="0"/>
              <w:rPr>
                <w:sz w:val="1"/>
                <w:szCs w:val="1"/>
                <w:color w:val="auto"/>
              </w:rPr>
            </w:pPr>
          </w:p>
        </w:tc>
      </w:tr>
      <w:tr>
        <w:trPr>
          <w:trHeight w:val="204"/>
        </w:trPr>
        <w:tc>
          <w:tcPr>
            <w:tcW w:w="2160" w:type="dxa"/>
            <w:vAlign w:val="bottom"/>
            <w:tcBorders>
              <w:bottom w:val="single" w:sz="8" w:color="auto"/>
            </w:tcBorders>
            <w:vMerge w:val="continue"/>
          </w:tcPr>
          <w:p>
            <w:pPr>
              <w:spacing w:after="0"/>
              <w:rPr>
                <w:sz w:val="17"/>
                <w:szCs w:val="17"/>
                <w:color w:val="auto"/>
              </w:rPr>
            </w:pPr>
          </w:p>
        </w:tc>
        <w:tc>
          <w:tcPr>
            <w:tcW w:w="66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4"/>
              </w:rPr>
              <w:t>January 6, 2022</w:t>
            </w:r>
          </w:p>
        </w:tc>
        <w:tc>
          <w:tcPr>
            <w:tcW w:w="0" w:type="dxa"/>
            <w:vAlign w:val="bottom"/>
          </w:tcPr>
          <w:p>
            <w:pPr>
              <w:spacing w:after="0"/>
              <w:rPr>
                <w:sz w:val="1"/>
                <w:szCs w:val="1"/>
                <w:color w:val="auto"/>
              </w:rPr>
            </w:pPr>
          </w:p>
        </w:tc>
      </w:tr>
      <w:tr>
        <w:trPr>
          <w:trHeight w:val="201"/>
        </w:trPr>
        <w:tc>
          <w:tcPr>
            <w:tcW w:w="2160" w:type="dxa"/>
            <w:vAlign w:val="bottom"/>
            <w:shd w:val="clear" w:color="auto" w:fill="CCEEFF"/>
          </w:tcPr>
          <w:p>
            <w:pPr>
              <w:ind w:left="20"/>
              <w:spacing w:after="0"/>
              <w:rPr>
                <w:sz w:val="20"/>
                <w:szCs w:val="20"/>
                <w:color w:val="auto"/>
              </w:rPr>
            </w:pPr>
            <w:r>
              <w:rPr>
                <w:rFonts w:ascii="Arial" w:cs="Arial" w:eastAsia="Arial" w:hAnsi="Arial"/>
                <w:sz w:val="15"/>
                <w:szCs w:val="15"/>
                <w:color w:val="auto"/>
              </w:rPr>
              <w:t>Volatility</w:t>
            </w:r>
          </w:p>
        </w:tc>
        <w:tc>
          <w:tcPr>
            <w:tcW w:w="9080" w:type="dxa"/>
            <w:vAlign w:val="bottom"/>
            <w:gridSpan w:val="4"/>
            <w:shd w:val="clear" w:color="auto" w:fill="CCEEFF"/>
          </w:tcPr>
          <w:p>
            <w:pPr>
              <w:jc w:val="right"/>
              <w:spacing w:after="0"/>
              <w:rPr>
                <w:sz w:val="20"/>
                <w:szCs w:val="20"/>
                <w:color w:val="auto"/>
              </w:rPr>
            </w:pPr>
            <w:r>
              <w:rPr>
                <w:rFonts w:ascii="Arial" w:cs="Arial" w:eastAsia="Arial" w:hAnsi="Arial"/>
                <w:sz w:val="15"/>
                <w:szCs w:val="15"/>
                <w:color w:val="auto"/>
              </w:rPr>
              <w:t>37.00 %</w:t>
            </w:r>
          </w:p>
        </w:tc>
        <w:tc>
          <w:tcPr>
            <w:tcW w:w="0" w:type="dxa"/>
            <w:vAlign w:val="bottom"/>
          </w:tcPr>
          <w:p>
            <w:pPr>
              <w:spacing w:after="0"/>
              <w:rPr>
                <w:sz w:val="1"/>
                <w:szCs w:val="1"/>
                <w:color w:val="auto"/>
              </w:rPr>
            </w:pPr>
          </w:p>
        </w:tc>
      </w:tr>
      <w:tr>
        <w:trPr>
          <w:trHeight w:val="201"/>
        </w:trPr>
        <w:tc>
          <w:tcPr>
            <w:tcW w:w="2160" w:type="dxa"/>
            <w:vAlign w:val="bottom"/>
          </w:tcPr>
          <w:p>
            <w:pPr>
              <w:ind w:left="20"/>
              <w:spacing w:after="0"/>
              <w:rPr>
                <w:sz w:val="20"/>
                <w:szCs w:val="20"/>
                <w:color w:val="auto"/>
              </w:rPr>
            </w:pPr>
            <w:r>
              <w:rPr>
                <w:rFonts w:ascii="Arial" w:cs="Arial" w:eastAsia="Arial" w:hAnsi="Arial"/>
                <w:sz w:val="15"/>
                <w:szCs w:val="15"/>
                <w:color w:val="auto"/>
              </w:rPr>
              <w:t>Risk-Free Rate</w:t>
            </w:r>
          </w:p>
        </w:tc>
        <w:tc>
          <w:tcPr>
            <w:tcW w:w="9080" w:type="dxa"/>
            <w:vAlign w:val="bottom"/>
            <w:gridSpan w:val="4"/>
          </w:tcPr>
          <w:p>
            <w:pPr>
              <w:jc w:val="right"/>
              <w:spacing w:after="0"/>
              <w:rPr>
                <w:sz w:val="20"/>
                <w:szCs w:val="20"/>
                <w:color w:val="auto"/>
              </w:rPr>
            </w:pPr>
            <w:r>
              <w:rPr>
                <w:rFonts w:ascii="Arial" w:cs="Arial" w:eastAsia="Arial" w:hAnsi="Arial"/>
                <w:sz w:val="15"/>
                <w:szCs w:val="15"/>
                <w:color w:val="auto"/>
              </w:rPr>
              <w:t>1.31 %</w:t>
            </w:r>
          </w:p>
        </w:tc>
        <w:tc>
          <w:tcPr>
            <w:tcW w:w="0" w:type="dxa"/>
            <w:vAlign w:val="bottom"/>
          </w:tcPr>
          <w:p>
            <w:pPr>
              <w:spacing w:after="0"/>
              <w:rPr>
                <w:sz w:val="1"/>
                <w:szCs w:val="1"/>
                <w:color w:val="auto"/>
              </w:rPr>
            </w:pPr>
          </w:p>
        </w:tc>
      </w:tr>
      <w:tr>
        <w:trPr>
          <w:trHeight w:val="533"/>
        </w:trPr>
        <w:tc>
          <w:tcPr>
            <w:tcW w:w="2160" w:type="dxa"/>
            <w:vAlign w:val="bottom"/>
          </w:tcPr>
          <w:p>
            <w:pPr>
              <w:spacing w:after="0"/>
              <w:rPr>
                <w:sz w:val="20"/>
                <w:szCs w:val="20"/>
                <w:color w:val="auto"/>
              </w:rPr>
            </w:pPr>
            <w:r>
              <w:rPr>
                <w:rFonts w:ascii="Arial" w:cs="Arial" w:eastAsia="Arial" w:hAnsi="Arial"/>
                <w:sz w:val="17"/>
                <w:szCs w:val="17"/>
                <w:i w:val="1"/>
                <w:iCs w:val="1"/>
                <w:color w:val="auto"/>
              </w:rPr>
              <w:t>Pursuit Earn-out</w:t>
            </w:r>
          </w:p>
        </w:tc>
        <w:tc>
          <w:tcPr>
            <w:tcW w:w="6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16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Simulation Input</w:t>
            </w:r>
          </w:p>
        </w:tc>
        <w:tc>
          <w:tcPr>
            <w:tcW w:w="6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40" w:type="dxa"/>
            <w:vAlign w:val="bottom"/>
          </w:tcPr>
          <w:p>
            <w:pPr>
              <w:jc w:val="center"/>
              <w:spacing w:after="0"/>
              <w:rPr>
                <w:sz w:val="20"/>
                <w:szCs w:val="20"/>
                <w:color w:val="auto"/>
              </w:rPr>
            </w:pPr>
            <w:r>
              <w:rPr>
                <w:rFonts w:ascii="Arial" w:cs="Arial" w:eastAsia="Arial" w:hAnsi="Arial"/>
                <w:sz w:val="15"/>
                <w:szCs w:val="15"/>
                <w:b w:val="1"/>
                <w:bCs w:val="1"/>
                <w:color w:val="auto"/>
                <w:w w:val="90"/>
              </w:rPr>
              <w:t>As of</w:t>
            </w:r>
          </w:p>
        </w:tc>
        <w:tc>
          <w:tcPr>
            <w:tcW w:w="0" w:type="dxa"/>
            <w:vAlign w:val="bottom"/>
          </w:tcPr>
          <w:p>
            <w:pPr>
              <w:spacing w:after="0"/>
              <w:rPr>
                <w:sz w:val="1"/>
                <w:szCs w:val="1"/>
                <w:color w:val="auto"/>
              </w:rPr>
            </w:pPr>
          </w:p>
        </w:tc>
      </w:tr>
      <w:tr>
        <w:trPr>
          <w:trHeight w:val="204"/>
        </w:trPr>
        <w:tc>
          <w:tcPr>
            <w:tcW w:w="2160" w:type="dxa"/>
            <w:vAlign w:val="bottom"/>
            <w:tcBorders>
              <w:bottom w:val="single" w:sz="8" w:color="auto"/>
            </w:tcBorders>
            <w:vMerge w:val="continue"/>
          </w:tcPr>
          <w:p>
            <w:pPr>
              <w:spacing w:after="0"/>
              <w:rPr>
                <w:sz w:val="17"/>
                <w:szCs w:val="17"/>
                <w:color w:val="auto"/>
              </w:rPr>
            </w:pPr>
          </w:p>
        </w:tc>
        <w:tc>
          <w:tcPr>
            <w:tcW w:w="664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5"/>
              </w:rPr>
              <w:t>March 31, 2021</w:t>
            </w:r>
          </w:p>
        </w:tc>
        <w:tc>
          <w:tcPr>
            <w:tcW w:w="0" w:type="dxa"/>
            <w:vAlign w:val="bottom"/>
          </w:tcPr>
          <w:p>
            <w:pPr>
              <w:spacing w:after="0"/>
              <w:rPr>
                <w:sz w:val="1"/>
                <w:szCs w:val="1"/>
                <w:color w:val="auto"/>
              </w:rPr>
            </w:pPr>
          </w:p>
        </w:tc>
      </w:tr>
      <w:tr>
        <w:trPr>
          <w:trHeight w:val="201"/>
        </w:trPr>
        <w:tc>
          <w:tcPr>
            <w:tcW w:w="216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Revenue/Gross Profit Volatility</w:t>
            </w:r>
          </w:p>
        </w:tc>
        <w:tc>
          <w:tcPr>
            <w:tcW w:w="9080" w:type="dxa"/>
            <w:vAlign w:val="bottom"/>
            <w:gridSpan w:val="4"/>
            <w:shd w:val="clear" w:color="auto" w:fill="CCEEFF"/>
          </w:tcPr>
          <w:p>
            <w:pPr>
              <w:jc w:val="right"/>
              <w:spacing w:after="0"/>
              <w:rPr>
                <w:sz w:val="20"/>
                <w:szCs w:val="20"/>
                <w:color w:val="auto"/>
              </w:rPr>
            </w:pPr>
            <w:r>
              <w:rPr>
                <w:rFonts w:ascii="Arial" w:cs="Arial" w:eastAsia="Arial" w:hAnsi="Arial"/>
                <w:sz w:val="15"/>
                <w:szCs w:val="15"/>
                <w:color w:val="auto"/>
              </w:rPr>
              <w:t>25.00 %</w:t>
            </w:r>
          </w:p>
        </w:tc>
        <w:tc>
          <w:tcPr>
            <w:tcW w:w="0" w:type="dxa"/>
            <w:vAlign w:val="bottom"/>
          </w:tcPr>
          <w:p>
            <w:pPr>
              <w:spacing w:after="0"/>
              <w:rPr>
                <w:sz w:val="1"/>
                <w:szCs w:val="1"/>
                <w:color w:val="auto"/>
              </w:rPr>
            </w:pPr>
          </w:p>
        </w:tc>
      </w:tr>
      <w:tr>
        <w:trPr>
          <w:trHeight w:val="203"/>
        </w:trPr>
        <w:tc>
          <w:tcPr>
            <w:tcW w:w="2160" w:type="dxa"/>
            <w:vAlign w:val="bottom"/>
          </w:tcPr>
          <w:p>
            <w:pPr>
              <w:ind w:left="20"/>
              <w:spacing w:after="0"/>
              <w:rPr>
                <w:sz w:val="20"/>
                <w:szCs w:val="20"/>
                <w:color w:val="auto"/>
              </w:rPr>
            </w:pPr>
            <w:r>
              <w:rPr>
                <w:rFonts w:ascii="Arial" w:cs="Arial" w:eastAsia="Arial" w:hAnsi="Arial"/>
                <w:sz w:val="15"/>
                <w:szCs w:val="15"/>
                <w:color w:val="auto"/>
              </w:rPr>
              <w:t>Discount Rate</w:t>
            </w:r>
          </w:p>
        </w:tc>
        <w:tc>
          <w:tcPr>
            <w:tcW w:w="9080" w:type="dxa"/>
            <w:vAlign w:val="bottom"/>
            <w:gridSpan w:val="4"/>
          </w:tcPr>
          <w:p>
            <w:pPr>
              <w:jc w:val="right"/>
              <w:spacing w:after="0"/>
              <w:rPr>
                <w:sz w:val="20"/>
                <w:szCs w:val="20"/>
                <w:color w:val="auto"/>
              </w:rPr>
            </w:pPr>
            <w:r>
              <w:rPr>
                <w:rFonts w:ascii="Arial" w:cs="Arial" w:eastAsia="Arial" w:hAnsi="Arial"/>
                <w:sz w:val="15"/>
                <w:szCs w:val="15"/>
                <w:color w:val="auto"/>
              </w:rPr>
              <w:t>12.50 %</w:t>
            </w:r>
          </w:p>
        </w:tc>
        <w:tc>
          <w:tcPr>
            <w:tcW w:w="0" w:type="dxa"/>
            <w:vAlign w:val="bottom"/>
          </w:tcPr>
          <w:p>
            <w:pPr>
              <w:spacing w:after="0"/>
              <w:rPr>
                <w:sz w:val="1"/>
                <w:szCs w:val="1"/>
                <w:color w:val="auto"/>
              </w:rPr>
            </w:pPr>
          </w:p>
        </w:tc>
      </w:tr>
      <w:tr>
        <w:trPr>
          <w:trHeight w:val="209"/>
        </w:trPr>
        <w:tc>
          <w:tcPr>
            <w:tcW w:w="2160" w:type="dxa"/>
            <w:vAlign w:val="bottom"/>
            <w:shd w:val="clear" w:color="auto" w:fill="CCEEFF"/>
          </w:tcPr>
          <w:p>
            <w:pPr>
              <w:ind w:left="20"/>
              <w:spacing w:after="0"/>
              <w:rPr>
                <w:sz w:val="20"/>
                <w:szCs w:val="20"/>
                <w:color w:val="auto"/>
              </w:rPr>
            </w:pPr>
            <w:r>
              <w:rPr>
                <w:rFonts w:ascii="Arial" w:cs="Arial" w:eastAsia="Arial" w:hAnsi="Arial"/>
                <w:sz w:val="15"/>
                <w:szCs w:val="15"/>
                <w:color w:val="auto"/>
              </w:rPr>
              <w:t>Risk-Free Rate</w:t>
            </w:r>
          </w:p>
        </w:tc>
        <w:tc>
          <w:tcPr>
            <w:tcW w:w="9080" w:type="dxa"/>
            <w:vAlign w:val="bottom"/>
            <w:gridSpan w:val="4"/>
            <w:shd w:val="clear" w:color="auto" w:fill="CCEEFF"/>
          </w:tcPr>
          <w:p>
            <w:pPr>
              <w:jc w:val="right"/>
              <w:spacing w:after="0"/>
              <w:rPr>
                <w:sz w:val="20"/>
                <w:szCs w:val="20"/>
                <w:color w:val="auto"/>
              </w:rPr>
            </w:pPr>
            <w:r>
              <w:rPr>
                <w:rFonts w:ascii="Arial" w:cs="Arial" w:eastAsia="Arial" w:hAnsi="Arial"/>
                <w:sz w:val="15"/>
                <w:szCs w:val="15"/>
                <w:color w:val="auto"/>
              </w:rPr>
              <w:t>0.09 %</w:t>
            </w:r>
          </w:p>
        </w:tc>
        <w:tc>
          <w:tcPr>
            <w:tcW w:w="0" w:type="dxa"/>
            <w:vAlign w:val="bottom"/>
          </w:tcPr>
          <w:p>
            <w:pPr>
              <w:spacing w:after="0"/>
              <w:rPr>
                <w:sz w:val="1"/>
                <w:szCs w:val="1"/>
                <w:color w:val="auto"/>
              </w:rPr>
            </w:pPr>
          </w:p>
        </w:tc>
      </w:tr>
      <w:tr>
        <w:trPr>
          <w:trHeight w:val="201"/>
        </w:trPr>
        <w:tc>
          <w:tcPr>
            <w:tcW w:w="2160" w:type="dxa"/>
            <w:vAlign w:val="bottom"/>
          </w:tcPr>
          <w:p>
            <w:pPr>
              <w:ind w:left="20"/>
              <w:spacing w:after="0"/>
              <w:rPr>
                <w:sz w:val="20"/>
                <w:szCs w:val="20"/>
                <w:color w:val="auto"/>
              </w:rPr>
            </w:pPr>
            <w:r>
              <w:rPr>
                <w:rFonts w:ascii="Arial" w:cs="Arial" w:eastAsia="Arial" w:hAnsi="Arial"/>
                <w:sz w:val="15"/>
                <w:szCs w:val="15"/>
                <w:color w:val="auto"/>
              </w:rPr>
              <w:t>Counter Party Risk</w:t>
            </w:r>
          </w:p>
        </w:tc>
        <w:tc>
          <w:tcPr>
            <w:tcW w:w="9080" w:type="dxa"/>
            <w:vAlign w:val="bottom"/>
            <w:gridSpan w:val="4"/>
          </w:tcPr>
          <w:p>
            <w:pPr>
              <w:jc w:val="right"/>
              <w:spacing w:after="0"/>
              <w:rPr>
                <w:sz w:val="20"/>
                <w:szCs w:val="20"/>
                <w:color w:val="auto"/>
              </w:rPr>
            </w:pPr>
            <w:r>
              <w:rPr>
                <w:rFonts w:ascii="Arial" w:cs="Arial" w:eastAsia="Arial" w:hAnsi="Arial"/>
                <w:sz w:val="15"/>
                <w:szCs w:val="15"/>
                <w:color w:val="auto"/>
              </w:rPr>
              <w:t>3.10 %</w:t>
            </w:r>
          </w:p>
        </w:tc>
        <w:tc>
          <w:tcPr>
            <w:tcW w:w="0" w:type="dxa"/>
            <w:vAlign w:val="bottom"/>
          </w:tcPr>
          <w:p>
            <w:pPr>
              <w:spacing w:after="0"/>
              <w:rPr>
                <w:sz w:val="1"/>
                <w:szCs w:val="1"/>
                <w:color w:val="auto"/>
              </w:rPr>
            </w:pPr>
          </w:p>
        </w:tc>
      </w:tr>
    </w:tbl>
    <w:p>
      <w:pPr>
        <w:spacing w:after="0" w:line="30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Investments, Foreign Exchange Contracts and Interest Rate Contracts</w:t>
      </w:r>
    </w:p>
    <w:p>
      <w:pPr>
        <w:spacing w:after="0" w:line="243" w:lineRule="exact"/>
        <w:rPr>
          <w:sz w:val="20"/>
          <w:szCs w:val="20"/>
          <w:color w:val="auto"/>
        </w:rPr>
      </w:pPr>
    </w:p>
    <w:p>
      <w:pPr>
        <w:ind w:right="140" w:firstLine="169"/>
        <w:spacing w:after="0" w:line="279" w:lineRule="auto"/>
        <w:rPr>
          <w:sz w:val="20"/>
          <w:szCs w:val="20"/>
          <w:color w:val="auto"/>
        </w:rPr>
      </w:pPr>
      <w:r>
        <w:rPr>
          <w:rFonts w:ascii="Arial" w:cs="Arial" w:eastAsia="Arial" w:hAnsi="Arial"/>
          <w:sz w:val="17"/>
          <w:szCs w:val="17"/>
          <w:color w:val="auto"/>
        </w:rPr>
        <w:t>The fair value of our investments, which consist of corporate bonds, is estimated using observable market-based inputs such as quoted prices, interest rates and yield curves or Level 2 inputs.</w:t>
      </w:r>
    </w:p>
    <w:p>
      <w:pPr>
        <w:spacing w:after="0" w:line="190" w:lineRule="exact"/>
        <w:rPr>
          <w:sz w:val="20"/>
          <w:szCs w:val="20"/>
          <w:color w:val="auto"/>
        </w:rPr>
      </w:pPr>
    </w:p>
    <w:p>
      <w:pPr>
        <w:ind w:right="80" w:firstLine="169"/>
        <w:spacing w:after="0" w:line="266" w:lineRule="auto"/>
        <w:rPr>
          <w:sz w:val="20"/>
          <w:szCs w:val="20"/>
          <w:color w:val="auto"/>
        </w:rPr>
      </w:pPr>
      <w:r>
        <w:rPr>
          <w:rFonts w:ascii="Arial" w:cs="Arial" w:eastAsia="Arial" w:hAnsi="Arial"/>
          <w:sz w:val="17"/>
          <w:szCs w:val="17"/>
          <w:color w:val="auto"/>
        </w:rPr>
        <w:t>The fair value of our Level 2 foreign exchange contracts, including forward contracts and cross-currency par forward contracts, is estimated using observable market inputs such as known notional value amounts, spot and forward exchange rates. These inputs relate to liquid, heavily traded currencies with active markets which are available for the full term of the derivative.</w:t>
      </w:r>
    </w:p>
    <w:p>
      <w:pPr>
        <w:spacing w:after="0" w:line="201" w:lineRule="exact"/>
        <w:rPr>
          <w:sz w:val="20"/>
          <w:szCs w:val="20"/>
          <w:color w:val="auto"/>
        </w:rPr>
      </w:pPr>
    </w:p>
    <w:p>
      <w:pPr>
        <w:ind w:right="660" w:firstLine="619"/>
        <w:spacing w:after="0" w:line="279" w:lineRule="auto"/>
        <w:rPr>
          <w:sz w:val="20"/>
          <w:szCs w:val="20"/>
          <w:color w:val="auto"/>
        </w:rPr>
      </w:pPr>
      <w:r>
        <w:rPr>
          <w:rFonts w:ascii="Arial" w:cs="Arial" w:eastAsia="Arial" w:hAnsi="Arial"/>
          <w:sz w:val="17"/>
          <w:szCs w:val="17"/>
          <w:color w:val="auto"/>
        </w:rPr>
        <w:t>The fair value of our Level 2 interest rate swaps is estimated using a pricing model that reflects the terms of the contracts, including the period to maturity, and relies on observable market inputs such as known notional value amounts and USD interest rate curves.</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5"/>
          <w:szCs w:val="15"/>
          <w:color w:val="auto"/>
        </w:rPr>
        <w:t>Our assets and liabilities measured at fair value on a recurring basis consisted of the following Level 1, 2 and 3 inputs as defined above (in thousands):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5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480" w:type="dxa"/>
            <w:vAlign w:val="bottom"/>
            <w:tcBorders>
              <w:bottom w:val="single" w:sz="8" w:color="auto"/>
            </w:tcBorders>
            <w:gridSpan w:val="12"/>
          </w:tcPr>
          <w:p>
            <w:pPr>
              <w:spacing w:after="0"/>
              <w:rPr>
                <w:sz w:val="20"/>
                <w:szCs w:val="20"/>
                <w:color w:val="auto"/>
              </w:rPr>
            </w:pPr>
            <w:r>
              <w:rPr>
                <w:rFonts w:ascii="Arial" w:cs="Arial" w:eastAsia="Arial" w:hAnsi="Arial"/>
                <w:sz w:val="17"/>
                <w:szCs w:val="17"/>
                <w:b w:val="1"/>
                <w:bCs w:val="1"/>
                <w:color w:val="auto"/>
                <w:w w:val="92"/>
              </w:rPr>
              <w:t>Fair value measurements as of March 31, 2022</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3"/>
          </w:tcPr>
          <w:p>
            <w:pPr>
              <w:jc w:val="center"/>
              <w:ind w:right="360"/>
              <w:spacing w:after="0" w:line="162" w:lineRule="exact"/>
              <w:rPr>
                <w:sz w:val="20"/>
                <w:szCs w:val="20"/>
                <w:color w:val="auto"/>
              </w:rPr>
            </w:pPr>
            <w:r>
              <w:rPr>
                <w:rFonts w:ascii="Arial" w:cs="Arial" w:eastAsia="Arial" w:hAnsi="Arial"/>
                <w:sz w:val="17"/>
                <w:szCs w:val="17"/>
                <w:b w:val="1"/>
                <w:bCs w:val="1"/>
                <w:color w:val="auto"/>
                <w:w w:val="90"/>
              </w:rPr>
              <w:t>Quoted prices</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3"/>
            <w:vMerge w:val="restart"/>
          </w:tcPr>
          <w:p>
            <w:pPr>
              <w:jc w:val="center"/>
              <w:ind w:right="340"/>
              <w:spacing w:after="0"/>
              <w:rPr>
                <w:sz w:val="20"/>
                <w:szCs w:val="20"/>
                <w:color w:val="auto"/>
              </w:rPr>
            </w:pPr>
            <w:r>
              <w:rPr>
                <w:rFonts w:ascii="Arial" w:cs="Arial" w:eastAsia="Arial" w:hAnsi="Arial"/>
                <w:sz w:val="17"/>
                <w:szCs w:val="17"/>
                <w:b w:val="1"/>
                <w:bCs w:val="1"/>
                <w:color w:val="auto"/>
                <w:w w:val="91"/>
              </w:rPr>
              <w:t>Significant</w:t>
            </w: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3"/>
          </w:tcPr>
          <w:p>
            <w:pPr>
              <w:jc w:val="center"/>
              <w:ind w:right="360"/>
              <w:spacing w:after="0" w:line="167" w:lineRule="exact"/>
              <w:rPr>
                <w:sz w:val="20"/>
                <w:szCs w:val="20"/>
                <w:color w:val="auto"/>
              </w:rPr>
            </w:pPr>
            <w:r>
              <w:rPr>
                <w:rFonts w:ascii="Arial" w:cs="Arial" w:eastAsia="Arial" w:hAnsi="Arial"/>
                <w:sz w:val="17"/>
                <w:szCs w:val="17"/>
                <w:b w:val="1"/>
                <w:bCs w:val="1"/>
                <w:color w:val="auto"/>
                <w:w w:val="88"/>
              </w:rPr>
              <w:t>in active</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vMerge w:val="restart"/>
          </w:tcPr>
          <w:p>
            <w:pPr>
              <w:jc w:val="center"/>
              <w:ind w:right="94"/>
              <w:spacing w:after="0"/>
              <w:rPr>
                <w:sz w:val="20"/>
                <w:szCs w:val="20"/>
                <w:color w:val="auto"/>
              </w:rPr>
            </w:pPr>
            <w:r>
              <w:rPr>
                <w:rFonts w:ascii="Arial" w:cs="Arial" w:eastAsia="Arial" w:hAnsi="Arial"/>
                <w:sz w:val="17"/>
                <w:szCs w:val="17"/>
                <w:b w:val="1"/>
                <w:bCs w:val="1"/>
                <w:color w:val="auto"/>
                <w:w w:val="91"/>
              </w:rPr>
              <w:t>Significant</w:t>
            </w:r>
          </w:p>
        </w:tc>
        <w:tc>
          <w:tcPr>
            <w:tcW w:w="0" w:type="dxa"/>
            <w:vAlign w:val="bottom"/>
          </w:tcPr>
          <w:p>
            <w:pPr>
              <w:spacing w:after="0"/>
              <w:rPr>
                <w:sz w:val="1"/>
                <w:szCs w:val="1"/>
                <w:color w:val="auto"/>
              </w:rPr>
            </w:pPr>
          </w:p>
        </w:tc>
      </w:tr>
      <w:tr>
        <w:trPr>
          <w:trHeight w:val="168"/>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vMerge w:val="restart"/>
          </w:tcPr>
          <w:p>
            <w:pPr>
              <w:jc w:val="right"/>
              <w:ind w:right="234"/>
              <w:spacing w:after="0"/>
              <w:rPr>
                <w:sz w:val="20"/>
                <w:szCs w:val="20"/>
                <w:color w:val="auto"/>
              </w:rPr>
            </w:pPr>
            <w:r>
              <w:rPr>
                <w:rFonts w:ascii="Arial" w:cs="Arial" w:eastAsia="Arial" w:hAnsi="Arial"/>
                <w:sz w:val="17"/>
                <w:szCs w:val="17"/>
                <w:b w:val="1"/>
                <w:bCs w:val="1"/>
                <w:color w:val="auto"/>
                <w:w w:val="92"/>
              </w:rPr>
              <w:t>Total carrying</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3"/>
          </w:tcPr>
          <w:p>
            <w:pPr>
              <w:jc w:val="center"/>
              <w:ind w:right="360"/>
              <w:spacing w:after="0" w:line="167" w:lineRule="exact"/>
              <w:rPr>
                <w:sz w:val="20"/>
                <w:szCs w:val="20"/>
                <w:color w:val="auto"/>
              </w:rPr>
            </w:pPr>
            <w:r>
              <w:rPr>
                <w:rFonts w:ascii="Arial" w:cs="Arial" w:eastAsia="Arial" w:hAnsi="Arial"/>
                <w:sz w:val="17"/>
                <w:szCs w:val="17"/>
                <w:b w:val="1"/>
                <w:bCs w:val="1"/>
                <w:color w:val="auto"/>
                <w:w w:val="94"/>
              </w:rPr>
              <w:t>markets for</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3"/>
          </w:tcPr>
          <w:p>
            <w:pPr>
              <w:jc w:val="center"/>
              <w:ind w:right="340"/>
              <w:spacing w:after="0" w:line="167" w:lineRule="exact"/>
              <w:rPr>
                <w:sz w:val="20"/>
                <w:szCs w:val="20"/>
                <w:color w:val="auto"/>
              </w:rPr>
            </w:pPr>
            <w:r>
              <w:rPr>
                <w:rFonts w:ascii="Arial" w:cs="Arial" w:eastAsia="Arial" w:hAnsi="Arial"/>
                <w:sz w:val="17"/>
                <w:szCs w:val="17"/>
                <w:b w:val="1"/>
                <w:bCs w:val="1"/>
                <w:color w:val="auto"/>
                <w:w w:val="94"/>
              </w:rPr>
              <w:t>other</w:t>
            </w:r>
          </w:p>
        </w:tc>
        <w:tc>
          <w:tcPr>
            <w:tcW w:w="18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3"/>
          </w:tcPr>
          <w:p>
            <w:pPr>
              <w:jc w:val="center"/>
              <w:ind w:right="360"/>
              <w:spacing w:after="0" w:line="167" w:lineRule="exact"/>
              <w:rPr>
                <w:sz w:val="20"/>
                <w:szCs w:val="20"/>
                <w:color w:val="auto"/>
              </w:rPr>
            </w:pPr>
            <w:r>
              <w:rPr>
                <w:rFonts w:ascii="Arial" w:cs="Arial" w:eastAsia="Arial" w:hAnsi="Arial"/>
                <w:sz w:val="17"/>
                <w:szCs w:val="17"/>
                <w:b w:val="1"/>
                <w:bCs w:val="1"/>
                <w:color w:val="auto"/>
                <w:w w:val="92"/>
              </w:rPr>
              <w:t>identical</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3"/>
          </w:tcPr>
          <w:p>
            <w:pPr>
              <w:jc w:val="center"/>
              <w:ind w:right="340"/>
              <w:spacing w:after="0" w:line="167" w:lineRule="exact"/>
              <w:rPr>
                <w:sz w:val="20"/>
                <w:szCs w:val="20"/>
                <w:color w:val="auto"/>
              </w:rPr>
            </w:pPr>
            <w:r>
              <w:rPr>
                <w:rFonts w:ascii="Arial" w:cs="Arial" w:eastAsia="Arial" w:hAnsi="Arial"/>
                <w:sz w:val="17"/>
                <w:szCs w:val="17"/>
                <w:b w:val="1"/>
                <w:bCs w:val="1"/>
                <w:color w:val="auto"/>
                <w:w w:val="89"/>
              </w:rPr>
              <w:t>observable</w:t>
            </w:r>
          </w:p>
        </w:tc>
        <w:tc>
          <w:tcPr>
            <w:tcW w:w="180" w:type="dxa"/>
            <w:vAlign w:val="bottom"/>
          </w:tcPr>
          <w:p>
            <w:pPr>
              <w:spacing w:after="0"/>
              <w:rPr>
                <w:sz w:val="14"/>
                <w:szCs w:val="14"/>
                <w:color w:val="auto"/>
              </w:rPr>
            </w:pPr>
          </w:p>
        </w:tc>
        <w:tc>
          <w:tcPr>
            <w:tcW w:w="1380" w:type="dxa"/>
            <w:vAlign w:val="bottom"/>
          </w:tcPr>
          <w:p>
            <w:pPr>
              <w:jc w:val="center"/>
              <w:ind w:right="74"/>
              <w:spacing w:after="0" w:line="167" w:lineRule="exact"/>
              <w:rPr>
                <w:sz w:val="20"/>
                <w:szCs w:val="20"/>
                <w:color w:val="auto"/>
              </w:rPr>
            </w:pPr>
            <w:r>
              <w:rPr>
                <w:rFonts w:ascii="Arial" w:cs="Arial" w:eastAsia="Arial" w:hAnsi="Arial"/>
                <w:sz w:val="17"/>
                <w:szCs w:val="17"/>
                <w:b w:val="1"/>
                <w:bCs w:val="1"/>
                <w:color w:val="auto"/>
                <w:w w:val="88"/>
              </w:rPr>
              <w:t>unobservable</w:t>
            </w:r>
          </w:p>
        </w:tc>
        <w:tc>
          <w:tcPr>
            <w:tcW w:w="0" w:type="dxa"/>
            <w:vAlign w:val="bottom"/>
          </w:tcPr>
          <w:p>
            <w:pPr>
              <w:spacing w:after="0"/>
              <w:rPr>
                <w:sz w:val="1"/>
                <w:szCs w:val="1"/>
                <w:color w:val="auto"/>
              </w:rPr>
            </w:pPr>
          </w:p>
        </w:tc>
      </w:tr>
      <w:tr>
        <w:trPr>
          <w:trHeight w:val="219"/>
        </w:trPr>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554"/>
              <w:spacing w:after="0"/>
              <w:rPr>
                <w:sz w:val="20"/>
                <w:szCs w:val="20"/>
                <w:color w:val="auto"/>
              </w:rPr>
            </w:pPr>
            <w:r>
              <w:rPr>
                <w:rFonts w:ascii="Arial" w:cs="Arial" w:eastAsia="Arial" w:hAnsi="Arial"/>
                <w:sz w:val="17"/>
                <w:szCs w:val="17"/>
                <w:b w:val="1"/>
                <w:bCs w:val="1"/>
                <w:color w:val="auto"/>
              </w:rPr>
              <w:t>value</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3"/>
          </w:tcPr>
          <w:p>
            <w:pPr>
              <w:jc w:val="center"/>
              <w:ind w:right="360"/>
              <w:spacing w:after="0"/>
              <w:rPr>
                <w:sz w:val="20"/>
                <w:szCs w:val="20"/>
                <w:color w:val="auto"/>
              </w:rPr>
            </w:pPr>
            <w:r>
              <w:rPr>
                <w:rFonts w:ascii="Arial" w:cs="Arial" w:eastAsia="Arial" w:hAnsi="Arial"/>
                <w:sz w:val="17"/>
                <w:szCs w:val="17"/>
                <w:b w:val="1"/>
                <w:bCs w:val="1"/>
                <w:color w:val="auto"/>
                <w:w w:val="85"/>
              </w:rPr>
              <w:t>assets (level 1)</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3"/>
          </w:tcPr>
          <w:p>
            <w:pPr>
              <w:jc w:val="center"/>
              <w:ind w:right="340"/>
              <w:spacing w:after="0"/>
              <w:rPr>
                <w:sz w:val="20"/>
                <w:szCs w:val="20"/>
                <w:color w:val="auto"/>
              </w:rPr>
            </w:pPr>
            <w:r>
              <w:rPr>
                <w:rFonts w:ascii="Arial" w:cs="Arial" w:eastAsia="Arial" w:hAnsi="Arial"/>
                <w:sz w:val="17"/>
                <w:szCs w:val="17"/>
                <w:b w:val="1"/>
                <w:bCs w:val="1"/>
                <w:color w:val="auto"/>
                <w:w w:val="90"/>
              </w:rPr>
              <w:t>inputs (level 2)</w:t>
            </w:r>
          </w:p>
        </w:tc>
        <w:tc>
          <w:tcPr>
            <w:tcW w:w="180" w:type="dxa"/>
            <w:vAlign w:val="bottom"/>
          </w:tcPr>
          <w:p>
            <w:pPr>
              <w:spacing w:after="0"/>
              <w:rPr>
                <w:sz w:val="19"/>
                <w:szCs w:val="19"/>
                <w:color w:val="auto"/>
              </w:rPr>
            </w:pPr>
          </w:p>
        </w:tc>
        <w:tc>
          <w:tcPr>
            <w:tcW w:w="1380" w:type="dxa"/>
            <w:vAlign w:val="bottom"/>
          </w:tcPr>
          <w:p>
            <w:pPr>
              <w:jc w:val="center"/>
              <w:ind w:right="94"/>
              <w:spacing w:after="0"/>
              <w:rPr>
                <w:sz w:val="20"/>
                <w:szCs w:val="20"/>
                <w:color w:val="auto"/>
              </w:rPr>
            </w:pPr>
            <w:r>
              <w:rPr>
                <w:rFonts w:ascii="Arial" w:cs="Arial" w:eastAsia="Arial" w:hAnsi="Arial"/>
                <w:sz w:val="17"/>
                <w:szCs w:val="17"/>
                <w:b w:val="1"/>
                <w:bCs w:val="1"/>
                <w:color w:val="auto"/>
                <w:w w:val="90"/>
              </w:rPr>
              <w:t>inputs (level 3)</w:t>
            </w:r>
          </w:p>
        </w:tc>
        <w:tc>
          <w:tcPr>
            <w:tcW w:w="0" w:type="dxa"/>
            <w:vAlign w:val="bottom"/>
          </w:tcPr>
          <w:p>
            <w:pPr>
              <w:spacing w:after="0"/>
              <w:rPr>
                <w:sz w:val="1"/>
                <w:szCs w:val="1"/>
                <w:color w:val="auto"/>
              </w:rPr>
            </w:pPr>
          </w:p>
        </w:tc>
      </w:tr>
      <w:tr>
        <w:trPr>
          <w:trHeight w:val="199"/>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Assets:</w:t>
            </w:r>
          </w:p>
        </w:tc>
        <w:tc>
          <w:tcPr>
            <w:tcW w:w="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580" w:type="dxa"/>
            <w:vAlign w:val="bottom"/>
          </w:tcPr>
          <w:p>
            <w:pPr>
              <w:ind w:left="120"/>
              <w:spacing w:after="0"/>
              <w:rPr>
                <w:sz w:val="20"/>
                <w:szCs w:val="20"/>
                <w:color w:val="auto"/>
              </w:rPr>
            </w:pPr>
            <w:r>
              <w:rPr>
                <w:rFonts w:ascii="Arial" w:cs="Arial" w:eastAsia="Arial" w:hAnsi="Arial"/>
                <w:sz w:val="17"/>
                <w:szCs w:val="17"/>
                <w:color w:val="auto"/>
              </w:rPr>
              <w:t>Available-for-sale debt securities: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Short-term</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14,864</w:t>
            </w:r>
          </w:p>
        </w:tc>
        <w:tc>
          <w:tcPr>
            <w:tcW w:w="60" w:type="dxa"/>
            <w:vAlign w:val="bottom"/>
            <w:shd w:val="clear" w:color="auto" w:fill="CCEEFF"/>
          </w:tcPr>
          <w:p>
            <w:pPr>
              <w:spacing w:after="0"/>
              <w:rPr>
                <w:sz w:val="19"/>
                <w:szCs w:val="19"/>
                <w:color w:val="auto"/>
              </w:rPr>
            </w:pPr>
          </w:p>
        </w:tc>
        <w:tc>
          <w:tcPr>
            <w:tcW w:w="300" w:type="dxa"/>
            <w:vAlign w:val="bottom"/>
            <w:gridSpan w:val="4"/>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480" w:type="dxa"/>
            <w:vAlign w:val="bottom"/>
            <w:gridSpan w:val="3"/>
            <w:shd w:val="clear" w:color="auto" w:fill="CCEEFF"/>
          </w:tcPr>
          <w:p>
            <w:pPr>
              <w:ind w:left="1100"/>
              <w:spacing w:after="0"/>
              <w:rPr>
                <w:sz w:val="20"/>
                <w:szCs w:val="20"/>
                <w:color w:val="auto"/>
              </w:rPr>
            </w:pPr>
            <w:r>
              <w:rPr>
                <w:rFonts w:ascii="Arial" w:cs="Arial" w:eastAsia="Arial" w:hAnsi="Arial"/>
                <w:sz w:val="17"/>
                <w:szCs w:val="17"/>
                <w:color w:val="auto"/>
              </w:rPr>
              <w:t>—</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14,864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4580" w:type="dxa"/>
            <w:vAlign w:val="bottom"/>
          </w:tcPr>
          <w:p>
            <w:pPr>
              <w:ind w:left="220"/>
              <w:spacing w:after="0"/>
              <w:rPr>
                <w:sz w:val="20"/>
                <w:szCs w:val="20"/>
                <w:color w:val="auto"/>
              </w:rPr>
            </w:pPr>
            <w:r>
              <w:rPr>
                <w:rFonts w:ascii="Arial" w:cs="Arial" w:eastAsia="Arial" w:hAnsi="Arial"/>
                <w:sz w:val="17"/>
                <w:szCs w:val="17"/>
                <w:color w:val="auto"/>
              </w:rPr>
              <w:t>Long-term</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2,539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3"/>
          </w:tcPr>
          <w:p>
            <w:pPr>
              <w:ind w:left="110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2,539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4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Foreign exchange contracts:</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580" w:type="dxa"/>
            <w:vAlign w:val="bottom"/>
          </w:tcPr>
          <w:p>
            <w:pPr>
              <w:ind w:left="220"/>
              <w:spacing w:after="0"/>
              <w:rPr>
                <w:sz w:val="20"/>
                <w:szCs w:val="20"/>
                <w:color w:val="auto"/>
              </w:rPr>
            </w:pPr>
            <w:r>
              <w:rPr>
                <w:rFonts w:ascii="Arial" w:cs="Arial" w:eastAsia="Arial" w:hAnsi="Arial"/>
                <w:sz w:val="17"/>
                <w:szCs w:val="17"/>
                <w:color w:val="auto"/>
              </w:rPr>
              <w:t>Prepaid expenses and other current assets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7,629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3"/>
          </w:tcPr>
          <w:p>
            <w:pPr>
              <w:ind w:left="110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7,629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4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 assets</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ind w:left="110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4580" w:type="dxa"/>
            <w:vAlign w:val="bottom"/>
          </w:tcPr>
          <w:p>
            <w:pPr>
              <w:ind w:left="120"/>
              <w:spacing w:after="0"/>
              <w:rPr>
                <w:sz w:val="20"/>
                <w:szCs w:val="20"/>
                <w:color w:val="auto"/>
              </w:rPr>
            </w:pPr>
            <w:r>
              <w:rPr>
                <w:rFonts w:ascii="Arial" w:cs="Arial" w:eastAsia="Arial" w:hAnsi="Arial"/>
                <w:sz w:val="17"/>
                <w:szCs w:val="17"/>
                <w:color w:val="auto"/>
              </w:rPr>
              <w:t>Interest rate contracts: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 assets</w:t>
            </w: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28,570</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7"/>
                <w:szCs w:val="17"/>
                <w:color w:val="auto"/>
              </w:rPr>
              <w:t>—</w:t>
            </w:r>
          </w:p>
        </w:tc>
        <w:tc>
          <w:tcPr>
            <w:tcW w:w="140" w:type="dxa"/>
            <w:vAlign w:val="bottom"/>
            <w:gridSpan w:val="2"/>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28,570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4580" w:type="dxa"/>
            <w:vAlign w:val="bottom"/>
          </w:tcPr>
          <w:p>
            <w:pPr>
              <w:ind w:left="20"/>
              <w:spacing w:after="0"/>
              <w:rPr>
                <w:sz w:val="20"/>
                <w:szCs w:val="20"/>
                <w:color w:val="auto"/>
              </w:rPr>
            </w:pPr>
            <w:r>
              <w:rPr>
                <w:rFonts w:ascii="Arial" w:cs="Arial" w:eastAsia="Arial" w:hAnsi="Arial"/>
                <w:sz w:val="17"/>
                <w:szCs w:val="17"/>
                <w:color w:val="auto"/>
              </w:rPr>
              <w:t>Total Assets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53,717</w:t>
            </w:r>
          </w:p>
        </w:tc>
        <w:tc>
          <w:tcPr>
            <w:tcW w:w="60" w:type="dxa"/>
            <w:vAlign w:val="bottom"/>
          </w:tcPr>
          <w:p>
            <w:pPr>
              <w:spacing w:after="0"/>
              <w:rPr>
                <w:sz w:val="18"/>
                <w:szCs w:val="18"/>
                <w:color w:val="auto"/>
              </w:rPr>
            </w:pPr>
          </w:p>
        </w:tc>
        <w:tc>
          <w:tcPr>
            <w:tcW w:w="300" w:type="dxa"/>
            <w:vAlign w:val="bottom"/>
            <w:gridSpan w:val="4"/>
          </w:tcPr>
          <w:p>
            <w:pPr>
              <w:jc w:val="right"/>
              <w:ind w:right="120"/>
              <w:spacing w:after="0"/>
              <w:rPr>
                <w:sz w:val="20"/>
                <w:szCs w:val="20"/>
                <w:color w:val="auto"/>
              </w:rPr>
            </w:pPr>
            <w:r>
              <w:rPr>
                <w:rFonts w:ascii="Arial" w:cs="Arial" w:eastAsia="Arial" w:hAnsi="Arial"/>
                <w:sz w:val="17"/>
                <w:szCs w:val="17"/>
                <w:color w:val="auto"/>
              </w:rPr>
              <w:t>$</w:t>
            </w:r>
          </w:p>
        </w:tc>
        <w:tc>
          <w:tcPr>
            <w:tcW w:w="1480" w:type="dxa"/>
            <w:vAlign w:val="bottom"/>
            <w:gridSpan w:val="3"/>
          </w:tcPr>
          <w:p>
            <w:pPr>
              <w:ind w:left="1100"/>
              <w:spacing w:after="0"/>
              <w:rPr>
                <w:sz w:val="20"/>
                <w:szCs w:val="20"/>
                <w:color w:val="auto"/>
              </w:rPr>
            </w:pPr>
            <w:r>
              <w:rPr>
                <w:rFonts w:ascii="Arial" w:cs="Arial" w:eastAsia="Arial" w:hAnsi="Arial"/>
                <w:sz w:val="17"/>
                <w:szCs w:val="17"/>
                <w:color w:val="auto"/>
              </w:rPr>
              <w:t>—</w:t>
            </w:r>
          </w:p>
        </w:tc>
        <w:tc>
          <w:tcPr>
            <w:tcW w:w="200" w:type="dxa"/>
            <w:vAlign w:val="bottom"/>
            <w:gridSpan w:val="2"/>
          </w:tcPr>
          <w:p>
            <w:pPr>
              <w:jc w:val="right"/>
              <w:ind w:right="100"/>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53,717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580" w:type="dxa"/>
            <w:vAlign w:val="bottom"/>
          </w:tcPr>
          <w:p>
            <w:pPr>
              <w:ind w:left="20"/>
              <w:spacing w:after="0"/>
              <w:rPr>
                <w:sz w:val="20"/>
                <w:szCs w:val="20"/>
                <w:color w:val="auto"/>
              </w:rPr>
            </w:pPr>
            <w:r>
              <w:rPr>
                <w:rFonts w:ascii="Arial" w:cs="Arial" w:eastAsia="Arial" w:hAnsi="Arial"/>
                <w:sz w:val="17"/>
                <w:szCs w:val="17"/>
                <w:color w:val="auto"/>
              </w:rPr>
              <w:t>Liabilities: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5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Contingent earn-out liability - LT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57,701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ind w:left="110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57,701</w:t>
            </w:r>
          </w:p>
        </w:tc>
        <w:tc>
          <w:tcPr>
            <w:tcW w:w="0" w:type="dxa"/>
            <w:vAlign w:val="bottom"/>
          </w:tcPr>
          <w:p>
            <w:pPr>
              <w:spacing w:after="0"/>
              <w:rPr>
                <w:sz w:val="1"/>
                <w:szCs w:val="1"/>
                <w:color w:val="auto"/>
              </w:rPr>
            </w:pPr>
          </w:p>
        </w:tc>
      </w:tr>
      <w:tr>
        <w:trPr>
          <w:trHeight w:val="218"/>
        </w:trPr>
        <w:tc>
          <w:tcPr>
            <w:tcW w:w="4580" w:type="dxa"/>
            <w:vAlign w:val="bottom"/>
          </w:tcPr>
          <w:p>
            <w:pPr>
              <w:ind w:left="120"/>
              <w:spacing w:after="0"/>
              <w:rPr>
                <w:sz w:val="20"/>
                <w:szCs w:val="20"/>
                <w:color w:val="auto"/>
              </w:rPr>
            </w:pPr>
            <w:r>
              <w:rPr>
                <w:rFonts w:ascii="Arial" w:cs="Arial" w:eastAsia="Arial" w:hAnsi="Arial"/>
                <w:sz w:val="17"/>
                <w:szCs w:val="17"/>
                <w:color w:val="auto"/>
              </w:rPr>
              <w:t>Foreign exchange contracts: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5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Accrued liabilities</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895</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ind w:left="110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458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Other long-term liabilities</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ind w:left="110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gridSpan w:val="2"/>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3"/>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58,623</w:t>
            </w: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gridSpan w:val="2"/>
            <w:shd w:val="clear" w:color="auto" w:fill="CCEEFF"/>
          </w:tcPr>
          <w:p>
            <w:pPr>
              <w:spacing w:after="0"/>
              <w:rPr>
                <w:sz w:val="20"/>
                <w:szCs w:val="20"/>
                <w:color w:val="auto"/>
              </w:rPr>
            </w:pPr>
          </w:p>
        </w:tc>
        <w:tc>
          <w:tcPr>
            <w:tcW w:w="2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gridSpan w:val="2"/>
            <w:shd w:val="clear" w:color="auto" w:fill="CCEEFF"/>
          </w:tcPr>
          <w:p>
            <w:pPr>
              <w:spacing w:after="0"/>
              <w:rPr>
                <w:sz w:val="20"/>
                <w:szCs w:val="20"/>
                <w:color w:val="auto"/>
              </w:rPr>
            </w:pP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922</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57,701</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0"/>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14"/>
          </w:tcPr>
          <w:p>
            <w:pPr>
              <w:jc w:val="right"/>
              <w:spacing w:after="0"/>
              <w:rPr>
                <w:sz w:val="20"/>
                <w:szCs w:val="20"/>
                <w:color w:val="auto"/>
              </w:rPr>
            </w:pPr>
            <w:r>
              <w:rPr>
                <w:rFonts w:ascii="Arial" w:cs="Arial" w:eastAsia="Arial" w:hAnsi="Arial"/>
                <w:sz w:val="17"/>
                <w:szCs w:val="17"/>
                <w:b w:val="1"/>
                <w:bCs w:val="1"/>
                <w:color w:val="auto"/>
                <w:w w:val="89"/>
              </w:rPr>
              <w:t>Fair value measurements as of December 31, 2021</w:t>
            </w: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3"/>
          </w:tcPr>
          <w:p>
            <w:pPr>
              <w:jc w:val="center"/>
              <w:ind w:right="200"/>
              <w:spacing w:after="0" w:line="162" w:lineRule="exact"/>
              <w:rPr>
                <w:sz w:val="20"/>
                <w:szCs w:val="20"/>
                <w:color w:val="auto"/>
              </w:rPr>
            </w:pPr>
            <w:r>
              <w:rPr>
                <w:rFonts w:ascii="Arial" w:cs="Arial" w:eastAsia="Arial" w:hAnsi="Arial"/>
                <w:sz w:val="17"/>
                <w:szCs w:val="17"/>
                <w:b w:val="1"/>
                <w:bCs w:val="1"/>
                <w:color w:val="auto"/>
                <w:w w:val="90"/>
              </w:rPr>
              <w:t>Quoted prices</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3"/>
            <w:vMerge w:val="restart"/>
          </w:tcPr>
          <w:p>
            <w:pPr>
              <w:jc w:val="center"/>
              <w:ind w:right="260"/>
              <w:spacing w:after="0"/>
              <w:rPr>
                <w:sz w:val="20"/>
                <w:szCs w:val="20"/>
                <w:color w:val="auto"/>
              </w:rPr>
            </w:pPr>
            <w:r>
              <w:rPr>
                <w:rFonts w:ascii="Arial" w:cs="Arial" w:eastAsia="Arial" w:hAnsi="Arial"/>
                <w:sz w:val="17"/>
                <w:szCs w:val="17"/>
                <w:b w:val="1"/>
                <w:bCs w:val="1"/>
                <w:color w:val="auto"/>
                <w:w w:val="91"/>
              </w:rPr>
              <w:t>Significant</w:t>
            </w: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3"/>
          </w:tcPr>
          <w:p>
            <w:pPr>
              <w:jc w:val="center"/>
              <w:ind w:right="200"/>
              <w:spacing w:after="0" w:line="167" w:lineRule="exact"/>
              <w:rPr>
                <w:sz w:val="20"/>
                <w:szCs w:val="20"/>
                <w:color w:val="auto"/>
              </w:rPr>
            </w:pPr>
            <w:r>
              <w:rPr>
                <w:rFonts w:ascii="Arial" w:cs="Arial" w:eastAsia="Arial" w:hAnsi="Arial"/>
                <w:sz w:val="17"/>
                <w:szCs w:val="17"/>
                <w:b w:val="1"/>
                <w:bCs w:val="1"/>
                <w:color w:val="auto"/>
                <w:w w:val="88"/>
              </w:rPr>
              <w:t>in active</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vMerge w:val="restart"/>
          </w:tcPr>
          <w:p>
            <w:pPr>
              <w:jc w:val="center"/>
              <w:ind w:right="94"/>
              <w:spacing w:after="0"/>
              <w:rPr>
                <w:sz w:val="20"/>
                <w:szCs w:val="20"/>
                <w:color w:val="auto"/>
              </w:rPr>
            </w:pPr>
            <w:r>
              <w:rPr>
                <w:rFonts w:ascii="Arial" w:cs="Arial" w:eastAsia="Arial" w:hAnsi="Arial"/>
                <w:sz w:val="17"/>
                <w:szCs w:val="17"/>
                <w:b w:val="1"/>
                <w:bCs w:val="1"/>
                <w:color w:val="auto"/>
                <w:w w:val="91"/>
              </w:rPr>
              <w:t>Significant</w:t>
            </w:r>
          </w:p>
        </w:tc>
        <w:tc>
          <w:tcPr>
            <w:tcW w:w="0" w:type="dxa"/>
            <w:vAlign w:val="bottom"/>
          </w:tcPr>
          <w:p>
            <w:pPr>
              <w:spacing w:after="0"/>
              <w:rPr>
                <w:sz w:val="1"/>
                <w:szCs w:val="1"/>
                <w:color w:val="auto"/>
              </w:rPr>
            </w:pPr>
          </w:p>
        </w:tc>
      </w:tr>
      <w:tr>
        <w:trPr>
          <w:trHeight w:val="168"/>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vMerge w:val="restart"/>
          </w:tcPr>
          <w:p>
            <w:pPr>
              <w:jc w:val="right"/>
              <w:ind w:right="114"/>
              <w:spacing w:after="0"/>
              <w:rPr>
                <w:sz w:val="20"/>
                <w:szCs w:val="20"/>
                <w:color w:val="auto"/>
              </w:rPr>
            </w:pPr>
            <w:r>
              <w:rPr>
                <w:rFonts w:ascii="Arial" w:cs="Arial" w:eastAsia="Arial" w:hAnsi="Arial"/>
                <w:sz w:val="17"/>
                <w:szCs w:val="17"/>
                <w:b w:val="1"/>
                <w:bCs w:val="1"/>
                <w:color w:val="auto"/>
              </w:rPr>
              <w:t>Total carrying</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3"/>
          </w:tcPr>
          <w:p>
            <w:pPr>
              <w:jc w:val="center"/>
              <w:ind w:right="200"/>
              <w:spacing w:after="0" w:line="167" w:lineRule="exact"/>
              <w:rPr>
                <w:sz w:val="20"/>
                <w:szCs w:val="20"/>
                <w:color w:val="auto"/>
              </w:rPr>
            </w:pPr>
            <w:r>
              <w:rPr>
                <w:rFonts w:ascii="Arial" w:cs="Arial" w:eastAsia="Arial" w:hAnsi="Arial"/>
                <w:sz w:val="17"/>
                <w:szCs w:val="17"/>
                <w:b w:val="1"/>
                <w:bCs w:val="1"/>
                <w:color w:val="auto"/>
                <w:w w:val="94"/>
              </w:rPr>
              <w:t>markets for</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3"/>
          </w:tcPr>
          <w:p>
            <w:pPr>
              <w:jc w:val="center"/>
              <w:ind w:right="260"/>
              <w:spacing w:after="0" w:line="167" w:lineRule="exact"/>
              <w:rPr>
                <w:sz w:val="20"/>
                <w:szCs w:val="20"/>
                <w:color w:val="auto"/>
              </w:rPr>
            </w:pPr>
            <w:r>
              <w:rPr>
                <w:rFonts w:ascii="Arial" w:cs="Arial" w:eastAsia="Arial" w:hAnsi="Arial"/>
                <w:sz w:val="17"/>
                <w:szCs w:val="17"/>
                <w:b w:val="1"/>
                <w:bCs w:val="1"/>
                <w:color w:val="auto"/>
                <w:w w:val="94"/>
              </w:rPr>
              <w:t>other</w:t>
            </w:r>
          </w:p>
        </w:tc>
        <w:tc>
          <w:tcPr>
            <w:tcW w:w="18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3"/>
          </w:tcPr>
          <w:p>
            <w:pPr>
              <w:jc w:val="center"/>
              <w:ind w:right="200"/>
              <w:spacing w:after="0" w:line="167" w:lineRule="exact"/>
              <w:rPr>
                <w:sz w:val="20"/>
                <w:szCs w:val="20"/>
                <w:color w:val="auto"/>
              </w:rPr>
            </w:pPr>
            <w:r>
              <w:rPr>
                <w:rFonts w:ascii="Arial" w:cs="Arial" w:eastAsia="Arial" w:hAnsi="Arial"/>
                <w:sz w:val="17"/>
                <w:szCs w:val="17"/>
                <w:b w:val="1"/>
                <w:bCs w:val="1"/>
                <w:color w:val="auto"/>
                <w:w w:val="92"/>
              </w:rPr>
              <w:t>identical</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3"/>
          </w:tcPr>
          <w:p>
            <w:pPr>
              <w:jc w:val="center"/>
              <w:ind w:right="260"/>
              <w:spacing w:after="0" w:line="167" w:lineRule="exact"/>
              <w:rPr>
                <w:sz w:val="20"/>
                <w:szCs w:val="20"/>
                <w:color w:val="auto"/>
              </w:rPr>
            </w:pPr>
            <w:r>
              <w:rPr>
                <w:rFonts w:ascii="Arial" w:cs="Arial" w:eastAsia="Arial" w:hAnsi="Arial"/>
                <w:sz w:val="17"/>
                <w:szCs w:val="17"/>
                <w:b w:val="1"/>
                <w:bCs w:val="1"/>
                <w:color w:val="auto"/>
                <w:w w:val="89"/>
              </w:rPr>
              <w:t>observable</w:t>
            </w:r>
          </w:p>
        </w:tc>
        <w:tc>
          <w:tcPr>
            <w:tcW w:w="180" w:type="dxa"/>
            <w:vAlign w:val="bottom"/>
          </w:tcPr>
          <w:p>
            <w:pPr>
              <w:spacing w:after="0"/>
              <w:rPr>
                <w:sz w:val="14"/>
                <w:szCs w:val="14"/>
                <w:color w:val="auto"/>
              </w:rPr>
            </w:pPr>
          </w:p>
        </w:tc>
        <w:tc>
          <w:tcPr>
            <w:tcW w:w="1380" w:type="dxa"/>
            <w:vAlign w:val="bottom"/>
          </w:tcPr>
          <w:p>
            <w:pPr>
              <w:jc w:val="center"/>
              <w:ind w:right="74"/>
              <w:spacing w:after="0" w:line="167" w:lineRule="exact"/>
              <w:rPr>
                <w:sz w:val="20"/>
                <w:szCs w:val="20"/>
                <w:color w:val="auto"/>
              </w:rPr>
            </w:pPr>
            <w:r>
              <w:rPr>
                <w:rFonts w:ascii="Arial" w:cs="Arial" w:eastAsia="Arial" w:hAnsi="Arial"/>
                <w:sz w:val="17"/>
                <w:szCs w:val="17"/>
                <w:b w:val="1"/>
                <w:bCs w:val="1"/>
                <w:color w:val="auto"/>
                <w:w w:val="88"/>
              </w:rPr>
              <w:t>unobservable</w:t>
            </w:r>
          </w:p>
        </w:tc>
        <w:tc>
          <w:tcPr>
            <w:tcW w:w="0" w:type="dxa"/>
            <w:vAlign w:val="bottom"/>
          </w:tcPr>
          <w:p>
            <w:pPr>
              <w:spacing w:after="0"/>
              <w:rPr>
                <w:sz w:val="1"/>
                <w:szCs w:val="1"/>
                <w:color w:val="auto"/>
              </w:rPr>
            </w:pPr>
          </w:p>
        </w:tc>
      </w:tr>
      <w:tr>
        <w:trPr>
          <w:trHeight w:val="219"/>
        </w:trPr>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434"/>
              <w:spacing w:after="0"/>
              <w:rPr>
                <w:sz w:val="20"/>
                <w:szCs w:val="20"/>
                <w:color w:val="auto"/>
              </w:rPr>
            </w:pPr>
            <w:r>
              <w:rPr>
                <w:rFonts w:ascii="Arial" w:cs="Arial" w:eastAsia="Arial" w:hAnsi="Arial"/>
                <w:sz w:val="17"/>
                <w:szCs w:val="17"/>
                <w:b w:val="1"/>
                <w:bCs w:val="1"/>
                <w:color w:val="auto"/>
              </w:rPr>
              <w:t>value</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3"/>
          </w:tcPr>
          <w:p>
            <w:pPr>
              <w:jc w:val="center"/>
              <w:ind w:right="200"/>
              <w:spacing w:after="0"/>
              <w:rPr>
                <w:sz w:val="20"/>
                <w:szCs w:val="20"/>
                <w:color w:val="auto"/>
              </w:rPr>
            </w:pPr>
            <w:r>
              <w:rPr>
                <w:rFonts w:ascii="Arial" w:cs="Arial" w:eastAsia="Arial" w:hAnsi="Arial"/>
                <w:sz w:val="17"/>
                <w:szCs w:val="17"/>
                <w:b w:val="1"/>
                <w:bCs w:val="1"/>
                <w:color w:val="auto"/>
                <w:w w:val="85"/>
              </w:rPr>
              <w:t>assets (level 1)</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3"/>
          </w:tcPr>
          <w:p>
            <w:pPr>
              <w:jc w:val="center"/>
              <w:ind w:right="260"/>
              <w:spacing w:after="0"/>
              <w:rPr>
                <w:sz w:val="20"/>
                <w:szCs w:val="20"/>
                <w:color w:val="auto"/>
              </w:rPr>
            </w:pPr>
            <w:r>
              <w:rPr>
                <w:rFonts w:ascii="Arial" w:cs="Arial" w:eastAsia="Arial" w:hAnsi="Arial"/>
                <w:sz w:val="17"/>
                <w:szCs w:val="17"/>
                <w:b w:val="1"/>
                <w:bCs w:val="1"/>
                <w:color w:val="auto"/>
                <w:w w:val="90"/>
              </w:rPr>
              <w:t>inputs (level 2)</w:t>
            </w:r>
          </w:p>
        </w:tc>
        <w:tc>
          <w:tcPr>
            <w:tcW w:w="180" w:type="dxa"/>
            <w:vAlign w:val="bottom"/>
          </w:tcPr>
          <w:p>
            <w:pPr>
              <w:spacing w:after="0"/>
              <w:rPr>
                <w:sz w:val="19"/>
                <w:szCs w:val="19"/>
                <w:color w:val="auto"/>
              </w:rPr>
            </w:pPr>
          </w:p>
        </w:tc>
        <w:tc>
          <w:tcPr>
            <w:tcW w:w="1380" w:type="dxa"/>
            <w:vAlign w:val="bottom"/>
          </w:tcPr>
          <w:p>
            <w:pPr>
              <w:jc w:val="center"/>
              <w:ind w:right="94"/>
              <w:spacing w:after="0"/>
              <w:rPr>
                <w:sz w:val="20"/>
                <w:szCs w:val="20"/>
                <w:color w:val="auto"/>
              </w:rPr>
            </w:pPr>
            <w:r>
              <w:rPr>
                <w:rFonts w:ascii="Arial" w:cs="Arial" w:eastAsia="Arial" w:hAnsi="Arial"/>
                <w:sz w:val="17"/>
                <w:szCs w:val="17"/>
                <w:b w:val="1"/>
                <w:bCs w:val="1"/>
                <w:color w:val="auto"/>
                <w:w w:val="90"/>
              </w:rPr>
              <w:t>inputs (level 3)</w:t>
            </w:r>
          </w:p>
        </w:tc>
        <w:tc>
          <w:tcPr>
            <w:tcW w:w="0" w:type="dxa"/>
            <w:vAlign w:val="bottom"/>
          </w:tcPr>
          <w:p>
            <w:pPr>
              <w:spacing w:after="0"/>
              <w:rPr>
                <w:sz w:val="1"/>
                <w:szCs w:val="1"/>
                <w:color w:val="auto"/>
              </w:rPr>
            </w:pPr>
          </w:p>
        </w:tc>
      </w:tr>
      <w:tr>
        <w:trPr>
          <w:trHeight w:val="199"/>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Assets:</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580" w:type="dxa"/>
            <w:vAlign w:val="bottom"/>
          </w:tcPr>
          <w:p>
            <w:pPr>
              <w:ind w:left="120"/>
              <w:spacing w:after="0"/>
              <w:rPr>
                <w:sz w:val="20"/>
                <w:szCs w:val="20"/>
                <w:color w:val="auto"/>
              </w:rPr>
            </w:pPr>
            <w:r>
              <w:rPr>
                <w:rFonts w:ascii="Arial" w:cs="Arial" w:eastAsia="Arial" w:hAnsi="Arial"/>
                <w:sz w:val="17"/>
                <w:szCs w:val="17"/>
                <w:color w:val="auto"/>
              </w:rPr>
              <w:t>Available-for-sale debt securities: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Short-term</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14,420</w:t>
            </w:r>
          </w:p>
        </w:tc>
        <w:tc>
          <w:tcPr>
            <w:tcW w:w="30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480" w:type="dxa"/>
            <w:vAlign w:val="bottom"/>
            <w:gridSpan w:val="3"/>
            <w:shd w:val="clear" w:color="auto" w:fill="CCEEFF"/>
          </w:tcPr>
          <w:p>
            <w:pPr>
              <w:ind w:left="1180"/>
              <w:spacing w:after="0"/>
              <w:rPr>
                <w:sz w:val="20"/>
                <w:szCs w:val="20"/>
                <w:color w:val="auto"/>
              </w:rPr>
            </w:pPr>
            <w:r>
              <w:rPr>
                <w:rFonts w:ascii="Arial" w:cs="Arial" w:eastAsia="Arial" w:hAnsi="Arial"/>
                <w:sz w:val="17"/>
                <w:szCs w:val="17"/>
                <w:color w:val="auto"/>
              </w:rPr>
              <w:t>—</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14,420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4580" w:type="dxa"/>
            <w:vAlign w:val="bottom"/>
          </w:tcPr>
          <w:p>
            <w:pPr>
              <w:ind w:left="220"/>
              <w:spacing w:after="0"/>
              <w:rPr>
                <w:sz w:val="20"/>
                <w:szCs w:val="20"/>
                <w:color w:val="auto"/>
              </w:rPr>
            </w:pPr>
            <w:r>
              <w:rPr>
                <w:rFonts w:ascii="Arial" w:cs="Arial" w:eastAsia="Arial" w:hAnsi="Arial"/>
                <w:sz w:val="17"/>
                <w:szCs w:val="17"/>
                <w:color w:val="auto"/>
              </w:rPr>
              <w:t>Long-term</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4,620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3"/>
          </w:tcPr>
          <w:p>
            <w:pPr>
              <w:ind w:left="118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4,620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45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Cross-currency par forward contract: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5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Prepaid expenses and other current assets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1,061</w:t>
            </w: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ind w:left="1180"/>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1,061</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3"/>
        </w:trPr>
        <w:tc>
          <w:tcPr>
            <w:tcW w:w="4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Assets</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20,101</w:t>
            </w:r>
          </w:p>
        </w:tc>
        <w:tc>
          <w:tcPr>
            <w:tcW w:w="30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480" w:type="dxa"/>
            <w:vAlign w:val="bottom"/>
            <w:gridSpan w:val="3"/>
            <w:shd w:val="clear" w:color="auto" w:fill="CCEEFF"/>
          </w:tcPr>
          <w:p>
            <w:pPr>
              <w:ind w:left="1180"/>
              <w:spacing w:after="0"/>
              <w:rPr>
                <w:sz w:val="20"/>
                <w:szCs w:val="20"/>
                <w:color w:val="auto"/>
              </w:rPr>
            </w:pPr>
            <w:r>
              <w:rPr>
                <w:rFonts w:ascii="Arial" w:cs="Arial" w:eastAsia="Arial" w:hAnsi="Arial"/>
                <w:sz w:val="17"/>
                <w:szCs w:val="17"/>
                <w:color w:val="auto"/>
              </w:rPr>
              <w:t>—</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20,101</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Liabilities:</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580" w:type="dxa"/>
            <w:vAlign w:val="bottom"/>
          </w:tcPr>
          <w:p>
            <w:pPr>
              <w:ind w:left="120"/>
              <w:spacing w:after="0"/>
              <w:rPr>
                <w:sz w:val="20"/>
                <w:szCs w:val="20"/>
                <w:color w:val="auto"/>
              </w:rPr>
            </w:pPr>
            <w:r>
              <w:rPr>
                <w:rFonts w:ascii="Arial" w:cs="Arial" w:eastAsia="Arial" w:hAnsi="Arial"/>
                <w:sz w:val="17"/>
                <w:szCs w:val="17"/>
                <w:color w:val="auto"/>
              </w:rPr>
              <w:t>Contingent earn-out liability - LT</w:t>
            </w:r>
          </w:p>
        </w:tc>
        <w:tc>
          <w:tcPr>
            <w:tcW w:w="2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2,589</w:t>
            </w:r>
          </w:p>
        </w:tc>
        <w:tc>
          <w:tcPr>
            <w:tcW w:w="300" w:type="dxa"/>
            <w:vAlign w:val="bottom"/>
            <w:gridSpan w:val="4"/>
          </w:tcPr>
          <w:p>
            <w:pPr>
              <w:jc w:val="right"/>
              <w:ind w:right="40"/>
              <w:spacing w:after="0"/>
              <w:rPr>
                <w:sz w:val="20"/>
                <w:szCs w:val="20"/>
                <w:color w:val="auto"/>
              </w:rPr>
            </w:pPr>
            <w:r>
              <w:rPr>
                <w:rFonts w:ascii="Arial" w:cs="Arial" w:eastAsia="Arial" w:hAnsi="Arial"/>
                <w:sz w:val="17"/>
                <w:szCs w:val="17"/>
                <w:color w:val="auto"/>
              </w:rPr>
              <w:t>$</w:t>
            </w:r>
          </w:p>
        </w:tc>
        <w:tc>
          <w:tcPr>
            <w:tcW w:w="1480" w:type="dxa"/>
            <w:vAlign w:val="bottom"/>
            <w:gridSpan w:val="3"/>
          </w:tcPr>
          <w:p>
            <w:pPr>
              <w:ind w:left="1180"/>
              <w:spacing w:after="0"/>
              <w:rPr>
                <w:sz w:val="20"/>
                <w:szCs w:val="20"/>
                <w:color w:val="auto"/>
              </w:rPr>
            </w:pPr>
            <w:r>
              <w:rPr>
                <w:rFonts w:ascii="Arial" w:cs="Arial" w:eastAsia="Arial" w:hAnsi="Arial"/>
                <w:sz w:val="17"/>
                <w:szCs w:val="17"/>
                <w:color w:val="auto"/>
              </w:rPr>
              <w:t>—</w:t>
            </w:r>
          </w:p>
        </w:tc>
        <w:tc>
          <w:tcPr>
            <w:tcW w:w="2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50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2,589</w:t>
            </w:r>
          </w:p>
        </w:tc>
        <w:tc>
          <w:tcPr>
            <w:tcW w:w="0" w:type="dxa"/>
            <w:vAlign w:val="bottom"/>
          </w:tcPr>
          <w:p>
            <w:pPr>
              <w:spacing w:after="0"/>
              <w:rPr>
                <w:sz w:val="1"/>
                <w:szCs w:val="1"/>
                <w:color w:val="auto"/>
              </w:rPr>
            </w:pPr>
          </w:p>
        </w:tc>
      </w:tr>
      <w:tr>
        <w:trPr>
          <w:trHeight w:val="220"/>
        </w:trPr>
        <w:tc>
          <w:tcPr>
            <w:tcW w:w="45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Forward-starting interest rate swaps:</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5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Other long-term liabilities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1,480</w:t>
            </w: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ind w:left="1180"/>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1,480</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3"/>
        </w:trPr>
        <w:tc>
          <w:tcPr>
            <w:tcW w:w="4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Liabilities</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4,069</w:t>
            </w:r>
          </w:p>
        </w:tc>
        <w:tc>
          <w:tcPr>
            <w:tcW w:w="30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480" w:type="dxa"/>
            <w:vAlign w:val="bottom"/>
            <w:gridSpan w:val="3"/>
            <w:shd w:val="clear" w:color="auto" w:fill="CCEEFF"/>
          </w:tcPr>
          <w:p>
            <w:pPr>
              <w:ind w:left="1180"/>
              <w:spacing w:after="0"/>
              <w:rPr>
                <w:sz w:val="20"/>
                <w:szCs w:val="20"/>
                <w:color w:val="auto"/>
              </w:rPr>
            </w:pPr>
            <w:r>
              <w:rPr>
                <w:rFonts w:ascii="Arial" w:cs="Arial" w:eastAsia="Arial" w:hAnsi="Arial"/>
                <w:sz w:val="17"/>
                <w:szCs w:val="17"/>
                <w:color w:val="auto"/>
              </w:rPr>
              <w:t>—</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1,480</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2,589</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0"/>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right"/>
              <w:ind w:right="354"/>
              <w:spacing w:after="0"/>
              <w:rPr>
                <w:sz w:val="20"/>
                <w:szCs w:val="20"/>
                <w:color w:val="auto"/>
              </w:rPr>
            </w:pPr>
            <w:r>
              <w:rPr>
                <w:rFonts w:ascii="Arial" w:cs="Arial" w:eastAsia="Arial" w:hAnsi="Arial"/>
                <w:sz w:val="17"/>
                <w:szCs w:val="17"/>
                <w:color w:val="auto"/>
              </w:rPr>
              <w:t>24</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5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Investment Securities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Investments in Available-for-sale Securities</w:t>
      </w:r>
    </w:p>
    <w:p>
      <w:pPr>
        <w:spacing w:after="0" w:line="243" w:lineRule="exact"/>
        <w:rPr>
          <w:sz w:val="20"/>
          <w:szCs w:val="20"/>
          <w:color w:val="auto"/>
        </w:rPr>
      </w:pPr>
    </w:p>
    <w:p>
      <w:pPr>
        <w:ind w:right="20" w:firstLine="172"/>
        <w:spacing w:after="0" w:line="275" w:lineRule="auto"/>
        <w:rPr>
          <w:sz w:val="20"/>
          <w:szCs w:val="20"/>
          <w:color w:val="auto"/>
        </w:rPr>
      </w:pPr>
      <w:r>
        <w:rPr>
          <w:rFonts w:ascii="Arial" w:cs="Arial" w:eastAsia="Arial" w:hAnsi="Arial"/>
          <w:sz w:val="16"/>
          <w:szCs w:val="16"/>
          <w:color w:val="auto"/>
        </w:rPr>
        <w:t>Our available-for-sale investment securities currently consist of short-term and long-term corporate bonds and are considered “investment grade” and are carried at fair value. We assess our investment in available-for-sale debt securities for impairment each reporting period. If an unrealized loss exists, we determine whether any portion of the decline in fair value below the amortized cost basis is credit-related by reviewing several factors, including, but not limited to, the extent of the fair value decline and changes in the financial condition of the issuer. We record an impairment for credit-related losses through an allowance, limited to the amount of the unrealized loss. If we either intend to sell or it is more likely than not we will be required to sell the debt security before its anticipated recovery, any allowance is written off and the amortized cost basis is written down to fair value through a charge against net earnings. Unrealized gains and non-credit-related unrealized losses are recorded, net of tax, in other comprehensive income (loss). We did not have any investments in available-for-sale debt securities in unrealized loss positions as of March 31, 2022 or December 31, 2021.</w:t>
      </w:r>
    </w:p>
    <w:p>
      <w:pPr>
        <w:spacing w:after="0" w:line="196" w:lineRule="exact"/>
        <w:rPr>
          <w:sz w:val="20"/>
          <w:szCs w:val="20"/>
          <w:color w:val="auto"/>
        </w:rPr>
      </w:pPr>
    </w:p>
    <w:p>
      <w:pPr>
        <w:ind w:right="140" w:firstLine="619"/>
        <w:spacing w:after="0" w:line="262" w:lineRule="auto"/>
        <w:rPr>
          <w:sz w:val="20"/>
          <w:szCs w:val="20"/>
          <w:color w:val="auto"/>
        </w:rPr>
      </w:pPr>
      <w:r>
        <w:rPr>
          <w:rFonts w:ascii="Arial" w:cs="Arial" w:eastAsia="Arial" w:hAnsi="Arial"/>
          <w:sz w:val="17"/>
          <w:szCs w:val="17"/>
          <w:color w:val="auto"/>
        </w:rPr>
        <w:t>The amortized cost of the debt securities are adjusted for the amortization of premiums computed under the effective interest method. Such amortization is included in other income, net in our condensed consolidated statements of operations. Realized gains and losses are accounted for on the specific identification method. There have been no realized gains or losses on the disposal of these investments. The scheduled maturities of the debt securities are between 2022 and 2024. All short-term investment securities are callable within one year.</w:t>
      </w:r>
    </w:p>
    <w:p>
      <w:pPr>
        <w:spacing w:after="0" w:line="20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short-term and long-term investments in available-for-sale securities consist of the following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5"/>
                <w:szCs w:val="15"/>
                <w:b w:val="1"/>
                <w:bCs w:val="1"/>
                <w:color w:val="auto"/>
                <w:w w:val="94"/>
              </w:rPr>
              <w:t>As of March 31, 2022</w:t>
            </w:r>
          </w:p>
        </w:tc>
        <w:tc>
          <w:tcPr>
            <w:tcW w:w="3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5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Amortized Cost</w:t>
            </w:r>
          </w:p>
        </w:tc>
        <w:tc>
          <w:tcPr>
            <w:tcW w:w="140" w:type="dxa"/>
            <w:vAlign w:val="bottom"/>
          </w:tcPr>
          <w:p>
            <w:pPr>
              <w:spacing w:after="0"/>
              <w:rPr>
                <w:sz w:val="13"/>
                <w:szCs w:val="13"/>
                <w:color w:val="auto"/>
              </w:rPr>
            </w:pPr>
          </w:p>
        </w:tc>
        <w:tc>
          <w:tcPr>
            <w:tcW w:w="1920" w:type="dxa"/>
            <w:vAlign w:val="bottom"/>
            <w:gridSpan w:val="2"/>
          </w:tcPr>
          <w:p>
            <w:pPr>
              <w:jc w:val="center"/>
              <w:ind w:right="280"/>
              <w:spacing w:after="0" w:line="151" w:lineRule="exact"/>
              <w:rPr>
                <w:sz w:val="20"/>
                <w:szCs w:val="20"/>
                <w:color w:val="auto"/>
              </w:rPr>
            </w:pPr>
            <w:r>
              <w:rPr>
                <w:rFonts w:ascii="Arial" w:cs="Arial" w:eastAsia="Arial" w:hAnsi="Arial"/>
                <w:sz w:val="15"/>
                <w:szCs w:val="15"/>
                <w:b w:val="1"/>
                <w:bCs w:val="1"/>
                <w:color w:val="auto"/>
                <w:w w:val="94"/>
              </w:rPr>
              <w:t>Unrealized Holding</w:t>
            </w:r>
          </w:p>
        </w:tc>
        <w:tc>
          <w:tcPr>
            <w:tcW w:w="380" w:type="dxa"/>
            <w:vAlign w:val="bottom"/>
          </w:tcPr>
          <w:p>
            <w:pPr>
              <w:spacing w:after="0"/>
              <w:rPr>
                <w:sz w:val="13"/>
                <w:szCs w:val="13"/>
                <w:color w:val="auto"/>
              </w:rPr>
            </w:pPr>
          </w:p>
        </w:tc>
        <w:tc>
          <w:tcPr>
            <w:tcW w:w="1580" w:type="dxa"/>
            <w:vAlign w:val="bottom"/>
            <w:vMerge w:val="restart"/>
          </w:tcPr>
          <w:p>
            <w:pPr>
              <w:jc w:val="right"/>
              <w:ind w:right="536"/>
              <w:spacing w:after="0"/>
              <w:rPr>
                <w:sz w:val="20"/>
                <w:szCs w:val="20"/>
                <w:color w:val="auto"/>
              </w:rPr>
            </w:pPr>
            <w:r>
              <w:rPr>
                <w:rFonts w:ascii="Arial" w:cs="Arial" w:eastAsia="Arial" w:hAnsi="Arial"/>
                <w:sz w:val="15"/>
                <w:szCs w:val="15"/>
                <w:b w:val="1"/>
                <w:bCs w:val="1"/>
                <w:color w:val="auto"/>
              </w:rPr>
              <w:t>Fair Value</w:t>
            </w:r>
          </w:p>
        </w:tc>
        <w:tc>
          <w:tcPr>
            <w:tcW w:w="0" w:type="dxa"/>
            <w:vAlign w:val="bottom"/>
          </w:tcPr>
          <w:p>
            <w:pPr>
              <w:spacing w:after="0"/>
              <w:rPr>
                <w:sz w:val="1"/>
                <w:szCs w:val="1"/>
                <w:color w:val="auto"/>
              </w:rPr>
            </w:pPr>
          </w:p>
        </w:tc>
      </w:tr>
      <w:tr>
        <w:trPr>
          <w:trHeight w:val="204"/>
        </w:trPr>
        <w:tc>
          <w:tcPr>
            <w:tcW w:w="51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2"/>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5"/>
                <w:szCs w:val="15"/>
                <w:b w:val="1"/>
                <w:bCs w:val="1"/>
                <w:color w:val="auto"/>
                <w:w w:val="89"/>
              </w:rPr>
              <w:t>Gains (Losses)</w:t>
            </w:r>
          </w:p>
        </w:tc>
        <w:tc>
          <w:tcPr>
            <w:tcW w:w="3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Short-term corporate bonds</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14,864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920" w:type="dxa"/>
            <w:vAlign w:val="bottom"/>
            <w:gridSpan w:val="2"/>
            <w:shd w:val="clear" w:color="auto" w:fill="CCEEFF"/>
          </w:tcPr>
          <w:p>
            <w:pPr>
              <w:ind w:left="15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14,864</w:t>
            </w:r>
          </w:p>
        </w:tc>
        <w:tc>
          <w:tcPr>
            <w:tcW w:w="0" w:type="dxa"/>
            <w:vAlign w:val="bottom"/>
          </w:tcPr>
          <w:p>
            <w:pPr>
              <w:spacing w:after="0"/>
              <w:rPr>
                <w:sz w:val="1"/>
                <w:szCs w:val="1"/>
                <w:color w:val="auto"/>
              </w:rPr>
            </w:pPr>
          </w:p>
        </w:tc>
      </w:tr>
      <w:tr>
        <w:trPr>
          <w:trHeight w:val="218"/>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Long-term corporate bonds</w:t>
            </w:r>
          </w:p>
        </w:tc>
        <w:tc>
          <w:tcPr>
            <w:tcW w:w="2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2,539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ind w:left="158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2,539</w:t>
            </w:r>
          </w:p>
        </w:tc>
        <w:tc>
          <w:tcPr>
            <w:tcW w:w="0" w:type="dxa"/>
            <w:vAlign w:val="bottom"/>
          </w:tcPr>
          <w:p>
            <w:pPr>
              <w:spacing w:after="0"/>
              <w:rPr>
                <w:sz w:val="1"/>
                <w:szCs w:val="1"/>
                <w:color w:val="auto"/>
              </w:rPr>
            </w:pPr>
          </w:p>
        </w:tc>
      </w:tr>
      <w:tr>
        <w:trPr>
          <w:trHeight w:val="233"/>
        </w:trPr>
        <w:tc>
          <w:tcPr>
            <w:tcW w:w="5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 investment securities</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17,403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820" w:type="dxa"/>
            <w:vAlign w:val="bottom"/>
            <w:tcBorders>
              <w:bottom w:val="single" w:sz="8" w:color="auto"/>
            </w:tcBorders>
            <w:shd w:val="clear" w:color="auto" w:fill="CCEEFF"/>
          </w:tcPr>
          <w:p>
            <w:pPr>
              <w:ind w:left="158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17,403</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51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5"/>
                <w:szCs w:val="15"/>
                <w:b w:val="1"/>
                <w:bCs w:val="1"/>
                <w:color w:val="auto"/>
                <w:w w:val="92"/>
              </w:rPr>
              <w:t>As of December 31, 2021</w:t>
            </w:r>
          </w:p>
        </w:tc>
        <w:tc>
          <w:tcPr>
            <w:tcW w:w="3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5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Amortized Cost</w:t>
            </w:r>
          </w:p>
        </w:tc>
        <w:tc>
          <w:tcPr>
            <w:tcW w:w="140" w:type="dxa"/>
            <w:vAlign w:val="bottom"/>
          </w:tcPr>
          <w:p>
            <w:pPr>
              <w:spacing w:after="0"/>
              <w:rPr>
                <w:sz w:val="13"/>
                <w:szCs w:val="13"/>
                <w:color w:val="auto"/>
              </w:rPr>
            </w:pPr>
          </w:p>
        </w:tc>
        <w:tc>
          <w:tcPr>
            <w:tcW w:w="1920" w:type="dxa"/>
            <w:vAlign w:val="bottom"/>
            <w:gridSpan w:val="2"/>
          </w:tcPr>
          <w:p>
            <w:pPr>
              <w:jc w:val="center"/>
              <w:ind w:right="240"/>
              <w:spacing w:after="0" w:line="151" w:lineRule="exact"/>
              <w:rPr>
                <w:sz w:val="20"/>
                <w:szCs w:val="20"/>
                <w:color w:val="auto"/>
              </w:rPr>
            </w:pPr>
            <w:r>
              <w:rPr>
                <w:rFonts w:ascii="Arial" w:cs="Arial" w:eastAsia="Arial" w:hAnsi="Arial"/>
                <w:sz w:val="15"/>
                <w:szCs w:val="15"/>
                <w:b w:val="1"/>
                <w:bCs w:val="1"/>
                <w:color w:val="auto"/>
                <w:w w:val="94"/>
              </w:rPr>
              <w:t>Unrealized Holding</w:t>
            </w:r>
          </w:p>
        </w:tc>
        <w:tc>
          <w:tcPr>
            <w:tcW w:w="380" w:type="dxa"/>
            <w:vAlign w:val="bottom"/>
          </w:tcPr>
          <w:p>
            <w:pPr>
              <w:spacing w:after="0"/>
              <w:rPr>
                <w:sz w:val="13"/>
                <w:szCs w:val="13"/>
                <w:color w:val="auto"/>
              </w:rPr>
            </w:pPr>
          </w:p>
        </w:tc>
        <w:tc>
          <w:tcPr>
            <w:tcW w:w="1580" w:type="dxa"/>
            <w:vAlign w:val="bottom"/>
            <w:vMerge w:val="restart"/>
          </w:tcPr>
          <w:p>
            <w:pPr>
              <w:jc w:val="right"/>
              <w:ind w:right="536"/>
              <w:spacing w:after="0"/>
              <w:rPr>
                <w:sz w:val="20"/>
                <w:szCs w:val="20"/>
                <w:color w:val="auto"/>
              </w:rPr>
            </w:pPr>
            <w:r>
              <w:rPr>
                <w:rFonts w:ascii="Arial" w:cs="Arial" w:eastAsia="Arial" w:hAnsi="Arial"/>
                <w:sz w:val="15"/>
                <w:szCs w:val="15"/>
                <w:b w:val="1"/>
                <w:bCs w:val="1"/>
                <w:color w:val="auto"/>
              </w:rPr>
              <w:t>Fair Value</w:t>
            </w:r>
          </w:p>
        </w:tc>
        <w:tc>
          <w:tcPr>
            <w:tcW w:w="0" w:type="dxa"/>
            <w:vAlign w:val="bottom"/>
          </w:tcPr>
          <w:p>
            <w:pPr>
              <w:spacing w:after="0"/>
              <w:rPr>
                <w:sz w:val="1"/>
                <w:szCs w:val="1"/>
                <w:color w:val="auto"/>
              </w:rPr>
            </w:pPr>
          </w:p>
        </w:tc>
      </w:tr>
      <w:tr>
        <w:trPr>
          <w:trHeight w:val="204"/>
        </w:trPr>
        <w:tc>
          <w:tcPr>
            <w:tcW w:w="51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2"/>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5"/>
                <w:szCs w:val="15"/>
                <w:b w:val="1"/>
                <w:bCs w:val="1"/>
                <w:color w:val="auto"/>
                <w:w w:val="89"/>
              </w:rPr>
              <w:t>Gains (Losses)</w:t>
            </w:r>
          </w:p>
        </w:tc>
        <w:tc>
          <w:tcPr>
            <w:tcW w:w="3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Short-term corporate bonds</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920" w:type="dxa"/>
            <w:vAlign w:val="bottom"/>
            <w:gridSpan w:val="2"/>
            <w:shd w:val="clear" w:color="auto" w:fill="CCEEFF"/>
          </w:tcPr>
          <w:p>
            <w:pPr>
              <w:ind w:left="15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14,420</w:t>
            </w:r>
          </w:p>
        </w:tc>
        <w:tc>
          <w:tcPr>
            <w:tcW w:w="0" w:type="dxa"/>
            <w:vAlign w:val="bottom"/>
          </w:tcPr>
          <w:p>
            <w:pPr>
              <w:spacing w:after="0"/>
              <w:rPr>
                <w:sz w:val="1"/>
                <w:szCs w:val="1"/>
                <w:color w:val="auto"/>
              </w:rPr>
            </w:pPr>
          </w:p>
        </w:tc>
      </w:tr>
      <w:tr>
        <w:trPr>
          <w:trHeight w:val="218"/>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Long-term corporate bonds</w:t>
            </w:r>
          </w:p>
        </w:tc>
        <w:tc>
          <w:tcPr>
            <w:tcW w:w="2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4,620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ind w:left="158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4,620</w:t>
            </w:r>
          </w:p>
        </w:tc>
        <w:tc>
          <w:tcPr>
            <w:tcW w:w="0" w:type="dxa"/>
            <w:vAlign w:val="bottom"/>
          </w:tcPr>
          <w:p>
            <w:pPr>
              <w:spacing w:after="0"/>
              <w:rPr>
                <w:sz w:val="1"/>
                <w:szCs w:val="1"/>
                <w:color w:val="auto"/>
              </w:rPr>
            </w:pPr>
          </w:p>
        </w:tc>
      </w:tr>
      <w:tr>
        <w:trPr>
          <w:trHeight w:val="233"/>
        </w:trPr>
        <w:tc>
          <w:tcPr>
            <w:tcW w:w="51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Total investment securities</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19,040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920" w:type="dxa"/>
            <w:vAlign w:val="bottom"/>
            <w:gridSpan w:val="2"/>
            <w:shd w:val="clear" w:color="auto" w:fill="CCEEFF"/>
          </w:tcPr>
          <w:p>
            <w:pPr>
              <w:ind w:left="15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19,040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Investments in Non-Marketable Equity Securities</w:t>
      </w:r>
    </w:p>
    <w:p>
      <w:pPr>
        <w:spacing w:after="0" w:line="243" w:lineRule="exact"/>
        <w:rPr>
          <w:sz w:val="20"/>
          <w:szCs w:val="20"/>
          <w:color w:val="auto"/>
        </w:rPr>
      </w:pPr>
    </w:p>
    <w:p>
      <w:pPr>
        <w:ind w:firstLine="619"/>
        <w:spacing w:after="0" w:line="262" w:lineRule="auto"/>
        <w:rPr>
          <w:sz w:val="20"/>
          <w:szCs w:val="20"/>
          <w:color w:val="auto"/>
        </w:rPr>
      </w:pPr>
      <w:r>
        <w:rPr>
          <w:rFonts w:ascii="Arial" w:cs="Arial" w:eastAsia="Arial" w:hAnsi="Arial"/>
          <w:sz w:val="17"/>
          <w:szCs w:val="17"/>
          <w:color w:val="auto"/>
        </w:rPr>
        <w:t>During the third quarter of 2021, we acquired approximately a 20.0% non-marketable equity interest in a nonpublic company and entered into a three-year distribution agreement where we have the exclusive rights to market, sell and distribute the company's products in exchange for a cash payment of $3.3 million. In addition, we were granted an exclusive license for all of the seller's intellectual property. At the expiration of the distribution agreement we have the right but not the obligation to acquire the remaining interest in the business.</w:t>
      </w:r>
    </w:p>
    <w:p>
      <w:pPr>
        <w:spacing w:after="0" w:line="204" w:lineRule="exact"/>
        <w:rPr>
          <w:sz w:val="20"/>
          <w:szCs w:val="20"/>
          <w:color w:val="auto"/>
        </w:rPr>
      </w:pPr>
    </w:p>
    <w:p>
      <w:pPr>
        <w:ind w:right="220" w:firstLine="619"/>
        <w:spacing w:after="0" w:line="295" w:lineRule="auto"/>
        <w:rPr>
          <w:sz w:val="20"/>
          <w:szCs w:val="20"/>
          <w:color w:val="auto"/>
        </w:rPr>
      </w:pPr>
      <w:r>
        <w:rPr>
          <w:rFonts w:ascii="Arial" w:cs="Arial" w:eastAsia="Arial" w:hAnsi="Arial"/>
          <w:sz w:val="15"/>
          <w:szCs w:val="15"/>
          <w:color w:val="auto"/>
        </w:rPr>
        <w:t>We apply the equity method of accounting for investments when we determine we have a significant influence, but not a controlling interest in the investee. We determine whether we have significant influence by considering key factors such as ownership interest, representation on the board of directors, participation in policy making decisions, business relationship and material intra-entity transactions, among other factors. Our equity method investment is reported at cost and adjusted each period for our share of the investee's income or (loss) and dividend paid, if any. We eliminate any intra-entity profits to the extent of our beneficial interest. We record our share of the investee's income or (loss) on a one quarter lag. We report our proportionate share of the investee's income or (loss) resulting from this investment in other income, net in our condensed consolidated statements of operations. The carrying value of our equity method investment is reported in other assets on our condensed consolidated balance sheets (see Note 11: Prepaid Expenses and Other Current Assets and Other Assets). We assess our equity method investments for impairment on an annual basis or whenever events or circumstances indicate that the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316"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carrying value of the investment may not be recoverable. Our recorded share of the investee's loss was not material for the period ended March 31, 2022. We did not receive any dividend distributions from this investment during the period ended March 31, 2022.</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non-marketable equity method investment consists of the following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5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As of</w:t>
            </w:r>
          </w:p>
        </w:tc>
        <w:tc>
          <w:tcPr>
            <w:tcW w:w="16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2"/>
          </w:tcPr>
          <w:p>
            <w:pPr>
              <w:ind w:left="140"/>
              <w:spacing w:after="0"/>
              <w:rPr>
                <w:sz w:val="20"/>
                <w:szCs w:val="20"/>
                <w:color w:val="auto"/>
              </w:rPr>
            </w:pPr>
            <w:r>
              <w:rPr>
                <w:rFonts w:ascii="Arial" w:cs="Arial" w:eastAsia="Arial" w:hAnsi="Arial"/>
                <w:sz w:val="15"/>
                <w:szCs w:val="15"/>
                <w:b w:val="1"/>
                <w:bCs w:val="1"/>
                <w:color w:val="auto"/>
              </w:rPr>
              <w:t>March 31, 2022</w:t>
            </w:r>
          </w:p>
        </w:tc>
        <w:tc>
          <w:tcPr>
            <w:tcW w:w="180" w:type="dxa"/>
            <w:vAlign w:val="bottom"/>
          </w:tcPr>
          <w:p>
            <w:pPr>
              <w:spacing w:after="0"/>
              <w:rPr>
                <w:sz w:val="17"/>
                <w:szCs w:val="17"/>
                <w:color w:val="auto"/>
              </w:rPr>
            </w:pPr>
          </w:p>
        </w:tc>
        <w:tc>
          <w:tcPr>
            <w:tcW w:w="1600" w:type="dxa"/>
            <w:vAlign w:val="bottom"/>
          </w:tcPr>
          <w:p>
            <w:pPr>
              <w:jc w:val="right"/>
              <w:ind w:right="175"/>
              <w:spacing w:after="0"/>
              <w:rPr>
                <w:sz w:val="20"/>
                <w:szCs w:val="20"/>
                <w:color w:val="auto"/>
              </w:rPr>
            </w:pPr>
            <w:r>
              <w:rPr>
                <w:rFonts w:ascii="Arial" w:cs="Arial" w:eastAsia="Arial" w:hAnsi="Arial"/>
                <w:sz w:val="15"/>
                <w:szCs w:val="15"/>
                <w:b w:val="1"/>
                <w:bCs w:val="1"/>
                <w:color w:val="auto"/>
                <w:w w:val="97"/>
              </w:rPr>
              <w:t>December 31, 2021</w:t>
            </w:r>
          </w:p>
        </w:tc>
        <w:tc>
          <w:tcPr>
            <w:tcW w:w="0" w:type="dxa"/>
            <w:vAlign w:val="bottom"/>
          </w:tcPr>
          <w:p>
            <w:pPr>
              <w:spacing w:after="0"/>
              <w:rPr>
                <w:sz w:val="1"/>
                <w:szCs w:val="1"/>
                <w:color w:val="auto"/>
              </w:rPr>
            </w:pPr>
          </w:p>
        </w:tc>
      </w:tr>
      <w:tr>
        <w:trPr>
          <w:trHeight w:val="214"/>
        </w:trPr>
        <w:tc>
          <w:tcPr>
            <w:tcW w:w="7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Equity method investment</w:t>
            </w: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3,209</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3,238</w:t>
            </w:r>
          </w:p>
        </w:tc>
        <w:tc>
          <w:tcPr>
            <w:tcW w:w="0" w:type="dxa"/>
            <w:vAlign w:val="bottom"/>
          </w:tcPr>
          <w:p>
            <w:pPr>
              <w:spacing w:after="0"/>
              <w:rPr>
                <w:sz w:val="1"/>
                <w:szCs w:val="1"/>
                <w:color w:val="auto"/>
              </w:rPr>
            </w:pPr>
          </w:p>
        </w:tc>
      </w:tr>
      <w:tr>
        <w:trPr>
          <w:trHeight w:val="733"/>
        </w:trPr>
        <w:tc>
          <w:tcPr>
            <w:tcW w:w="7560" w:type="dxa"/>
            <w:vAlign w:val="bottom"/>
          </w:tcPr>
          <w:p>
            <w:pPr>
              <w:spacing w:after="0"/>
              <w:rPr>
                <w:sz w:val="20"/>
                <w:szCs w:val="20"/>
                <w:color w:val="auto"/>
              </w:rPr>
            </w:pPr>
            <w:r>
              <w:rPr>
                <w:rFonts w:ascii="Arial" w:cs="Arial" w:eastAsia="Arial" w:hAnsi="Arial"/>
                <w:sz w:val="17"/>
                <w:szCs w:val="17"/>
                <w:b w:val="1"/>
                <w:bCs w:val="1"/>
                <w:color w:val="auto"/>
              </w:rPr>
              <w:t>Note 11:   Prepaid Expenses and Other Current Assets and Other Assets</w:t>
            </w: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7560" w:type="dxa"/>
            <w:vAlign w:val="bottom"/>
          </w:tcPr>
          <w:p>
            <w:pPr>
              <w:ind w:left="620"/>
              <w:spacing w:after="0"/>
              <w:rPr>
                <w:sz w:val="20"/>
                <w:szCs w:val="20"/>
                <w:color w:val="auto"/>
              </w:rPr>
            </w:pPr>
            <w:r>
              <w:rPr>
                <w:rFonts w:ascii="Arial" w:cs="Arial" w:eastAsia="Arial" w:hAnsi="Arial"/>
                <w:sz w:val="17"/>
                <w:szCs w:val="17"/>
                <w:color w:val="auto"/>
              </w:rPr>
              <w:t>Prepaid expenses and other current assets consist of the following (in thousands):</w:t>
            </w: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75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As of</w:t>
            </w: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7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2"/>
          </w:tcPr>
          <w:p>
            <w:pPr>
              <w:ind w:left="140"/>
              <w:spacing w:after="0"/>
              <w:rPr>
                <w:sz w:val="20"/>
                <w:szCs w:val="20"/>
                <w:color w:val="auto"/>
              </w:rPr>
            </w:pPr>
            <w:r>
              <w:rPr>
                <w:rFonts w:ascii="Arial" w:cs="Arial" w:eastAsia="Arial" w:hAnsi="Arial"/>
                <w:sz w:val="15"/>
                <w:szCs w:val="15"/>
                <w:b w:val="1"/>
                <w:bCs w:val="1"/>
                <w:color w:val="auto"/>
              </w:rPr>
              <w:t>March 31, 2022</w:t>
            </w:r>
          </w:p>
        </w:tc>
        <w:tc>
          <w:tcPr>
            <w:tcW w:w="180" w:type="dxa"/>
            <w:vAlign w:val="bottom"/>
          </w:tcPr>
          <w:p>
            <w:pPr>
              <w:spacing w:after="0"/>
              <w:rPr>
                <w:sz w:val="17"/>
                <w:szCs w:val="17"/>
                <w:color w:val="auto"/>
              </w:rPr>
            </w:pPr>
          </w:p>
        </w:tc>
        <w:tc>
          <w:tcPr>
            <w:tcW w:w="1600" w:type="dxa"/>
            <w:vAlign w:val="bottom"/>
          </w:tcPr>
          <w:p>
            <w:pPr>
              <w:jc w:val="right"/>
              <w:ind w:right="175"/>
              <w:spacing w:after="0"/>
              <w:rPr>
                <w:sz w:val="20"/>
                <w:szCs w:val="20"/>
                <w:color w:val="auto"/>
              </w:rPr>
            </w:pPr>
            <w:r>
              <w:rPr>
                <w:rFonts w:ascii="Arial" w:cs="Arial" w:eastAsia="Arial" w:hAnsi="Arial"/>
                <w:sz w:val="15"/>
                <w:szCs w:val="15"/>
                <w:b w:val="1"/>
                <w:bCs w:val="1"/>
                <w:color w:val="auto"/>
                <w:w w:val="97"/>
              </w:rPr>
              <w:t>December 31, 2021</w:t>
            </w:r>
          </w:p>
        </w:tc>
        <w:tc>
          <w:tcPr>
            <w:tcW w:w="0" w:type="dxa"/>
            <w:vAlign w:val="bottom"/>
          </w:tcPr>
          <w:p>
            <w:pPr>
              <w:spacing w:after="0"/>
              <w:rPr>
                <w:sz w:val="1"/>
                <w:szCs w:val="1"/>
                <w:color w:val="auto"/>
              </w:rPr>
            </w:pPr>
          </w:p>
        </w:tc>
      </w:tr>
      <w:tr>
        <w:trPr>
          <w:trHeight w:val="214"/>
        </w:trPr>
        <w:tc>
          <w:tcPr>
            <w:tcW w:w="7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prepaid expenses and receivables</w:t>
            </w: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29,647</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14,763</w:t>
            </w:r>
          </w:p>
        </w:tc>
        <w:tc>
          <w:tcPr>
            <w:tcW w:w="0" w:type="dxa"/>
            <w:vAlign w:val="bottom"/>
          </w:tcPr>
          <w:p>
            <w:pPr>
              <w:spacing w:after="0"/>
              <w:rPr>
                <w:sz w:val="1"/>
                <w:szCs w:val="1"/>
                <w:color w:val="auto"/>
              </w:rPr>
            </w:pPr>
          </w:p>
        </w:tc>
      </w:tr>
      <w:tr>
        <w:trPr>
          <w:trHeight w:val="218"/>
        </w:trPr>
        <w:tc>
          <w:tcPr>
            <w:tcW w:w="7560" w:type="dxa"/>
            <w:vAlign w:val="bottom"/>
          </w:tcPr>
          <w:p>
            <w:pPr>
              <w:ind w:left="20"/>
              <w:spacing w:after="0"/>
              <w:rPr>
                <w:sz w:val="20"/>
                <w:szCs w:val="20"/>
                <w:color w:val="auto"/>
              </w:rPr>
            </w:pPr>
            <w:r>
              <w:rPr>
                <w:rFonts w:ascii="Arial" w:cs="Arial" w:eastAsia="Arial" w:hAnsi="Arial"/>
                <w:sz w:val="17"/>
                <w:szCs w:val="17"/>
                <w:color w:val="auto"/>
              </w:rPr>
              <w:t>Deferred costs</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9,795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12,746</w:t>
            </w:r>
          </w:p>
        </w:tc>
        <w:tc>
          <w:tcPr>
            <w:tcW w:w="0" w:type="dxa"/>
            <w:vAlign w:val="bottom"/>
          </w:tcPr>
          <w:p>
            <w:pPr>
              <w:spacing w:after="0"/>
              <w:rPr>
                <w:sz w:val="1"/>
                <w:szCs w:val="1"/>
                <w:color w:val="auto"/>
              </w:rPr>
            </w:pPr>
          </w:p>
        </w:tc>
      </w:tr>
      <w:tr>
        <w:trPr>
          <w:trHeight w:val="220"/>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Prepaid insurance and property taxes</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19,716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6,310</w:t>
            </w:r>
          </w:p>
        </w:tc>
        <w:tc>
          <w:tcPr>
            <w:tcW w:w="0" w:type="dxa"/>
            <w:vAlign w:val="bottom"/>
          </w:tcPr>
          <w:p>
            <w:pPr>
              <w:spacing w:after="0"/>
              <w:rPr>
                <w:sz w:val="1"/>
                <w:szCs w:val="1"/>
                <w:color w:val="auto"/>
              </w:rPr>
            </w:pPr>
          </w:p>
        </w:tc>
      </w:tr>
      <w:tr>
        <w:trPr>
          <w:trHeight w:val="218"/>
        </w:trPr>
        <w:tc>
          <w:tcPr>
            <w:tcW w:w="7560" w:type="dxa"/>
            <w:vAlign w:val="bottom"/>
          </w:tcPr>
          <w:p>
            <w:pPr>
              <w:ind w:left="20"/>
              <w:spacing w:after="0"/>
              <w:rPr>
                <w:sz w:val="20"/>
                <w:szCs w:val="20"/>
                <w:color w:val="auto"/>
              </w:rPr>
            </w:pPr>
            <w:r>
              <w:rPr>
                <w:rFonts w:ascii="Arial" w:cs="Arial" w:eastAsia="Arial" w:hAnsi="Arial"/>
                <w:sz w:val="17"/>
                <w:szCs w:val="17"/>
                <w:color w:val="auto"/>
              </w:rPr>
              <w:t>VAT/GST receivable</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3,981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4,156</w:t>
            </w:r>
          </w:p>
        </w:tc>
        <w:tc>
          <w:tcPr>
            <w:tcW w:w="0" w:type="dxa"/>
            <w:vAlign w:val="bottom"/>
          </w:tcPr>
          <w:p>
            <w:pPr>
              <w:spacing w:after="0"/>
              <w:rPr>
                <w:sz w:val="1"/>
                <w:szCs w:val="1"/>
                <w:color w:val="auto"/>
              </w:rPr>
            </w:pPr>
          </w:p>
        </w:tc>
      </w:tr>
      <w:tr>
        <w:trPr>
          <w:trHeight w:val="220"/>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tax charge</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4,241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4,241</w:t>
            </w:r>
          </w:p>
        </w:tc>
        <w:tc>
          <w:tcPr>
            <w:tcW w:w="0" w:type="dxa"/>
            <w:vAlign w:val="bottom"/>
          </w:tcPr>
          <w:p>
            <w:pPr>
              <w:spacing w:after="0"/>
              <w:rPr>
                <w:sz w:val="1"/>
                <w:szCs w:val="1"/>
                <w:color w:val="auto"/>
              </w:rPr>
            </w:pPr>
          </w:p>
        </w:tc>
      </w:tr>
      <w:tr>
        <w:trPr>
          <w:trHeight w:val="218"/>
        </w:trPr>
        <w:tc>
          <w:tcPr>
            <w:tcW w:w="7560" w:type="dxa"/>
            <w:vAlign w:val="bottom"/>
          </w:tcPr>
          <w:p>
            <w:pPr>
              <w:ind w:left="20"/>
              <w:spacing w:after="0"/>
              <w:rPr>
                <w:sz w:val="20"/>
                <w:szCs w:val="20"/>
                <w:color w:val="auto"/>
              </w:rPr>
            </w:pPr>
            <w:r>
              <w:rPr>
                <w:rFonts w:ascii="Arial" w:cs="Arial" w:eastAsia="Arial" w:hAnsi="Arial"/>
                <w:sz w:val="17"/>
                <w:szCs w:val="17"/>
                <w:color w:val="auto"/>
              </w:rPr>
              <w:t>Foreign exchange contracts</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7,629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1,061</w:t>
            </w:r>
          </w:p>
        </w:tc>
        <w:tc>
          <w:tcPr>
            <w:tcW w:w="0" w:type="dxa"/>
            <w:vAlign w:val="bottom"/>
          </w:tcPr>
          <w:p>
            <w:pPr>
              <w:spacing w:after="0"/>
              <w:rPr>
                <w:sz w:val="1"/>
                <w:szCs w:val="1"/>
                <w:color w:val="auto"/>
              </w:rPr>
            </w:pPr>
          </w:p>
        </w:tc>
      </w:tr>
      <w:tr>
        <w:trPr>
          <w:trHeight w:val="220"/>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Deposits</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1,343</w:t>
            </w:r>
          </w:p>
        </w:tc>
        <w:tc>
          <w:tcPr>
            <w:tcW w:w="0" w:type="dxa"/>
            <w:vAlign w:val="bottom"/>
          </w:tcPr>
          <w:p>
            <w:pPr>
              <w:spacing w:after="0"/>
              <w:rPr>
                <w:sz w:val="1"/>
                <w:szCs w:val="1"/>
                <w:color w:val="auto"/>
              </w:rPr>
            </w:pPr>
          </w:p>
        </w:tc>
      </w:tr>
      <w:tr>
        <w:trPr>
          <w:trHeight w:val="218"/>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3,919</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2,227</w:t>
            </w:r>
          </w:p>
        </w:tc>
        <w:tc>
          <w:tcPr>
            <w:tcW w:w="0" w:type="dxa"/>
            <w:vAlign w:val="bottom"/>
          </w:tcPr>
          <w:p>
            <w:pPr>
              <w:spacing w:after="0"/>
              <w:rPr>
                <w:sz w:val="1"/>
                <w:szCs w:val="1"/>
                <w:color w:val="auto"/>
              </w:rPr>
            </w:pPr>
          </w:p>
        </w:tc>
      </w:tr>
      <w:tr>
        <w:trPr>
          <w:trHeight w:val="237"/>
        </w:trPr>
        <w:tc>
          <w:tcPr>
            <w:tcW w:w="75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80,273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46,847</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bottom w:val="single" w:sz="8" w:color="CCEEFF"/>
            </w:tcBorders>
            <w:vMerge w:val="restart"/>
          </w:tcPr>
          <w:p>
            <w:pPr>
              <w:ind w:left="620"/>
              <w:spacing w:after="0"/>
              <w:rPr>
                <w:sz w:val="20"/>
                <w:szCs w:val="20"/>
                <w:color w:val="auto"/>
              </w:rPr>
            </w:pPr>
            <w:r>
              <w:rPr>
                <w:rFonts w:ascii="Arial" w:cs="Arial" w:eastAsia="Arial" w:hAnsi="Arial"/>
                <w:sz w:val="17"/>
                <w:szCs w:val="17"/>
                <w:color w:val="auto"/>
              </w:rPr>
              <w:t>Other assets consist of the following (in thousands):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7"/>
        </w:trPr>
        <w:tc>
          <w:tcPr>
            <w:tcW w:w="75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75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As of</w:t>
            </w: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7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2"/>
          </w:tcPr>
          <w:p>
            <w:pPr>
              <w:ind w:left="140"/>
              <w:spacing w:after="0"/>
              <w:rPr>
                <w:sz w:val="20"/>
                <w:szCs w:val="20"/>
                <w:color w:val="auto"/>
              </w:rPr>
            </w:pPr>
            <w:r>
              <w:rPr>
                <w:rFonts w:ascii="Arial" w:cs="Arial" w:eastAsia="Arial" w:hAnsi="Arial"/>
                <w:sz w:val="15"/>
                <w:szCs w:val="15"/>
                <w:b w:val="1"/>
                <w:bCs w:val="1"/>
                <w:color w:val="auto"/>
              </w:rPr>
              <w:t>March 31, 2022</w:t>
            </w:r>
          </w:p>
        </w:tc>
        <w:tc>
          <w:tcPr>
            <w:tcW w:w="180" w:type="dxa"/>
            <w:vAlign w:val="bottom"/>
          </w:tcPr>
          <w:p>
            <w:pPr>
              <w:spacing w:after="0"/>
              <w:rPr>
                <w:sz w:val="17"/>
                <w:szCs w:val="17"/>
                <w:color w:val="auto"/>
              </w:rPr>
            </w:pPr>
          </w:p>
        </w:tc>
        <w:tc>
          <w:tcPr>
            <w:tcW w:w="1600" w:type="dxa"/>
            <w:vAlign w:val="bottom"/>
          </w:tcPr>
          <w:p>
            <w:pPr>
              <w:jc w:val="right"/>
              <w:ind w:right="175"/>
              <w:spacing w:after="0"/>
              <w:rPr>
                <w:sz w:val="20"/>
                <w:szCs w:val="20"/>
                <w:color w:val="auto"/>
              </w:rPr>
            </w:pPr>
            <w:r>
              <w:rPr>
                <w:rFonts w:ascii="Arial" w:cs="Arial" w:eastAsia="Arial" w:hAnsi="Arial"/>
                <w:sz w:val="15"/>
                <w:szCs w:val="15"/>
                <w:b w:val="1"/>
                <w:bCs w:val="1"/>
                <w:color w:val="auto"/>
                <w:w w:val="97"/>
              </w:rPr>
              <w:t>December 31, 2021</w:t>
            </w:r>
          </w:p>
        </w:tc>
        <w:tc>
          <w:tcPr>
            <w:tcW w:w="0" w:type="dxa"/>
            <w:vAlign w:val="bottom"/>
          </w:tcPr>
          <w:p>
            <w:pPr>
              <w:spacing w:after="0"/>
              <w:rPr>
                <w:sz w:val="1"/>
                <w:szCs w:val="1"/>
                <w:color w:val="auto"/>
              </w:rPr>
            </w:pPr>
          </w:p>
        </w:tc>
      </w:tr>
      <w:tr>
        <w:trPr>
          <w:trHeight w:val="214"/>
        </w:trPr>
        <w:tc>
          <w:tcPr>
            <w:tcW w:w="7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Pump lease receivables</w:t>
            </w: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27,336</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25,941</w:t>
            </w:r>
          </w:p>
        </w:tc>
        <w:tc>
          <w:tcPr>
            <w:tcW w:w="0" w:type="dxa"/>
            <w:vAlign w:val="bottom"/>
          </w:tcPr>
          <w:p>
            <w:pPr>
              <w:spacing w:after="0"/>
              <w:rPr>
                <w:sz w:val="1"/>
                <w:szCs w:val="1"/>
                <w:color w:val="auto"/>
              </w:rPr>
            </w:pPr>
          </w:p>
        </w:tc>
      </w:tr>
      <w:tr>
        <w:trPr>
          <w:trHeight w:val="218"/>
        </w:trPr>
        <w:tc>
          <w:tcPr>
            <w:tcW w:w="7560" w:type="dxa"/>
            <w:vAlign w:val="bottom"/>
          </w:tcPr>
          <w:p>
            <w:pPr>
              <w:ind w:left="20"/>
              <w:spacing w:after="0"/>
              <w:rPr>
                <w:sz w:val="20"/>
                <w:szCs w:val="20"/>
                <w:color w:val="auto"/>
              </w:rPr>
            </w:pPr>
            <w:r>
              <w:rPr>
                <w:rFonts w:ascii="Arial" w:cs="Arial" w:eastAsia="Arial" w:hAnsi="Arial"/>
                <w:sz w:val="17"/>
                <w:szCs w:val="17"/>
                <w:color w:val="auto"/>
              </w:rPr>
              <w:t>Spare parts</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32,031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28,538</w:t>
            </w:r>
          </w:p>
        </w:tc>
        <w:tc>
          <w:tcPr>
            <w:tcW w:w="0" w:type="dxa"/>
            <w:vAlign w:val="bottom"/>
          </w:tcPr>
          <w:p>
            <w:pPr>
              <w:spacing w:after="0"/>
              <w:rPr>
                <w:sz w:val="1"/>
                <w:szCs w:val="1"/>
                <w:color w:val="auto"/>
              </w:rPr>
            </w:pPr>
          </w:p>
        </w:tc>
      </w:tr>
      <w:tr>
        <w:trPr>
          <w:trHeight w:val="220"/>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Equity method investments</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3,238</w:t>
            </w:r>
          </w:p>
        </w:tc>
        <w:tc>
          <w:tcPr>
            <w:tcW w:w="0" w:type="dxa"/>
            <w:vAlign w:val="bottom"/>
          </w:tcPr>
          <w:p>
            <w:pPr>
              <w:spacing w:after="0"/>
              <w:rPr>
                <w:sz w:val="1"/>
                <w:szCs w:val="1"/>
                <w:color w:val="auto"/>
              </w:rPr>
            </w:pPr>
          </w:p>
        </w:tc>
      </w:tr>
      <w:tr>
        <w:trPr>
          <w:trHeight w:val="218"/>
        </w:trPr>
        <w:tc>
          <w:tcPr>
            <w:tcW w:w="7560" w:type="dxa"/>
            <w:vAlign w:val="bottom"/>
          </w:tcPr>
          <w:p>
            <w:pPr>
              <w:ind w:left="20"/>
              <w:spacing w:after="0"/>
              <w:rPr>
                <w:sz w:val="20"/>
                <w:szCs w:val="20"/>
                <w:color w:val="auto"/>
              </w:rPr>
            </w:pPr>
            <w:r>
              <w:rPr>
                <w:rFonts w:ascii="Arial" w:cs="Arial" w:eastAsia="Arial" w:hAnsi="Arial"/>
                <w:sz w:val="17"/>
                <w:szCs w:val="17"/>
                <w:color w:val="auto"/>
              </w:rPr>
              <w:t>Deferred debt issuance costs</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6,496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2,827</w:t>
            </w:r>
          </w:p>
        </w:tc>
        <w:tc>
          <w:tcPr>
            <w:tcW w:w="0" w:type="dxa"/>
            <w:vAlign w:val="bottom"/>
          </w:tcPr>
          <w:p>
            <w:pPr>
              <w:spacing w:after="0"/>
              <w:rPr>
                <w:sz w:val="1"/>
                <w:szCs w:val="1"/>
                <w:color w:val="auto"/>
              </w:rPr>
            </w:pPr>
          </w:p>
        </w:tc>
      </w:tr>
      <w:tr>
        <w:trPr>
          <w:trHeight w:val="220"/>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Finance lease right-of-use assets</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2,673</w:t>
            </w:r>
          </w:p>
        </w:tc>
        <w:tc>
          <w:tcPr>
            <w:tcW w:w="0" w:type="dxa"/>
            <w:vAlign w:val="bottom"/>
          </w:tcPr>
          <w:p>
            <w:pPr>
              <w:spacing w:after="0"/>
              <w:rPr>
                <w:sz w:val="1"/>
                <w:szCs w:val="1"/>
                <w:color w:val="auto"/>
              </w:rPr>
            </w:pPr>
          </w:p>
        </w:tc>
      </w:tr>
      <w:tr>
        <w:trPr>
          <w:trHeight w:val="218"/>
        </w:trPr>
        <w:tc>
          <w:tcPr>
            <w:tcW w:w="7560" w:type="dxa"/>
            <w:vAlign w:val="bottom"/>
          </w:tcPr>
          <w:p>
            <w:pPr>
              <w:ind w:left="20"/>
              <w:spacing w:after="0"/>
              <w:rPr>
                <w:sz w:val="20"/>
                <w:szCs w:val="20"/>
                <w:color w:val="auto"/>
              </w:rPr>
            </w:pPr>
            <w:r>
              <w:rPr>
                <w:rFonts w:ascii="Arial" w:cs="Arial" w:eastAsia="Arial" w:hAnsi="Arial"/>
                <w:sz w:val="17"/>
                <w:szCs w:val="17"/>
                <w:color w:val="auto"/>
              </w:rPr>
              <w:t>Interest rate contracts</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28,570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Foreign exchange contracts</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4,315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526</w:t>
            </w:r>
          </w:p>
        </w:tc>
        <w:tc>
          <w:tcPr>
            <w:tcW w:w="0" w:type="dxa"/>
            <w:vAlign w:val="bottom"/>
          </w:tcPr>
          <w:p>
            <w:pPr>
              <w:spacing w:after="0"/>
              <w:rPr>
                <w:sz w:val="1"/>
                <w:szCs w:val="1"/>
                <w:color w:val="auto"/>
              </w:rPr>
            </w:pPr>
          </w:p>
        </w:tc>
      </w:tr>
      <w:tr>
        <w:trPr>
          <w:trHeight w:val="237"/>
        </w:trPr>
        <w:tc>
          <w:tcPr>
            <w:tcW w:w="75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104,617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63,743</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 Inventories</w:t>
      </w:r>
    </w:p>
    <w:p>
      <w:pPr>
        <w:spacing w:after="0" w:line="223" w:lineRule="exact"/>
        <w:rPr>
          <w:sz w:val="20"/>
          <w:szCs w:val="20"/>
          <w:color w:val="auto"/>
        </w:rPr>
      </w:pPr>
    </w:p>
    <w:p>
      <w:pPr>
        <w:jc w:val="both"/>
        <w:ind w:right="80" w:firstLine="172"/>
        <w:spacing w:after="0" w:line="279" w:lineRule="auto"/>
        <w:rPr>
          <w:sz w:val="20"/>
          <w:szCs w:val="20"/>
          <w:color w:val="auto"/>
        </w:rPr>
      </w:pPr>
      <w:r>
        <w:rPr>
          <w:rFonts w:ascii="Arial" w:cs="Arial" w:eastAsia="Arial" w:hAnsi="Arial"/>
          <w:sz w:val="17"/>
          <w:szCs w:val="17"/>
          <w:color w:val="auto"/>
        </w:rPr>
        <w:t>Inventories are stated at the lower of cost or net realizable value with cost determined using the first-in, first-out method. Inventory costs include material, labor and overhead related to the manufacturing of our products.</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Inventories consist of the following (in thousands):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5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As of</w:t>
            </w:r>
          </w:p>
        </w:tc>
        <w:tc>
          <w:tcPr>
            <w:tcW w:w="1600" w:type="dxa"/>
            <w:vAlign w:val="bottom"/>
            <w:tcBorders>
              <w:bottom w:val="single" w:sz="8" w:color="auto"/>
            </w:tcBorders>
          </w:tcPr>
          <w:p>
            <w:pPr>
              <w:spacing w:after="0"/>
              <w:rPr>
                <w:sz w:val="17"/>
                <w:szCs w:val="17"/>
                <w:color w:val="auto"/>
              </w:rPr>
            </w:pPr>
          </w:p>
        </w:tc>
      </w:tr>
      <w:tr>
        <w:trPr>
          <w:trHeight w:val="200"/>
        </w:trPr>
        <w:tc>
          <w:tcPr>
            <w:tcW w:w="7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2"/>
          </w:tcPr>
          <w:p>
            <w:pPr>
              <w:ind w:left="140"/>
              <w:spacing w:after="0"/>
              <w:rPr>
                <w:sz w:val="20"/>
                <w:szCs w:val="20"/>
                <w:color w:val="auto"/>
              </w:rPr>
            </w:pPr>
            <w:r>
              <w:rPr>
                <w:rFonts w:ascii="Arial" w:cs="Arial" w:eastAsia="Arial" w:hAnsi="Arial"/>
                <w:sz w:val="15"/>
                <w:szCs w:val="15"/>
                <w:b w:val="1"/>
                <w:bCs w:val="1"/>
                <w:color w:val="auto"/>
              </w:rPr>
              <w:t>March 31, 2022</w:t>
            </w:r>
          </w:p>
        </w:tc>
        <w:tc>
          <w:tcPr>
            <w:tcW w:w="180" w:type="dxa"/>
            <w:vAlign w:val="bottom"/>
          </w:tcPr>
          <w:p>
            <w:pPr>
              <w:spacing w:after="0"/>
              <w:rPr>
                <w:sz w:val="17"/>
                <w:szCs w:val="17"/>
                <w:color w:val="auto"/>
              </w:rPr>
            </w:pPr>
          </w:p>
        </w:tc>
        <w:tc>
          <w:tcPr>
            <w:tcW w:w="1600" w:type="dxa"/>
            <w:vAlign w:val="bottom"/>
          </w:tcPr>
          <w:p>
            <w:pPr>
              <w:jc w:val="right"/>
              <w:ind w:right="176"/>
              <w:spacing w:after="0"/>
              <w:rPr>
                <w:sz w:val="20"/>
                <w:szCs w:val="20"/>
                <w:color w:val="auto"/>
              </w:rPr>
            </w:pPr>
            <w:r>
              <w:rPr>
                <w:rFonts w:ascii="Arial" w:cs="Arial" w:eastAsia="Arial" w:hAnsi="Arial"/>
                <w:sz w:val="15"/>
                <w:szCs w:val="15"/>
                <w:b w:val="1"/>
                <w:bCs w:val="1"/>
                <w:color w:val="auto"/>
                <w:w w:val="97"/>
              </w:rPr>
              <w:t>December 31, 2021</w:t>
            </w:r>
          </w:p>
        </w:tc>
      </w:tr>
      <w:tr>
        <w:trPr>
          <w:trHeight w:val="214"/>
        </w:trPr>
        <w:tc>
          <w:tcPr>
            <w:tcW w:w="7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Raw materials</w:t>
            </w: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232,451</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135,528</w:t>
            </w:r>
          </w:p>
        </w:tc>
      </w:tr>
      <w:tr>
        <w:trPr>
          <w:trHeight w:val="218"/>
        </w:trPr>
        <w:tc>
          <w:tcPr>
            <w:tcW w:w="7560" w:type="dxa"/>
            <w:vAlign w:val="bottom"/>
          </w:tcPr>
          <w:p>
            <w:pPr>
              <w:ind w:left="20"/>
              <w:spacing w:after="0"/>
              <w:rPr>
                <w:sz w:val="20"/>
                <w:szCs w:val="20"/>
                <w:color w:val="auto"/>
              </w:rPr>
            </w:pPr>
            <w:r>
              <w:rPr>
                <w:rFonts w:ascii="Arial" w:cs="Arial" w:eastAsia="Arial" w:hAnsi="Arial"/>
                <w:sz w:val="17"/>
                <w:szCs w:val="17"/>
                <w:color w:val="auto"/>
              </w:rPr>
              <w:t>Work in process</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74,427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36,490</w:t>
            </w:r>
          </w:p>
        </w:tc>
      </w:tr>
      <w:tr>
        <w:trPr>
          <w:trHeight w:val="219"/>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Finished goods</w:t>
            </w:r>
          </w:p>
        </w:tc>
        <w:tc>
          <w:tcPr>
            <w:tcW w:w="2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229,436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118,217</w:t>
            </w:r>
          </w:p>
        </w:tc>
      </w:tr>
      <w:tr>
        <w:trPr>
          <w:trHeight w:val="213"/>
        </w:trPr>
        <w:tc>
          <w:tcPr>
            <w:tcW w:w="7560" w:type="dxa"/>
            <w:vAlign w:val="bottom"/>
          </w:tcPr>
          <w:p>
            <w:pPr>
              <w:ind w:left="140"/>
              <w:spacing w:after="0"/>
              <w:rPr>
                <w:sz w:val="20"/>
                <w:szCs w:val="20"/>
                <w:color w:val="auto"/>
              </w:rPr>
            </w:pPr>
            <w:r>
              <w:rPr>
                <w:rFonts w:ascii="Arial" w:cs="Arial" w:eastAsia="Arial" w:hAnsi="Arial"/>
                <w:sz w:val="17"/>
                <w:szCs w:val="17"/>
                <w:color w:val="auto"/>
              </w:rPr>
              <w:t>Total inventories</w:t>
            </w: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536,314</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290,235</w:t>
            </w:r>
          </w:p>
        </w:tc>
      </w:tr>
      <w:tr>
        <w:trPr>
          <w:trHeight w:val="20"/>
        </w:trPr>
        <w:tc>
          <w:tcPr>
            <w:tcW w:w="7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ind w:right="540" w:firstLine="619"/>
        <w:spacing w:after="0" w:line="279" w:lineRule="auto"/>
        <w:rPr>
          <w:sz w:val="20"/>
          <w:szCs w:val="20"/>
          <w:color w:val="auto"/>
        </w:rPr>
      </w:pPr>
      <w:r>
        <w:rPr>
          <w:rFonts w:ascii="Arial" w:cs="Arial" w:eastAsia="Arial" w:hAnsi="Arial"/>
          <w:sz w:val="17"/>
          <w:szCs w:val="17"/>
          <w:color w:val="auto"/>
        </w:rPr>
        <w:t xml:space="preserve">During the quarter ended March 31, 2022, inventories increased significantly due to the acquisition of Smiths Medical. All acquired inventory was recorded at fair value on January 6, 2022 in accordance with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(see Note 3: Acquisitions).</w:t>
      </w:r>
    </w:p>
    <w:p>
      <w:pPr>
        <w:spacing w:after="0" w:line="158"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Note 13:</w:t>
      </w:r>
      <w:r>
        <w:rPr>
          <w:sz w:val="20"/>
          <w:szCs w:val="20"/>
          <w:color w:val="auto"/>
        </w:rPr>
        <w:tab/>
      </w:r>
      <w:r>
        <w:rPr>
          <w:rFonts w:ascii="Arial" w:cs="Arial" w:eastAsia="Arial" w:hAnsi="Arial"/>
          <w:sz w:val="15"/>
          <w:szCs w:val="15"/>
          <w:b w:val="1"/>
          <w:bCs w:val="1"/>
          <w:color w:val="auto"/>
        </w:rPr>
        <w:t>Property, Plant and Equipment</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Property, plant and equipment consists of the following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5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As of</w:t>
            </w:r>
          </w:p>
        </w:tc>
        <w:tc>
          <w:tcPr>
            <w:tcW w:w="1600" w:type="dxa"/>
            <w:vAlign w:val="bottom"/>
            <w:tcBorders>
              <w:bottom w:val="single" w:sz="8" w:color="auto"/>
            </w:tcBorders>
          </w:tcPr>
          <w:p>
            <w:pPr>
              <w:spacing w:after="0"/>
              <w:rPr>
                <w:sz w:val="17"/>
                <w:szCs w:val="17"/>
                <w:color w:val="auto"/>
              </w:rPr>
            </w:pPr>
          </w:p>
        </w:tc>
      </w:tr>
      <w:tr>
        <w:trPr>
          <w:trHeight w:val="200"/>
        </w:trPr>
        <w:tc>
          <w:tcPr>
            <w:tcW w:w="7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2"/>
          </w:tcPr>
          <w:p>
            <w:pPr>
              <w:ind w:left="140"/>
              <w:spacing w:after="0"/>
              <w:rPr>
                <w:sz w:val="20"/>
                <w:szCs w:val="20"/>
                <w:color w:val="auto"/>
              </w:rPr>
            </w:pPr>
            <w:r>
              <w:rPr>
                <w:rFonts w:ascii="Arial" w:cs="Arial" w:eastAsia="Arial" w:hAnsi="Arial"/>
                <w:sz w:val="15"/>
                <w:szCs w:val="15"/>
                <w:b w:val="1"/>
                <w:bCs w:val="1"/>
                <w:color w:val="auto"/>
              </w:rPr>
              <w:t>March 31, 2022</w:t>
            </w:r>
          </w:p>
        </w:tc>
        <w:tc>
          <w:tcPr>
            <w:tcW w:w="180" w:type="dxa"/>
            <w:vAlign w:val="bottom"/>
          </w:tcPr>
          <w:p>
            <w:pPr>
              <w:spacing w:after="0"/>
              <w:rPr>
                <w:sz w:val="17"/>
                <w:szCs w:val="17"/>
                <w:color w:val="auto"/>
              </w:rPr>
            </w:pPr>
          </w:p>
        </w:tc>
        <w:tc>
          <w:tcPr>
            <w:tcW w:w="1600" w:type="dxa"/>
            <w:vAlign w:val="bottom"/>
          </w:tcPr>
          <w:p>
            <w:pPr>
              <w:jc w:val="right"/>
              <w:ind w:right="175"/>
              <w:spacing w:after="0"/>
              <w:rPr>
                <w:sz w:val="20"/>
                <w:szCs w:val="20"/>
                <w:color w:val="auto"/>
              </w:rPr>
            </w:pPr>
            <w:r>
              <w:rPr>
                <w:rFonts w:ascii="Arial" w:cs="Arial" w:eastAsia="Arial" w:hAnsi="Arial"/>
                <w:sz w:val="15"/>
                <w:szCs w:val="15"/>
                <w:b w:val="1"/>
                <w:bCs w:val="1"/>
                <w:color w:val="auto"/>
                <w:w w:val="97"/>
              </w:rPr>
              <w:t>December 31, 2021</w:t>
            </w:r>
          </w:p>
        </w:tc>
      </w:tr>
      <w:tr>
        <w:trPr>
          <w:trHeight w:val="214"/>
        </w:trPr>
        <w:tc>
          <w:tcPr>
            <w:tcW w:w="7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Machinery and equipment</w:t>
            </w: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432,649</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321,078</w:t>
            </w:r>
          </w:p>
        </w:tc>
      </w:tr>
      <w:tr>
        <w:trPr>
          <w:trHeight w:val="218"/>
        </w:trPr>
        <w:tc>
          <w:tcPr>
            <w:tcW w:w="7560" w:type="dxa"/>
            <w:vAlign w:val="bottom"/>
          </w:tcPr>
          <w:p>
            <w:pPr>
              <w:ind w:left="20"/>
              <w:spacing w:after="0"/>
              <w:rPr>
                <w:sz w:val="20"/>
                <w:szCs w:val="20"/>
                <w:color w:val="auto"/>
              </w:rPr>
            </w:pPr>
            <w:r>
              <w:rPr>
                <w:rFonts w:ascii="Arial" w:cs="Arial" w:eastAsia="Arial" w:hAnsi="Arial"/>
                <w:sz w:val="17"/>
                <w:szCs w:val="17"/>
                <w:color w:val="auto"/>
              </w:rPr>
              <w:t>Land, building and building improvements</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289,866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243,377</w:t>
            </w:r>
          </w:p>
        </w:tc>
      </w:tr>
      <w:tr>
        <w:trPr>
          <w:trHeight w:val="220"/>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Molds</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60,499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60,463</w:t>
            </w:r>
          </w:p>
        </w:tc>
      </w:tr>
      <w:tr>
        <w:trPr>
          <w:trHeight w:val="218"/>
        </w:trPr>
        <w:tc>
          <w:tcPr>
            <w:tcW w:w="7560" w:type="dxa"/>
            <w:vAlign w:val="bottom"/>
          </w:tcPr>
          <w:p>
            <w:pPr>
              <w:ind w:left="20"/>
              <w:spacing w:after="0"/>
              <w:rPr>
                <w:sz w:val="20"/>
                <w:szCs w:val="20"/>
                <w:color w:val="auto"/>
              </w:rPr>
            </w:pPr>
            <w:r>
              <w:rPr>
                <w:rFonts w:ascii="Arial" w:cs="Arial" w:eastAsia="Arial" w:hAnsi="Arial"/>
                <w:sz w:val="17"/>
                <w:szCs w:val="17"/>
                <w:color w:val="auto"/>
              </w:rPr>
              <w:t>Computer equipment and software</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112,661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102,979</w:t>
            </w:r>
          </w:p>
        </w:tc>
      </w:tr>
      <w:tr>
        <w:trPr>
          <w:trHeight w:val="220"/>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Furniture and fixtures</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10,646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7,670</w:t>
            </w:r>
          </w:p>
        </w:tc>
      </w:tr>
      <w:tr>
        <w:trPr>
          <w:trHeight w:val="219"/>
        </w:trPr>
        <w:tc>
          <w:tcPr>
            <w:tcW w:w="7560" w:type="dxa"/>
            <w:vAlign w:val="bottom"/>
          </w:tcPr>
          <w:p>
            <w:pPr>
              <w:ind w:left="20"/>
              <w:spacing w:after="0" w:line="219" w:lineRule="exact"/>
              <w:rPr>
                <w:sz w:val="20"/>
                <w:szCs w:val="20"/>
                <w:color w:val="auto"/>
              </w:rPr>
            </w:pPr>
            <w:r>
              <w:rPr>
                <w:rFonts w:ascii="Arial" w:cs="Arial" w:eastAsia="Arial" w:hAnsi="Arial"/>
                <w:sz w:val="17"/>
                <w:szCs w:val="17"/>
                <w:color w:val="auto"/>
              </w:rPr>
              <w:t>Instruments placed with customers</w:t>
            </w:r>
            <w:r>
              <w:rPr>
                <w:rFonts w:ascii="Arial" w:cs="Arial" w:eastAsia="Arial" w:hAnsi="Arial"/>
                <w:sz w:val="22"/>
                <w:szCs w:val="22"/>
                <w:color w:val="auto"/>
                <w:vertAlign w:val="superscript"/>
              </w:rPr>
              <w:t>(1)</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103,257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97,384</w:t>
            </w:r>
          </w:p>
        </w:tc>
      </w:tr>
      <w:tr>
        <w:trPr>
          <w:trHeight w:val="219"/>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Construction in progress</w:t>
            </w:r>
          </w:p>
        </w:tc>
        <w:tc>
          <w:tcPr>
            <w:tcW w:w="2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123,448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72,153</w:t>
            </w:r>
          </w:p>
        </w:tc>
      </w:tr>
      <w:tr>
        <w:trPr>
          <w:trHeight w:val="211"/>
        </w:trPr>
        <w:tc>
          <w:tcPr>
            <w:tcW w:w="7560" w:type="dxa"/>
            <w:vAlign w:val="bottom"/>
          </w:tcPr>
          <w:p>
            <w:pPr>
              <w:ind w:left="140"/>
              <w:spacing w:after="0"/>
              <w:rPr>
                <w:sz w:val="20"/>
                <w:szCs w:val="20"/>
                <w:color w:val="auto"/>
              </w:rPr>
            </w:pPr>
            <w:r>
              <w:rPr>
                <w:rFonts w:ascii="Arial" w:cs="Arial" w:eastAsia="Arial" w:hAnsi="Arial"/>
                <w:sz w:val="17"/>
                <w:szCs w:val="17"/>
                <w:color w:val="auto"/>
              </w:rPr>
              <w:t>Total property, plant and equipment, cost</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1,133,026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905,104</w:t>
            </w:r>
          </w:p>
        </w:tc>
      </w:tr>
      <w:tr>
        <w:trPr>
          <w:trHeight w:val="219"/>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Accumulated depreciation</w:t>
            </w:r>
          </w:p>
        </w:tc>
        <w:tc>
          <w:tcPr>
            <w:tcW w:w="2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(458,614)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(436,739)</w:t>
            </w:r>
          </w:p>
        </w:tc>
      </w:tr>
      <w:tr>
        <w:trPr>
          <w:trHeight w:val="213"/>
        </w:trPr>
        <w:tc>
          <w:tcPr>
            <w:tcW w:w="7560" w:type="dxa"/>
            <w:vAlign w:val="bottom"/>
          </w:tcPr>
          <w:p>
            <w:pPr>
              <w:ind w:left="120"/>
              <w:spacing w:after="0"/>
              <w:rPr>
                <w:sz w:val="20"/>
                <w:szCs w:val="20"/>
                <w:color w:val="auto"/>
              </w:rPr>
            </w:pPr>
            <w:r>
              <w:rPr>
                <w:rFonts w:ascii="Arial" w:cs="Arial" w:eastAsia="Arial" w:hAnsi="Arial"/>
                <w:sz w:val="17"/>
                <w:szCs w:val="17"/>
                <w:color w:val="auto"/>
              </w:rPr>
              <w:t>Property, plant and equipment, net</w:t>
            </w: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674,412</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468,365</w:t>
            </w:r>
          </w:p>
        </w:tc>
      </w:tr>
      <w:tr>
        <w:trPr>
          <w:trHeight w:val="20"/>
        </w:trPr>
        <w:tc>
          <w:tcPr>
            <w:tcW w:w="7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w:t>
      </w:r>
    </w:p>
    <w:p>
      <w:pPr>
        <w:spacing w:after="0" w:line="48" w:lineRule="exact"/>
        <w:rPr>
          <w:sz w:val="20"/>
          <w:szCs w:val="20"/>
          <w:color w:val="auto"/>
        </w:rPr>
      </w:pPr>
    </w:p>
    <w:p>
      <w:pPr>
        <w:ind w:left="240" w:hanging="237"/>
        <w:spacing w:after="0"/>
        <w:tabs>
          <w:tab w:leader="none" w:pos="240" w:val="left"/>
        </w:tabs>
        <w:numPr>
          <w:ilvl w:val="0"/>
          <w:numId w:val="13"/>
        </w:numPr>
        <w:rPr>
          <w:rFonts w:ascii="Arial" w:cs="Arial" w:eastAsia="Arial" w:hAnsi="Arial"/>
          <w:sz w:val="22"/>
          <w:szCs w:val="22"/>
          <w:color w:val="auto"/>
          <w:vertAlign w:val="superscript"/>
        </w:rPr>
      </w:pPr>
      <w:r>
        <w:rPr>
          <w:rFonts w:ascii="Arial" w:cs="Arial" w:eastAsia="Arial" w:hAnsi="Arial"/>
          <w:sz w:val="15"/>
          <w:szCs w:val="15"/>
          <w:color w:val="auto"/>
        </w:rPr>
        <w:t>Instruments placed with customers consist of drug-delivery and monitoring systems placed with customers under operating leases.</w:t>
      </w:r>
    </w:p>
    <w:p>
      <w:pPr>
        <w:spacing w:after="0" w:line="21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Depreciation expense was $21.4 million and $16.3 million for the three months ended March 31, 2022 and 2021, respectively.</w:t>
      </w:r>
    </w:p>
    <w:p>
      <w:pPr>
        <w:spacing w:after="0" w:line="243" w:lineRule="exact"/>
        <w:rPr>
          <w:sz w:val="20"/>
          <w:szCs w:val="20"/>
          <w:color w:val="auto"/>
        </w:rPr>
      </w:pPr>
    </w:p>
    <w:p>
      <w:pPr>
        <w:ind w:right="20" w:firstLine="619"/>
        <w:spacing w:after="0" w:line="279" w:lineRule="auto"/>
        <w:rPr>
          <w:sz w:val="20"/>
          <w:szCs w:val="20"/>
          <w:color w:val="auto"/>
        </w:rPr>
      </w:pPr>
      <w:r>
        <w:rPr>
          <w:rFonts w:ascii="Arial" w:cs="Arial" w:eastAsia="Arial" w:hAnsi="Arial"/>
          <w:sz w:val="17"/>
          <w:szCs w:val="17"/>
          <w:color w:val="auto"/>
        </w:rPr>
        <w:t>During the quarter ended March 31, 2022, property, plant and equipment and related depreciation expense increased significantly due to the acquisition of Smiths Medical (see Note 3: Acquisitions).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460" w:type="dxa"/>
            <w:vAlign w:val="bottom"/>
          </w:tcPr>
          <w:p>
            <w:pPr>
              <w:spacing w:after="0"/>
              <w:rPr>
                <w:sz w:val="20"/>
                <w:szCs w:val="20"/>
                <w:color w:val="auto"/>
              </w:rPr>
            </w:pPr>
            <w:r>
              <w:rPr>
                <w:rFonts w:ascii="Arial" w:cs="Arial" w:eastAsia="Arial" w:hAnsi="Arial"/>
                <w:sz w:val="17"/>
                <w:szCs w:val="17"/>
                <w:b w:val="1"/>
                <w:bCs w:val="1"/>
                <w:color w:val="auto"/>
              </w:rPr>
              <w:t>Note 14: Goodwill and Intangible Assets, Net</w:t>
            </w: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438"/>
        </w:trPr>
        <w:tc>
          <w:tcPr>
            <w:tcW w:w="9460" w:type="dxa"/>
            <w:vAlign w:val="bottom"/>
          </w:tcPr>
          <w:p>
            <w:pPr>
              <w:spacing w:after="0"/>
              <w:rPr>
                <w:sz w:val="20"/>
                <w:szCs w:val="20"/>
                <w:color w:val="auto"/>
              </w:rPr>
            </w:pPr>
            <w:r>
              <w:rPr>
                <w:rFonts w:ascii="Arial" w:cs="Arial" w:eastAsia="Arial" w:hAnsi="Arial"/>
                <w:sz w:val="17"/>
                <w:szCs w:val="17"/>
                <w:i w:val="1"/>
                <w:iCs w:val="1"/>
                <w:color w:val="auto"/>
              </w:rPr>
              <w:t>Goodwill</w:t>
            </w: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38"/>
        </w:trPr>
        <w:tc>
          <w:tcPr>
            <w:tcW w:w="9460" w:type="dxa"/>
            <w:vAlign w:val="bottom"/>
          </w:tcPr>
          <w:p>
            <w:pPr>
              <w:ind w:left="180"/>
              <w:spacing w:after="0"/>
              <w:rPr>
                <w:sz w:val="20"/>
                <w:szCs w:val="20"/>
                <w:color w:val="auto"/>
              </w:rPr>
            </w:pPr>
            <w:r>
              <w:rPr>
                <w:rFonts w:ascii="Arial" w:cs="Arial" w:eastAsia="Arial" w:hAnsi="Arial"/>
                <w:sz w:val="17"/>
                <w:szCs w:val="17"/>
                <w:color w:val="auto"/>
              </w:rPr>
              <w:t>The following table presents the changes in the carrying amount of our goodwill (in thousands):</w:t>
            </w: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36"/>
        </w:trPr>
        <w:tc>
          <w:tcPr>
            <w:tcW w:w="946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614"/>
              <w:spacing w:after="0"/>
              <w:rPr>
                <w:sz w:val="20"/>
                <w:szCs w:val="20"/>
                <w:color w:val="auto"/>
              </w:rPr>
            </w:pPr>
            <w:r>
              <w:rPr>
                <w:rFonts w:ascii="Arial" w:cs="Arial" w:eastAsia="Arial" w:hAnsi="Arial"/>
                <w:sz w:val="17"/>
                <w:szCs w:val="17"/>
                <w:b w:val="1"/>
                <w:bCs w:val="1"/>
                <w:color w:val="auto"/>
              </w:rPr>
              <w:t>Total</w:t>
            </w:r>
          </w:p>
        </w:tc>
      </w:tr>
      <w:tr>
        <w:trPr>
          <w:trHeight w:val="213"/>
        </w:trPr>
        <w:tc>
          <w:tcPr>
            <w:tcW w:w="9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as of January 1, 2022</w:t>
            </w: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43,439</w:t>
            </w:r>
          </w:p>
        </w:tc>
      </w:tr>
      <w:tr>
        <w:trPr>
          <w:trHeight w:val="219"/>
        </w:trPr>
        <w:tc>
          <w:tcPr>
            <w:tcW w:w="9460" w:type="dxa"/>
            <w:vAlign w:val="bottom"/>
          </w:tcPr>
          <w:p>
            <w:pPr>
              <w:ind w:left="140"/>
              <w:spacing w:after="0" w:line="219" w:lineRule="exact"/>
              <w:rPr>
                <w:sz w:val="20"/>
                <w:szCs w:val="20"/>
                <w:color w:val="auto"/>
              </w:rPr>
            </w:pPr>
            <w:r>
              <w:rPr>
                <w:rFonts w:ascii="Arial" w:cs="Arial" w:eastAsia="Arial" w:hAnsi="Arial"/>
                <w:sz w:val="17"/>
                <w:szCs w:val="17"/>
                <w:color w:val="auto"/>
              </w:rPr>
              <w:t xml:space="preserve">Goodwill acquired </w:t>
            </w:r>
            <w:r>
              <w:rPr>
                <w:rFonts w:ascii="Arial" w:cs="Arial" w:eastAsia="Arial" w:hAnsi="Arial"/>
                <w:sz w:val="22"/>
                <w:szCs w:val="22"/>
                <w:color w:val="auto"/>
                <w:vertAlign w:val="superscript"/>
              </w:rPr>
              <w:t>(1)</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1,493,115</w:t>
            </w:r>
          </w:p>
        </w:tc>
      </w:tr>
      <w:tr>
        <w:trPr>
          <w:trHeight w:val="219"/>
        </w:trPr>
        <w:tc>
          <w:tcPr>
            <w:tcW w:w="9460" w:type="dxa"/>
            <w:vAlign w:val="bottom"/>
            <w:shd w:val="clear" w:color="auto" w:fill="CCEEFF"/>
          </w:tcPr>
          <w:p>
            <w:pPr>
              <w:ind w:left="140"/>
              <w:spacing w:after="0" w:line="219" w:lineRule="exact"/>
              <w:rPr>
                <w:sz w:val="20"/>
                <w:szCs w:val="20"/>
                <w:color w:val="auto"/>
              </w:rPr>
            </w:pPr>
            <w:r>
              <w:rPr>
                <w:rFonts w:ascii="Arial" w:cs="Arial" w:eastAsia="Arial" w:hAnsi="Arial"/>
                <w:sz w:val="17"/>
                <w:szCs w:val="17"/>
                <w:color w:val="auto"/>
              </w:rPr>
              <w:t xml:space="preserve">Other </w:t>
            </w:r>
            <w:r>
              <w:rPr>
                <w:rFonts w:ascii="Arial" w:cs="Arial" w:eastAsia="Arial" w:hAnsi="Arial"/>
                <w:sz w:val="22"/>
                <w:szCs w:val="22"/>
                <w:color w:val="auto"/>
                <w:vertAlign w:val="superscript"/>
              </w:rPr>
              <w:t>(2)</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(7,128)</w:t>
            </w:r>
          </w:p>
        </w:tc>
      </w:tr>
      <w:tr>
        <w:trPr>
          <w:trHeight w:val="218"/>
        </w:trPr>
        <w:tc>
          <w:tcPr>
            <w:tcW w:w="94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Currency translation</w:t>
            </w: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(2,560)</w:t>
            </w:r>
          </w:p>
        </w:tc>
      </w:tr>
      <w:tr>
        <w:trPr>
          <w:trHeight w:val="238"/>
        </w:trPr>
        <w:tc>
          <w:tcPr>
            <w:tcW w:w="9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as of March 31, 2022</w:t>
            </w: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1,526,866</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w:t>
      </w:r>
    </w:p>
    <w:p>
      <w:pPr>
        <w:spacing w:after="0" w:line="10" w:lineRule="exact"/>
        <w:rPr>
          <w:sz w:val="20"/>
          <w:szCs w:val="20"/>
          <w:color w:val="auto"/>
        </w:rPr>
      </w:pPr>
    </w:p>
    <w:p>
      <w:pPr>
        <w:ind w:left="240" w:hanging="237"/>
        <w:spacing w:after="0"/>
        <w:tabs>
          <w:tab w:leader="none" w:pos="240" w:val="left"/>
        </w:tabs>
        <w:numPr>
          <w:ilvl w:val="0"/>
          <w:numId w:val="14"/>
        </w:numPr>
        <w:rPr>
          <w:rFonts w:ascii="Arial" w:cs="Arial" w:eastAsia="Arial" w:hAnsi="Arial"/>
          <w:sz w:val="22"/>
          <w:szCs w:val="22"/>
          <w:color w:val="auto"/>
          <w:vertAlign w:val="superscript"/>
        </w:rPr>
      </w:pPr>
      <w:r>
        <w:rPr>
          <w:rFonts w:ascii="Arial" w:cs="Arial" w:eastAsia="Arial" w:hAnsi="Arial"/>
          <w:sz w:val="15"/>
          <w:szCs w:val="15"/>
          <w:color w:val="auto"/>
        </w:rPr>
        <w:t>Relates to Smiths Medical acquired on January 6, 2022.</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7"/>
          <w:szCs w:val="17"/>
          <w:b w:val="1"/>
          <w:bCs w:val="1"/>
          <w:color w:val="auto"/>
        </w:rPr>
        <w:t>ICU MEDICAL, INC. AND SUBSIDIARIES</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286" w:lineRule="exact"/>
        <w:rPr>
          <w:sz w:val="20"/>
          <w:szCs w:val="20"/>
          <w:color w:val="auto"/>
        </w:rPr>
      </w:pPr>
    </w:p>
    <w:p>
      <w:pPr>
        <w:ind w:left="280" w:hanging="277"/>
        <w:spacing w:after="0"/>
        <w:tabs>
          <w:tab w:leader="none" w:pos="280" w:val="left"/>
        </w:tabs>
        <w:numPr>
          <w:ilvl w:val="0"/>
          <w:numId w:val="15"/>
        </w:numPr>
        <w:rPr>
          <w:rFonts w:ascii="Arial" w:cs="Arial" w:eastAsia="Arial" w:hAnsi="Arial"/>
          <w:sz w:val="20"/>
          <w:szCs w:val="20"/>
          <w:color w:val="auto"/>
          <w:vertAlign w:val="superscript"/>
        </w:rPr>
      </w:pPr>
      <w:r>
        <w:rPr>
          <w:rFonts w:ascii="Arial" w:cs="Arial" w:eastAsia="Arial" w:hAnsi="Arial"/>
          <w:sz w:val="15"/>
          <w:szCs w:val="15"/>
          <w:color w:val="auto"/>
        </w:rPr>
        <w:t>Other relates to measurement period adjustments related to a 2021 acquisition of a small foreign infusion systems supplier.</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Intangible Assets, Net</w:t>
      </w:r>
    </w:p>
    <w:p>
      <w:pPr>
        <w:spacing w:after="0" w:line="24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Intangible assets, carried at cost less accumulated amortization and amortized on a straight-lined basis, were as follows (in thousands):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440" w:type="dxa"/>
            <w:vAlign w:val="bottom"/>
          </w:tcPr>
          <w:p>
            <w:pPr>
              <w:spacing w:after="0"/>
              <w:rPr>
                <w:sz w:val="17"/>
                <w:szCs w:val="17"/>
                <w:color w:val="auto"/>
              </w:rPr>
            </w:pPr>
          </w:p>
        </w:tc>
        <w:tc>
          <w:tcPr>
            <w:tcW w:w="1480" w:type="dxa"/>
            <w:vAlign w:val="bottom"/>
            <w:gridSpan w:val="2"/>
            <w:vMerge w:val="restart"/>
          </w:tcPr>
          <w:p>
            <w:pPr>
              <w:jc w:val="center"/>
              <w:ind w:right="100"/>
              <w:spacing w:after="0"/>
              <w:rPr>
                <w:sz w:val="20"/>
                <w:szCs w:val="20"/>
                <w:color w:val="auto"/>
              </w:rPr>
            </w:pPr>
            <w:r>
              <w:rPr>
                <w:rFonts w:ascii="Arial" w:cs="Arial" w:eastAsia="Arial" w:hAnsi="Arial"/>
                <w:sz w:val="15"/>
                <w:szCs w:val="15"/>
                <w:b w:val="1"/>
                <w:bCs w:val="1"/>
                <w:color w:val="auto"/>
                <w:w w:val="92"/>
              </w:rPr>
              <w:t>Weighted-Average</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5"/>
                <w:szCs w:val="15"/>
                <w:b w:val="1"/>
                <w:bCs w:val="1"/>
                <w:color w:val="auto"/>
                <w:w w:val="95"/>
              </w:rPr>
              <w:t>March 31, 2022</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440" w:type="dxa"/>
            <w:vAlign w:val="bottom"/>
          </w:tcPr>
          <w:p>
            <w:pPr>
              <w:spacing w:after="0" w:line="20" w:lineRule="exact"/>
              <w:rPr>
                <w:sz w:val="1"/>
                <w:szCs w:val="1"/>
                <w:color w:val="auto"/>
              </w:rPr>
            </w:pPr>
          </w:p>
        </w:tc>
        <w:tc>
          <w:tcPr>
            <w:tcW w:w="148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gridSpan w:val="2"/>
            <w:vMerge w:val="restart"/>
          </w:tcPr>
          <w:p>
            <w:pPr>
              <w:jc w:val="center"/>
              <w:ind w:right="260"/>
              <w:spacing w:after="0"/>
              <w:rPr>
                <w:sz w:val="20"/>
                <w:szCs w:val="20"/>
                <w:color w:val="auto"/>
              </w:rPr>
            </w:pPr>
            <w:r>
              <w:rPr>
                <w:rFonts w:ascii="Arial" w:cs="Arial" w:eastAsia="Arial" w:hAnsi="Arial"/>
                <w:sz w:val="15"/>
                <w:szCs w:val="15"/>
                <w:b w:val="1"/>
                <w:bCs w:val="1"/>
                <w:color w:val="auto"/>
                <w:w w:val="93"/>
              </w:rPr>
              <w:t>Accumulated</w:t>
            </w: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440" w:type="dxa"/>
            <w:vAlign w:val="bottom"/>
          </w:tcPr>
          <w:p>
            <w:pPr>
              <w:spacing w:after="0"/>
              <w:rPr>
                <w:sz w:val="13"/>
                <w:szCs w:val="13"/>
                <w:color w:val="auto"/>
              </w:rPr>
            </w:pPr>
          </w:p>
        </w:tc>
        <w:tc>
          <w:tcPr>
            <w:tcW w:w="1480" w:type="dxa"/>
            <w:vAlign w:val="bottom"/>
            <w:gridSpan w:val="2"/>
          </w:tcPr>
          <w:p>
            <w:pPr>
              <w:jc w:val="center"/>
              <w:ind w:right="120"/>
              <w:spacing w:after="0" w:line="155" w:lineRule="exact"/>
              <w:rPr>
                <w:sz w:val="20"/>
                <w:szCs w:val="20"/>
                <w:color w:val="auto"/>
              </w:rPr>
            </w:pPr>
            <w:r>
              <w:rPr>
                <w:rFonts w:ascii="Arial" w:cs="Arial" w:eastAsia="Arial" w:hAnsi="Arial"/>
                <w:sz w:val="15"/>
                <w:szCs w:val="15"/>
                <w:b w:val="1"/>
                <w:bCs w:val="1"/>
                <w:color w:val="auto"/>
                <w:w w:val="95"/>
              </w:rPr>
              <w:t>Amortization</w:t>
            </w:r>
          </w:p>
        </w:tc>
        <w:tc>
          <w:tcPr>
            <w:tcW w:w="300" w:type="dxa"/>
            <w:vAlign w:val="bottom"/>
          </w:tcPr>
          <w:p>
            <w:pPr>
              <w:spacing w:after="0"/>
              <w:rPr>
                <w:sz w:val="13"/>
                <w:szCs w:val="13"/>
                <w:color w:val="auto"/>
              </w:rPr>
            </w:pPr>
          </w:p>
        </w:tc>
        <w:tc>
          <w:tcPr>
            <w:tcW w:w="1160" w:type="dxa"/>
            <w:vAlign w:val="bottom"/>
            <w:gridSpan w:val="2"/>
            <w:vMerge w:val="restart"/>
          </w:tcPr>
          <w:p>
            <w:pPr>
              <w:ind w:left="220"/>
              <w:spacing w:after="0"/>
              <w:rPr>
                <w:sz w:val="20"/>
                <w:szCs w:val="20"/>
                <w:color w:val="auto"/>
              </w:rPr>
            </w:pPr>
            <w:r>
              <w:rPr>
                <w:rFonts w:ascii="Arial" w:cs="Arial" w:eastAsia="Arial" w:hAnsi="Arial"/>
                <w:sz w:val="15"/>
                <w:szCs w:val="15"/>
                <w:b w:val="1"/>
                <w:bCs w:val="1"/>
                <w:color w:val="auto"/>
              </w:rPr>
              <w:t>Cost</w:t>
            </w:r>
          </w:p>
        </w:tc>
        <w:tc>
          <w:tcPr>
            <w:tcW w:w="14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restart"/>
          </w:tcPr>
          <w:p>
            <w:pPr>
              <w:jc w:val="right"/>
              <w:ind w:right="483"/>
              <w:spacing w:after="0"/>
              <w:rPr>
                <w:sz w:val="20"/>
                <w:szCs w:val="20"/>
                <w:color w:val="auto"/>
              </w:rPr>
            </w:pPr>
            <w:r>
              <w:rPr>
                <w:rFonts w:ascii="Arial" w:cs="Arial" w:eastAsia="Arial" w:hAnsi="Arial"/>
                <w:sz w:val="15"/>
                <w:szCs w:val="15"/>
                <w:b w:val="1"/>
                <w:bCs w:val="1"/>
                <w:color w:val="auto"/>
              </w:rPr>
              <w:t>Net</w:t>
            </w:r>
          </w:p>
        </w:tc>
        <w:tc>
          <w:tcPr>
            <w:tcW w:w="0" w:type="dxa"/>
            <w:vAlign w:val="bottom"/>
          </w:tcPr>
          <w:p>
            <w:pPr>
              <w:spacing w:after="0"/>
              <w:rPr>
                <w:sz w:val="1"/>
                <w:szCs w:val="1"/>
                <w:color w:val="auto"/>
              </w:rPr>
            </w:pPr>
          </w:p>
        </w:tc>
      </w:tr>
      <w:tr>
        <w:trPr>
          <w:trHeight w:val="204"/>
        </w:trPr>
        <w:tc>
          <w:tcPr>
            <w:tcW w:w="5440" w:type="dxa"/>
            <w:vAlign w:val="bottom"/>
          </w:tcPr>
          <w:p>
            <w:pPr>
              <w:spacing w:after="0"/>
              <w:rPr>
                <w:sz w:val="17"/>
                <w:szCs w:val="17"/>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4"/>
              </w:rPr>
              <w:t>Life in Years</w:t>
            </w:r>
          </w:p>
        </w:tc>
        <w:tc>
          <w:tcPr>
            <w:tcW w:w="30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5"/>
              </w:rPr>
              <w:t>Amortization</w:t>
            </w:r>
          </w:p>
        </w:tc>
        <w:tc>
          <w:tcPr>
            <w:tcW w:w="3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Patents</w:t>
            </w: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5"/>
              </w:rPr>
              <w:t>10</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28,012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17,213</w:t>
            </w: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10,799</w:t>
            </w:r>
          </w:p>
        </w:tc>
        <w:tc>
          <w:tcPr>
            <w:tcW w:w="0" w:type="dxa"/>
            <w:vAlign w:val="bottom"/>
          </w:tcPr>
          <w:p>
            <w:pPr>
              <w:spacing w:after="0"/>
              <w:rPr>
                <w:sz w:val="1"/>
                <w:szCs w:val="1"/>
                <w:color w:val="auto"/>
              </w:rPr>
            </w:pPr>
          </w:p>
        </w:tc>
      </w:tr>
      <w:tr>
        <w:trPr>
          <w:trHeight w:val="203"/>
        </w:trPr>
        <w:tc>
          <w:tcPr>
            <w:tcW w:w="5440" w:type="dxa"/>
            <w:vAlign w:val="bottom"/>
          </w:tcPr>
          <w:p>
            <w:pPr>
              <w:ind w:left="20"/>
              <w:spacing w:after="0"/>
              <w:rPr>
                <w:sz w:val="20"/>
                <w:szCs w:val="20"/>
                <w:color w:val="auto"/>
              </w:rPr>
            </w:pPr>
            <w:r>
              <w:rPr>
                <w:rFonts w:ascii="Arial" w:cs="Arial" w:eastAsia="Arial" w:hAnsi="Arial"/>
                <w:sz w:val="15"/>
                <w:szCs w:val="15"/>
                <w:color w:val="auto"/>
              </w:rPr>
              <w:t>Customer contracts</w:t>
            </w:r>
          </w:p>
        </w:tc>
        <w:tc>
          <w:tcPr>
            <w:tcW w:w="1380" w:type="dxa"/>
            <w:vAlign w:val="bottom"/>
          </w:tcPr>
          <w:p>
            <w:pPr>
              <w:jc w:val="center"/>
              <w:spacing w:after="0"/>
              <w:rPr>
                <w:sz w:val="20"/>
                <w:szCs w:val="20"/>
                <w:color w:val="auto"/>
              </w:rPr>
            </w:pPr>
            <w:r>
              <w:rPr>
                <w:rFonts w:ascii="Arial" w:cs="Arial" w:eastAsia="Arial" w:hAnsi="Arial"/>
                <w:sz w:val="15"/>
                <w:szCs w:val="15"/>
                <w:color w:val="auto"/>
                <w:w w:val="95"/>
              </w:rPr>
              <w:t>12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10,281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6,256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4,025</w:t>
            </w:r>
          </w:p>
        </w:tc>
        <w:tc>
          <w:tcPr>
            <w:tcW w:w="0" w:type="dxa"/>
            <w:vAlign w:val="bottom"/>
          </w:tcPr>
          <w:p>
            <w:pPr>
              <w:spacing w:after="0"/>
              <w:rPr>
                <w:sz w:val="1"/>
                <w:szCs w:val="1"/>
                <w:color w:val="auto"/>
              </w:rPr>
            </w:pPr>
          </w:p>
        </w:tc>
      </w:tr>
      <w:tr>
        <w:trPr>
          <w:trHeight w:val="209"/>
        </w:trPr>
        <w:tc>
          <w:tcPr>
            <w:tcW w:w="5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Non-contractual customer relationships</w:t>
            </w:r>
          </w:p>
        </w:tc>
        <w:tc>
          <w:tcPr>
            <w:tcW w:w="13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558,579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47,757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510,822</w:t>
            </w:r>
          </w:p>
        </w:tc>
        <w:tc>
          <w:tcPr>
            <w:tcW w:w="0" w:type="dxa"/>
            <w:vAlign w:val="bottom"/>
          </w:tcPr>
          <w:p>
            <w:pPr>
              <w:spacing w:after="0"/>
              <w:rPr>
                <w:sz w:val="1"/>
                <w:szCs w:val="1"/>
                <w:color w:val="auto"/>
              </w:rPr>
            </w:pPr>
          </w:p>
        </w:tc>
      </w:tr>
      <w:tr>
        <w:trPr>
          <w:trHeight w:val="203"/>
        </w:trPr>
        <w:tc>
          <w:tcPr>
            <w:tcW w:w="5440" w:type="dxa"/>
            <w:vAlign w:val="bottom"/>
          </w:tcPr>
          <w:p>
            <w:pPr>
              <w:ind w:left="20"/>
              <w:spacing w:after="0"/>
              <w:rPr>
                <w:sz w:val="20"/>
                <w:szCs w:val="20"/>
                <w:color w:val="auto"/>
              </w:rPr>
            </w:pPr>
            <w:r>
              <w:rPr>
                <w:rFonts w:ascii="Arial" w:cs="Arial" w:eastAsia="Arial" w:hAnsi="Arial"/>
                <w:sz w:val="15"/>
                <w:szCs w:val="15"/>
                <w:color w:val="auto"/>
              </w:rPr>
              <w:t>Trademarks</w:t>
            </w:r>
          </w:p>
        </w:tc>
        <w:tc>
          <w:tcPr>
            <w:tcW w:w="1380" w:type="dxa"/>
            <w:vAlign w:val="bottom"/>
          </w:tcPr>
          <w:p>
            <w:pPr>
              <w:jc w:val="center"/>
              <w:spacing w:after="0"/>
              <w:rPr>
                <w:sz w:val="20"/>
                <w:szCs w:val="20"/>
                <w:color w:val="auto"/>
              </w:rPr>
            </w:pPr>
            <w:r>
              <w:rPr>
                <w:rFonts w:ascii="Arial" w:cs="Arial" w:eastAsia="Arial" w:hAnsi="Arial"/>
                <w:sz w:val="15"/>
                <w:szCs w:val="15"/>
                <w:color w:val="auto"/>
                <w:w w:val="95"/>
              </w:rPr>
              <w:t>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5,425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2,424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3,001</w:t>
            </w:r>
          </w:p>
        </w:tc>
        <w:tc>
          <w:tcPr>
            <w:tcW w:w="0" w:type="dxa"/>
            <w:vAlign w:val="bottom"/>
          </w:tcPr>
          <w:p>
            <w:pPr>
              <w:spacing w:after="0"/>
              <w:rPr>
                <w:sz w:val="1"/>
                <w:szCs w:val="1"/>
                <w:color w:val="auto"/>
              </w:rPr>
            </w:pPr>
          </w:p>
        </w:tc>
      </w:tr>
      <w:tr>
        <w:trPr>
          <w:trHeight w:val="209"/>
        </w:trPr>
        <w:tc>
          <w:tcPr>
            <w:tcW w:w="5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Trade name</w:t>
            </w:r>
          </w:p>
        </w:tc>
        <w:tc>
          <w:tcPr>
            <w:tcW w:w="13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15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18,265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5,045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13,220</w:t>
            </w:r>
          </w:p>
        </w:tc>
        <w:tc>
          <w:tcPr>
            <w:tcW w:w="0" w:type="dxa"/>
            <w:vAlign w:val="bottom"/>
          </w:tcPr>
          <w:p>
            <w:pPr>
              <w:spacing w:after="0"/>
              <w:rPr>
                <w:sz w:val="1"/>
                <w:szCs w:val="1"/>
                <w:color w:val="auto"/>
              </w:rPr>
            </w:pPr>
          </w:p>
        </w:tc>
      </w:tr>
      <w:tr>
        <w:trPr>
          <w:trHeight w:val="203"/>
        </w:trPr>
        <w:tc>
          <w:tcPr>
            <w:tcW w:w="5440" w:type="dxa"/>
            <w:vAlign w:val="bottom"/>
          </w:tcPr>
          <w:p>
            <w:pPr>
              <w:ind w:left="20"/>
              <w:spacing w:after="0"/>
              <w:rPr>
                <w:sz w:val="20"/>
                <w:szCs w:val="20"/>
                <w:color w:val="auto"/>
              </w:rPr>
            </w:pPr>
            <w:r>
              <w:rPr>
                <w:rFonts w:ascii="Arial" w:cs="Arial" w:eastAsia="Arial" w:hAnsi="Arial"/>
                <w:sz w:val="15"/>
                <w:szCs w:val="15"/>
                <w:color w:val="auto"/>
              </w:rPr>
              <w:t>Developed technology</w:t>
            </w:r>
          </w:p>
        </w:tc>
        <w:tc>
          <w:tcPr>
            <w:tcW w:w="1380" w:type="dxa"/>
            <w:vAlign w:val="bottom"/>
          </w:tcPr>
          <w:p>
            <w:pPr>
              <w:jc w:val="center"/>
              <w:spacing w:after="0"/>
              <w:rPr>
                <w:sz w:val="20"/>
                <w:szCs w:val="20"/>
                <w:color w:val="auto"/>
              </w:rPr>
            </w:pPr>
            <w:r>
              <w:rPr>
                <w:rFonts w:ascii="Arial" w:cs="Arial" w:eastAsia="Arial" w:hAnsi="Arial"/>
                <w:sz w:val="15"/>
                <w:szCs w:val="15"/>
                <w:color w:val="auto"/>
                <w:w w:val="95"/>
              </w:rPr>
              <w:t>10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581,915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62,220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519,695</w:t>
            </w:r>
          </w:p>
        </w:tc>
        <w:tc>
          <w:tcPr>
            <w:tcW w:w="0" w:type="dxa"/>
            <w:vAlign w:val="bottom"/>
          </w:tcPr>
          <w:p>
            <w:pPr>
              <w:spacing w:after="0"/>
              <w:rPr>
                <w:sz w:val="1"/>
                <w:szCs w:val="1"/>
                <w:color w:val="auto"/>
              </w:rPr>
            </w:pPr>
          </w:p>
        </w:tc>
      </w:tr>
      <w:tr>
        <w:trPr>
          <w:trHeight w:val="209"/>
        </w:trPr>
        <w:tc>
          <w:tcPr>
            <w:tcW w:w="5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Non-compete</w:t>
            </w:r>
          </w:p>
        </w:tc>
        <w:tc>
          <w:tcPr>
            <w:tcW w:w="13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9,100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3,114</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5,986</w:t>
            </w:r>
          </w:p>
        </w:tc>
        <w:tc>
          <w:tcPr>
            <w:tcW w:w="0" w:type="dxa"/>
            <w:vAlign w:val="bottom"/>
          </w:tcPr>
          <w:p>
            <w:pPr>
              <w:spacing w:after="0"/>
              <w:rPr>
                <w:sz w:val="1"/>
                <w:szCs w:val="1"/>
                <w:color w:val="auto"/>
              </w:rPr>
            </w:pPr>
          </w:p>
        </w:tc>
      </w:tr>
      <w:tr>
        <w:trPr>
          <w:trHeight w:val="196"/>
        </w:trPr>
        <w:tc>
          <w:tcPr>
            <w:tcW w:w="5440" w:type="dxa"/>
            <w:vAlign w:val="bottom"/>
          </w:tcPr>
          <w:p>
            <w:pPr>
              <w:ind w:left="140"/>
              <w:spacing w:after="0"/>
              <w:rPr>
                <w:sz w:val="20"/>
                <w:szCs w:val="20"/>
                <w:color w:val="auto"/>
              </w:rPr>
            </w:pPr>
            <w:r>
              <w:rPr>
                <w:rFonts w:ascii="Arial" w:cs="Arial" w:eastAsia="Arial" w:hAnsi="Arial"/>
                <w:sz w:val="15"/>
                <w:szCs w:val="15"/>
                <w:color w:val="auto"/>
              </w:rPr>
              <w:t>Total amortized intangible assets</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1,211,577</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144,029</w:t>
            </w:r>
          </w:p>
        </w:tc>
        <w:tc>
          <w:tcPr>
            <w:tcW w:w="120" w:type="dxa"/>
            <w:vAlign w:val="bottom"/>
          </w:tcPr>
          <w:p>
            <w:pPr>
              <w:spacing w:after="0"/>
              <w:rPr>
                <w:sz w:val="17"/>
                <w:szCs w:val="17"/>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1,067,548</w:t>
            </w:r>
          </w:p>
        </w:tc>
        <w:tc>
          <w:tcPr>
            <w:tcW w:w="0" w:type="dxa"/>
            <w:vAlign w:val="bottom"/>
          </w:tcPr>
          <w:p>
            <w:pPr>
              <w:spacing w:after="0"/>
              <w:rPr>
                <w:sz w:val="1"/>
                <w:szCs w:val="1"/>
                <w:color w:val="auto"/>
              </w:rPr>
            </w:pPr>
          </w:p>
        </w:tc>
      </w:tr>
      <w:tr>
        <w:trPr>
          <w:trHeight w:val="248"/>
        </w:trPr>
        <w:tc>
          <w:tcPr>
            <w:tcW w:w="54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440" w:type="dxa"/>
            <w:vAlign w:val="bottom"/>
          </w:tcPr>
          <w:p>
            <w:pPr>
              <w:ind w:left="20"/>
              <w:spacing w:after="0"/>
              <w:rPr>
                <w:sz w:val="20"/>
                <w:szCs w:val="20"/>
                <w:color w:val="auto"/>
              </w:rPr>
            </w:pPr>
            <w:r>
              <w:rPr>
                <w:rFonts w:ascii="Arial" w:cs="Arial" w:eastAsia="Arial" w:hAnsi="Arial"/>
                <w:sz w:val="15"/>
                <w:szCs w:val="15"/>
                <w:color w:val="auto"/>
              </w:rPr>
              <w:t>Internally developed software*</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27,162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27,162</w:t>
            </w:r>
          </w:p>
        </w:tc>
        <w:tc>
          <w:tcPr>
            <w:tcW w:w="0" w:type="dxa"/>
            <w:vAlign w:val="bottom"/>
          </w:tcPr>
          <w:p>
            <w:pPr>
              <w:spacing w:after="0"/>
              <w:rPr>
                <w:sz w:val="1"/>
                <w:szCs w:val="1"/>
                <w:color w:val="auto"/>
              </w:rPr>
            </w:pPr>
          </w:p>
        </w:tc>
      </w:tr>
      <w:tr>
        <w:trPr>
          <w:trHeight w:val="248"/>
        </w:trPr>
        <w:tc>
          <w:tcPr>
            <w:tcW w:w="54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5440" w:type="dxa"/>
            <w:vAlign w:val="bottom"/>
          </w:tcPr>
          <w:p>
            <w:pPr>
              <w:ind w:left="140"/>
              <w:spacing w:after="0"/>
              <w:rPr>
                <w:sz w:val="20"/>
                <w:szCs w:val="20"/>
                <w:color w:val="auto"/>
              </w:rPr>
            </w:pPr>
            <w:r>
              <w:rPr>
                <w:rFonts w:ascii="Arial" w:cs="Arial" w:eastAsia="Arial" w:hAnsi="Arial"/>
                <w:sz w:val="15"/>
                <w:szCs w:val="15"/>
                <w:color w:val="auto"/>
              </w:rPr>
              <w:t>Total intangible assets</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1,238,739</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144,029</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1,094,710</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7"/>
                <w:szCs w:val="17"/>
                <w:color w:val="auto"/>
              </w:rPr>
              <w:t>______________________________</w:t>
            </w: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5440" w:type="dxa"/>
            <w:vAlign w:val="bottom"/>
            <w:vMerge w:val="continue"/>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120" w:hanging="117"/>
        <w:spacing w:after="0"/>
        <w:tabs>
          <w:tab w:leader="none" w:pos="120" w:val="left"/>
        </w:tabs>
        <w:numPr>
          <w:ilvl w:val="0"/>
          <w:numId w:val="16"/>
        </w:numPr>
        <w:rPr>
          <w:rFonts w:ascii="Arial" w:cs="Arial" w:eastAsia="Arial" w:hAnsi="Arial"/>
          <w:sz w:val="17"/>
          <w:szCs w:val="17"/>
          <w:color w:val="auto"/>
        </w:rPr>
      </w:pPr>
      <w:r>
        <w:rPr>
          <w:rFonts w:ascii="Arial" w:cs="Arial" w:eastAsia="Arial" w:hAnsi="Arial"/>
          <w:sz w:val="15"/>
          <w:szCs w:val="15"/>
          <w:color w:val="auto"/>
        </w:rPr>
        <w:t>Internally developed software will be amortized when the projects are complete and the assets are ready for their intended use.</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440" w:type="dxa"/>
            <w:vAlign w:val="bottom"/>
          </w:tcPr>
          <w:p>
            <w:pPr>
              <w:spacing w:after="0"/>
              <w:rPr>
                <w:sz w:val="17"/>
                <w:szCs w:val="17"/>
                <w:color w:val="auto"/>
              </w:rPr>
            </w:pPr>
          </w:p>
        </w:tc>
        <w:tc>
          <w:tcPr>
            <w:tcW w:w="1480" w:type="dxa"/>
            <w:vAlign w:val="bottom"/>
            <w:gridSpan w:val="2"/>
            <w:vMerge w:val="restart"/>
          </w:tcPr>
          <w:p>
            <w:pPr>
              <w:jc w:val="center"/>
              <w:ind w:right="100"/>
              <w:spacing w:after="0"/>
              <w:rPr>
                <w:sz w:val="20"/>
                <w:szCs w:val="20"/>
                <w:color w:val="auto"/>
              </w:rPr>
            </w:pPr>
            <w:r>
              <w:rPr>
                <w:rFonts w:ascii="Arial" w:cs="Arial" w:eastAsia="Arial" w:hAnsi="Arial"/>
                <w:sz w:val="15"/>
                <w:szCs w:val="15"/>
                <w:b w:val="1"/>
                <w:bCs w:val="1"/>
                <w:color w:val="auto"/>
                <w:w w:val="92"/>
              </w:rPr>
              <w:t>Weighted-Average</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5"/>
                <w:szCs w:val="15"/>
                <w:b w:val="1"/>
                <w:bCs w:val="1"/>
                <w:color w:val="auto"/>
                <w:w w:val="93"/>
              </w:rPr>
              <w:t>December 31, 2021</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440" w:type="dxa"/>
            <w:vAlign w:val="bottom"/>
          </w:tcPr>
          <w:p>
            <w:pPr>
              <w:spacing w:after="0" w:line="20" w:lineRule="exact"/>
              <w:rPr>
                <w:sz w:val="1"/>
                <w:szCs w:val="1"/>
                <w:color w:val="auto"/>
              </w:rPr>
            </w:pPr>
          </w:p>
        </w:tc>
        <w:tc>
          <w:tcPr>
            <w:tcW w:w="148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gridSpan w:val="2"/>
            <w:vMerge w:val="restart"/>
          </w:tcPr>
          <w:p>
            <w:pPr>
              <w:jc w:val="center"/>
              <w:ind w:right="300"/>
              <w:spacing w:after="0"/>
              <w:rPr>
                <w:sz w:val="20"/>
                <w:szCs w:val="20"/>
                <w:color w:val="auto"/>
              </w:rPr>
            </w:pPr>
            <w:r>
              <w:rPr>
                <w:rFonts w:ascii="Arial" w:cs="Arial" w:eastAsia="Arial" w:hAnsi="Arial"/>
                <w:sz w:val="15"/>
                <w:szCs w:val="15"/>
                <w:b w:val="1"/>
                <w:bCs w:val="1"/>
                <w:color w:val="auto"/>
                <w:w w:val="93"/>
              </w:rPr>
              <w:t>Accumulated</w:t>
            </w: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440" w:type="dxa"/>
            <w:vAlign w:val="bottom"/>
          </w:tcPr>
          <w:p>
            <w:pPr>
              <w:spacing w:after="0"/>
              <w:rPr>
                <w:sz w:val="13"/>
                <w:szCs w:val="13"/>
                <w:color w:val="auto"/>
              </w:rPr>
            </w:pPr>
          </w:p>
        </w:tc>
        <w:tc>
          <w:tcPr>
            <w:tcW w:w="1480" w:type="dxa"/>
            <w:vAlign w:val="bottom"/>
            <w:gridSpan w:val="2"/>
          </w:tcPr>
          <w:p>
            <w:pPr>
              <w:jc w:val="center"/>
              <w:ind w:right="100"/>
              <w:spacing w:after="0" w:line="155" w:lineRule="exact"/>
              <w:rPr>
                <w:sz w:val="20"/>
                <w:szCs w:val="20"/>
                <w:color w:val="auto"/>
              </w:rPr>
            </w:pPr>
            <w:r>
              <w:rPr>
                <w:rFonts w:ascii="Arial" w:cs="Arial" w:eastAsia="Arial" w:hAnsi="Arial"/>
                <w:sz w:val="15"/>
                <w:szCs w:val="15"/>
                <w:b w:val="1"/>
                <w:bCs w:val="1"/>
                <w:color w:val="auto"/>
                <w:w w:val="96"/>
              </w:rPr>
              <w:t>Amortization Life</w:t>
            </w:r>
          </w:p>
        </w:tc>
        <w:tc>
          <w:tcPr>
            <w:tcW w:w="300" w:type="dxa"/>
            <w:vAlign w:val="bottom"/>
          </w:tcPr>
          <w:p>
            <w:pPr>
              <w:spacing w:after="0"/>
              <w:rPr>
                <w:sz w:val="13"/>
                <w:szCs w:val="13"/>
                <w:color w:val="auto"/>
              </w:rPr>
            </w:pPr>
          </w:p>
        </w:tc>
        <w:tc>
          <w:tcPr>
            <w:tcW w:w="1160" w:type="dxa"/>
            <w:vAlign w:val="bottom"/>
            <w:gridSpan w:val="2"/>
            <w:vMerge w:val="restart"/>
          </w:tcPr>
          <w:p>
            <w:pPr>
              <w:ind w:left="220"/>
              <w:spacing w:after="0"/>
              <w:rPr>
                <w:sz w:val="20"/>
                <w:szCs w:val="20"/>
                <w:color w:val="auto"/>
              </w:rPr>
            </w:pPr>
            <w:r>
              <w:rPr>
                <w:rFonts w:ascii="Arial" w:cs="Arial" w:eastAsia="Arial" w:hAnsi="Arial"/>
                <w:sz w:val="15"/>
                <w:szCs w:val="15"/>
                <w:b w:val="1"/>
                <w:bCs w:val="1"/>
                <w:color w:val="auto"/>
              </w:rPr>
              <w:t>Cost</w:t>
            </w:r>
          </w:p>
        </w:tc>
        <w:tc>
          <w:tcPr>
            <w:tcW w:w="18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restart"/>
          </w:tcPr>
          <w:p>
            <w:pPr>
              <w:jc w:val="right"/>
              <w:ind w:right="483"/>
              <w:spacing w:after="0"/>
              <w:rPr>
                <w:sz w:val="20"/>
                <w:szCs w:val="20"/>
                <w:color w:val="auto"/>
              </w:rPr>
            </w:pPr>
            <w:r>
              <w:rPr>
                <w:rFonts w:ascii="Arial" w:cs="Arial" w:eastAsia="Arial" w:hAnsi="Arial"/>
                <w:sz w:val="15"/>
                <w:szCs w:val="15"/>
                <w:b w:val="1"/>
                <w:bCs w:val="1"/>
                <w:color w:val="auto"/>
              </w:rPr>
              <w:t>Net</w:t>
            </w:r>
          </w:p>
        </w:tc>
        <w:tc>
          <w:tcPr>
            <w:tcW w:w="0" w:type="dxa"/>
            <w:vAlign w:val="bottom"/>
          </w:tcPr>
          <w:p>
            <w:pPr>
              <w:spacing w:after="0"/>
              <w:rPr>
                <w:sz w:val="1"/>
                <w:szCs w:val="1"/>
                <w:color w:val="auto"/>
              </w:rPr>
            </w:pPr>
          </w:p>
        </w:tc>
      </w:tr>
      <w:tr>
        <w:trPr>
          <w:trHeight w:val="204"/>
        </w:trPr>
        <w:tc>
          <w:tcPr>
            <w:tcW w:w="5440" w:type="dxa"/>
            <w:vAlign w:val="bottom"/>
          </w:tcPr>
          <w:p>
            <w:pPr>
              <w:spacing w:after="0"/>
              <w:rPr>
                <w:sz w:val="17"/>
                <w:szCs w:val="17"/>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2"/>
              </w:rPr>
              <w:t>in Years</w:t>
            </w:r>
          </w:p>
        </w:tc>
        <w:tc>
          <w:tcPr>
            <w:tcW w:w="30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5"/>
              </w:rPr>
              <w:t>Amortization</w:t>
            </w:r>
          </w:p>
        </w:tc>
        <w:tc>
          <w:tcPr>
            <w:tcW w:w="3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Patents</w:t>
            </w: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5"/>
              </w:rPr>
              <w:t>10</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27,429</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16,764</w:t>
            </w: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10,665</w:t>
            </w:r>
          </w:p>
        </w:tc>
        <w:tc>
          <w:tcPr>
            <w:tcW w:w="0" w:type="dxa"/>
            <w:vAlign w:val="bottom"/>
          </w:tcPr>
          <w:p>
            <w:pPr>
              <w:spacing w:after="0"/>
              <w:rPr>
                <w:sz w:val="1"/>
                <w:szCs w:val="1"/>
                <w:color w:val="auto"/>
              </w:rPr>
            </w:pPr>
          </w:p>
        </w:tc>
      </w:tr>
      <w:tr>
        <w:trPr>
          <w:trHeight w:val="203"/>
        </w:trPr>
        <w:tc>
          <w:tcPr>
            <w:tcW w:w="5440" w:type="dxa"/>
            <w:vAlign w:val="bottom"/>
          </w:tcPr>
          <w:p>
            <w:pPr>
              <w:ind w:left="20"/>
              <w:spacing w:after="0"/>
              <w:rPr>
                <w:sz w:val="20"/>
                <w:szCs w:val="20"/>
                <w:color w:val="auto"/>
              </w:rPr>
            </w:pPr>
            <w:r>
              <w:rPr>
                <w:rFonts w:ascii="Arial" w:cs="Arial" w:eastAsia="Arial" w:hAnsi="Arial"/>
                <w:sz w:val="15"/>
                <w:szCs w:val="15"/>
                <w:color w:val="auto"/>
              </w:rPr>
              <w:t>Customer contracts</w:t>
            </w:r>
          </w:p>
        </w:tc>
        <w:tc>
          <w:tcPr>
            <w:tcW w:w="1380" w:type="dxa"/>
            <w:vAlign w:val="bottom"/>
          </w:tcPr>
          <w:p>
            <w:pPr>
              <w:jc w:val="center"/>
              <w:spacing w:after="0"/>
              <w:rPr>
                <w:sz w:val="20"/>
                <w:szCs w:val="20"/>
                <w:color w:val="auto"/>
              </w:rPr>
            </w:pPr>
            <w:r>
              <w:rPr>
                <w:rFonts w:ascii="Arial" w:cs="Arial" w:eastAsia="Arial" w:hAnsi="Arial"/>
                <w:sz w:val="15"/>
                <w:szCs w:val="15"/>
                <w:color w:val="auto"/>
                <w:w w:val="95"/>
              </w:rPr>
              <w:t>12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10,412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6,196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4,216</w:t>
            </w:r>
          </w:p>
        </w:tc>
        <w:tc>
          <w:tcPr>
            <w:tcW w:w="0" w:type="dxa"/>
            <w:vAlign w:val="bottom"/>
          </w:tcPr>
          <w:p>
            <w:pPr>
              <w:spacing w:after="0"/>
              <w:rPr>
                <w:sz w:val="1"/>
                <w:szCs w:val="1"/>
                <w:color w:val="auto"/>
              </w:rPr>
            </w:pPr>
          </w:p>
        </w:tc>
      </w:tr>
      <w:tr>
        <w:trPr>
          <w:trHeight w:val="209"/>
        </w:trPr>
        <w:tc>
          <w:tcPr>
            <w:tcW w:w="5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Non-contractual customer relationships</w:t>
            </w:r>
          </w:p>
        </w:tc>
        <w:tc>
          <w:tcPr>
            <w:tcW w:w="13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57,316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33,004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24,312</w:t>
            </w:r>
          </w:p>
        </w:tc>
        <w:tc>
          <w:tcPr>
            <w:tcW w:w="0" w:type="dxa"/>
            <w:vAlign w:val="bottom"/>
          </w:tcPr>
          <w:p>
            <w:pPr>
              <w:spacing w:after="0"/>
              <w:rPr>
                <w:sz w:val="1"/>
                <w:szCs w:val="1"/>
                <w:color w:val="auto"/>
              </w:rPr>
            </w:pPr>
          </w:p>
        </w:tc>
      </w:tr>
      <w:tr>
        <w:trPr>
          <w:trHeight w:val="203"/>
        </w:trPr>
        <w:tc>
          <w:tcPr>
            <w:tcW w:w="5440" w:type="dxa"/>
            <w:vAlign w:val="bottom"/>
          </w:tcPr>
          <w:p>
            <w:pPr>
              <w:ind w:left="20"/>
              <w:spacing w:after="0"/>
              <w:rPr>
                <w:sz w:val="20"/>
                <w:szCs w:val="20"/>
                <w:color w:val="auto"/>
              </w:rPr>
            </w:pPr>
            <w:r>
              <w:rPr>
                <w:rFonts w:ascii="Arial" w:cs="Arial" w:eastAsia="Arial" w:hAnsi="Arial"/>
                <w:sz w:val="15"/>
                <w:szCs w:val="15"/>
                <w:color w:val="auto"/>
              </w:rPr>
              <w:t>Trademarks</w:t>
            </w:r>
          </w:p>
        </w:tc>
        <w:tc>
          <w:tcPr>
            <w:tcW w:w="1380" w:type="dxa"/>
            <w:vAlign w:val="bottom"/>
          </w:tcPr>
          <w:p>
            <w:pPr>
              <w:jc w:val="center"/>
              <w:spacing w:after="0"/>
              <w:rPr>
                <w:sz w:val="20"/>
                <w:szCs w:val="20"/>
                <w:color w:val="auto"/>
              </w:rPr>
            </w:pPr>
            <w:r>
              <w:rPr>
                <w:rFonts w:ascii="Arial" w:cs="Arial" w:eastAsia="Arial" w:hAnsi="Arial"/>
                <w:sz w:val="15"/>
                <w:szCs w:val="15"/>
                <w:color w:val="auto"/>
                <w:w w:val="95"/>
              </w:rPr>
              <w:t>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425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5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Trade name</w:t>
            </w:r>
          </w:p>
        </w:tc>
        <w:tc>
          <w:tcPr>
            <w:tcW w:w="13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15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18,260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4,731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13,529</w:t>
            </w:r>
          </w:p>
        </w:tc>
        <w:tc>
          <w:tcPr>
            <w:tcW w:w="0" w:type="dxa"/>
            <w:vAlign w:val="bottom"/>
          </w:tcPr>
          <w:p>
            <w:pPr>
              <w:spacing w:after="0"/>
              <w:rPr>
                <w:sz w:val="1"/>
                <w:szCs w:val="1"/>
                <w:color w:val="auto"/>
              </w:rPr>
            </w:pPr>
          </w:p>
        </w:tc>
      </w:tr>
      <w:tr>
        <w:trPr>
          <w:trHeight w:val="203"/>
        </w:trPr>
        <w:tc>
          <w:tcPr>
            <w:tcW w:w="5440" w:type="dxa"/>
            <w:vAlign w:val="bottom"/>
          </w:tcPr>
          <w:p>
            <w:pPr>
              <w:ind w:left="20"/>
              <w:spacing w:after="0"/>
              <w:rPr>
                <w:sz w:val="20"/>
                <w:szCs w:val="20"/>
                <w:color w:val="auto"/>
              </w:rPr>
            </w:pPr>
            <w:r>
              <w:rPr>
                <w:rFonts w:ascii="Arial" w:cs="Arial" w:eastAsia="Arial" w:hAnsi="Arial"/>
                <w:sz w:val="15"/>
                <w:szCs w:val="15"/>
                <w:color w:val="auto"/>
              </w:rPr>
              <w:t>Developed technology</w:t>
            </w:r>
          </w:p>
        </w:tc>
        <w:tc>
          <w:tcPr>
            <w:tcW w:w="1380" w:type="dxa"/>
            <w:vAlign w:val="bottom"/>
          </w:tcPr>
          <w:p>
            <w:pPr>
              <w:jc w:val="center"/>
              <w:spacing w:after="0"/>
              <w:rPr>
                <w:sz w:val="20"/>
                <w:szCs w:val="20"/>
                <w:color w:val="auto"/>
              </w:rPr>
            </w:pPr>
            <w:r>
              <w:rPr>
                <w:rFonts w:ascii="Arial" w:cs="Arial" w:eastAsia="Arial" w:hAnsi="Arial"/>
                <w:sz w:val="15"/>
                <w:szCs w:val="15"/>
                <w:color w:val="auto"/>
                <w:w w:val="95"/>
              </w:rPr>
              <w:t>13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152,893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49,406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103,487</w:t>
            </w:r>
          </w:p>
        </w:tc>
        <w:tc>
          <w:tcPr>
            <w:tcW w:w="0" w:type="dxa"/>
            <w:vAlign w:val="bottom"/>
          </w:tcPr>
          <w:p>
            <w:pPr>
              <w:spacing w:after="0"/>
              <w:rPr>
                <w:sz w:val="1"/>
                <w:szCs w:val="1"/>
                <w:color w:val="auto"/>
              </w:rPr>
            </w:pPr>
          </w:p>
        </w:tc>
      </w:tr>
      <w:tr>
        <w:trPr>
          <w:trHeight w:val="209"/>
        </w:trPr>
        <w:tc>
          <w:tcPr>
            <w:tcW w:w="5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Non-compete</w:t>
            </w:r>
          </w:p>
        </w:tc>
        <w:tc>
          <w:tcPr>
            <w:tcW w:w="13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9,100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2,356</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6,744</w:t>
            </w:r>
          </w:p>
        </w:tc>
        <w:tc>
          <w:tcPr>
            <w:tcW w:w="0" w:type="dxa"/>
            <w:vAlign w:val="bottom"/>
          </w:tcPr>
          <w:p>
            <w:pPr>
              <w:spacing w:after="0"/>
              <w:rPr>
                <w:sz w:val="1"/>
                <w:szCs w:val="1"/>
                <w:color w:val="auto"/>
              </w:rPr>
            </w:pPr>
          </w:p>
        </w:tc>
      </w:tr>
      <w:tr>
        <w:trPr>
          <w:trHeight w:val="196"/>
        </w:trPr>
        <w:tc>
          <w:tcPr>
            <w:tcW w:w="5440" w:type="dxa"/>
            <w:vAlign w:val="bottom"/>
          </w:tcPr>
          <w:p>
            <w:pPr>
              <w:ind w:left="140"/>
              <w:spacing w:after="0"/>
              <w:rPr>
                <w:sz w:val="20"/>
                <w:szCs w:val="20"/>
                <w:color w:val="auto"/>
              </w:rPr>
            </w:pPr>
            <w:r>
              <w:rPr>
                <w:rFonts w:ascii="Arial" w:cs="Arial" w:eastAsia="Arial" w:hAnsi="Arial"/>
                <w:sz w:val="15"/>
                <w:szCs w:val="15"/>
                <w:color w:val="auto"/>
              </w:rPr>
              <w:t>Total amortized intangible assets</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275,835</w:t>
            </w:r>
          </w:p>
        </w:tc>
        <w:tc>
          <w:tcPr>
            <w:tcW w:w="10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112,882</w:t>
            </w:r>
          </w:p>
        </w:tc>
        <w:tc>
          <w:tcPr>
            <w:tcW w:w="120" w:type="dxa"/>
            <w:vAlign w:val="bottom"/>
          </w:tcPr>
          <w:p>
            <w:pPr>
              <w:spacing w:after="0"/>
              <w:rPr>
                <w:sz w:val="17"/>
                <w:szCs w:val="17"/>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162,953</w:t>
            </w:r>
          </w:p>
        </w:tc>
        <w:tc>
          <w:tcPr>
            <w:tcW w:w="0" w:type="dxa"/>
            <w:vAlign w:val="bottom"/>
          </w:tcPr>
          <w:p>
            <w:pPr>
              <w:spacing w:after="0"/>
              <w:rPr>
                <w:sz w:val="1"/>
                <w:szCs w:val="1"/>
                <w:color w:val="auto"/>
              </w:rPr>
            </w:pPr>
          </w:p>
        </w:tc>
      </w:tr>
      <w:tr>
        <w:trPr>
          <w:trHeight w:val="248"/>
        </w:trPr>
        <w:tc>
          <w:tcPr>
            <w:tcW w:w="54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440" w:type="dxa"/>
            <w:vAlign w:val="bottom"/>
          </w:tcPr>
          <w:p>
            <w:pPr>
              <w:ind w:left="20"/>
              <w:spacing w:after="0"/>
              <w:rPr>
                <w:sz w:val="20"/>
                <w:szCs w:val="20"/>
                <w:color w:val="auto"/>
              </w:rPr>
            </w:pPr>
            <w:r>
              <w:rPr>
                <w:rFonts w:ascii="Arial" w:cs="Arial" w:eastAsia="Arial" w:hAnsi="Arial"/>
                <w:sz w:val="15"/>
                <w:szCs w:val="15"/>
                <w:color w:val="auto"/>
              </w:rPr>
              <w:t>Internally developed software*</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25,358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25,358</w:t>
            </w:r>
          </w:p>
        </w:tc>
        <w:tc>
          <w:tcPr>
            <w:tcW w:w="0" w:type="dxa"/>
            <w:vAlign w:val="bottom"/>
          </w:tcPr>
          <w:p>
            <w:pPr>
              <w:spacing w:after="0"/>
              <w:rPr>
                <w:sz w:val="1"/>
                <w:szCs w:val="1"/>
                <w:color w:val="auto"/>
              </w:rPr>
            </w:pPr>
          </w:p>
        </w:tc>
      </w:tr>
      <w:tr>
        <w:trPr>
          <w:trHeight w:val="248"/>
        </w:trPr>
        <w:tc>
          <w:tcPr>
            <w:tcW w:w="54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5440" w:type="dxa"/>
            <w:vAlign w:val="bottom"/>
          </w:tcPr>
          <w:p>
            <w:pPr>
              <w:ind w:left="140"/>
              <w:spacing w:after="0"/>
              <w:rPr>
                <w:sz w:val="20"/>
                <w:szCs w:val="20"/>
                <w:color w:val="auto"/>
              </w:rPr>
            </w:pPr>
            <w:r>
              <w:rPr>
                <w:rFonts w:ascii="Arial" w:cs="Arial" w:eastAsia="Arial" w:hAnsi="Arial"/>
                <w:sz w:val="15"/>
                <w:szCs w:val="15"/>
                <w:color w:val="auto"/>
              </w:rPr>
              <w:t>Total intangible assets</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301,193</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112,882</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188,311</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7"/>
                <w:szCs w:val="17"/>
                <w:color w:val="auto"/>
              </w:rPr>
              <w:t>______________________________</w:t>
            </w: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544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120" w:hanging="117"/>
        <w:spacing w:after="0"/>
        <w:tabs>
          <w:tab w:leader="none" w:pos="120" w:val="left"/>
        </w:tabs>
        <w:numPr>
          <w:ilvl w:val="0"/>
          <w:numId w:val="17"/>
        </w:numPr>
        <w:rPr>
          <w:rFonts w:ascii="Arial" w:cs="Arial" w:eastAsia="Arial" w:hAnsi="Arial"/>
          <w:sz w:val="17"/>
          <w:szCs w:val="17"/>
          <w:color w:val="auto"/>
        </w:rPr>
      </w:pPr>
      <w:r>
        <w:rPr>
          <w:rFonts w:ascii="Arial" w:cs="Arial" w:eastAsia="Arial" w:hAnsi="Arial"/>
          <w:sz w:val="15"/>
          <w:szCs w:val="15"/>
          <w:color w:val="auto"/>
        </w:rPr>
        <w:t>Internally developed software will be amortized when the projects are complete and the assets are ready for their intended use.</w:t>
      </w:r>
    </w:p>
    <w:p>
      <w:pPr>
        <w:spacing w:after="0" w:line="226"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Intangible assets with definite lives are amortized on a straight-line basis over their estimated useful lives. During the three months ended March 31, 2022 and 2021, intangible asset amortization expense was $31.7 million and $5.8 million, respectively.</w:t>
      </w:r>
    </w:p>
    <w:p>
      <w:pPr>
        <w:spacing w:after="0" w:line="190" w:lineRule="exact"/>
        <w:rPr>
          <w:sz w:val="20"/>
          <w:szCs w:val="20"/>
          <w:color w:val="auto"/>
        </w:rPr>
      </w:pPr>
    </w:p>
    <w:p>
      <w:pPr>
        <w:ind w:right="400" w:firstLine="619"/>
        <w:spacing w:after="0" w:line="279" w:lineRule="auto"/>
        <w:rPr>
          <w:sz w:val="20"/>
          <w:szCs w:val="20"/>
          <w:color w:val="auto"/>
        </w:rPr>
      </w:pPr>
      <w:r>
        <w:rPr>
          <w:rFonts w:ascii="Arial" w:cs="Arial" w:eastAsia="Arial" w:hAnsi="Arial"/>
          <w:sz w:val="17"/>
          <w:szCs w:val="17"/>
          <w:color w:val="auto"/>
        </w:rPr>
        <w:t>During the quarter ended March 31, 2022, intangible assets and related amortization expense increased significantly due to the acquisition of Smiths Medical (see Note 3: Acquisitions).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31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As of March 31, 2022 estimated annual amortization for our intangible assets for each of the next five years is approximately (in thousands):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Remainder of 2022</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104,564</w:t>
            </w:r>
          </w:p>
        </w:tc>
        <w:tc>
          <w:tcPr>
            <w:tcW w:w="0" w:type="dxa"/>
            <w:vAlign w:val="bottom"/>
          </w:tcPr>
          <w:p>
            <w:pPr>
              <w:spacing w:after="0"/>
              <w:rPr>
                <w:sz w:val="1"/>
                <w:szCs w:val="1"/>
                <w:color w:val="auto"/>
              </w:rPr>
            </w:pPr>
          </w:p>
        </w:tc>
      </w:tr>
      <w:tr>
        <w:trPr>
          <w:trHeight w:val="218"/>
        </w:trPr>
        <w:tc>
          <w:tcPr>
            <w:tcW w:w="7560" w:type="dxa"/>
            <w:vAlign w:val="bottom"/>
          </w:tcPr>
          <w:p>
            <w:pPr>
              <w:ind w:left="20"/>
              <w:spacing w:after="0"/>
              <w:rPr>
                <w:sz w:val="20"/>
                <w:szCs w:val="20"/>
                <w:color w:val="auto"/>
              </w:rPr>
            </w:pPr>
            <w:r>
              <w:rPr>
                <w:rFonts w:ascii="Arial" w:cs="Arial" w:eastAsia="Arial" w:hAnsi="Arial"/>
                <w:sz w:val="17"/>
                <w:szCs w:val="17"/>
                <w:color w:val="auto"/>
              </w:rPr>
              <w:t>2023</w:t>
            </w: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132,855</w:t>
            </w:r>
          </w:p>
        </w:tc>
        <w:tc>
          <w:tcPr>
            <w:tcW w:w="0" w:type="dxa"/>
            <w:vAlign w:val="bottom"/>
          </w:tcPr>
          <w:p>
            <w:pPr>
              <w:spacing w:after="0"/>
              <w:rPr>
                <w:sz w:val="1"/>
                <w:szCs w:val="1"/>
                <w:color w:val="auto"/>
              </w:rPr>
            </w:pPr>
          </w:p>
        </w:tc>
      </w:tr>
      <w:tr>
        <w:trPr>
          <w:trHeight w:val="220"/>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132,216</w:t>
            </w:r>
          </w:p>
        </w:tc>
        <w:tc>
          <w:tcPr>
            <w:tcW w:w="0" w:type="dxa"/>
            <w:vAlign w:val="bottom"/>
          </w:tcPr>
          <w:p>
            <w:pPr>
              <w:spacing w:after="0"/>
              <w:rPr>
                <w:sz w:val="1"/>
                <w:szCs w:val="1"/>
                <w:color w:val="auto"/>
              </w:rPr>
            </w:pPr>
          </w:p>
        </w:tc>
      </w:tr>
      <w:tr>
        <w:trPr>
          <w:trHeight w:val="218"/>
        </w:trPr>
        <w:tc>
          <w:tcPr>
            <w:tcW w:w="7560" w:type="dxa"/>
            <w:vAlign w:val="bottom"/>
          </w:tcPr>
          <w:p>
            <w:pPr>
              <w:ind w:left="20"/>
              <w:spacing w:after="0"/>
              <w:rPr>
                <w:sz w:val="20"/>
                <w:szCs w:val="20"/>
                <w:color w:val="auto"/>
              </w:rPr>
            </w:pPr>
            <w:r>
              <w:rPr>
                <w:rFonts w:ascii="Arial" w:cs="Arial" w:eastAsia="Arial" w:hAnsi="Arial"/>
                <w:sz w:val="17"/>
                <w:szCs w:val="17"/>
                <w:color w:val="auto"/>
              </w:rPr>
              <w:t>2025</w:t>
            </w: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124,744</w:t>
            </w:r>
          </w:p>
        </w:tc>
        <w:tc>
          <w:tcPr>
            <w:tcW w:w="0" w:type="dxa"/>
            <w:vAlign w:val="bottom"/>
          </w:tcPr>
          <w:p>
            <w:pPr>
              <w:spacing w:after="0"/>
              <w:rPr>
                <w:sz w:val="1"/>
                <w:szCs w:val="1"/>
                <w:color w:val="auto"/>
              </w:rPr>
            </w:pPr>
          </w:p>
        </w:tc>
      </w:tr>
      <w:tr>
        <w:trPr>
          <w:trHeight w:val="220"/>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123,989</w:t>
            </w:r>
          </w:p>
        </w:tc>
        <w:tc>
          <w:tcPr>
            <w:tcW w:w="0" w:type="dxa"/>
            <w:vAlign w:val="bottom"/>
          </w:tcPr>
          <w:p>
            <w:pPr>
              <w:spacing w:after="0"/>
              <w:rPr>
                <w:sz w:val="1"/>
                <w:szCs w:val="1"/>
                <w:color w:val="auto"/>
              </w:rPr>
            </w:pPr>
          </w:p>
        </w:tc>
      </w:tr>
      <w:tr>
        <w:trPr>
          <w:trHeight w:val="218"/>
        </w:trPr>
        <w:tc>
          <w:tcPr>
            <w:tcW w:w="7560" w:type="dxa"/>
            <w:vAlign w:val="bottom"/>
          </w:tcPr>
          <w:p>
            <w:pPr>
              <w:ind w:left="20"/>
              <w:spacing w:after="0"/>
              <w:rPr>
                <w:sz w:val="20"/>
                <w:szCs w:val="20"/>
                <w:color w:val="auto"/>
              </w:rPr>
            </w:pPr>
            <w:r>
              <w:rPr>
                <w:rFonts w:ascii="Arial" w:cs="Arial" w:eastAsia="Arial" w:hAnsi="Arial"/>
                <w:sz w:val="17"/>
                <w:szCs w:val="17"/>
                <w:color w:val="auto"/>
              </w:rPr>
              <w:t>2027</w:t>
            </w: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116,092</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Thereafter</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333,088</w:t>
            </w:r>
          </w:p>
        </w:tc>
        <w:tc>
          <w:tcPr>
            <w:tcW w:w="0" w:type="dxa"/>
            <w:vAlign w:val="bottom"/>
          </w:tcPr>
          <w:p>
            <w:pPr>
              <w:spacing w:after="0"/>
              <w:rPr>
                <w:sz w:val="1"/>
                <w:szCs w:val="1"/>
                <w:color w:val="auto"/>
              </w:rPr>
            </w:pPr>
          </w:p>
        </w:tc>
      </w:tr>
      <w:tr>
        <w:trPr>
          <w:trHeight w:val="213"/>
        </w:trPr>
        <w:tc>
          <w:tcPr>
            <w:tcW w:w="7560" w:type="dxa"/>
            <w:vAlign w:val="bottom"/>
          </w:tcPr>
          <w:p>
            <w:pPr>
              <w:ind w:left="140"/>
              <w:spacing w:after="0"/>
              <w:rPr>
                <w:sz w:val="20"/>
                <w:szCs w:val="20"/>
                <w:color w:val="auto"/>
              </w:rPr>
            </w:pPr>
            <w:r>
              <w:rPr>
                <w:rFonts w:ascii="Arial" w:cs="Arial" w:eastAsia="Arial" w:hAnsi="Arial"/>
                <w:sz w:val="17"/>
                <w:szCs w:val="17"/>
                <w:color w:val="auto"/>
              </w:rPr>
              <w:t>Total</w:t>
            </w: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1,067,548</w:t>
            </w:r>
          </w:p>
        </w:tc>
        <w:tc>
          <w:tcPr>
            <w:tcW w:w="0" w:type="dxa"/>
            <w:vAlign w:val="bottom"/>
          </w:tcPr>
          <w:p>
            <w:pPr>
              <w:spacing w:after="0"/>
              <w:rPr>
                <w:sz w:val="1"/>
                <w:szCs w:val="1"/>
                <w:color w:val="auto"/>
              </w:rPr>
            </w:pPr>
          </w:p>
        </w:tc>
      </w:tr>
      <w:tr>
        <w:trPr>
          <w:trHeight w:val="20"/>
        </w:trPr>
        <w:tc>
          <w:tcPr>
            <w:tcW w:w="7560" w:type="dxa"/>
            <w:vAlign w:val="bottom"/>
            <w:vMerge w:val="restart"/>
          </w:tcPr>
          <w:p>
            <w:pPr>
              <w:spacing w:after="0"/>
              <w:rPr>
                <w:sz w:val="20"/>
                <w:szCs w:val="20"/>
                <w:color w:val="auto"/>
              </w:rPr>
            </w:pPr>
            <w:r>
              <w:rPr>
                <w:rFonts w:ascii="Arial" w:cs="Arial" w:eastAsia="Arial" w:hAnsi="Arial"/>
                <w:sz w:val="17"/>
                <w:szCs w:val="17"/>
                <w:b w:val="1"/>
                <w:bCs w:val="1"/>
                <w:color w:val="auto"/>
              </w:rPr>
              <w:t>Note 15:   Accrued Liabilities and Other Long-Term Liabilities</w:t>
            </w:r>
          </w:p>
        </w:tc>
        <w:tc>
          <w:tcPr>
            <w:tcW w:w="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75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7560" w:type="dxa"/>
            <w:vAlign w:val="bottom"/>
          </w:tcPr>
          <w:p>
            <w:pPr>
              <w:ind w:left="160"/>
              <w:spacing w:after="0"/>
              <w:rPr>
                <w:sz w:val="20"/>
                <w:szCs w:val="20"/>
                <w:color w:val="auto"/>
              </w:rPr>
            </w:pPr>
            <w:r>
              <w:rPr>
                <w:rFonts w:ascii="Arial" w:cs="Arial" w:eastAsia="Arial" w:hAnsi="Arial"/>
                <w:sz w:val="17"/>
                <w:szCs w:val="17"/>
                <w:color w:val="auto"/>
              </w:rPr>
              <w:t>Accrued liabilities consist of the following (in thousands):</w:t>
            </w: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75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As of</w:t>
            </w: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7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2"/>
          </w:tcPr>
          <w:p>
            <w:pPr>
              <w:ind w:left="140"/>
              <w:spacing w:after="0"/>
              <w:rPr>
                <w:sz w:val="20"/>
                <w:szCs w:val="20"/>
                <w:color w:val="auto"/>
              </w:rPr>
            </w:pPr>
            <w:r>
              <w:rPr>
                <w:rFonts w:ascii="Arial" w:cs="Arial" w:eastAsia="Arial" w:hAnsi="Arial"/>
                <w:sz w:val="15"/>
                <w:szCs w:val="15"/>
                <w:b w:val="1"/>
                <w:bCs w:val="1"/>
                <w:color w:val="auto"/>
              </w:rPr>
              <w:t>March 31, 2022</w:t>
            </w:r>
          </w:p>
        </w:tc>
        <w:tc>
          <w:tcPr>
            <w:tcW w:w="180" w:type="dxa"/>
            <w:vAlign w:val="bottom"/>
          </w:tcPr>
          <w:p>
            <w:pPr>
              <w:spacing w:after="0"/>
              <w:rPr>
                <w:sz w:val="17"/>
                <w:szCs w:val="17"/>
                <w:color w:val="auto"/>
              </w:rPr>
            </w:pPr>
          </w:p>
        </w:tc>
        <w:tc>
          <w:tcPr>
            <w:tcW w:w="1600" w:type="dxa"/>
            <w:vAlign w:val="bottom"/>
          </w:tcPr>
          <w:p>
            <w:pPr>
              <w:jc w:val="right"/>
              <w:ind w:right="174"/>
              <w:spacing w:after="0"/>
              <w:rPr>
                <w:sz w:val="20"/>
                <w:szCs w:val="20"/>
                <w:color w:val="auto"/>
              </w:rPr>
            </w:pPr>
            <w:r>
              <w:rPr>
                <w:rFonts w:ascii="Arial" w:cs="Arial" w:eastAsia="Arial" w:hAnsi="Arial"/>
                <w:sz w:val="15"/>
                <w:szCs w:val="15"/>
                <w:b w:val="1"/>
                <w:bCs w:val="1"/>
                <w:color w:val="auto"/>
                <w:w w:val="97"/>
              </w:rPr>
              <w:t>December 31, 2021</w:t>
            </w:r>
          </w:p>
        </w:tc>
        <w:tc>
          <w:tcPr>
            <w:tcW w:w="0" w:type="dxa"/>
            <w:vAlign w:val="bottom"/>
          </w:tcPr>
          <w:p>
            <w:pPr>
              <w:spacing w:after="0"/>
              <w:rPr>
                <w:sz w:val="1"/>
                <w:szCs w:val="1"/>
                <w:color w:val="auto"/>
              </w:rPr>
            </w:pPr>
          </w:p>
        </w:tc>
      </w:tr>
      <w:tr>
        <w:trPr>
          <w:trHeight w:val="214"/>
        </w:trPr>
        <w:tc>
          <w:tcPr>
            <w:tcW w:w="7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Salaries and benefits</w:t>
            </w: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47,604</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27,304</w:t>
            </w:r>
          </w:p>
        </w:tc>
        <w:tc>
          <w:tcPr>
            <w:tcW w:w="0" w:type="dxa"/>
            <w:vAlign w:val="bottom"/>
          </w:tcPr>
          <w:p>
            <w:pPr>
              <w:spacing w:after="0"/>
              <w:rPr>
                <w:sz w:val="1"/>
                <w:szCs w:val="1"/>
                <w:color w:val="auto"/>
              </w:rPr>
            </w:pPr>
          </w:p>
        </w:tc>
      </w:tr>
      <w:tr>
        <w:trPr>
          <w:trHeight w:val="218"/>
        </w:trPr>
        <w:tc>
          <w:tcPr>
            <w:tcW w:w="7560" w:type="dxa"/>
            <w:vAlign w:val="bottom"/>
          </w:tcPr>
          <w:p>
            <w:pPr>
              <w:ind w:left="20"/>
              <w:spacing w:after="0"/>
              <w:rPr>
                <w:sz w:val="20"/>
                <w:szCs w:val="20"/>
                <w:color w:val="auto"/>
              </w:rPr>
            </w:pPr>
            <w:r>
              <w:rPr>
                <w:rFonts w:ascii="Arial" w:cs="Arial" w:eastAsia="Arial" w:hAnsi="Arial"/>
                <w:sz w:val="17"/>
                <w:szCs w:val="17"/>
                <w:color w:val="auto"/>
              </w:rPr>
              <w:t>Incentive compensation</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19,930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33,107</w:t>
            </w:r>
          </w:p>
        </w:tc>
        <w:tc>
          <w:tcPr>
            <w:tcW w:w="0" w:type="dxa"/>
            <w:vAlign w:val="bottom"/>
          </w:tcPr>
          <w:p>
            <w:pPr>
              <w:spacing w:after="0"/>
              <w:rPr>
                <w:sz w:val="1"/>
                <w:szCs w:val="1"/>
                <w:color w:val="auto"/>
              </w:rPr>
            </w:pPr>
          </w:p>
        </w:tc>
      </w:tr>
      <w:tr>
        <w:trPr>
          <w:trHeight w:val="220"/>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liability-ST</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20,786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9,009</w:t>
            </w:r>
          </w:p>
        </w:tc>
        <w:tc>
          <w:tcPr>
            <w:tcW w:w="0" w:type="dxa"/>
            <w:vAlign w:val="bottom"/>
          </w:tcPr>
          <w:p>
            <w:pPr>
              <w:spacing w:after="0"/>
              <w:rPr>
                <w:sz w:val="1"/>
                <w:szCs w:val="1"/>
                <w:color w:val="auto"/>
              </w:rPr>
            </w:pPr>
          </w:p>
        </w:tc>
      </w:tr>
      <w:tr>
        <w:trPr>
          <w:trHeight w:val="218"/>
        </w:trPr>
        <w:tc>
          <w:tcPr>
            <w:tcW w:w="7560" w:type="dxa"/>
            <w:vAlign w:val="bottom"/>
          </w:tcPr>
          <w:p>
            <w:pPr>
              <w:ind w:left="20"/>
              <w:spacing w:after="0"/>
              <w:rPr>
                <w:sz w:val="20"/>
                <w:szCs w:val="20"/>
                <w:color w:val="auto"/>
              </w:rPr>
            </w:pPr>
            <w:r>
              <w:rPr>
                <w:rFonts w:ascii="Arial" w:cs="Arial" w:eastAsia="Arial" w:hAnsi="Arial"/>
                <w:sz w:val="17"/>
                <w:szCs w:val="17"/>
                <w:color w:val="auto"/>
              </w:rPr>
              <w:t>Accrued sales taxes</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7,491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1,980</w:t>
            </w:r>
          </w:p>
        </w:tc>
        <w:tc>
          <w:tcPr>
            <w:tcW w:w="0" w:type="dxa"/>
            <w:vAlign w:val="bottom"/>
          </w:tcPr>
          <w:p>
            <w:pPr>
              <w:spacing w:after="0"/>
              <w:rPr>
                <w:sz w:val="1"/>
                <w:szCs w:val="1"/>
                <w:color w:val="auto"/>
              </w:rPr>
            </w:pPr>
          </w:p>
        </w:tc>
      </w:tr>
      <w:tr>
        <w:trPr>
          <w:trHeight w:val="220"/>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Restructuring accrual</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664</w:t>
            </w:r>
          </w:p>
        </w:tc>
        <w:tc>
          <w:tcPr>
            <w:tcW w:w="0" w:type="dxa"/>
            <w:vAlign w:val="bottom"/>
          </w:tcPr>
          <w:p>
            <w:pPr>
              <w:spacing w:after="0"/>
              <w:rPr>
                <w:sz w:val="1"/>
                <w:szCs w:val="1"/>
                <w:color w:val="auto"/>
              </w:rPr>
            </w:pPr>
          </w:p>
        </w:tc>
      </w:tr>
      <w:tr>
        <w:trPr>
          <w:trHeight w:val="218"/>
        </w:trPr>
        <w:tc>
          <w:tcPr>
            <w:tcW w:w="7560" w:type="dxa"/>
            <w:vAlign w:val="bottom"/>
          </w:tcPr>
          <w:p>
            <w:pPr>
              <w:ind w:left="20"/>
              <w:spacing w:after="0"/>
              <w:rPr>
                <w:sz w:val="20"/>
                <w:szCs w:val="20"/>
                <w:color w:val="auto"/>
              </w:rPr>
            </w:pPr>
            <w:r>
              <w:rPr>
                <w:rFonts w:ascii="Arial" w:cs="Arial" w:eastAsia="Arial" w:hAnsi="Arial"/>
                <w:sz w:val="17"/>
                <w:szCs w:val="17"/>
                <w:color w:val="auto"/>
              </w:rPr>
              <w:t>Deferred revenue</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40,870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12,646</w:t>
            </w:r>
          </w:p>
        </w:tc>
        <w:tc>
          <w:tcPr>
            <w:tcW w:w="0" w:type="dxa"/>
            <w:vAlign w:val="bottom"/>
          </w:tcPr>
          <w:p>
            <w:pPr>
              <w:spacing w:after="0"/>
              <w:rPr>
                <w:sz w:val="1"/>
                <w:szCs w:val="1"/>
                <w:color w:val="auto"/>
              </w:rPr>
            </w:pPr>
          </w:p>
        </w:tc>
      </w:tr>
      <w:tr>
        <w:trPr>
          <w:trHeight w:val="220"/>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other taxes</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4,337</w:t>
            </w:r>
          </w:p>
        </w:tc>
        <w:tc>
          <w:tcPr>
            <w:tcW w:w="0" w:type="dxa"/>
            <w:vAlign w:val="bottom"/>
          </w:tcPr>
          <w:p>
            <w:pPr>
              <w:spacing w:after="0"/>
              <w:rPr>
                <w:sz w:val="1"/>
                <w:szCs w:val="1"/>
                <w:color w:val="auto"/>
              </w:rPr>
            </w:pPr>
          </w:p>
        </w:tc>
      </w:tr>
      <w:tr>
        <w:trPr>
          <w:trHeight w:val="218"/>
        </w:trPr>
        <w:tc>
          <w:tcPr>
            <w:tcW w:w="7560" w:type="dxa"/>
            <w:vAlign w:val="bottom"/>
          </w:tcPr>
          <w:p>
            <w:pPr>
              <w:ind w:left="20"/>
              <w:spacing w:after="0"/>
              <w:rPr>
                <w:sz w:val="20"/>
                <w:szCs w:val="20"/>
                <w:color w:val="auto"/>
              </w:rPr>
            </w:pPr>
            <w:r>
              <w:rPr>
                <w:rFonts w:ascii="Arial" w:cs="Arial" w:eastAsia="Arial" w:hAnsi="Arial"/>
                <w:sz w:val="17"/>
                <w:szCs w:val="17"/>
                <w:color w:val="auto"/>
              </w:rPr>
              <w:t>Accrued professional fees</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16,608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773</w:t>
            </w:r>
          </w:p>
        </w:tc>
        <w:tc>
          <w:tcPr>
            <w:tcW w:w="0" w:type="dxa"/>
            <w:vAlign w:val="bottom"/>
          </w:tcPr>
          <w:p>
            <w:pPr>
              <w:spacing w:after="0"/>
              <w:rPr>
                <w:sz w:val="1"/>
                <w:szCs w:val="1"/>
                <w:color w:val="auto"/>
              </w:rPr>
            </w:pPr>
          </w:p>
        </w:tc>
      </w:tr>
      <w:tr>
        <w:trPr>
          <w:trHeight w:val="220"/>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Legal accrual</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3,216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3,897</w:t>
            </w:r>
          </w:p>
        </w:tc>
        <w:tc>
          <w:tcPr>
            <w:tcW w:w="0" w:type="dxa"/>
            <w:vAlign w:val="bottom"/>
          </w:tcPr>
          <w:p>
            <w:pPr>
              <w:spacing w:after="0"/>
              <w:rPr>
                <w:sz w:val="1"/>
                <w:szCs w:val="1"/>
                <w:color w:val="auto"/>
              </w:rPr>
            </w:pPr>
          </w:p>
        </w:tc>
      </w:tr>
      <w:tr>
        <w:trPr>
          <w:trHeight w:val="218"/>
        </w:trPr>
        <w:tc>
          <w:tcPr>
            <w:tcW w:w="7560" w:type="dxa"/>
            <w:vAlign w:val="bottom"/>
          </w:tcPr>
          <w:p>
            <w:pPr>
              <w:ind w:left="20"/>
              <w:spacing w:after="0"/>
              <w:rPr>
                <w:sz w:val="20"/>
                <w:szCs w:val="20"/>
                <w:color w:val="auto"/>
              </w:rPr>
            </w:pPr>
            <w:r>
              <w:rPr>
                <w:rFonts w:ascii="Arial" w:cs="Arial" w:eastAsia="Arial" w:hAnsi="Arial"/>
                <w:sz w:val="17"/>
                <w:szCs w:val="17"/>
                <w:color w:val="auto"/>
              </w:rPr>
              <w:t>Distribution fees</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21,084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5,645</w:t>
            </w:r>
          </w:p>
        </w:tc>
        <w:tc>
          <w:tcPr>
            <w:tcW w:w="0" w:type="dxa"/>
            <w:vAlign w:val="bottom"/>
          </w:tcPr>
          <w:p>
            <w:pPr>
              <w:spacing w:after="0"/>
              <w:rPr>
                <w:sz w:val="1"/>
                <w:szCs w:val="1"/>
                <w:color w:val="auto"/>
              </w:rPr>
            </w:pPr>
          </w:p>
        </w:tc>
      </w:tr>
      <w:tr>
        <w:trPr>
          <w:trHeight w:val="220"/>
        </w:trPr>
        <w:tc>
          <w:tcPr>
            <w:tcW w:w="756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Warranties and returns</w:t>
            </w:r>
            <w:r>
              <w:rPr>
                <w:rFonts w:ascii="Arial" w:cs="Arial" w:eastAsia="Arial" w:hAnsi="Arial"/>
                <w:sz w:val="22"/>
                <w:szCs w:val="22"/>
                <w:color w:val="auto"/>
                <w:vertAlign w:val="superscript"/>
              </w:rPr>
              <w:t>(1)</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31,857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532</w:t>
            </w:r>
          </w:p>
        </w:tc>
        <w:tc>
          <w:tcPr>
            <w:tcW w:w="0" w:type="dxa"/>
            <w:vAlign w:val="bottom"/>
          </w:tcPr>
          <w:p>
            <w:pPr>
              <w:spacing w:after="0"/>
              <w:rPr>
                <w:sz w:val="1"/>
                <w:szCs w:val="1"/>
                <w:color w:val="auto"/>
              </w:rPr>
            </w:pPr>
          </w:p>
        </w:tc>
      </w:tr>
      <w:tr>
        <w:trPr>
          <w:trHeight w:val="218"/>
        </w:trPr>
        <w:tc>
          <w:tcPr>
            <w:tcW w:w="7560" w:type="dxa"/>
            <w:vAlign w:val="bottom"/>
          </w:tcPr>
          <w:p>
            <w:pPr>
              <w:ind w:left="20"/>
              <w:spacing w:after="0"/>
              <w:rPr>
                <w:sz w:val="20"/>
                <w:szCs w:val="20"/>
                <w:color w:val="auto"/>
              </w:rPr>
            </w:pPr>
            <w:r>
              <w:rPr>
                <w:rFonts w:ascii="Arial" w:cs="Arial" w:eastAsia="Arial" w:hAnsi="Arial"/>
                <w:sz w:val="17"/>
                <w:szCs w:val="17"/>
                <w:color w:val="auto"/>
              </w:rPr>
              <w:t>Accrued freight</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10,285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9,194</w:t>
            </w:r>
          </w:p>
        </w:tc>
        <w:tc>
          <w:tcPr>
            <w:tcW w:w="0" w:type="dxa"/>
            <w:vAlign w:val="bottom"/>
          </w:tcPr>
          <w:p>
            <w:pPr>
              <w:spacing w:after="0"/>
              <w:rPr>
                <w:sz w:val="1"/>
                <w:szCs w:val="1"/>
                <w:color w:val="auto"/>
              </w:rPr>
            </w:pPr>
          </w:p>
        </w:tc>
      </w:tr>
      <w:tr>
        <w:trPr>
          <w:trHeight w:val="220"/>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Foreign exchange contracts</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7560" w:type="dxa"/>
            <w:vAlign w:val="bottom"/>
          </w:tcPr>
          <w:p>
            <w:pPr>
              <w:ind w:left="20"/>
              <w:spacing w:after="0"/>
              <w:rPr>
                <w:sz w:val="20"/>
                <w:szCs w:val="20"/>
                <w:color w:val="auto"/>
              </w:rPr>
            </w:pPr>
            <w:r>
              <w:rPr>
                <w:rFonts w:ascii="Arial" w:cs="Arial" w:eastAsia="Arial" w:hAnsi="Arial"/>
                <w:sz w:val="17"/>
                <w:szCs w:val="17"/>
                <w:color w:val="auto"/>
              </w:rPr>
              <w:t>Acquired restructuring liability</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6,775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transaction/integration costs</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8,982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7560" w:type="dxa"/>
            <w:vAlign w:val="bottom"/>
          </w:tcPr>
          <w:p>
            <w:pPr>
              <w:ind w:left="20"/>
              <w:spacing w:after="0"/>
              <w:rPr>
                <w:sz w:val="20"/>
                <w:szCs w:val="20"/>
                <w:color w:val="auto"/>
              </w:rPr>
            </w:pPr>
            <w:r>
              <w:rPr>
                <w:rFonts w:ascii="Arial" w:cs="Arial" w:eastAsia="Arial" w:hAnsi="Arial"/>
                <w:sz w:val="17"/>
                <w:szCs w:val="17"/>
                <w:color w:val="auto"/>
              </w:rPr>
              <w:t>Accrued audit fees</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3,187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1,008</w:t>
            </w:r>
          </w:p>
        </w:tc>
        <w:tc>
          <w:tcPr>
            <w:tcW w:w="0" w:type="dxa"/>
            <w:vAlign w:val="bottom"/>
          </w:tcPr>
          <w:p>
            <w:pPr>
              <w:spacing w:after="0"/>
              <w:rPr>
                <w:sz w:val="1"/>
                <w:szCs w:val="1"/>
                <w:color w:val="auto"/>
              </w:rPr>
            </w:pPr>
          </w:p>
        </w:tc>
      </w:tr>
      <w:tr>
        <w:trPr>
          <w:trHeight w:val="220"/>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Defined benefit plan</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15,371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8,099</w:t>
            </w:r>
          </w:p>
        </w:tc>
        <w:tc>
          <w:tcPr>
            <w:tcW w:w="0" w:type="dxa"/>
            <w:vAlign w:val="bottom"/>
          </w:tcPr>
          <w:p>
            <w:pPr>
              <w:spacing w:after="0"/>
              <w:rPr>
                <w:sz w:val="1"/>
                <w:szCs w:val="1"/>
                <w:color w:val="auto"/>
              </w:rPr>
            </w:pPr>
          </w:p>
        </w:tc>
      </w:tr>
      <w:tr>
        <w:trPr>
          <w:trHeight w:val="237"/>
        </w:trPr>
        <w:tc>
          <w:tcPr>
            <w:tcW w:w="75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261,820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118,195</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w:t>
      </w:r>
    </w:p>
    <w:p>
      <w:pPr>
        <w:spacing w:after="0" w:line="105" w:lineRule="exact"/>
        <w:rPr>
          <w:sz w:val="20"/>
          <w:szCs w:val="20"/>
          <w:color w:val="auto"/>
        </w:rPr>
      </w:pPr>
    </w:p>
    <w:p>
      <w:pPr>
        <w:ind w:left="320" w:right="160" w:hanging="317"/>
        <w:spacing w:after="0" w:line="224" w:lineRule="auto"/>
        <w:tabs>
          <w:tab w:leader="none" w:pos="253" w:val="left"/>
        </w:tabs>
        <w:numPr>
          <w:ilvl w:val="0"/>
          <w:numId w:val="18"/>
        </w:numPr>
        <w:rPr>
          <w:rFonts w:ascii="Arial" w:cs="Arial" w:eastAsia="Arial" w:hAnsi="Arial"/>
          <w:sz w:val="20"/>
          <w:szCs w:val="20"/>
          <w:color w:val="auto"/>
          <w:vertAlign w:val="superscript"/>
        </w:rPr>
      </w:pPr>
      <w:r>
        <w:rPr>
          <w:rFonts w:ascii="Arial" w:cs="Arial" w:eastAsia="Arial" w:hAnsi="Arial"/>
          <w:sz w:val="15"/>
          <w:szCs w:val="15"/>
          <w:color w:val="auto"/>
        </w:rPr>
        <w:t>Includes $31.3 million of estimated remediation costs related to a 2021 Warning Letter received by Smiths Medical from the FDA following an inspection of Smiths Medical’s Oakdale, Minnesota Facility, see Note 19: Commitments and Contingencies for further detail.</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Other long-term liabilities consist of the following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5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As of</w:t>
            </w:r>
          </w:p>
        </w:tc>
        <w:tc>
          <w:tcPr>
            <w:tcW w:w="1600" w:type="dxa"/>
            <w:vAlign w:val="bottom"/>
            <w:tcBorders>
              <w:bottom w:val="single" w:sz="8" w:color="auto"/>
            </w:tcBorders>
          </w:tcPr>
          <w:p>
            <w:pPr>
              <w:spacing w:after="0"/>
              <w:rPr>
                <w:sz w:val="17"/>
                <w:szCs w:val="17"/>
                <w:color w:val="auto"/>
              </w:rPr>
            </w:pPr>
          </w:p>
        </w:tc>
      </w:tr>
      <w:tr>
        <w:trPr>
          <w:trHeight w:val="200"/>
        </w:trPr>
        <w:tc>
          <w:tcPr>
            <w:tcW w:w="7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2"/>
          </w:tcPr>
          <w:p>
            <w:pPr>
              <w:ind w:left="140"/>
              <w:spacing w:after="0"/>
              <w:rPr>
                <w:sz w:val="20"/>
                <w:szCs w:val="20"/>
                <w:color w:val="auto"/>
              </w:rPr>
            </w:pPr>
            <w:r>
              <w:rPr>
                <w:rFonts w:ascii="Arial" w:cs="Arial" w:eastAsia="Arial" w:hAnsi="Arial"/>
                <w:sz w:val="15"/>
                <w:szCs w:val="15"/>
                <w:b w:val="1"/>
                <w:bCs w:val="1"/>
                <w:color w:val="auto"/>
              </w:rPr>
              <w:t>March 31, 2022</w:t>
            </w:r>
          </w:p>
        </w:tc>
        <w:tc>
          <w:tcPr>
            <w:tcW w:w="180" w:type="dxa"/>
            <w:vAlign w:val="bottom"/>
          </w:tcPr>
          <w:p>
            <w:pPr>
              <w:spacing w:after="0"/>
              <w:rPr>
                <w:sz w:val="17"/>
                <w:szCs w:val="17"/>
                <w:color w:val="auto"/>
              </w:rPr>
            </w:pPr>
          </w:p>
        </w:tc>
        <w:tc>
          <w:tcPr>
            <w:tcW w:w="1600" w:type="dxa"/>
            <w:vAlign w:val="bottom"/>
          </w:tcPr>
          <w:p>
            <w:pPr>
              <w:jc w:val="right"/>
              <w:ind w:right="175"/>
              <w:spacing w:after="0"/>
              <w:rPr>
                <w:sz w:val="20"/>
                <w:szCs w:val="20"/>
                <w:color w:val="auto"/>
              </w:rPr>
            </w:pPr>
            <w:r>
              <w:rPr>
                <w:rFonts w:ascii="Arial" w:cs="Arial" w:eastAsia="Arial" w:hAnsi="Arial"/>
                <w:sz w:val="15"/>
                <w:szCs w:val="15"/>
                <w:b w:val="1"/>
                <w:bCs w:val="1"/>
                <w:color w:val="auto"/>
                <w:w w:val="97"/>
              </w:rPr>
              <w:t>December 31, 2021</w:t>
            </w:r>
          </w:p>
        </w:tc>
      </w:tr>
      <w:tr>
        <w:trPr>
          <w:trHeight w:val="214"/>
        </w:trPr>
        <w:tc>
          <w:tcPr>
            <w:tcW w:w="7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lease liability-LT</w:t>
            </w: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73,391</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33,971</w:t>
            </w:r>
          </w:p>
        </w:tc>
      </w:tr>
      <w:tr>
        <w:trPr>
          <w:trHeight w:val="218"/>
        </w:trPr>
        <w:tc>
          <w:tcPr>
            <w:tcW w:w="7560" w:type="dxa"/>
            <w:vAlign w:val="bottom"/>
          </w:tcPr>
          <w:p>
            <w:pPr>
              <w:ind w:left="20"/>
              <w:spacing w:after="0"/>
              <w:rPr>
                <w:sz w:val="20"/>
                <w:szCs w:val="20"/>
                <w:color w:val="auto"/>
              </w:rPr>
            </w:pPr>
            <w:r>
              <w:rPr>
                <w:rFonts w:ascii="Arial" w:cs="Arial" w:eastAsia="Arial" w:hAnsi="Arial"/>
                <w:sz w:val="17"/>
                <w:szCs w:val="17"/>
                <w:color w:val="auto"/>
              </w:rPr>
              <w:t>Benefits</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1,272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1,369</w:t>
            </w:r>
          </w:p>
        </w:tc>
      </w:tr>
      <w:tr>
        <w:trPr>
          <w:trHeight w:val="220"/>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rent</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1,262</w:t>
            </w:r>
          </w:p>
        </w:tc>
      </w:tr>
      <w:tr>
        <w:trPr>
          <w:trHeight w:val="219"/>
        </w:trPr>
        <w:tc>
          <w:tcPr>
            <w:tcW w:w="7560" w:type="dxa"/>
            <w:vAlign w:val="bottom"/>
          </w:tcPr>
          <w:p>
            <w:pPr>
              <w:ind w:left="20"/>
              <w:spacing w:after="0" w:line="219" w:lineRule="exact"/>
              <w:rPr>
                <w:sz w:val="20"/>
                <w:szCs w:val="20"/>
                <w:color w:val="auto"/>
              </w:rPr>
            </w:pPr>
            <w:r>
              <w:rPr>
                <w:rFonts w:ascii="Arial" w:cs="Arial" w:eastAsia="Arial" w:hAnsi="Arial"/>
                <w:sz w:val="17"/>
                <w:szCs w:val="17"/>
                <w:color w:val="auto"/>
              </w:rPr>
              <w:t>Contract liabilities</w:t>
            </w:r>
            <w:r>
              <w:rPr>
                <w:rFonts w:ascii="Arial" w:cs="Arial" w:eastAsia="Arial" w:hAnsi="Arial"/>
                <w:sz w:val="22"/>
                <w:szCs w:val="22"/>
                <w:color w:val="auto"/>
                <w:vertAlign w:val="superscript"/>
              </w:rPr>
              <w:t>(1)</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168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202</w:t>
            </w:r>
          </w:p>
        </w:tc>
      </w:tr>
      <w:tr>
        <w:trPr>
          <w:trHeight w:val="219"/>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Forward-starting interest rate swaps</w:t>
            </w:r>
          </w:p>
        </w:tc>
        <w:tc>
          <w:tcPr>
            <w:tcW w:w="2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1,480</w:t>
            </w:r>
          </w:p>
        </w:tc>
      </w:tr>
      <w:tr>
        <w:trPr>
          <w:trHeight w:val="218"/>
        </w:trPr>
        <w:tc>
          <w:tcPr>
            <w:tcW w:w="7560" w:type="dxa"/>
            <w:vAlign w:val="bottom"/>
          </w:tcPr>
          <w:p>
            <w:pPr>
              <w:ind w:left="20"/>
              <w:spacing w:after="0"/>
              <w:rPr>
                <w:sz w:val="20"/>
                <w:szCs w:val="20"/>
                <w:color w:val="auto"/>
              </w:rPr>
            </w:pPr>
            <w:r>
              <w:rPr>
                <w:rFonts w:ascii="Arial" w:cs="Arial" w:eastAsia="Arial" w:hAnsi="Arial"/>
                <w:sz w:val="17"/>
                <w:szCs w:val="17"/>
                <w:color w:val="auto"/>
              </w:rPr>
              <w:t>Foreign exchange contracts</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27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Finance lease liability-LT</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2,067</w:t>
            </w:r>
          </w:p>
        </w:tc>
      </w:tr>
      <w:tr>
        <w:trPr>
          <w:trHeight w:val="218"/>
        </w:trPr>
        <w:tc>
          <w:tcPr>
            <w:tcW w:w="7560" w:type="dxa"/>
            <w:vAlign w:val="bottom"/>
          </w:tcPr>
          <w:p>
            <w:pPr>
              <w:ind w:left="20"/>
              <w:spacing w:after="0"/>
              <w:rPr>
                <w:sz w:val="20"/>
                <w:szCs w:val="20"/>
                <w:color w:val="auto"/>
              </w:rPr>
            </w:pPr>
            <w:r>
              <w:rPr>
                <w:rFonts w:ascii="Arial" w:cs="Arial" w:eastAsia="Arial" w:hAnsi="Arial"/>
                <w:sz w:val="17"/>
                <w:szCs w:val="17"/>
                <w:color w:val="auto"/>
              </w:rPr>
              <w:t>Deferred revenue</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22,828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756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Field service corrective action</w:t>
            </w:r>
            <w:r>
              <w:rPr>
                <w:rFonts w:ascii="Arial" w:cs="Arial" w:eastAsia="Arial" w:hAnsi="Arial"/>
                <w:sz w:val="22"/>
                <w:szCs w:val="22"/>
                <w:color w:val="auto"/>
                <w:vertAlign w:val="superscript"/>
              </w:rPr>
              <w:t>(2)</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23,385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9,983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1,479</w:t>
            </w:r>
          </w:p>
        </w:tc>
      </w:tr>
      <w:tr>
        <w:trPr>
          <w:trHeight w:val="237"/>
        </w:trPr>
        <w:tc>
          <w:tcPr>
            <w:tcW w:w="75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134,208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41,830</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w:t>
      </w:r>
    </w:p>
    <w:p>
      <w:pPr>
        <w:spacing w:after="0" w:line="33" w:lineRule="exact"/>
        <w:rPr>
          <w:sz w:val="20"/>
          <w:szCs w:val="20"/>
          <w:color w:val="auto"/>
        </w:rPr>
      </w:pPr>
    </w:p>
    <w:p>
      <w:pPr>
        <w:ind w:left="220" w:hanging="217"/>
        <w:spacing w:after="0"/>
        <w:tabs>
          <w:tab w:leader="none" w:pos="220" w:val="left"/>
        </w:tabs>
        <w:numPr>
          <w:ilvl w:val="0"/>
          <w:numId w:val="19"/>
        </w:numPr>
        <w:rPr>
          <w:rFonts w:ascii="Arial" w:cs="Arial" w:eastAsia="Arial" w:hAnsi="Arial"/>
          <w:sz w:val="20"/>
          <w:szCs w:val="20"/>
          <w:color w:val="auto"/>
          <w:vertAlign w:val="superscript"/>
        </w:rPr>
      </w:pPr>
      <w:r>
        <w:rPr>
          <w:rFonts w:ascii="Arial" w:cs="Arial" w:eastAsia="Arial" w:hAnsi="Arial"/>
          <w:sz w:val="15"/>
          <w:szCs w:val="15"/>
          <w:color w:val="auto"/>
        </w:rPr>
        <w:t>Consists of contracts with customers and suppliers that were valued at below market at the time of the Hospira Infusion Systems acquisition.</w:t>
      </w:r>
    </w:p>
    <w:p>
      <w:pPr>
        <w:spacing w:after="0" w:line="48" w:lineRule="exact"/>
        <w:rPr>
          <w:rFonts w:ascii="Arial" w:cs="Arial" w:eastAsia="Arial" w:hAnsi="Arial"/>
          <w:sz w:val="20"/>
          <w:szCs w:val="20"/>
          <w:color w:val="auto"/>
          <w:vertAlign w:val="superscript"/>
        </w:rPr>
      </w:pPr>
    </w:p>
    <w:p>
      <w:pPr>
        <w:ind w:left="320" w:right="180" w:hanging="317"/>
        <w:spacing w:after="0" w:line="217" w:lineRule="auto"/>
        <w:tabs>
          <w:tab w:leader="none" w:pos="253" w:val="left"/>
        </w:tabs>
        <w:numPr>
          <w:ilvl w:val="0"/>
          <w:numId w:val="19"/>
        </w:numPr>
        <w:rPr>
          <w:rFonts w:ascii="Arial" w:cs="Arial" w:eastAsia="Arial" w:hAnsi="Arial"/>
          <w:sz w:val="20"/>
          <w:szCs w:val="20"/>
          <w:color w:val="auto"/>
          <w:vertAlign w:val="superscript"/>
        </w:rPr>
      </w:pPr>
      <w:r>
        <w:rPr>
          <w:rFonts w:ascii="Arial" w:cs="Arial" w:eastAsia="Arial" w:hAnsi="Arial"/>
          <w:sz w:val="15"/>
          <w:szCs w:val="15"/>
          <w:color w:val="auto"/>
        </w:rPr>
        <w:t>Long-term portion of the estimated remediation costs related to a 2021 Warning Letter received by Smiths Medical from the FDA following an inspection of Smiths Medical’s Oakdale, Minnesota Facility, see Note 19: Commitments and Contingencies for further detail.</w:t>
      </w:r>
    </w:p>
    <w:p>
      <w:pPr>
        <w:spacing w:after="0" w:line="207"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Note 16:</w:t>
      </w:r>
      <w:r>
        <w:rPr>
          <w:sz w:val="20"/>
          <w:szCs w:val="20"/>
          <w:color w:val="auto"/>
        </w:rPr>
        <w:tab/>
      </w:r>
      <w:r>
        <w:rPr>
          <w:rFonts w:ascii="Arial" w:cs="Arial" w:eastAsia="Arial" w:hAnsi="Arial"/>
          <w:sz w:val="15"/>
          <w:szCs w:val="15"/>
          <w:b w:val="1"/>
          <w:bCs w:val="1"/>
          <w:color w:val="auto"/>
        </w:rPr>
        <w:t>Income Taxes</w:t>
      </w: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Income taxes were accrued at an estimated effective tax rate of 31% and 12% for the three months ended March 31, 2022 and 2021, respectively.</w:t>
      </w:r>
    </w:p>
    <w:p>
      <w:pPr>
        <w:spacing w:after="0" w:line="243" w:lineRule="exact"/>
        <w:rPr>
          <w:sz w:val="20"/>
          <w:szCs w:val="20"/>
          <w:color w:val="auto"/>
        </w:rPr>
      </w:pPr>
    </w:p>
    <w:p>
      <w:pPr>
        <w:ind w:right="160" w:firstLine="169"/>
        <w:spacing w:after="0" w:line="266" w:lineRule="auto"/>
        <w:rPr>
          <w:sz w:val="20"/>
          <w:szCs w:val="20"/>
          <w:color w:val="auto"/>
        </w:rPr>
      </w:pPr>
      <w:r>
        <w:rPr>
          <w:rFonts w:ascii="Arial" w:cs="Arial" w:eastAsia="Arial" w:hAnsi="Arial"/>
          <w:sz w:val="17"/>
          <w:szCs w:val="17"/>
          <w:color w:val="auto"/>
        </w:rPr>
        <w:t>The effective tax rate for the three months ended March 31, 2022 differs from the federal statutory rate of 21% principally because of the effect of the mix of U.S. and foreign incomes, state income taxes, section 162(m) excess compensation, foreign-derived intangible income ("FDII") and tax credits and the following discrete items recognized during the interim period:</w:t>
      </w:r>
    </w:p>
    <w:p>
      <w:pPr>
        <w:spacing w:after="0" w:line="201" w:lineRule="exact"/>
        <w:rPr>
          <w:sz w:val="20"/>
          <w:szCs w:val="20"/>
          <w:color w:val="auto"/>
        </w:rPr>
      </w:pPr>
    </w:p>
    <w:p>
      <w:pPr>
        <w:ind w:left="620" w:right="540" w:hanging="307"/>
        <w:spacing w:after="0" w:line="279" w:lineRule="auto"/>
        <w:tabs>
          <w:tab w:leader="none" w:pos="616" w:val="left"/>
        </w:tabs>
        <w:numPr>
          <w:ilvl w:val="0"/>
          <w:numId w:val="20"/>
        </w:numPr>
        <w:rPr>
          <w:rFonts w:ascii="Arial" w:cs="Arial" w:eastAsia="Arial" w:hAnsi="Arial"/>
          <w:sz w:val="17"/>
          <w:szCs w:val="17"/>
          <w:color w:val="auto"/>
        </w:rPr>
      </w:pPr>
      <w:r>
        <w:rPr>
          <w:rFonts w:ascii="Arial" w:cs="Arial" w:eastAsia="Arial" w:hAnsi="Arial"/>
          <w:sz w:val="17"/>
          <w:szCs w:val="17"/>
          <w:color w:val="auto"/>
        </w:rPr>
        <w:t>Excess tax benefits recognized on stock option exercises and the vesting of restricted stock units during the three months ended March 31, 2022 of $2.6 million.</w:t>
      </w:r>
    </w:p>
    <w:p>
      <w:pPr>
        <w:spacing w:after="0" w:line="190" w:lineRule="exact"/>
        <w:rPr>
          <w:sz w:val="20"/>
          <w:szCs w:val="20"/>
          <w:color w:val="auto"/>
        </w:rPr>
      </w:pPr>
    </w:p>
    <w:p>
      <w:pPr>
        <w:ind w:right="200" w:firstLine="169"/>
        <w:spacing w:after="0" w:line="262" w:lineRule="auto"/>
        <w:rPr>
          <w:sz w:val="20"/>
          <w:szCs w:val="20"/>
          <w:color w:val="auto"/>
        </w:rPr>
      </w:pPr>
      <w:r>
        <w:rPr>
          <w:rFonts w:ascii="Arial" w:cs="Arial" w:eastAsia="Arial" w:hAnsi="Arial"/>
          <w:sz w:val="17"/>
          <w:szCs w:val="17"/>
          <w:color w:val="auto"/>
        </w:rPr>
        <w:t>The effective tax rate for the three months ended March 31, 2021 differs from the federal statutory rate of 21% principally because of the effect of the mix of U.S. and foreign incomes, state income taxes, global intangible low taxed income ("GILTI"), FDII and tax credits. The effective tax rate during the three months ended March 31, 2021 included a discrete tax benefit of $1.8 million related to excess tax benefits recognized on stock option exercises and the vesting of restricted stock units during the period.</w:t>
      </w:r>
    </w:p>
    <w:p>
      <w:pPr>
        <w:spacing w:after="0" w:line="198"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Note 17:</w:t>
      </w:r>
      <w:r>
        <w:rPr>
          <w:sz w:val="20"/>
          <w:szCs w:val="20"/>
          <w:color w:val="auto"/>
        </w:rPr>
        <w:tab/>
      </w:r>
      <w:r>
        <w:rPr>
          <w:rFonts w:ascii="Arial" w:cs="Arial" w:eastAsia="Arial" w:hAnsi="Arial"/>
          <w:sz w:val="15"/>
          <w:szCs w:val="15"/>
          <w:b w:val="1"/>
          <w:bCs w:val="1"/>
          <w:color w:val="auto"/>
        </w:rPr>
        <w:t>Long-Term Debt</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2022 Credit Agreement</w:t>
      </w:r>
    </w:p>
    <w:p>
      <w:pPr>
        <w:spacing w:after="0" w:line="243" w:lineRule="exact"/>
        <w:rPr>
          <w:sz w:val="20"/>
          <w:szCs w:val="20"/>
          <w:color w:val="auto"/>
        </w:rPr>
      </w:pPr>
    </w:p>
    <w:p>
      <w:pPr>
        <w:ind w:firstLine="619"/>
        <w:spacing w:after="0" w:line="297" w:lineRule="auto"/>
        <w:rPr>
          <w:sz w:val="20"/>
          <w:szCs w:val="20"/>
          <w:color w:val="auto"/>
        </w:rPr>
      </w:pPr>
      <w:r>
        <w:rPr>
          <w:rFonts w:ascii="Arial" w:cs="Arial" w:eastAsia="Arial" w:hAnsi="Arial"/>
          <w:sz w:val="15"/>
          <w:szCs w:val="15"/>
          <w:color w:val="auto"/>
        </w:rPr>
        <w:t>On January 6, 2022, in connection with the acquisition of Smiths Medical, we entered into a Credit Agreement (the "Credit Agreement") with Wells Fargo Bank, National Association, Wells Fargo Securities, LLC, Barclays Bank PLC and certain other financial institutions (the “Lenders”) for $2.2 billion of senior secured credit facilities. The senior secured credit facilities include (i) a five-year Tranche A term loan of $850.0 million (the "Term Loan A"), (ii) a seven-year Tranche B term loan of $850.0 million (the "Term Loan B") and (iii) a five-year revolving credit facility of $500.0 million (the "Revolving Credit Facility"), with separate sub-limits of $50.0 million for letters of credit and swingline loans (collectively, the "Senior Secured Credit Facilities"). We used the proceeds from borrowings under the Term Loan A and the Term Loan B (collectively, the "Term Loans") to fund a portion of the cash consideration for the purchase of Smiths Medical and the related fees and expenses incurred in connection with the acquisition. We did not incur borrowings under the Revolving Credit Facility on the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7"/>
          <w:szCs w:val="17"/>
          <w:b w:val="1"/>
          <w:bCs w:val="1"/>
          <w:color w:val="auto"/>
        </w:rPr>
        <w:t>ICU MEDICAL, INC. AND SUBSIDIARIES</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316"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closing date of the acquisition. The proceeds from any future borrowings under the Revolving Credit Facility may be used for working capital and other general corporate purposes.</w:t>
      </w:r>
    </w:p>
    <w:p>
      <w:pPr>
        <w:spacing w:after="0" w:line="190" w:lineRule="exact"/>
        <w:rPr>
          <w:sz w:val="20"/>
          <w:szCs w:val="20"/>
          <w:color w:val="auto"/>
        </w:rPr>
      </w:pPr>
    </w:p>
    <w:p>
      <w:pPr>
        <w:ind w:right="80" w:firstLine="619"/>
        <w:spacing w:after="0" w:line="297" w:lineRule="auto"/>
        <w:rPr>
          <w:sz w:val="20"/>
          <w:szCs w:val="20"/>
          <w:color w:val="auto"/>
        </w:rPr>
      </w:pPr>
      <w:r>
        <w:rPr>
          <w:rFonts w:ascii="Arial" w:cs="Arial" w:eastAsia="Arial" w:hAnsi="Arial"/>
          <w:sz w:val="15"/>
          <w:szCs w:val="15"/>
          <w:color w:val="auto"/>
        </w:rPr>
        <w:t>In connection with entering into the Credit Agreement, during the period ended March 31, 2022, we incurred $37.8 million in debt discount and issuance costs, which were allocated to the Term Loan A, the Term Loan B and the Revolving Credit Facility based on lender commitment amounts relative to each type of fees paid. The lender and third-party discount and issuance costs allocated to the Term Loan A and the Term Loan B were $15.8 million and $13.4 million, respectively, and are reflected as a direct deduction from the face amount of the corresponding term loans on the condensed consolidated balance sheet. These costs are being amortized to interest expense over the respective terms of the loans using the effective interest method. The issuance costs allocated to the Revolving Credit Facility were $8.7 million, which are capitalized and included in prepaid expenses and other current assets and other assets on our condensed consolidated balance sheets. These costs are being amortized to interest expense over the term of the Revolving Credit Facility using the straight-line method.</w:t>
      </w:r>
    </w:p>
    <w:p>
      <w:pPr>
        <w:spacing w:after="0" w:line="182" w:lineRule="exact"/>
        <w:rPr>
          <w:sz w:val="20"/>
          <w:szCs w:val="20"/>
          <w:color w:val="auto"/>
        </w:rPr>
      </w:pPr>
    </w:p>
    <w:p>
      <w:pPr>
        <w:ind w:right="620" w:firstLine="619"/>
        <w:spacing w:after="0" w:line="279" w:lineRule="auto"/>
        <w:rPr>
          <w:sz w:val="20"/>
          <w:szCs w:val="20"/>
          <w:color w:val="auto"/>
        </w:rPr>
      </w:pPr>
      <w:r>
        <w:rPr>
          <w:rFonts w:ascii="Arial" w:cs="Arial" w:eastAsia="Arial" w:hAnsi="Arial"/>
          <w:sz w:val="17"/>
          <w:szCs w:val="17"/>
          <w:color w:val="auto"/>
        </w:rPr>
        <w:t>The net funds received from the Term Loan A and the Term Loan B, after deducting debt issuance costs, were $834.2 million and $836.6 million, respectively.</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Maturity Dates</w:t>
      </w:r>
    </w:p>
    <w:p>
      <w:pPr>
        <w:spacing w:after="0" w:line="243" w:lineRule="exact"/>
        <w:rPr>
          <w:sz w:val="20"/>
          <w:szCs w:val="20"/>
          <w:color w:val="auto"/>
        </w:rPr>
      </w:pPr>
    </w:p>
    <w:p>
      <w:pPr>
        <w:ind w:right="20" w:firstLine="619"/>
        <w:spacing w:after="0" w:line="266" w:lineRule="auto"/>
        <w:rPr>
          <w:sz w:val="20"/>
          <w:szCs w:val="20"/>
          <w:color w:val="auto"/>
        </w:rPr>
      </w:pPr>
      <w:r>
        <w:rPr>
          <w:rFonts w:ascii="Arial" w:cs="Arial" w:eastAsia="Arial" w:hAnsi="Arial"/>
          <w:sz w:val="17"/>
          <w:szCs w:val="17"/>
          <w:color w:val="auto"/>
        </w:rPr>
        <w:t>The maturity date for the Term Loan A and the Revolving Credit Facility is January 6, 2027, and the maturity date for the Term Loan B is January 6, 2029. Pursuant to the terms and conditions of the Credit Agreement, the maturity dates of the Term Loans and the Revolving Credit Facility may be extended upon our request, subject to the consent of the Lenders.</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Interest Rate Terms</w:t>
      </w:r>
    </w:p>
    <w:p>
      <w:pPr>
        <w:spacing w:after="0" w:line="243" w:lineRule="exact"/>
        <w:rPr>
          <w:sz w:val="20"/>
          <w:szCs w:val="20"/>
          <w:color w:val="auto"/>
        </w:rPr>
      </w:pPr>
    </w:p>
    <w:p>
      <w:pPr>
        <w:ind w:right="100" w:firstLine="619"/>
        <w:spacing w:after="0" w:line="266" w:lineRule="auto"/>
        <w:rPr>
          <w:sz w:val="20"/>
          <w:szCs w:val="20"/>
          <w:color w:val="auto"/>
        </w:rPr>
      </w:pPr>
      <w:r>
        <w:rPr>
          <w:rFonts w:ascii="Arial" w:cs="Arial" w:eastAsia="Arial" w:hAnsi="Arial"/>
          <w:sz w:val="17"/>
          <w:szCs w:val="17"/>
          <w:color w:val="auto"/>
        </w:rPr>
        <w:t>In general, the Term Loans and borrowings under the Revolving Credit Facility denominated in U.S. dollars bear interest, at our option, on either: (1) the Base Rate, as defined below, plus the applicable margin, as indicated below ("Base Rate Loans") or (2) the Adjusted Term Secured Overnight Financing Rate ("Adjusted Term SOFR"), as defined below, plus the applicable margin, as indicated below ("Term SOFR Loans").</w:t>
      </w:r>
    </w:p>
    <w:p>
      <w:pPr>
        <w:spacing w:after="0" w:line="201" w:lineRule="exact"/>
        <w:rPr>
          <w:sz w:val="20"/>
          <w:szCs w:val="20"/>
          <w:color w:val="auto"/>
        </w:rPr>
      </w:pPr>
    </w:p>
    <w:p>
      <w:pPr>
        <w:ind w:right="80" w:firstLine="619"/>
        <w:spacing w:after="0" w:line="279" w:lineRule="auto"/>
        <w:rPr>
          <w:sz w:val="20"/>
          <w:szCs w:val="20"/>
          <w:color w:val="auto"/>
        </w:rPr>
      </w:pPr>
      <w:r>
        <w:rPr>
          <w:rFonts w:ascii="Arial" w:cs="Arial" w:eastAsia="Arial" w:hAnsi="Arial"/>
          <w:sz w:val="17"/>
          <w:szCs w:val="17"/>
          <w:color w:val="auto"/>
        </w:rPr>
        <w:t>The Base Rate is defined as the highest of (a) the Prime Rate, (b) the Federal Funds Rate plus 0.50% and (c) Adjusted Term SOFR (as defined below) for a one-month period plus, in each case, plus 1.00%.</w:t>
      </w:r>
    </w:p>
    <w:p>
      <w:pPr>
        <w:spacing w:after="0" w:line="190" w:lineRule="exact"/>
        <w:rPr>
          <w:sz w:val="20"/>
          <w:szCs w:val="20"/>
          <w:color w:val="auto"/>
        </w:rPr>
      </w:pPr>
    </w:p>
    <w:p>
      <w:pPr>
        <w:jc w:val="both"/>
        <w:ind w:right="200" w:firstLine="619"/>
        <w:spacing w:after="0" w:line="318" w:lineRule="auto"/>
        <w:rPr>
          <w:sz w:val="20"/>
          <w:szCs w:val="20"/>
          <w:color w:val="auto"/>
        </w:rPr>
      </w:pPr>
      <w:r>
        <w:rPr>
          <w:rFonts w:ascii="Arial" w:cs="Arial" w:eastAsia="Arial" w:hAnsi="Arial"/>
          <w:sz w:val="15"/>
          <w:szCs w:val="15"/>
          <w:color w:val="auto"/>
        </w:rPr>
        <w:t>Adjusted Term SOFR is the rate per annum equal to (a) Term SOFR plus (b) the Term SOFR Adjustment. Term SOFR is the forward-looking term rate based on SOFR and is calculated separately for Term SOFR Loans and Base Rate Loans, as specified in the Credit Agreement. The Term SOFR Adjustment is a percentage per annum of 0.10% for Base Rate Loans and between 0.10% to 0.25% for Term SOFR Loans based on the applicable interest period.</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Revolving Credit Facility Commitment Fee</w:t>
      </w:r>
    </w:p>
    <w:p>
      <w:pPr>
        <w:spacing w:after="0" w:line="243" w:lineRule="exact"/>
        <w:rPr>
          <w:sz w:val="20"/>
          <w:szCs w:val="20"/>
          <w:color w:val="auto"/>
        </w:rPr>
      </w:pPr>
    </w:p>
    <w:p>
      <w:pPr>
        <w:ind w:right="420" w:firstLine="619"/>
        <w:spacing w:after="0" w:line="290" w:lineRule="auto"/>
        <w:rPr>
          <w:sz w:val="20"/>
          <w:szCs w:val="20"/>
          <w:color w:val="auto"/>
        </w:rPr>
      </w:pPr>
      <w:r>
        <w:rPr>
          <w:rFonts w:ascii="Arial" w:cs="Arial" w:eastAsia="Arial" w:hAnsi="Arial"/>
          <w:sz w:val="16"/>
          <w:szCs w:val="16"/>
          <w:color w:val="auto"/>
        </w:rPr>
        <w:t>The Revolving Credit Facility has a per annum commitment fee at an initial rate of 0.25% which is applied to the available amount of the Revolving Credit Facility. Effective on the first Adjustment Date, as defined in the Credit Agreement, occurring subsequent to our quarter ending June 30, 2022, the commitment fee will be determined by reference to the leverage ratio in effect from time to time as set forth in the table below.</w:t>
      </w:r>
    </w:p>
    <w:p>
      <w:pPr>
        <w:spacing w:after="0" w:line="184"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Applicable Interest Margins</w:t>
      </w:r>
    </w:p>
    <w:p>
      <w:pPr>
        <w:spacing w:after="0" w:line="243" w:lineRule="exact"/>
        <w:rPr>
          <w:sz w:val="20"/>
          <w:szCs w:val="20"/>
          <w:color w:val="auto"/>
        </w:rPr>
      </w:pPr>
    </w:p>
    <w:p>
      <w:pPr>
        <w:ind w:right="320" w:firstLine="619"/>
        <w:spacing w:after="0" w:line="279" w:lineRule="auto"/>
        <w:rPr>
          <w:sz w:val="20"/>
          <w:szCs w:val="20"/>
          <w:color w:val="auto"/>
        </w:rPr>
      </w:pPr>
      <w:r>
        <w:rPr>
          <w:rFonts w:ascii="Arial" w:cs="Arial" w:eastAsia="Arial" w:hAnsi="Arial"/>
          <w:sz w:val="17"/>
          <w:szCs w:val="17"/>
          <w:color w:val="auto"/>
        </w:rPr>
        <w:t>The Term Loan A and borrowings under the Revolving Credit Facility have an initial applicable margin of 0.75% per annum for Base Rate Loans and 1.75% per annum for Term SOFR Loans.</w:t>
      </w:r>
    </w:p>
    <w:p>
      <w:pPr>
        <w:spacing w:after="0" w:line="190" w:lineRule="exact"/>
        <w:rPr>
          <w:sz w:val="20"/>
          <w:szCs w:val="20"/>
          <w:color w:val="auto"/>
        </w:rPr>
      </w:pPr>
    </w:p>
    <w:p>
      <w:pPr>
        <w:ind w:firstLine="619"/>
        <w:spacing w:after="0" w:line="266" w:lineRule="auto"/>
        <w:rPr>
          <w:sz w:val="20"/>
          <w:szCs w:val="20"/>
          <w:color w:val="auto"/>
        </w:rPr>
      </w:pPr>
      <w:r>
        <w:rPr>
          <w:rFonts w:ascii="Arial" w:cs="Arial" w:eastAsia="Arial" w:hAnsi="Arial"/>
          <w:sz w:val="17"/>
          <w:szCs w:val="17"/>
          <w:color w:val="auto"/>
        </w:rPr>
        <w:t>Effective on the first Adjustment Date, as defined in the Credit Agreement, occurring subsequent to our quarter ending June 30, 2022, the applicable margin for the Term Loan A and borrowings under the Revolving Credit Facility will be determined by reference to the leverage ratio in effect from time to time as set forth in the following table: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jc w:val="center"/>
        <w:ind w:right="100"/>
        <w:spacing w:after="0"/>
        <w:rPr>
          <w:sz w:val="20"/>
          <w:szCs w:val="20"/>
          <w:color w:val="auto"/>
        </w:rPr>
      </w:pPr>
      <w:r>
        <w:rPr>
          <w:rFonts w:ascii="Arial" w:cs="Arial" w:eastAsia="Arial" w:hAnsi="Arial"/>
          <w:sz w:val="17"/>
          <w:szCs w:val="17"/>
          <w:b w:val="1"/>
          <w:bCs w:val="1"/>
          <w:color w:val="auto"/>
        </w:rPr>
        <w:t>ICU MEDICAL, INC. AND SUBSIDIARIES</w:t>
      </w:r>
    </w:p>
    <w:p>
      <w:pPr>
        <w:spacing w:after="0" w:line="2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326" w:lineRule="exact"/>
        <w:rPr>
          <w:sz w:val="20"/>
          <w:szCs w:val="20"/>
          <w:color w:val="auto"/>
        </w:rPr>
      </w:pPr>
    </w:p>
    <w:tbl>
      <w:tblPr>
        <w:tblLayout w:type="fixed"/>
        <w:tblInd w:w="620" w:type="dxa"/>
        <w:tblCellMar>
          <w:top w:w="0" w:type="dxa"/>
          <w:left w:w="0" w:type="dxa"/>
          <w:bottom w:w="0" w:type="dxa"/>
          <w:right w:w="0" w:type="dxa"/>
        </w:tblCellMar>
      </w:tblPr>
      <w:tr>
        <w:trPr>
          <w:trHeight w:val="195"/>
        </w:trPr>
        <w:tc>
          <w:tcPr>
            <w:tcW w:w="4680" w:type="dxa"/>
            <w:vAlign w:val="bottom"/>
            <w:vMerge w:val="restart"/>
          </w:tcPr>
          <w:p>
            <w:pPr>
              <w:ind w:left="2040"/>
              <w:spacing w:after="0"/>
              <w:rPr>
                <w:sz w:val="20"/>
                <w:szCs w:val="20"/>
                <w:color w:val="auto"/>
              </w:rPr>
            </w:pPr>
            <w:r>
              <w:rPr>
                <w:rFonts w:ascii="Arial" w:cs="Arial" w:eastAsia="Arial" w:hAnsi="Arial"/>
                <w:sz w:val="17"/>
                <w:szCs w:val="17"/>
                <w:b w:val="1"/>
                <w:bCs w:val="1"/>
                <w:color w:val="auto"/>
              </w:rPr>
              <w:t>Leverage Ratio</w:t>
            </w:r>
          </w:p>
        </w:tc>
        <w:tc>
          <w:tcPr>
            <w:tcW w:w="2260" w:type="dxa"/>
            <w:vAlign w:val="bottom"/>
          </w:tcPr>
          <w:p>
            <w:pPr>
              <w:jc w:val="center"/>
              <w:ind w:left="314"/>
              <w:spacing w:after="0"/>
              <w:rPr>
                <w:sz w:val="20"/>
                <w:szCs w:val="20"/>
                <w:color w:val="auto"/>
              </w:rPr>
            </w:pPr>
            <w:r>
              <w:rPr>
                <w:rFonts w:ascii="Arial" w:cs="Arial" w:eastAsia="Arial" w:hAnsi="Arial"/>
                <w:sz w:val="17"/>
                <w:szCs w:val="17"/>
                <w:b w:val="1"/>
                <w:bCs w:val="1"/>
                <w:color w:val="auto"/>
                <w:w w:val="94"/>
              </w:rPr>
              <w:t>Applicable Margin</w:t>
            </w:r>
          </w:p>
        </w:tc>
        <w:tc>
          <w:tcPr>
            <w:tcW w:w="2420" w:type="dxa"/>
            <w:vAlign w:val="bottom"/>
          </w:tcPr>
          <w:p>
            <w:pPr>
              <w:jc w:val="center"/>
              <w:ind w:left="74"/>
              <w:spacing w:after="0"/>
              <w:rPr>
                <w:sz w:val="20"/>
                <w:szCs w:val="20"/>
                <w:color w:val="auto"/>
              </w:rPr>
            </w:pPr>
            <w:r>
              <w:rPr>
                <w:rFonts w:ascii="Arial" w:cs="Arial" w:eastAsia="Arial" w:hAnsi="Arial"/>
                <w:sz w:val="17"/>
                <w:szCs w:val="17"/>
                <w:b w:val="1"/>
                <w:bCs w:val="1"/>
                <w:color w:val="auto"/>
                <w:w w:val="94"/>
              </w:rPr>
              <w:t>Applicable Margin</w:t>
            </w:r>
          </w:p>
        </w:tc>
        <w:tc>
          <w:tcPr>
            <w:tcW w:w="1360" w:type="dxa"/>
            <w:vAlign w:val="bottom"/>
          </w:tcPr>
          <w:p>
            <w:pPr>
              <w:jc w:val="right"/>
              <w:spacing w:after="0"/>
              <w:rPr>
                <w:sz w:val="20"/>
                <w:szCs w:val="20"/>
                <w:color w:val="auto"/>
              </w:rPr>
            </w:pPr>
            <w:r>
              <w:rPr>
                <w:rFonts w:ascii="Arial" w:cs="Arial" w:eastAsia="Arial" w:hAnsi="Arial"/>
                <w:sz w:val="17"/>
                <w:szCs w:val="17"/>
                <w:b w:val="1"/>
                <w:bCs w:val="1"/>
                <w:color w:val="auto"/>
              </w:rPr>
              <w:t>Commitmen</w:t>
            </w:r>
          </w:p>
        </w:tc>
        <w:tc>
          <w:tcPr>
            <w:tcW w:w="0" w:type="dxa"/>
            <w:vAlign w:val="bottom"/>
          </w:tcPr>
          <w:p>
            <w:pPr>
              <w:spacing w:after="0"/>
              <w:rPr>
                <w:sz w:val="1"/>
                <w:szCs w:val="1"/>
                <w:color w:val="auto"/>
              </w:rPr>
            </w:pPr>
          </w:p>
        </w:tc>
      </w:tr>
      <w:tr>
        <w:trPr>
          <w:trHeight w:val="219"/>
        </w:trPr>
        <w:tc>
          <w:tcPr>
            <w:tcW w:w="4680" w:type="dxa"/>
            <w:vAlign w:val="bottom"/>
            <w:tcBorders>
              <w:bottom w:val="single" w:sz="8" w:color="auto"/>
            </w:tcBorders>
            <w:vMerge w:val="continue"/>
          </w:tcPr>
          <w:p>
            <w:pPr>
              <w:spacing w:after="0"/>
              <w:rPr>
                <w:sz w:val="19"/>
                <w:szCs w:val="19"/>
                <w:color w:val="auto"/>
              </w:rPr>
            </w:pPr>
          </w:p>
        </w:tc>
        <w:tc>
          <w:tcPr>
            <w:tcW w:w="2260" w:type="dxa"/>
            <w:vAlign w:val="bottom"/>
            <w:tcBorders>
              <w:bottom w:val="single" w:sz="8" w:color="auto"/>
            </w:tcBorders>
          </w:tcPr>
          <w:p>
            <w:pPr>
              <w:ind w:left="200"/>
              <w:spacing w:after="0"/>
              <w:rPr>
                <w:sz w:val="20"/>
                <w:szCs w:val="20"/>
                <w:color w:val="auto"/>
              </w:rPr>
            </w:pPr>
            <w:r>
              <w:rPr>
                <w:rFonts w:ascii="Arial" w:cs="Arial" w:eastAsia="Arial" w:hAnsi="Arial"/>
                <w:sz w:val="17"/>
                <w:szCs w:val="17"/>
                <w:b w:val="1"/>
                <w:bCs w:val="1"/>
                <w:color w:val="auto"/>
              </w:rPr>
              <w:t>for Term SOFR Loans</w:t>
            </w:r>
          </w:p>
        </w:tc>
        <w:tc>
          <w:tcPr>
            <w:tcW w:w="2420" w:type="dxa"/>
            <w:vAlign w:val="bottom"/>
            <w:tcBorders>
              <w:bottom w:val="single" w:sz="8" w:color="auto"/>
            </w:tcBorders>
          </w:tcPr>
          <w:p>
            <w:pPr>
              <w:ind w:left="240"/>
              <w:spacing w:after="0"/>
              <w:rPr>
                <w:sz w:val="20"/>
                <w:szCs w:val="20"/>
                <w:color w:val="auto"/>
              </w:rPr>
            </w:pPr>
            <w:r>
              <w:rPr>
                <w:rFonts w:ascii="Arial" w:cs="Arial" w:eastAsia="Arial" w:hAnsi="Arial"/>
                <w:sz w:val="17"/>
                <w:szCs w:val="17"/>
                <w:b w:val="1"/>
                <w:bCs w:val="1"/>
                <w:color w:val="auto"/>
              </w:rPr>
              <w:t>for Base Rate Loans</w:t>
            </w:r>
          </w:p>
        </w:tc>
        <w:tc>
          <w:tcPr>
            <w:tcW w:w="136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Rate</w:t>
            </w:r>
          </w:p>
        </w:tc>
        <w:tc>
          <w:tcPr>
            <w:tcW w:w="0" w:type="dxa"/>
            <w:vAlign w:val="bottom"/>
          </w:tcPr>
          <w:p>
            <w:pPr>
              <w:spacing w:after="0"/>
              <w:rPr>
                <w:sz w:val="1"/>
                <w:szCs w:val="1"/>
                <w:color w:val="auto"/>
              </w:rPr>
            </w:pPr>
          </w:p>
        </w:tc>
      </w:tr>
      <w:tr>
        <w:trPr>
          <w:trHeight w:val="212"/>
        </w:trPr>
        <w:tc>
          <w:tcPr>
            <w:tcW w:w="4680" w:type="dxa"/>
            <w:vAlign w:val="bottom"/>
            <w:shd w:val="clear" w:color="auto" w:fill="CCEEFF"/>
          </w:tcPr>
          <w:p>
            <w:pPr>
              <w:ind w:left="640"/>
              <w:spacing w:after="0"/>
              <w:rPr>
                <w:sz w:val="20"/>
                <w:szCs w:val="20"/>
                <w:color w:val="auto"/>
              </w:rPr>
            </w:pPr>
            <w:r>
              <w:rPr>
                <w:rFonts w:ascii="Arial" w:cs="Arial" w:eastAsia="Arial" w:hAnsi="Arial"/>
                <w:sz w:val="17"/>
                <w:szCs w:val="17"/>
                <w:color w:val="auto"/>
              </w:rPr>
              <w:t>Greater than 4.00 to 1.0</w:t>
            </w:r>
          </w:p>
        </w:tc>
        <w:tc>
          <w:tcPr>
            <w:tcW w:w="2260" w:type="dxa"/>
            <w:vAlign w:val="bottom"/>
            <w:shd w:val="clear" w:color="auto" w:fill="CCEEFF"/>
          </w:tcPr>
          <w:p>
            <w:pPr>
              <w:jc w:val="center"/>
              <w:ind w:left="314"/>
              <w:spacing w:after="0"/>
              <w:rPr>
                <w:sz w:val="20"/>
                <w:szCs w:val="20"/>
                <w:color w:val="auto"/>
              </w:rPr>
            </w:pPr>
            <w:r>
              <w:rPr>
                <w:rFonts w:ascii="Arial" w:cs="Arial" w:eastAsia="Arial" w:hAnsi="Arial"/>
                <w:sz w:val="17"/>
                <w:szCs w:val="17"/>
                <w:color w:val="auto"/>
                <w:w w:val="95"/>
              </w:rPr>
              <w:t>2.25%</w:t>
            </w:r>
          </w:p>
        </w:tc>
        <w:tc>
          <w:tcPr>
            <w:tcW w:w="2420" w:type="dxa"/>
            <w:vAlign w:val="bottom"/>
            <w:shd w:val="clear" w:color="auto" w:fill="CCEEFF"/>
          </w:tcPr>
          <w:p>
            <w:pPr>
              <w:jc w:val="center"/>
              <w:ind w:left="54"/>
              <w:spacing w:after="0"/>
              <w:rPr>
                <w:sz w:val="20"/>
                <w:szCs w:val="20"/>
                <w:color w:val="auto"/>
              </w:rPr>
            </w:pPr>
            <w:r>
              <w:rPr>
                <w:rFonts w:ascii="Arial" w:cs="Arial" w:eastAsia="Arial" w:hAnsi="Arial"/>
                <w:sz w:val="17"/>
                <w:szCs w:val="17"/>
                <w:color w:val="auto"/>
                <w:w w:val="91"/>
              </w:rPr>
              <w:t>1.25%</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0.35%</w:t>
            </w:r>
          </w:p>
        </w:tc>
        <w:tc>
          <w:tcPr>
            <w:tcW w:w="0" w:type="dxa"/>
            <w:vAlign w:val="bottom"/>
          </w:tcPr>
          <w:p>
            <w:pPr>
              <w:spacing w:after="0"/>
              <w:rPr>
                <w:sz w:val="1"/>
                <w:szCs w:val="1"/>
                <w:color w:val="auto"/>
              </w:rPr>
            </w:pPr>
          </w:p>
        </w:tc>
      </w:tr>
      <w:tr>
        <w:trPr>
          <w:trHeight w:val="168"/>
        </w:trPr>
        <w:tc>
          <w:tcPr>
            <w:tcW w:w="4680" w:type="dxa"/>
            <w:vAlign w:val="bottom"/>
          </w:tcPr>
          <w:p>
            <w:pPr>
              <w:ind w:left="640"/>
              <w:spacing w:after="0" w:line="168" w:lineRule="exact"/>
              <w:rPr>
                <w:sz w:val="20"/>
                <w:szCs w:val="20"/>
                <w:color w:val="auto"/>
              </w:rPr>
            </w:pPr>
            <w:r>
              <w:rPr>
                <w:rFonts w:ascii="Arial" w:cs="Arial" w:eastAsia="Arial" w:hAnsi="Arial"/>
                <w:sz w:val="17"/>
                <w:szCs w:val="17"/>
                <w:color w:val="auto"/>
                <w:w w:val="94"/>
              </w:rPr>
              <w:t>Less than or equal to 4.00 to 1.0 but greater than 3.00 to</w:t>
            </w:r>
          </w:p>
        </w:tc>
        <w:tc>
          <w:tcPr>
            <w:tcW w:w="2260" w:type="dxa"/>
            <w:vAlign w:val="bottom"/>
            <w:vMerge w:val="restart"/>
          </w:tcPr>
          <w:p>
            <w:pPr>
              <w:jc w:val="center"/>
              <w:ind w:left="314"/>
              <w:spacing w:after="0"/>
              <w:rPr>
                <w:sz w:val="20"/>
                <w:szCs w:val="20"/>
                <w:color w:val="auto"/>
              </w:rPr>
            </w:pPr>
            <w:r>
              <w:rPr>
                <w:rFonts w:ascii="Arial" w:cs="Arial" w:eastAsia="Arial" w:hAnsi="Arial"/>
                <w:sz w:val="17"/>
                <w:szCs w:val="17"/>
                <w:color w:val="auto"/>
                <w:w w:val="95"/>
              </w:rPr>
              <w:t>2.00%</w:t>
            </w:r>
          </w:p>
        </w:tc>
        <w:tc>
          <w:tcPr>
            <w:tcW w:w="2420" w:type="dxa"/>
            <w:vAlign w:val="bottom"/>
            <w:vMerge w:val="restart"/>
          </w:tcPr>
          <w:p>
            <w:pPr>
              <w:jc w:val="center"/>
              <w:ind w:left="54"/>
              <w:spacing w:after="0"/>
              <w:rPr>
                <w:sz w:val="20"/>
                <w:szCs w:val="20"/>
                <w:color w:val="auto"/>
              </w:rPr>
            </w:pPr>
            <w:r>
              <w:rPr>
                <w:rFonts w:ascii="Arial" w:cs="Arial" w:eastAsia="Arial" w:hAnsi="Arial"/>
                <w:sz w:val="17"/>
                <w:szCs w:val="17"/>
                <w:color w:val="auto"/>
                <w:w w:val="91"/>
              </w:rPr>
              <w:t>1.00%</w:t>
            </w:r>
          </w:p>
        </w:tc>
        <w:tc>
          <w:tcPr>
            <w:tcW w:w="1360" w:type="dxa"/>
            <w:vAlign w:val="bottom"/>
            <w:vMerge w:val="restart"/>
          </w:tcPr>
          <w:p>
            <w:pPr>
              <w:jc w:val="right"/>
              <w:spacing w:after="0"/>
              <w:rPr>
                <w:sz w:val="20"/>
                <w:szCs w:val="20"/>
                <w:color w:val="auto"/>
              </w:rPr>
            </w:pPr>
            <w:r>
              <w:rPr>
                <w:rFonts w:ascii="Arial" w:cs="Arial" w:eastAsia="Arial" w:hAnsi="Arial"/>
                <w:sz w:val="17"/>
                <w:szCs w:val="17"/>
                <w:color w:val="auto"/>
              </w:rPr>
              <w:t>0.30%</w:t>
            </w:r>
          </w:p>
        </w:tc>
        <w:tc>
          <w:tcPr>
            <w:tcW w:w="0" w:type="dxa"/>
            <w:vAlign w:val="bottom"/>
          </w:tcPr>
          <w:p>
            <w:pPr>
              <w:spacing w:after="0"/>
              <w:rPr>
                <w:sz w:val="1"/>
                <w:szCs w:val="1"/>
                <w:color w:val="auto"/>
              </w:rPr>
            </w:pPr>
          </w:p>
        </w:tc>
      </w:tr>
      <w:tr>
        <w:trPr>
          <w:trHeight w:val="127"/>
        </w:trPr>
        <w:tc>
          <w:tcPr>
            <w:tcW w:w="4680" w:type="dxa"/>
            <w:vAlign w:val="bottom"/>
            <w:vMerge w:val="restart"/>
          </w:tcPr>
          <w:p>
            <w:pPr>
              <w:ind w:left="20"/>
              <w:spacing w:after="0"/>
              <w:rPr>
                <w:sz w:val="20"/>
                <w:szCs w:val="20"/>
                <w:color w:val="auto"/>
              </w:rPr>
            </w:pPr>
            <w:r>
              <w:rPr>
                <w:rFonts w:ascii="Arial" w:cs="Arial" w:eastAsia="Arial" w:hAnsi="Arial"/>
                <w:sz w:val="17"/>
                <w:szCs w:val="17"/>
                <w:color w:val="auto"/>
              </w:rPr>
              <w:t>1.0</w:t>
            </w:r>
          </w:p>
        </w:tc>
        <w:tc>
          <w:tcPr>
            <w:tcW w:w="2260" w:type="dxa"/>
            <w:vAlign w:val="bottom"/>
            <w:vMerge w:val="continue"/>
          </w:tcPr>
          <w:p>
            <w:pPr>
              <w:spacing w:after="0"/>
              <w:rPr>
                <w:sz w:val="11"/>
                <w:szCs w:val="11"/>
                <w:color w:val="auto"/>
              </w:rPr>
            </w:pPr>
          </w:p>
        </w:tc>
        <w:tc>
          <w:tcPr>
            <w:tcW w:w="2420" w:type="dxa"/>
            <w:vAlign w:val="bottom"/>
            <w:vMerge w:val="continue"/>
          </w:tcPr>
          <w:p>
            <w:pPr>
              <w:spacing w:after="0"/>
              <w:rPr>
                <w:sz w:val="11"/>
                <w:szCs w:val="11"/>
                <w:color w:val="auto"/>
              </w:rPr>
            </w:pPr>
          </w:p>
        </w:tc>
        <w:tc>
          <w:tcPr>
            <w:tcW w:w="1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4680" w:type="dxa"/>
            <w:vAlign w:val="bottom"/>
            <w:vMerge w:val="continue"/>
          </w:tcPr>
          <w:p>
            <w:pPr>
              <w:spacing w:after="0"/>
              <w:rPr>
                <w:sz w:val="7"/>
                <w:szCs w:val="7"/>
                <w:color w:val="auto"/>
              </w:rPr>
            </w:pPr>
          </w:p>
        </w:tc>
        <w:tc>
          <w:tcPr>
            <w:tcW w:w="2260" w:type="dxa"/>
            <w:vAlign w:val="bottom"/>
          </w:tcPr>
          <w:p>
            <w:pPr>
              <w:spacing w:after="0"/>
              <w:rPr>
                <w:sz w:val="7"/>
                <w:szCs w:val="7"/>
                <w:color w:val="auto"/>
              </w:rPr>
            </w:pPr>
          </w:p>
        </w:tc>
        <w:tc>
          <w:tcPr>
            <w:tcW w:w="24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4680" w:type="dxa"/>
            <w:vAlign w:val="bottom"/>
            <w:shd w:val="clear" w:color="auto" w:fill="CCEEFF"/>
          </w:tcPr>
          <w:p>
            <w:pPr>
              <w:ind w:left="640"/>
              <w:spacing w:after="0" w:line="169" w:lineRule="exact"/>
              <w:rPr>
                <w:sz w:val="20"/>
                <w:szCs w:val="20"/>
                <w:color w:val="auto"/>
              </w:rPr>
            </w:pPr>
            <w:r>
              <w:rPr>
                <w:rFonts w:ascii="Arial" w:cs="Arial" w:eastAsia="Arial" w:hAnsi="Arial"/>
                <w:sz w:val="17"/>
                <w:szCs w:val="17"/>
                <w:color w:val="auto"/>
                <w:w w:val="94"/>
              </w:rPr>
              <w:t>Less than or equal to 3.00 to 1.0 but greater than 2.50 to</w:t>
            </w:r>
          </w:p>
        </w:tc>
        <w:tc>
          <w:tcPr>
            <w:tcW w:w="2260" w:type="dxa"/>
            <w:vAlign w:val="bottom"/>
            <w:vMerge w:val="restart"/>
            <w:shd w:val="clear" w:color="auto" w:fill="CCEEFF"/>
          </w:tcPr>
          <w:p>
            <w:pPr>
              <w:jc w:val="center"/>
              <w:ind w:left="314"/>
              <w:spacing w:after="0"/>
              <w:rPr>
                <w:sz w:val="20"/>
                <w:szCs w:val="20"/>
                <w:color w:val="auto"/>
              </w:rPr>
            </w:pPr>
            <w:r>
              <w:rPr>
                <w:rFonts w:ascii="Arial" w:cs="Arial" w:eastAsia="Arial" w:hAnsi="Arial"/>
                <w:sz w:val="17"/>
                <w:szCs w:val="17"/>
                <w:color w:val="auto"/>
                <w:w w:val="95"/>
              </w:rPr>
              <w:t>1.75%</w:t>
            </w:r>
          </w:p>
        </w:tc>
        <w:tc>
          <w:tcPr>
            <w:tcW w:w="2420" w:type="dxa"/>
            <w:vAlign w:val="bottom"/>
            <w:vMerge w:val="restart"/>
            <w:shd w:val="clear" w:color="auto" w:fill="CCEEFF"/>
          </w:tcPr>
          <w:p>
            <w:pPr>
              <w:jc w:val="center"/>
              <w:ind w:left="54"/>
              <w:spacing w:after="0"/>
              <w:rPr>
                <w:sz w:val="20"/>
                <w:szCs w:val="20"/>
                <w:color w:val="auto"/>
              </w:rPr>
            </w:pPr>
            <w:r>
              <w:rPr>
                <w:rFonts w:ascii="Arial" w:cs="Arial" w:eastAsia="Arial" w:hAnsi="Arial"/>
                <w:sz w:val="17"/>
                <w:szCs w:val="17"/>
                <w:color w:val="auto"/>
                <w:w w:val="91"/>
              </w:rPr>
              <w:t>0.75%</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0.25%</w:t>
            </w:r>
          </w:p>
        </w:tc>
        <w:tc>
          <w:tcPr>
            <w:tcW w:w="0" w:type="dxa"/>
            <w:vAlign w:val="bottom"/>
          </w:tcPr>
          <w:p>
            <w:pPr>
              <w:spacing w:after="0"/>
              <w:rPr>
                <w:sz w:val="1"/>
                <w:szCs w:val="1"/>
                <w:color w:val="auto"/>
              </w:rPr>
            </w:pPr>
          </w:p>
        </w:tc>
      </w:tr>
      <w:tr>
        <w:trPr>
          <w:trHeight w:val="127"/>
        </w:trPr>
        <w:tc>
          <w:tcPr>
            <w:tcW w:w="468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1.0</w:t>
            </w:r>
          </w:p>
        </w:tc>
        <w:tc>
          <w:tcPr>
            <w:tcW w:w="2260" w:type="dxa"/>
            <w:vAlign w:val="bottom"/>
            <w:vMerge w:val="continue"/>
            <w:shd w:val="clear" w:color="auto" w:fill="CCEEFF"/>
          </w:tcPr>
          <w:p>
            <w:pPr>
              <w:spacing w:after="0"/>
              <w:rPr>
                <w:sz w:val="11"/>
                <w:szCs w:val="11"/>
                <w:color w:val="auto"/>
              </w:rPr>
            </w:pPr>
          </w:p>
        </w:tc>
        <w:tc>
          <w:tcPr>
            <w:tcW w:w="2420" w:type="dxa"/>
            <w:vAlign w:val="bottom"/>
            <w:vMerge w:val="continue"/>
            <w:shd w:val="clear" w:color="auto" w:fill="CCEEFF"/>
          </w:tcPr>
          <w:p>
            <w:pPr>
              <w:spacing w:after="0"/>
              <w:rPr>
                <w:sz w:val="11"/>
                <w:szCs w:val="11"/>
                <w:color w:val="auto"/>
              </w:rPr>
            </w:pPr>
          </w:p>
        </w:tc>
        <w:tc>
          <w:tcPr>
            <w:tcW w:w="13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4680" w:type="dxa"/>
            <w:vAlign w:val="bottom"/>
            <w:vMerge w:val="continue"/>
            <w:shd w:val="clear" w:color="auto" w:fill="CCEEFF"/>
          </w:tcPr>
          <w:p>
            <w:pPr>
              <w:spacing w:after="0"/>
              <w:rPr>
                <w:sz w:val="7"/>
                <w:szCs w:val="7"/>
                <w:color w:val="auto"/>
              </w:rPr>
            </w:pPr>
          </w:p>
        </w:tc>
        <w:tc>
          <w:tcPr>
            <w:tcW w:w="2260" w:type="dxa"/>
            <w:vAlign w:val="bottom"/>
            <w:shd w:val="clear" w:color="auto" w:fill="CCEEFF"/>
          </w:tcPr>
          <w:p>
            <w:pPr>
              <w:spacing w:after="0"/>
              <w:rPr>
                <w:sz w:val="7"/>
                <w:szCs w:val="7"/>
                <w:color w:val="auto"/>
              </w:rPr>
            </w:pPr>
          </w:p>
        </w:tc>
        <w:tc>
          <w:tcPr>
            <w:tcW w:w="2420" w:type="dxa"/>
            <w:vAlign w:val="bottom"/>
            <w:shd w:val="clear" w:color="auto" w:fill="CCEEFF"/>
          </w:tcPr>
          <w:p>
            <w:pPr>
              <w:spacing w:after="0"/>
              <w:rPr>
                <w:sz w:val="7"/>
                <w:szCs w:val="7"/>
                <w:color w:val="auto"/>
              </w:rPr>
            </w:pPr>
          </w:p>
        </w:tc>
        <w:tc>
          <w:tcPr>
            <w:tcW w:w="13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4680" w:type="dxa"/>
            <w:vAlign w:val="bottom"/>
          </w:tcPr>
          <w:p>
            <w:pPr>
              <w:ind w:left="640"/>
              <w:spacing w:after="0" w:line="168" w:lineRule="exact"/>
              <w:rPr>
                <w:sz w:val="20"/>
                <w:szCs w:val="20"/>
                <w:color w:val="auto"/>
              </w:rPr>
            </w:pPr>
            <w:r>
              <w:rPr>
                <w:rFonts w:ascii="Arial" w:cs="Arial" w:eastAsia="Arial" w:hAnsi="Arial"/>
                <w:sz w:val="17"/>
                <w:szCs w:val="17"/>
                <w:color w:val="auto"/>
                <w:w w:val="94"/>
              </w:rPr>
              <w:t>Less than or equal to 2.50 to 1.0 but greater than 2.00 to</w:t>
            </w:r>
          </w:p>
        </w:tc>
        <w:tc>
          <w:tcPr>
            <w:tcW w:w="2260" w:type="dxa"/>
            <w:vAlign w:val="bottom"/>
            <w:vMerge w:val="restart"/>
          </w:tcPr>
          <w:p>
            <w:pPr>
              <w:jc w:val="center"/>
              <w:ind w:left="314"/>
              <w:spacing w:after="0"/>
              <w:rPr>
                <w:sz w:val="20"/>
                <w:szCs w:val="20"/>
                <w:color w:val="auto"/>
              </w:rPr>
            </w:pPr>
            <w:r>
              <w:rPr>
                <w:rFonts w:ascii="Arial" w:cs="Arial" w:eastAsia="Arial" w:hAnsi="Arial"/>
                <w:sz w:val="17"/>
                <w:szCs w:val="17"/>
                <w:color w:val="auto"/>
                <w:w w:val="95"/>
              </w:rPr>
              <w:t>1.50%</w:t>
            </w:r>
          </w:p>
        </w:tc>
        <w:tc>
          <w:tcPr>
            <w:tcW w:w="2420" w:type="dxa"/>
            <w:vAlign w:val="bottom"/>
            <w:vMerge w:val="restart"/>
          </w:tcPr>
          <w:p>
            <w:pPr>
              <w:jc w:val="center"/>
              <w:ind w:left="54"/>
              <w:spacing w:after="0"/>
              <w:rPr>
                <w:sz w:val="20"/>
                <w:szCs w:val="20"/>
                <w:color w:val="auto"/>
              </w:rPr>
            </w:pPr>
            <w:r>
              <w:rPr>
                <w:rFonts w:ascii="Arial" w:cs="Arial" w:eastAsia="Arial" w:hAnsi="Arial"/>
                <w:sz w:val="17"/>
                <w:szCs w:val="17"/>
                <w:color w:val="auto"/>
                <w:w w:val="91"/>
              </w:rPr>
              <w:t>0.50%</w:t>
            </w:r>
          </w:p>
        </w:tc>
        <w:tc>
          <w:tcPr>
            <w:tcW w:w="1360" w:type="dxa"/>
            <w:vAlign w:val="bottom"/>
            <w:vMerge w:val="restart"/>
          </w:tcPr>
          <w:p>
            <w:pPr>
              <w:jc w:val="right"/>
              <w:spacing w:after="0"/>
              <w:rPr>
                <w:sz w:val="20"/>
                <w:szCs w:val="20"/>
                <w:color w:val="auto"/>
              </w:rPr>
            </w:pPr>
            <w:r>
              <w:rPr>
                <w:rFonts w:ascii="Arial" w:cs="Arial" w:eastAsia="Arial" w:hAnsi="Arial"/>
                <w:sz w:val="17"/>
                <w:szCs w:val="17"/>
                <w:color w:val="auto"/>
              </w:rPr>
              <w:t>0.20%</w:t>
            </w:r>
          </w:p>
        </w:tc>
        <w:tc>
          <w:tcPr>
            <w:tcW w:w="0" w:type="dxa"/>
            <w:vAlign w:val="bottom"/>
          </w:tcPr>
          <w:p>
            <w:pPr>
              <w:spacing w:after="0"/>
              <w:rPr>
                <w:sz w:val="1"/>
                <w:szCs w:val="1"/>
                <w:color w:val="auto"/>
              </w:rPr>
            </w:pPr>
          </w:p>
        </w:tc>
      </w:tr>
      <w:tr>
        <w:trPr>
          <w:trHeight w:val="127"/>
        </w:trPr>
        <w:tc>
          <w:tcPr>
            <w:tcW w:w="4680" w:type="dxa"/>
            <w:vAlign w:val="bottom"/>
            <w:vMerge w:val="restart"/>
          </w:tcPr>
          <w:p>
            <w:pPr>
              <w:ind w:left="20"/>
              <w:spacing w:after="0"/>
              <w:rPr>
                <w:sz w:val="20"/>
                <w:szCs w:val="20"/>
                <w:color w:val="auto"/>
              </w:rPr>
            </w:pPr>
            <w:r>
              <w:rPr>
                <w:rFonts w:ascii="Arial" w:cs="Arial" w:eastAsia="Arial" w:hAnsi="Arial"/>
                <w:sz w:val="17"/>
                <w:szCs w:val="17"/>
                <w:color w:val="auto"/>
              </w:rPr>
              <w:t>1.0</w:t>
            </w:r>
          </w:p>
        </w:tc>
        <w:tc>
          <w:tcPr>
            <w:tcW w:w="2260" w:type="dxa"/>
            <w:vAlign w:val="bottom"/>
            <w:vMerge w:val="continue"/>
          </w:tcPr>
          <w:p>
            <w:pPr>
              <w:spacing w:after="0"/>
              <w:rPr>
                <w:sz w:val="11"/>
                <w:szCs w:val="11"/>
                <w:color w:val="auto"/>
              </w:rPr>
            </w:pPr>
          </w:p>
        </w:tc>
        <w:tc>
          <w:tcPr>
            <w:tcW w:w="2420" w:type="dxa"/>
            <w:vAlign w:val="bottom"/>
            <w:vMerge w:val="continue"/>
          </w:tcPr>
          <w:p>
            <w:pPr>
              <w:spacing w:after="0"/>
              <w:rPr>
                <w:sz w:val="11"/>
                <w:szCs w:val="11"/>
                <w:color w:val="auto"/>
              </w:rPr>
            </w:pPr>
          </w:p>
        </w:tc>
        <w:tc>
          <w:tcPr>
            <w:tcW w:w="1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4680" w:type="dxa"/>
            <w:vAlign w:val="bottom"/>
            <w:vMerge w:val="continue"/>
          </w:tcPr>
          <w:p>
            <w:pPr>
              <w:spacing w:after="0"/>
              <w:rPr>
                <w:sz w:val="7"/>
                <w:szCs w:val="7"/>
                <w:color w:val="auto"/>
              </w:rPr>
            </w:pPr>
          </w:p>
        </w:tc>
        <w:tc>
          <w:tcPr>
            <w:tcW w:w="2260" w:type="dxa"/>
            <w:vAlign w:val="bottom"/>
          </w:tcPr>
          <w:p>
            <w:pPr>
              <w:spacing w:after="0"/>
              <w:rPr>
                <w:sz w:val="7"/>
                <w:szCs w:val="7"/>
                <w:color w:val="auto"/>
              </w:rPr>
            </w:pPr>
          </w:p>
        </w:tc>
        <w:tc>
          <w:tcPr>
            <w:tcW w:w="24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4680" w:type="dxa"/>
            <w:vAlign w:val="bottom"/>
            <w:shd w:val="clear" w:color="auto" w:fill="CCEEFF"/>
          </w:tcPr>
          <w:p>
            <w:pPr>
              <w:ind w:left="640"/>
              <w:spacing w:after="0"/>
              <w:rPr>
                <w:sz w:val="20"/>
                <w:szCs w:val="20"/>
                <w:color w:val="auto"/>
              </w:rPr>
            </w:pPr>
            <w:r>
              <w:rPr>
                <w:rFonts w:ascii="Arial" w:cs="Arial" w:eastAsia="Arial" w:hAnsi="Arial"/>
                <w:sz w:val="17"/>
                <w:szCs w:val="17"/>
                <w:color w:val="auto"/>
              </w:rPr>
              <w:t>Less than or equal to 2.00 to 1.0</w:t>
            </w:r>
          </w:p>
        </w:tc>
        <w:tc>
          <w:tcPr>
            <w:tcW w:w="2260" w:type="dxa"/>
            <w:vAlign w:val="bottom"/>
            <w:shd w:val="clear" w:color="auto" w:fill="CCEEFF"/>
          </w:tcPr>
          <w:p>
            <w:pPr>
              <w:jc w:val="center"/>
              <w:ind w:left="314"/>
              <w:spacing w:after="0"/>
              <w:rPr>
                <w:sz w:val="20"/>
                <w:szCs w:val="20"/>
                <w:color w:val="auto"/>
              </w:rPr>
            </w:pPr>
            <w:r>
              <w:rPr>
                <w:rFonts w:ascii="Arial" w:cs="Arial" w:eastAsia="Arial" w:hAnsi="Arial"/>
                <w:sz w:val="17"/>
                <w:szCs w:val="17"/>
                <w:color w:val="auto"/>
                <w:w w:val="95"/>
              </w:rPr>
              <w:t>1.25%</w:t>
            </w:r>
          </w:p>
        </w:tc>
        <w:tc>
          <w:tcPr>
            <w:tcW w:w="2420" w:type="dxa"/>
            <w:vAlign w:val="bottom"/>
            <w:shd w:val="clear" w:color="auto" w:fill="CCEEFF"/>
          </w:tcPr>
          <w:p>
            <w:pPr>
              <w:jc w:val="center"/>
              <w:ind w:left="54"/>
              <w:spacing w:after="0"/>
              <w:rPr>
                <w:sz w:val="20"/>
                <w:szCs w:val="20"/>
                <w:color w:val="auto"/>
              </w:rPr>
            </w:pPr>
            <w:r>
              <w:rPr>
                <w:rFonts w:ascii="Arial" w:cs="Arial" w:eastAsia="Arial" w:hAnsi="Arial"/>
                <w:sz w:val="17"/>
                <w:szCs w:val="17"/>
                <w:color w:val="auto"/>
                <w:w w:val="91"/>
              </w:rPr>
              <w:t>0.25%</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0.15%</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Term Loan B has an initial applicable margin of 1.5% per annum for Base Rate Loans and 2.5% per annum for Term SOFR Loans.</w:t>
      </w:r>
    </w:p>
    <w:p>
      <w:pPr>
        <w:spacing w:after="0" w:line="243" w:lineRule="exact"/>
        <w:rPr>
          <w:sz w:val="20"/>
          <w:szCs w:val="20"/>
          <w:color w:val="auto"/>
        </w:rPr>
      </w:pPr>
    </w:p>
    <w:p>
      <w:pPr>
        <w:ind w:right="520" w:firstLine="619"/>
        <w:spacing w:after="0" w:line="312" w:lineRule="auto"/>
        <w:rPr>
          <w:sz w:val="20"/>
          <w:szCs w:val="20"/>
          <w:color w:val="auto"/>
        </w:rPr>
      </w:pPr>
      <w:r>
        <w:rPr>
          <w:rFonts w:ascii="Arial" w:cs="Arial" w:eastAsia="Arial" w:hAnsi="Arial"/>
          <w:sz w:val="16"/>
          <w:szCs w:val="16"/>
          <w:color w:val="auto"/>
        </w:rPr>
        <w:t>Effective on the first Adjustment Date, as defined in the Credit Agreement, occurring subsequent to our quarter ending June 30, 2022, the applicable margin for the Term Loan B will be determined by reference to the leverage ratio in effect from time to time as set forth in the following table: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00" w:type="dxa"/>
            <w:vAlign w:val="bottom"/>
            <w:vMerge w:val="restart"/>
          </w:tcPr>
          <w:p>
            <w:pPr>
              <w:ind w:left="2840"/>
              <w:spacing w:after="0"/>
              <w:rPr>
                <w:sz w:val="20"/>
                <w:szCs w:val="20"/>
                <w:color w:val="auto"/>
              </w:rPr>
            </w:pPr>
            <w:r>
              <w:rPr>
                <w:rFonts w:ascii="Arial" w:cs="Arial" w:eastAsia="Arial" w:hAnsi="Arial"/>
                <w:sz w:val="17"/>
                <w:szCs w:val="17"/>
                <w:b w:val="1"/>
                <w:bCs w:val="1"/>
                <w:color w:val="auto"/>
              </w:rPr>
              <w:t>Leverage Ratio</w:t>
            </w:r>
          </w:p>
        </w:tc>
        <w:tc>
          <w:tcPr>
            <w:tcW w:w="3620" w:type="dxa"/>
            <w:vAlign w:val="bottom"/>
          </w:tcPr>
          <w:p>
            <w:pPr>
              <w:jc w:val="center"/>
              <w:ind w:left="1274"/>
              <w:spacing w:after="0"/>
              <w:rPr>
                <w:sz w:val="20"/>
                <w:szCs w:val="20"/>
                <w:color w:val="auto"/>
              </w:rPr>
            </w:pPr>
            <w:r>
              <w:rPr>
                <w:rFonts w:ascii="Arial" w:cs="Arial" w:eastAsia="Arial" w:hAnsi="Arial"/>
                <w:sz w:val="17"/>
                <w:szCs w:val="17"/>
                <w:b w:val="1"/>
                <w:bCs w:val="1"/>
                <w:color w:val="auto"/>
                <w:w w:val="95"/>
              </w:rPr>
              <w:t>Applicable Margin for Term</w:t>
            </w:r>
          </w:p>
        </w:tc>
        <w:tc>
          <w:tcPr>
            <w:tcW w:w="2200" w:type="dxa"/>
            <w:vAlign w:val="bottom"/>
          </w:tcPr>
          <w:p>
            <w:pPr>
              <w:jc w:val="center"/>
              <w:spacing w:after="0"/>
              <w:rPr>
                <w:sz w:val="20"/>
                <w:szCs w:val="20"/>
                <w:color w:val="auto"/>
              </w:rPr>
            </w:pPr>
            <w:r>
              <w:rPr>
                <w:rFonts w:ascii="Arial" w:cs="Arial" w:eastAsia="Arial" w:hAnsi="Arial"/>
                <w:sz w:val="17"/>
                <w:szCs w:val="17"/>
                <w:b w:val="1"/>
                <w:bCs w:val="1"/>
                <w:color w:val="auto"/>
                <w:w w:val="92"/>
              </w:rPr>
              <w:t>Applicable Margin for Base</w:t>
            </w:r>
          </w:p>
        </w:tc>
        <w:tc>
          <w:tcPr>
            <w:tcW w:w="0" w:type="dxa"/>
            <w:vAlign w:val="bottom"/>
          </w:tcPr>
          <w:p>
            <w:pPr>
              <w:spacing w:after="0"/>
              <w:rPr>
                <w:sz w:val="1"/>
                <w:szCs w:val="1"/>
                <w:color w:val="auto"/>
              </w:rPr>
            </w:pPr>
          </w:p>
        </w:tc>
      </w:tr>
      <w:tr>
        <w:trPr>
          <w:trHeight w:val="219"/>
        </w:trPr>
        <w:tc>
          <w:tcPr>
            <w:tcW w:w="5400" w:type="dxa"/>
            <w:vAlign w:val="bottom"/>
            <w:tcBorders>
              <w:bottom w:val="single" w:sz="8" w:color="auto"/>
            </w:tcBorders>
            <w:vMerge w:val="continue"/>
          </w:tcPr>
          <w:p>
            <w:pPr>
              <w:spacing w:after="0"/>
              <w:rPr>
                <w:sz w:val="19"/>
                <w:szCs w:val="19"/>
                <w:color w:val="auto"/>
              </w:rPr>
            </w:pPr>
          </w:p>
        </w:tc>
        <w:tc>
          <w:tcPr>
            <w:tcW w:w="3620" w:type="dxa"/>
            <w:vAlign w:val="bottom"/>
            <w:tcBorders>
              <w:bottom w:val="single" w:sz="8" w:color="auto"/>
            </w:tcBorders>
          </w:tcPr>
          <w:p>
            <w:pPr>
              <w:jc w:val="center"/>
              <w:ind w:left="1274"/>
              <w:spacing w:after="0"/>
              <w:rPr>
                <w:sz w:val="20"/>
                <w:szCs w:val="20"/>
                <w:color w:val="auto"/>
              </w:rPr>
            </w:pPr>
            <w:r>
              <w:rPr>
                <w:rFonts w:ascii="Arial" w:cs="Arial" w:eastAsia="Arial" w:hAnsi="Arial"/>
                <w:sz w:val="17"/>
                <w:szCs w:val="17"/>
                <w:b w:val="1"/>
                <w:bCs w:val="1"/>
                <w:color w:val="auto"/>
                <w:w w:val="92"/>
              </w:rPr>
              <w:t>SOFR Loans</w:t>
            </w: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Rate Loans</w:t>
            </w:r>
          </w:p>
        </w:tc>
        <w:tc>
          <w:tcPr>
            <w:tcW w:w="0" w:type="dxa"/>
            <w:vAlign w:val="bottom"/>
          </w:tcPr>
          <w:p>
            <w:pPr>
              <w:spacing w:after="0"/>
              <w:rPr>
                <w:sz w:val="1"/>
                <w:szCs w:val="1"/>
                <w:color w:val="auto"/>
              </w:rPr>
            </w:pPr>
          </w:p>
        </w:tc>
      </w:tr>
      <w:tr>
        <w:trPr>
          <w:trHeight w:val="212"/>
        </w:trPr>
        <w:tc>
          <w:tcPr>
            <w:tcW w:w="5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Greater than 2.75 to 1.0</w:t>
            </w:r>
          </w:p>
        </w:tc>
        <w:tc>
          <w:tcPr>
            <w:tcW w:w="3620" w:type="dxa"/>
            <w:vAlign w:val="bottom"/>
            <w:shd w:val="clear" w:color="auto" w:fill="CCEEFF"/>
          </w:tcPr>
          <w:p>
            <w:pPr>
              <w:jc w:val="center"/>
              <w:ind w:left="1294"/>
              <w:spacing w:after="0"/>
              <w:rPr>
                <w:sz w:val="20"/>
                <w:szCs w:val="20"/>
                <w:color w:val="auto"/>
              </w:rPr>
            </w:pPr>
            <w:r>
              <w:rPr>
                <w:rFonts w:ascii="Arial" w:cs="Arial" w:eastAsia="Arial" w:hAnsi="Arial"/>
                <w:sz w:val="17"/>
                <w:szCs w:val="17"/>
                <w:color w:val="auto"/>
                <w:w w:val="91"/>
              </w:rPr>
              <w:t>2.50%</w:t>
            </w:r>
          </w:p>
        </w:tc>
        <w:tc>
          <w:tcPr>
            <w:tcW w:w="22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1.50%</w:t>
            </w:r>
          </w:p>
        </w:tc>
        <w:tc>
          <w:tcPr>
            <w:tcW w:w="0" w:type="dxa"/>
            <w:vAlign w:val="bottom"/>
          </w:tcPr>
          <w:p>
            <w:pPr>
              <w:spacing w:after="0"/>
              <w:rPr>
                <w:sz w:val="1"/>
                <w:szCs w:val="1"/>
                <w:color w:val="auto"/>
              </w:rPr>
            </w:pPr>
          </w:p>
        </w:tc>
      </w:tr>
      <w:tr>
        <w:trPr>
          <w:trHeight w:val="218"/>
        </w:trPr>
        <w:tc>
          <w:tcPr>
            <w:tcW w:w="5400" w:type="dxa"/>
            <w:vAlign w:val="bottom"/>
          </w:tcPr>
          <w:p>
            <w:pPr>
              <w:ind w:left="20"/>
              <w:spacing w:after="0"/>
              <w:rPr>
                <w:sz w:val="20"/>
                <w:szCs w:val="20"/>
                <w:color w:val="auto"/>
              </w:rPr>
            </w:pPr>
            <w:r>
              <w:rPr>
                <w:rFonts w:ascii="Arial" w:cs="Arial" w:eastAsia="Arial" w:hAnsi="Arial"/>
                <w:sz w:val="17"/>
                <w:szCs w:val="17"/>
                <w:color w:val="auto"/>
              </w:rPr>
              <w:t>Less than 2.75 to 1.0</w:t>
            </w:r>
          </w:p>
        </w:tc>
        <w:tc>
          <w:tcPr>
            <w:tcW w:w="3620" w:type="dxa"/>
            <w:vAlign w:val="bottom"/>
          </w:tcPr>
          <w:p>
            <w:pPr>
              <w:jc w:val="center"/>
              <w:ind w:left="1294"/>
              <w:spacing w:after="0"/>
              <w:rPr>
                <w:sz w:val="20"/>
                <w:szCs w:val="20"/>
                <w:color w:val="auto"/>
              </w:rPr>
            </w:pPr>
            <w:r>
              <w:rPr>
                <w:rFonts w:ascii="Arial" w:cs="Arial" w:eastAsia="Arial" w:hAnsi="Arial"/>
                <w:sz w:val="17"/>
                <w:szCs w:val="17"/>
                <w:color w:val="auto"/>
                <w:w w:val="91"/>
              </w:rPr>
              <w:t>2.25%</w:t>
            </w:r>
          </w:p>
        </w:tc>
        <w:tc>
          <w:tcPr>
            <w:tcW w:w="2200" w:type="dxa"/>
            <w:vAlign w:val="bottom"/>
          </w:tcPr>
          <w:p>
            <w:pPr>
              <w:jc w:val="center"/>
              <w:spacing w:after="0"/>
              <w:rPr>
                <w:sz w:val="20"/>
                <w:szCs w:val="20"/>
                <w:color w:val="auto"/>
              </w:rPr>
            </w:pPr>
            <w:r>
              <w:rPr>
                <w:rFonts w:ascii="Arial" w:cs="Arial" w:eastAsia="Arial" w:hAnsi="Arial"/>
                <w:sz w:val="17"/>
                <w:szCs w:val="17"/>
                <w:color w:val="auto"/>
                <w:w w:val="95"/>
              </w:rPr>
              <w:t>1.25%</w:t>
            </w:r>
          </w:p>
        </w:tc>
        <w:tc>
          <w:tcPr>
            <w:tcW w:w="0" w:type="dxa"/>
            <w:vAlign w:val="bottom"/>
          </w:tcPr>
          <w:p>
            <w:pPr>
              <w:spacing w:after="0"/>
              <w:rPr>
                <w:sz w:val="1"/>
                <w:szCs w:val="1"/>
                <w:color w:val="auto"/>
              </w:rPr>
            </w:pPr>
          </w:p>
        </w:tc>
      </w:tr>
    </w:tbl>
    <w:p>
      <w:pPr>
        <w:spacing w:after="0" w:line="299"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Principal Payments</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Principal payments on the Term Loans are due on the last day of each calendar quarter commencing on June 30, 2022.</w:t>
      </w:r>
    </w:p>
    <w:p>
      <w:pPr>
        <w:spacing w:after="0" w:line="243" w:lineRule="exact"/>
        <w:rPr>
          <w:sz w:val="20"/>
          <w:szCs w:val="20"/>
          <w:color w:val="auto"/>
        </w:rPr>
      </w:pPr>
    </w:p>
    <w:p>
      <w:pPr>
        <w:jc w:val="both"/>
        <w:ind w:right="120" w:firstLine="619"/>
        <w:spacing w:after="0" w:line="266" w:lineRule="auto"/>
        <w:rPr>
          <w:sz w:val="20"/>
          <w:szCs w:val="20"/>
          <w:color w:val="auto"/>
        </w:rPr>
      </w:pPr>
      <w:r>
        <w:rPr>
          <w:rFonts w:ascii="Arial" w:cs="Arial" w:eastAsia="Arial" w:hAnsi="Arial"/>
          <w:sz w:val="17"/>
          <w:szCs w:val="17"/>
          <w:color w:val="auto"/>
        </w:rPr>
        <w:t>The Term Loan A will amortize in nineteen consecutive quarterly installments in an amount equal to 2.50% of the original principal amount in each of the first two years, 5.00% in each of the third and fourth years and 7.50% in the fifth year, with a final payment of the remaining outstanding principal balance due on the maturity date.</w:t>
      </w:r>
    </w:p>
    <w:p>
      <w:pPr>
        <w:spacing w:after="0" w:line="201" w:lineRule="exact"/>
        <w:rPr>
          <w:sz w:val="20"/>
          <w:szCs w:val="20"/>
          <w:color w:val="auto"/>
        </w:rPr>
      </w:pPr>
    </w:p>
    <w:p>
      <w:pPr>
        <w:ind w:right="260" w:firstLine="619"/>
        <w:spacing w:after="0" w:line="279" w:lineRule="auto"/>
        <w:rPr>
          <w:sz w:val="20"/>
          <w:szCs w:val="20"/>
          <w:color w:val="auto"/>
        </w:rPr>
      </w:pPr>
      <w:r>
        <w:rPr>
          <w:rFonts w:ascii="Arial" w:cs="Arial" w:eastAsia="Arial" w:hAnsi="Arial"/>
          <w:sz w:val="17"/>
          <w:szCs w:val="17"/>
          <w:color w:val="auto"/>
        </w:rPr>
        <w:t>The Term Loan B matures in twenty-seven consecutive quarterly installments in an amount equal to 0.25% of the original principal amount, with a final payment of the remaining outstanding principal balance due on the maturity date.</w:t>
      </w:r>
    </w:p>
    <w:p>
      <w:pPr>
        <w:spacing w:after="0" w:line="190" w:lineRule="exact"/>
        <w:rPr>
          <w:sz w:val="20"/>
          <w:szCs w:val="20"/>
          <w:color w:val="auto"/>
        </w:rPr>
      </w:pPr>
    </w:p>
    <w:p>
      <w:pPr>
        <w:ind w:right="920" w:firstLine="619"/>
        <w:spacing w:after="0" w:line="279" w:lineRule="auto"/>
        <w:rPr>
          <w:sz w:val="20"/>
          <w:szCs w:val="20"/>
          <w:color w:val="auto"/>
        </w:rPr>
      </w:pPr>
      <w:r>
        <w:rPr>
          <w:rFonts w:ascii="Arial" w:cs="Arial" w:eastAsia="Arial" w:hAnsi="Arial"/>
          <w:sz w:val="17"/>
          <w:szCs w:val="17"/>
          <w:color w:val="auto"/>
        </w:rPr>
        <w:t>We may borrow, prepay and re-borrow amounts under the Revolving Credit Facility, in accordance with the terms and conditions of the Credit Agreement, with all outstanding amounts due at maturity.</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During March 2022, we prepaid $16.0 million in principal payments on the Term Loan A principal balance.</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Interest Payments</w:t>
      </w:r>
    </w:p>
    <w:p>
      <w:pPr>
        <w:spacing w:after="0" w:line="243" w:lineRule="exact"/>
        <w:rPr>
          <w:sz w:val="20"/>
          <w:szCs w:val="20"/>
          <w:color w:val="auto"/>
        </w:rPr>
      </w:pPr>
    </w:p>
    <w:p>
      <w:pPr>
        <w:ind w:right="260" w:firstLine="619"/>
        <w:spacing w:after="0" w:line="262" w:lineRule="auto"/>
        <w:rPr>
          <w:sz w:val="20"/>
          <w:szCs w:val="20"/>
          <w:color w:val="auto"/>
        </w:rPr>
      </w:pPr>
      <w:r>
        <w:rPr>
          <w:rFonts w:ascii="Arial" w:cs="Arial" w:eastAsia="Arial" w:hAnsi="Arial"/>
          <w:sz w:val="17"/>
          <w:szCs w:val="17"/>
          <w:color w:val="auto"/>
        </w:rPr>
        <w:t>Interest payments on Base Rate Loans are payable quarterly in arrears on the last business day of each calendar quarter and the applicable maturity date. Interest periods on Term SOFR Loans will be determined, at our option, as either one, three or six months and will be payable on the last day of each interest period and the applicable maturity date. In the case of any interest periods of more than three months' duration, the interest payment will be payable on each day prior to the last day of such interest period that occurs at three-month intervals.</w:t>
      </w:r>
    </w:p>
    <w:p>
      <w:pPr>
        <w:spacing w:after="0" w:line="204" w:lineRule="exact"/>
        <w:rPr>
          <w:sz w:val="20"/>
          <w:szCs w:val="20"/>
          <w:color w:val="auto"/>
        </w:rPr>
      </w:pPr>
    </w:p>
    <w:p>
      <w:pPr>
        <w:ind w:right="480" w:firstLine="619"/>
        <w:spacing w:after="0" w:line="276" w:lineRule="auto"/>
        <w:rPr>
          <w:sz w:val="20"/>
          <w:szCs w:val="20"/>
          <w:color w:val="auto"/>
        </w:rPr>
      </w:pPr>
      <w:r>
        <w:rPr>
          <w:rFonts w:ascii="Arial" w:cs="Arial" w:eastAsia="Arial" w:hAnsi="Arial"/>
          <w:sz w:val="16"/>
          <w:szCs w:val="16"/>
          <w:color w:val="auto"/>
        </w:rPr>
        <w:t>The commitment fee on the Revolving Credit Facility is payable quarterly in arrears on the third business day following the last day of each calendar quarter and at the maturity date. The commitment fee is included in interest expense in our condensed consolidated statements of operations.</w:t>
      </w:r>
    </w:p>
    <w:p>
      <w:pPr>
        <w:ind w:left="620"/>
        <w:spacing w:after="0"/>
        <w:rPr>
          <w:sz w:val="20"/>
          <w:szCs w:val="20"/>
          <w:color w:val="auto"/>
        </w:rPr>
      </w:pPr>
      <w:r>
        <w:rPr>
          <w:rFonts w:ascii="Arial" w:cs="Arial" w:eastAsia="Arial" w:hAnsi="Arial"/>
          <w:sz w:val="17"/>
          <w:szCs w:val="17"/>
          <w:i w:val="1"/>
          <w:iCs w:val="1"/>
          <w:color w:val="auto"/>
        </w:rPr>
        <w:t>Guarantors and Collateral</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316" w:lineRule="exact"/>
        <w:rPr>
          <w:sz w:val="20"/>
          <w:szCs w:val="20"/>
          <w:color w:val="auto"/>
        </w:rPr>
      </w:pPr>
    </w:p>
    <w:p>
      <w:pPr>
        <w:ind w:right="60" w:firstLine="619"/>
        <w:spacing w:after="0" w:line="279" w:lineRule="auto"/>
        <w:rPr>
          <w:sz w:val="20"/>
          <w:szCs w:val="20"/>
          <w:color w:val="auto"/>
        </w:rPr>
      </w:pPr>
      <w:r>
        <w:rPr>
          <w:rFonts w:ascii="Arial" w:cs="Arial" w:eastAsia="Arial" w:hAnsi="Arial"/>
          <w:sz w:val="17"/>
          <w:szCs w:val="17"/>
          <w:color w:val="auto"/>
        </w:rPr>
        <w:t>Our obligations under the Credit Agreement are unconditionally guaranteed, on a joint and several basis, by ICU Medical, Inc. and certain of our existing subsidiaries.</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Debt Covenants</w:t>
      </w:r>
    </w:p>
    <w:p>
      <w:pPr>
        <w:spacing w:after="0" w:line="243" w:lineRule="exact"/>
        <w:rPr>
          <w:sz w:val="20"/>
          <w:szCs w:val="20"/>
          <w:color w:val="auto"/>
        </w:rPr>
      </w:pPr>
    </w:p>
    <w:p>
      <w:pPr>
        <w:ind w:right="300" w:firstLine="619"/>
        <w:spacing w:after="0" w:line="262" w:lineRule="auto"/>
        <w:rPr>
          <w:sz w:val="20"/>
          <w:szCs w:val="20"/>
          <w:color w:val="auto"/>
        </w:rPr>
      </w:pPr>
      <w:r>
        <w:rPr>
          <w:rFonts w:ascii="Arial" w:cs="Arial" w:eastAsia="Arial" w:hAnsi="Arial"/>
          <w:sz w:val="17"/>
          <w:szCs w:val="17"/>
          <w:color w:val="auto"/>
        </w:rPr>
        <w:t>The Credit Agreement contains affirmative and negative covenants, including certain financial covenants. The negative covenants include restrictions regarding the incurrence of liens and indebtedness, certain merger and acquisition transactions, asset sales and other dispositions, other investments, dividends, share purchases and payments affecting subsidiaries, changes in nature of business, fiscal year or organizational documents, prepayments and redemptions of subordinated and other junior debt, transactions with affiliates, and other matters.</w:t>
      </w:r>
    </w:p>
    <w:p>
      <w:pPr>
        <w:spacing w:after="0" w:line="204" w:lineRule="exact"/>
        <w:rPr>
          <w:sz w:val="20"/>
          <w:szCs w:val="20"/>
          <w:color w:val="auto"/>
        </w:rPr>
      </w:pPr>
    </w:p>
    <w:p>
      <w:pPr>
        <w:ind w:right="120" w:firstLine="619"/>
        <w:spacing w:after="0" w:line="279" w:lineRule="auto"/>
        <w:rPr>
          <w:sz w:val="20"/>
          <w:szCs w:val="20"/>
          <w:color w:val="auto"/>
        </w:rPr>
      </w:pPr>
      <w:r>
        <w:rPr>
          <w:rFonts w:ascii="Arial" w:cs="Arial" w:eastAsia="Arial" w:hAnsi="Arial"/>
          <w:sz w:val="17"/>
          <w:szCs w:val="17"/>
          <w:color w:val="auto"/>
        </w:rPr>
        <w:t>The financial covenants include the Senior Secured Leverage Ratio and the Interest Coverage Ratio, both defined below, and pertain to the Term Loan A and the Revolving Credit Facility.</w:t>
      </w:r>
    </w:p>
    <w:p>
      <w:pPr>
        <w:spacing w:after="0" w:line="190" w:lineRule="exact"/>
        <w:rPr>
          <w:sz w:val="20"/>
          <w:szCs w:val="20"/>
          <w:color w:val="auto"/>
        </w:rPr>
      </w:pPr>
    </w:p>
    <w:p>
      <w:pPr>
        <w:ind w:right="20" w:firstLine="619"/>
        <w:spacing w:after="0" w:line="307" w:lineRule="auto"/>
        <w:rPr>
          <w:sz w:val="20"/>
          <w:szCs w:val="20"/>
          <w:color w:val="auto"/>
        </w:rPr>
      </w:pPr>
      <w:r>
        <w:rPr>
          <w:rFonts w:ascii="Arial" w:cs="Arial" w:eastAsia="Arial" w:hAnsi="Arial"/>
          <w:sz w:val="15"/>
          <w:szCs w:val="15"/>
          <w:color w:val="auto"/>
        </w:rPr>
        <w:t>The Senior Secured Leverage Ratio is defined, at any such date, as the ratio of: (a) all Funded Debt, as defined in the Credit Agreement, that is secured by a lien on any asset or property minus the lesser of (i) all unrestricted cash and cash equivalents and (ii) $500.0 million, to (b) Consolidated EBITDA, as defined in the Credit Agreement, for the most recently completed four fiscal quarters, calculated on a pro forma basis. The maximum Senior Secured Leverage Ratio is 4.50 to 1.00 until June 30, 2024. Thereafter, the maximum Senior Secured Leverage Ratio is 4.00 to 1.00, with limited permitted exception.</w:t>
      </w:r>
    </w:p>
    <w:p>
      <w:pPr>
        <w:spacing w:after="0" w:line="175" w:lineRule="exact"/>
        <w:rPr>
          <w:sz w:val="20"/>
          <w:szCs w:val="20"/>
          <w:color w:val="auto"/>
        </w:rPr>
      </w:pPr>
    </w:p>
    <w:p>
      <w:pPr>
        <w:ind w:firstLine="619"/>
        <w:spacing w:after="0" w:line="266" w:lineRule="auto"/>
        <w:rPr>
          <w:sz w:val="20"/>
          <w:szCs w:val="20"/>
          <w:color w:val="auto"/>
        </w:rPr>
      </w:pPr>
      <w:r>
        <w:rPr>
          <w:rFonts w:ascii="Arial" w:cs="Arial" w:eastAsia="Arial" w:hAnsi="Arial"/>
          <w:sz w:val="17"/>
          <w:szCs w:val="17"/>
          <w:color w:val="auto"/>
        </w:rPr>
        <w:t>The Interest Coverage ratio is defined, at any such date, as the ratio of Consolidated EBITDA, as defined in the Credit Agreement, to Consolidated Interest Expense, as defined in the Credit Agreement, paid or payable in cash, for the most recently completed four fiscal quarters. The minimum Interest Coverage ratio is 3.00 to 1.00.</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were in compliance with all financial covenants as of March 31, 2022.</w:t>
      </w:r>
    </w:p>
    <w:p>
      <w:pPr>
        <w:spacing w:after="0" w:line="243" w:lineRule="exact"/>
        <w:rPr>
          <w:sz w:val="20"/>
          <w:szCs w:val="20"/>
          <w:color w:val="auto"/>
        </w:rPr>
      </w:pPr>
    </w:p>
    <w:p>
      <w:pPr>
        <w:ind w:right="120" w:firstLine="619"/>
        <w:spacing w:after="0" w:line="259" w:lineRule="auto"/>
        <w:rPr>
          <w:sz w:val="20"/>
          <w:szCs w:val="20"/>
          <w:color w:val="auto"/>
        </w:rPr>
      </w:pPr>
      <w:r>
        <w:rPr>
          <w:rFonts w:ascii="Arial" w:cs="Arial" w:eastAsia="Arial" w:hAnsi="Arial"/>
          <w:sz w:val="17"/>
          <w:szCs w:val="17"/>
          <w:color w:val="auto"/>
        </w:rPr>
        <w:t>The Credit Agreement contains customary events of default, including, among others: non-payments of principal and interest; breach of representations and warranties; covenant defaults; cross-defaults and cross-acceleration to certain other material indebtedness; the existence of bankruptcy or insolvency proceedings; certain events under ERISA; material judgments; and a change of control. If an event of default occurs and is not cured within any applicable grace period or is not waived, the administrative agent and the Lenders are entitled to take various actions, including, without limitation, the acceleration of all amounts due and the termination of commitments under the Senior Secured Credit Facilities.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2017 Credit Facility</w:t>
      </w:r>
    </w:p>
    <w:p>
      <w:pPr>
        <w:spacing w:after="0" w:line="243" w:lineRule="exact"/>
        <w:rPr>
          <w:sz w:val="20"/>
          <w:szCs w:val="20"/>
          <w:color w:val="auto"/>
        </w:rPr>
      </w:pPr>
    </w:p>
    <w:p>
      <w:pPr>
        <w:ind w:right="80" w:firstLine="172"/>
        <w:spacing w:after="0" w:line="258" w:lineRule="auto"/>
        <w:rPr>
          <w:sz w:val="20"/>
          <w:szCs w:val="20"/>
          <w:color w:val="auto"/>
        </w:rPr>
      </w:pPr>
      <w:r>
        <w:rPr>
          <w:rFonts w:ascii="Arial" w:cs="Arial" w:eastAsia="Arial" w:hAnsi="Arial"/>
          <w:sz w:val="17"/>
          <w:szCs w:val="17"/>
          <w:color w:val="auto"/>
        </w:rPr>
        <w:t>On November 8, 2017, we entered into a five-year senior secured revolving credit facility with various lenders for $150.0 million, with Wells Fargo Bank, National Association as the administrative agent, swingline lender and issuing lender (the "Prior Credit Facility"). The Prior Credit Facility, which was set to mature on November 8, 2022, was terminated in connection with entering into the Credit Agreement on January 6, 2022. There were no borrowings outstanding under the Prior Credit Facility at that date or at December 31, 2021. The remaining unamortized deferred debt issuance costs related to the Prior Credit Facility were not material and were expensed in connection with its termination. See further details of the terms of the Prior Credit Facility in Note 11 in Part II, Item 8, of our 2021 Annual Report on Form 10-K.</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carrying values of our long-term debt consist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jc w:val="center"/>
        <w:ind w:right="100"/>
        <w:spacing w:after="0"/>
        <w:rPr>
          <w:sz w:val="20"/>
          <w:szCs w:val="20"/>
          <w:color w:val="auto"/>
        </w:rPr>
      </w:pPr>
      <w:r>
        <w:rPr>
          <w:rFonts w:ascii="Arial" w:cs="Arial" w:eastAsia="Arial" w:hAnsi="Arial"/>
          <w:sz w:val="17"/>
          <w:szCs w:val="17"/>
          <w:b w:val="1"/>
          <w:bCs w:val="1"/>
          <w:color w:val="auto"/>
        </w:rPr>
        <w:t>ICU MEDICAL, INC. AND SUBSIDIARIES</w:t>
      </w:r>
    </w:p>
    <w:p>
      <w:pPr>
        <w:spacing w:after="0" w:line="2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620" w:type="dxa"/>
        <w:tblCellMar>
          <w:top w:w="0" w:type="dxa"/>
          <w:left w:w="0" w:type="dxa"/>
          <w:bottom w:w="0" w:type="dxa"/>
          <w:right w:w="0" w:type="dxa"/>
        </w:tblCellMar>
      </w:tblPr>
      <w:tr>
        <w:trPr>
          <w:trHeight w:val="172"/>
        </w:trPr>
        <w:tc>
          <w:tcPr>
            <w:tcW w:w="6380" w:type="dxa"/>
            <w:vAlign w:val="bottom"/>
          </w:tcPr>
          <w:p>
            <w:pPr>
              <w:spacing w:after="0"/>
              <w:rPr>
                <w:sz w:val="14"/>
                <w:szCs w:val="14"/>
                <w:color w:val="auto"/>
              </w:rPr>
            </w:pPr>
          </w:p>
        </w:tc>
        <w:tc>
          <w:tcPr>
            <w:tcW w:w="2500" w:type="dxa"/>
            <w:vAlign w:val="bottom"/>
            <w:gridSpan w:val="3"/>
            <w:vMerge w:val="restart"/>
          </w:tcPr>
          <w:p>
            <w:pPr>
              <w:ind w:left="760"/>
              <w:spacing w:after="0"/>
              <w:rPr>
                <w:sz w:val="20"/>
                <w:szCs w:val="20"/>
                <w:color w:val="auto"/>
              </w:rPr>
            </w:pPr>
            <w:r>
              <w:rPr>
                <w:rFonts w:ascii="Arial" w:cs="Arial" w:eastAsia="Arial" w:hAnsi="Arial"/>
                <w:sz w:val="15"/>
                <w:szCs w:val="15"/>
                <w:b w:val="1"/>
                <w:bCs w:val="1"/>
                <w:color w:val="auto"/>
              </w:rPr>
              <w:t>Effective Interest Rate</w:t>
            </w:r>
          </w:p>
        </w:tc>
        <w:tc>
          <w:tcPr>
            <w:tcW w:w="1020" w:type="dxa"/>
            <w:vAlign w:val="bottom"/>
          </w:tcPr>
          <w:p>
            <w:pPr>
              <w:spacing w:after="0"/>
              <w:rPr>
                <w:sz w:val="14"/>
                <w:szCs w:val="14"/>
                <w:color w:val="auto"/>
              </w:rPr>
            </w:pPr>
          </w:p>
        </w:tc>
        <w:tc>
          <w:tcPr>
            <w:tcW w:w="820" w:type="dxa"/>
            <w:vAlign w:val="bottom"/>
          </w:tcPr>
          <w:p>
            <w:pPr>
              <w:jc w:val="right"/>
              <w:ind w:right="116"/>
              <w:spacing w:after="0"/>
              <w:rPr>
                <w:sz w:val="20"/>
                <w:szCs w:val="20"/>
                <w:color w:val="auto"/>
              </w:rPr>
            </w:pPr>
            <w:r>
              <w:rPr>
                <w:rFonts w:ascii="Arial" w:cs="Arial" w:eastAsia="Arial" w:hAnsi="Arial"/>
                <w:sz w:val="15"/>
                <w:szCs w:val="15"/>
                <w:b w:val="1"/>
                <w:bCs w:val="1"/>
                <w:color w:val="auto"/>
              </w:rPr>
              <w:t>As of</w:t>
            </w:r>
          </w:p>
        </w:tc>
        <w:tc>
          <w:tcPr>
            <w:tcW w:w="0" w:type="dxa"/>
            <w:vAlign w:val="bottom"/>
          </w:tcPr>
          <w:p>
            <w:pPr>
              <w:spacing w:after="0"/>
              <w:rPr>
                <w:sz w:val="1"/>
                <w:szCs w:val="1"/>
                <w:color w:val="auto"/>
              </w:rPr>
            </w:pPr>
          </w:p>
        </w:tc>
      </w:tr>
      <w:tr>
        <w:trPr>
          <w:trHeight w:val="204"/>
        </w:trPr>
        <w:tc>
          <w:tcPr>
            <w:tcW w:w="6380" w:type="dxa"/>
            <w:vAlign w:val="bottom"/>
          </w:tcPr>
          <w:p>
            <w:pPr>
              <w:spacing w:after="0"/>
              <w:rPr>
                <w:sz w:val="17"/>
                <w:szCs w:val="17"/>
                <w:color w:val="auto"/>
              </w:rPr>
            </w:pPr>
          </w:p>
        </w:tc>
        <w:tc>
          <w:tcPr>
            <w:tcW w:w="2500" w:type="dxa"/>
            <w:vAlign w:val="bottom"/>
            <w:gridSpan w:val="3"/>
            <w:vMerge w:val="continue"/>
          </w:tcPr>
          <w:p>
            <w:pPr>
              <w:spacing w:after="0"/>
              <w:rPr>
                <w:sz w:val="17"/>
                <w:szCs w:val="17"/>
                <w:color w:val="auto"/>
              </w:rPr>
            </w:pPr>
          </w:p>
        </w:tc>
        <w:tc>
          <w:tcPr>
            <w:tcW w:w="1840" w:type="dxa"/>
            <w:vAlign w:val="bottom"/>
            <w:gridSpan w:val="2"/>
          </w:tcPr>
          <w:p>
            <w:pPr>
              <w:jc w:val="right"/>
              <w:ind w:right="56"/>
              <w:spacing w:after="0"/>
              <w:rPr>
                <w:sz w:val="20"/>
                <w:szCs w:val="20"/>
                <w:color w:val="auto"/>
              </w:rPr>
            </w:pPr>
            <w:r>
              <w:rPr>
                <w:rFonts w:ascii="Arial" w:cs="Arial" w:eastAsia="Arial" w:hAnsi="Arial"/>
                <w:sz w:val="15"/>
                <w:szCs w:val="15"/>
                <w:b w:val="1"/>
                <w:bCs w:val="1"/>
                <w:color w:val="auto"/>
              </w:rPr>
              <w:t>March 31, 2022</w:t>
            </w:r>
          </w:p>
        </w:tc>
        <w:tc>
          <w:tcPr>
            <w:tcW w:w="0" w:type="dxa"/>
            <w:vAlign w:val="bottom"/>
          </w:tcPr>
          <w:p>
            <w:pPr>
              <w:spacing w:after="0"/>
              <w:rPr>
                <w:sz w:val="1"/>
                <w:szCs w:val="1"/>
                <w:color w:val="auto"/>
              </w:rPr>
            </w:pPr>
          </w:p>
        </w:tc>
      </w:tr>
      <w:tr>
        <w:trPr>
          <w:trHeight w:val="201"/>
        </w:trPr>
        <w:tc>
          <w:tcPr>
            <w:tcW w:w="638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7"/>
                <w:szCs w:val="17"/>
                <w:i w:val="1"/>
                <w:iCs w:val="1"/>
                <w:color w:val="auto"/>
              </w:rPr>
              <w:t>Senior Secured Credit Facilities:</w:t>
            </w:r>
          </w:p>
        </w:tc>
        <w:tc>
          <w:tcPr>
            <w:tcW w:w="19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380" w:type="dxa"/>
            <w:vAlign w:val="bottom"/>
          </w:tcPr>
          <w:p>
            <w:pPr>
              <w:ind w:left="740"/>
              <w:spacing w:after="0"/>
              <w:rPr>
                <w:sz w:val="20"/>
                <w:szCs w:val="20"/>
                <w:color w:val="auto"/>
              </w:rPr>
            </w:pPr>
            <w:r>
              <w:rPr>
                <w:rFonts w:ascii="Arial" w:cs="Arial" w:eastAsia="Arial" w:hAnsi="Arial"/>
                <w:sz w:val="17"/>
                <w:szCs w:val="17"/>
                <w:color w:val="auto"/>
              </w:rPr>
              <w:t>Term Loan A — principal</w:t>
            </w:r>
          </w:p>
        </w:tc>
        <w:tc>
          <w:tcPr>
            <w:tcW w:w="1900" w:type="dxa"/>
            <w:vAlign w:val="bottom"/>
          </w:tcPr>
          <w:p>
            <w:pPr>
              <w:jc w:val="right"/>
              <w:ind w:right="236"/>
              <w:spacing w:after="0"/>
              <w:rPr>
                <w:sz w:val="20"/>
                <w:szCs w:val="20"/>
                <w:color w:val="auto"/>
              </w:rPr>
            </w:pPr>
            <w:r>
              <w:rPr>
                <w:rFonts w:ascii="Arial" w:cs="Arial" w:eastAsia="Arial" w:hAnsi="Arial"/>
                <w:sz w:val="17"/>
                <w:szCs w:val="17"/>
                <w:color w:val="auto"/>
              </w:rPr>
              <w:t>4.44</w:t>
            </w:r>
          </w:p>
        </w:tc>
        <w:tc>
          <w:tcPr>
            <w:tcW w:w="5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20" w:type="dxa"/>
            <w:vAlign w:val="bottom"/>
          </w:tcPr>
          <w:p>
            <w:pPr>
              <w:jc w:val="right"/>
              <w:ind w:right="217"/>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20"/>
        </w:trPr>
        <w:tc>
          <w:tcPr>
            <w:tcW w:w="6380" w:type="dxa"/>
            <w:vAlign w:val="bottom"/>
            <w:shd w:val="clear" w:color="auto" w:fill="CCEEFF"/>
          </w:tcPr>
          <w:p>
            <w:pPr>
              <w:ind w:left="740"/>
              <w:spacing w:after="0"/>
              <w:rPr>
                <w:sz w:val="20"/>
                <w:szCs w:val="20"/>
                <w:color w:val="auto"/>
              </w:rPr>
            </w:pPr>
            <w:r>
              <w:rPr>
                <w:rFonts w:ascii="Arial" w:cs="Arial" w:eastAsia="Arial" w:hAnsi="Arial"/>
                <w:sz w:val="17"/>
                <w:szCs w:val="17"/>
                <w:color w:val="auto"/>
              </w:rPr>
              <w:t>Term Loan B — principal</w:t>
            </w:r>
          </w:p>
        </w:tc>
        <w:tc>
          <w:tcPr>
            <w:tcW w:w="1900" w:type="dxa"/>
            <w:vAlign w:val="bottom"/>
            <w:shd w:val="clear" w:color="auto" w:fill="CCEEFF"/>
          </w:tcPr>
          <w:p>
            <w:pPr>
              <w:jc w:val="right"/>
              <w:ind w:right="236"/>
              <w:spacing w:after="0"/>
              <w:rPr>
                <w:sz w:val="20"/>
                <w:szCs w:val="20"/>
                <w:color w:val="auto"/>
              </w:rPr>
            </w:pPr>
            <w:r>
              <w:rPr>
                <w:rFonts w:ascii="Arial" w:cs="Arial" w:eastAsia="Arial" w:hAnsi="Arial"/>
                <w:sz w:val="17"/>
                <w:szCs w:val="17"/>
                <w:color w:val="auto"/>
              </w:rPr>
              <w:t>5.11</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18"/>
        </w:trPr>
        <w:tc>
          <w:tcPr>
            <w:tcW w:w="6380" w:type="dxa"/>
            <w:vAlign w:val="bottom"/>
          </w:tcPr>
          <w:p>
            <w:pPr>
              <w:ind w:left="740"/>
              <w:spacing w:after="0"/>
              <w:rPr>
                <w:sz w:val="20"/>
                <w:szCs w:val="20"/>
                <w:color w:val="auto"/>
              </w:rPr>
            </w:pPr>
            <w:r>
              <w:rPr>
                <w:rFonts w:ascii="Arial" w:cs="Arial" w:eastAsia="Arial" w:hAnsi="Arial"/>
                <w:sz w:val="17"/>
                <w:szCs w:val="17"/>
                <w:color w:val="auto"/>
              </w:rPr>
              <w:t>Revolving Credit Facility — principal</w:t>
            </w:r>
          </w:p>
        </w:tc>
        <w:tc>
          <w:tcPr>
            <w:tcW w:w="1900" w:type="dxa"/>
            <w:vAlign w:val="bottom"/>
          </w:tcPr>
          <w:p>
            <w:pPr>
              <w:jc w:val="right"/>
              <w:ind w:right="236"/>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380" w:type="dxa"/>
            <w:vAlign w:val="bottom"/>
            <w:shd w:val="clear" w:color="auto" w:fill="CCEEFF"/>
          </w:tcPr>
          <w:p>
            <w:pPr>
              <w:ind w:left="840"/>
              <w:spacing w:after="0" w:line="220" w:lineRule="exact"/>
              <w:rPr>
                <w:sz w:val="20"/>
                <w:szCs w:val="20"/>
                <w:color w:val="auto"/>
              </w:rPr>
            </w:pPr>
            <w:r>
              <w:rPr>
                <w:rFonts w:ascii="Arial" w:cs="Arial" w:eastAsia="Arial" w:hAnsi="Arial"/>
                <w:sz w:val="17"/>
                <w:szCs w:val="17"/>
                <w:color w:val="auto"/>
              </w:rPr>
              <w:t>Less unamortized debt issuance costs</w:t>
            </w:r>
            <w:r>
              <w:rPr>
                <w:rFonts w:ascii="Arial" w:cs="Arial" w:eastAsia="Arial" w:hAnsi="Arial"/>
                <w:sz w:val="22"/>
                <w:szCs w:val="22"/>
                <w:color w:val="auto"/>
                <w:vertAlign w:val="superscript"/>
              </w:rPr>
              <w:t>(1)</w:t>
            </w:r>
          </w:p>
        </w:tc>
        <w:tc>
          <w:tcPr>
            <w:tcW w:w="19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6380" w:type="dxa"/>
            <w:vAlign w:val="bottom"/>
          </w:tcPr>
          <w:p>
            <w:pPr>
              <w:ind w:left="740"/>
              <w:spacing w:after="0"/>
              <w:rPr>
                <w:sz w:val="20"/>
                <w:szCs w:val="20"/>
                <w:color w:val="auto"/>
              </w:rPr>
            </w:pPr>
            <w:r>
              <w:rPr>
                <w:rFonts w:ascii="Arial" w:cs="Arial" w:eastAsia="Arial" w:hAnsi="Arial"/>
                <w:sz w:val="17"/>
                <w:szCs w:val="17"/>
                <w:color w:val="auto"/>
              </w:rPr>
              <w:t>Total carrying value of long-term debt</w:t>
            </w:r>
          </w:p>
        </w:tc>
        <w:tc>
          <w:tcPr>
            <w:tcW w:w="1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840"/>
              <w:spacing w:after="0"/>
              <w:rPr>
                <w:sz w:val="20"/>
                <w:szCs w:val="20"/>
                <w:color w:val="auto"/>
              </w:rPr>
            </w:pPr>
            <w:r>
              <w:rPr>
                <w:rFonts w:ascii="Arial" w:cs="Arial" w:eastAsia="Arial" w:hAnsi="Arial"/>
                <w:sz w:val="17"/>
                <w:szCs w:val="17"/>
                <w:color w:val="auto"/>
              </w:rPr>
              <w:t>Less current portion of long-term debt</w:t>
            </w:r>
          </w:p>
        </w:tc>
        <w:tc>
          <w:tcPr>
            <w:tcW w:w="19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740"/>
              <w:spacing w:after="0"/>
              <w:rPr>
                <w:sz w:val="20"/>
                <w:szCs w:val="20"/>
                <w:color w:val="auto"/>
              </w:rPr>
            </w:pPr>
            <w:r>
              <w:rPr>
                <w:rFonts w:ascii="Arial" w:cs="Arial" w:eastAsia="Arial" w:hAnsi="Arial"/>
                <w:sz w:val="17"/>
                <w:szCs w:val="17"/>
                <w:color w:val="auto"/>
              </w:rPr>
              <w:t>Long-term debt, net</w:t>
            </w:r>
          </w:p>
        </w:tc>
        <w:tc>
          <w:tcPr>
            <w:tcW w:w="1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ind w:right="217"/>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w:t>
      </w:r>
    </w:p>
    <w:p>
      <w:pPr>
        <w:spacing w:after="0" w:line="50" w:lineRule="exact"/>
        <w:rPr>
          <w:sz w:val="20"/>
          <w:szCs w:val="20"/>
          <w:color w:val="auto"/>
        </w:rPr>
      </w:pPr>
    </w:p>
    <w:p>
      <w:pPr>
        <w:ind w:left="220" w:hanging="217"/>
        <w:spacing w:after="0"/>
        <w:tabs>
          <w:tab w:leader="none" w:pos="220" w:val="left"/>
        </w:tabs>
        <w:numPr>
          <w:ilvl w:val="0"/>
          <w:numId w:val="21"/>
        </w:numPr>
        <w:rPr>
          <w:rFonts w:ascii="Arial" w:cs="Arial" w:eastAsia="Arial" w:hAnsi="Arial"/>
          <w:sz w:val="20"/>
          <w:szCs w:val="20"/>
          <w:color w:val="auto"/>
          <w:vertAlign w:val="superscript"/>
        </w:rPr>
      </w:pPr>
      <w:r>
        <w:rPr>
          <w:rFonts w:ascii="Arial" w:cs="Arial" w:eastAsia="Arial" w:hAnsi="Arial"/>
          <w:sz w:val="17"/>
          <w:szCs w:val="17"/>
          <w:color w:val="auto"/>
        </w:rPr>
        <w:t>Comprised of $15.0 million and $13.0 million relating to the Term Loan A and the Term Loan B, respectively.</w:t>
      </w:r>
    </w:p>
    <w:p>
      <w:pPr>
        <w:spacing w:after="0" w:line="221" w:lineRule="exact"/>
        <w:rPr>
          <w:sz w:val="20"/>
          <w:szCs w:val="20"/>
          <w:color w:val="auto"/>
        </w:rPr>
      </w:pPr>
    </w:p>
    <w:p>
      <w:pPr>
        <w:ind w:right="180" w:firstLine="619"/>
        <w:spacing w:after="0" w:line="279" w:lineRule="auto"/>
        <w:rPr>
          <w:sz w:val="20"/>
          <w:szCs w:val="20"/>
          <w:color w:val="auto"/>
        </w:rPr>
      </w:pPr>
      <w:r>
        <w:rPr>
          <w:rFonts w:ascii="Arial" w:cs="Arial" w:eastAsia="Arial" w:hAnsi="Arial"/>
          <w:sz w:val="17"/>
          <w:szCs w:val="17"/>
          <w:color w:val="auto"/>
        </w:rPr>
        <w:t>As of March 31, 2022, the aggregate amount of principal repayments of our long-term debt (including any current portion) for each of the next five years is approximately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144780</wp:posOffset>
            </wp:positionV>
            <wp:extent cx="6805930" cy="1390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05930" cy="13906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Remainder of 2022</w:t>
      </w:r>
    </w:p>
    <w:p>
      <w:pPr>
        <w:spacing w:after="0" w:line="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14605</wp:posOffset>
            </wp:positionV>
            <wp:extent cx="6805930" cy="1390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05930" cy="139065"/>
                    </a:xfrm>
                    <a:prstGeom prst="rect">
                      <a:avLst/>
                    </a:prstGeom>
                    <a:noFill/>
                  </pic:spPr>
                </pic:pic>
              </a:graphicData>
            </a:graphic>
          </wp:anchor>
        </w:drawing>
      </w:r>
    </w:p>
    <w:p>
      <w:pPr>
        <w:spacing w:after="0" w:line="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2024</w:t>
      </w:r>
    </w:p>
    <w:p>
      <w:pPr>
        <w:spacing w:after="0" w:line="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14605</wp:posOffset>
            </wp:positionV>
            <wp:extent cx="6805930" cy="1390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05930" cy="139065"/>
                    </a:xfrm>
                    <a:prstGeom prst="rect">
                      <a:avLst/>
                    </a:prstGeom>
                    <a:noFill/>
                  </pic:spPr>
                </pic:pic>
              </a:graphicData>
            </a:graphic>
          </wp:anchor>
        </w:drawing>
      </w:r>
    </w:p>
    <w:p>
      <w:pPr>
        <w:spacing w:after="0" w:line="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2026</w:t>
      </w:r>
    </w:p>
    <w:p>
      <w:pPr>
        <w:spacing w:after="0" w:line="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14605</wp:posOffset>
            </wp:positionV>
            <wp:extent cx="6805930" cy="1390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05930" cy="139065"/>
                    </a:xfrm>
                    <a:prstGeom prst="rect">
                      <a:avLst/>
                    </a:prstGeom>
                    <a:noFill/>
                  </pic:spPr>
                </pic:pic>
              </a:graphicData>
            </a:graphic>
          </wp:anchor>
        </w:drawing>
      </w:r>
    </w:p>
    <w:p>
      <w:pPr>
        <w:spacing w:after="0" w:line="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Thereafter</w:t>
      </w:r>
    </w:p>
    <w:p>
      <w:pPr>
        <w:spacing w:after="0" w:line="62"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Total</w:t>
      </w:r>
    </w:p>
    <w:p>
      <w:pPr>
        <w:spacing w:after="0" w:line="200" w:lineRule="exact"/>
        <w:rPr>
          <w:sz w:val="20"/>
          <w:szCs w:val="20"/>
          <w:color w:val="auto"/>
        </w:rPr>
      </w:pPr>
    </w:p>
    <w:p>
      <w:pPr>
        <w:spacing w:after="0" w:line="378"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presents the total interest expense related to our long-term debt (in thousands):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1640"/>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6</w:t>
      </w:r>
    </w:p>
    <w:p>
      <w:pPr>
        <w:spacing w:after="0" w:line="24"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638810</wp:posOffset>
            </wp:positionH>
            <wp:positionV relativeFrom="paragraph">
              <wp:posOffset>14605</wp:posOffset>
            </wp:positionV>
            <wp:extent cx="118999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189990" cy="8255"/>
                    </a:xfrm>
                    <a:prstGeom prst="rect">
                      <a:avLst/>
                    </a:prstGeom>
                    <a:noFill/>
                  </pic:spPr>
                </pic:pic>
              </a:graphicData>
            </a:graphic>
          </wp:anchor>
        </w:drawing>
      </w:r>
    </w:p>
    <w:p>
      <w:pPr>
        <w:spacing w:after="0" w:line="17" w:lineRule="exact"/>
        <w:rPr>
          <w:sz w:val="20"/>
          <w:szCs w:val="20"/>
          <w:color w:val="auto"/>
        </w:rPr>
      </w:pPr>
    </w:p>
    <w:p>
      <w:pPr>
        <w:jc w:val="both"/>
        <w:ind w:left="1640"/>
        <w:spacing w:after="0"/>
        <w:tabs>
          <w:tab w:leader="none" w:pos="26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638810</wp:posOffset>
            </wp:positionH>
            <wp:positionV relativeFrom="paragraph">
              <wp:posOffset>14605</wp:posOffset>
            </wp:positionV>
            <wp:extent cx="118999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189990" cy="8255"/>
                    </a:xfrm>
                    <a:prstGeom prst="rect">
                      <a:avLst/>
                    </a:prstGeom>
                    <a:noFill/>
                  </pic:spPr>
                </pic:pic>
              </a:graphicData>
            </a:graphic>
          </wp:anchor>
        </w:drawing>
        <w:drawing>
          <wp:anchor simplePos="0" relativeHeight="251657728" behindDoc="1" locked="0" layoutInCell="0" allowOverlap="1">
            <wp:simplePos x="0" y="0"/>
            <wp:positionH relativeFrom="column">
              <wp:posOffset>638810</wp:posOffset>
            </wp:positionH>
            <wp:positionV relativeFrom="paragraph">
              <wp:posOffset>39370</wp:posOffset>
            </wp:positionV>
            <wp:extent cx="11899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1899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Three months ended</w:t>
      </w:r>
    </w:p>
    <w:p>
      <w:pPr>
        <w:ind w:left="660"/>
        <w:spacing w:after="0"/>
        <w:rPr>
          <w:sz w:val="20"/>
          <w:szCs w:val="20"/>
          <w:color w:val="auto"/>
        </w:rPr>
      </w:pPr>
      <w:r>
        <w:rPr>
          <w:rFonts w:ascii="Arial" w:cs="Arial" w:eastAsia="Arial" w:hAnsi="Arial"/>
          <w:sz w:val="17"/>
          <w:szCs w:val="17"/>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-834390</wp:posOffset>
            </wp:positionH>
            <wp:positionV relativeFrom="paragraph">
              <wp:posOffset>5715</wp:posOffset>
            </wp:positionV>
            <wp:extent cx="26638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663825" cy="8255"/>
                    </a:xfrm>
                    <a:prstGeom prst="rect">
                      <a:avLst/>
                    </a:prstGeom>
                    <a:noFill/>
                  </pic:spPr>
                </pic:pic>
              </a:graphicData>
            </a:graphic>
          </wp:anchor>
        </w:drawing>
      </w:r>
    </w:p>
    <w:p>
      <w:pPr>
        <w:spacing w:after="0" w:line="1" w:lineRule="exact"/>
        <w:rPr>
          <w:sz w:val="20"/>
          <w:szCs w:val="20"/>
          <w:color w:val="auto"/>
        </w:rPr>
      </w:pPr>
    </w:p>
    <w:p>
      <w:pPr>
        <w:spacing w:after="0"/>
        <w:tabs>
          <w:tab w:leader="none" w:pos="2400" w:val="left"/>
        </w:tabs>
        <w:rPr>
          <w:sz w:val="20"/>
          <w:szCs w:val="20"/>
          <w:color w:val="auto"/>
        </w:rPr>
      </w:pPr>
      <w:r>
        <w:rPr>
          <w:rFonts w:ascii="Arial" w:cs="Arial" w:eastAsia="Arial" w:hAnsi="Arial"/>
          <w:sz w:val="15"/>
          <w:szCs w:val="15"/>
          <w:b w:val="1"/>
          <w:bCs w:val="1"/>
          <w:color w:val="auto"/>
        </w:rPr>
        <w:t>2022</w:t>
      </w:r>
      <w:r>
        <w:rPr>
          <w:sz w:val="20"/>
          <w:szCs w:val="20"/>
          <w:color w:val="auto"/>
        </w:rPr>
        <w:tab/>
      </w:r>
      <w:r>
        <w:rPr>
          <w:rFonts w:ascii="Arial" w:cs="Arial" w:eastAsia="Arial" w:hAnsi="Arial"/>
          <w:sz w:val="15"/>
          <w:szCs w:val="15"/>
          <w:b w:val="1"/>
          <w:bCs w:val="1"/>
          <w:color w:val="auto"/>
        </w:rPr>
        <w:t>2021</w:t>
      </w:r>
    </w:p>
    <w:p>
      <w:pPr>
        <w:spacing w:after="0" w:line="29" w:lineRule="exact"/>
        <w:rPr>
          <w:sz w:val="20"/>
          <w:szCs w:val="20"/>
          <w:color w:val="auto"/>
        </w:rPr>
      </w:pPr>
    </w:p>
    <w:p>
      <w:pPr>
        <w:sectPr>
          <w:pgSz w:w="11900" w:h="16838" w:orient="portrait"/>
          <w:cols w:equalWidth="0" w:num="2">
            <w:col w:w="7740" w:space="720"/>
            <w:col w:w="2880"/>
          </w:cols>
          <w:pgMar w:left="320" w:top="121" w:right="239" w:bottom="1440" w:gutter="0" w:footer="0" w:header="0"/>
          <w:type w:val="continuous"/>
        </w:sectPr>
      </w:pPr>
    </w:p>
    <w:tbl>
      <w:tblPr>
        <w:tblLayout w:type="fixed"/>
        <w:tblInd w:w="620" w:type="dxa"/>
        <w:tblCellMar>
          <w:top w:w="0" w:type="dxa"/>
          <w:left w:w="0" w:type="dxa"/>
          <w:bottom w:w="0" w:type="dxa"/>
          <w:right w:w="0" w:type="dxa"/>
        </w:tblCellMar>
      </w:tblPr>
      <w:tr>
        <w:trPr>
          <w:trHeight w:val="218"/>
        </w:trPr>
        <w:tc>
          <w:tcPr>
            <w:tcW w:w="652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Contractual interest</w:t>
            </w:r>
          </w:p>
        </w:tc>
        <w:tc>
          <w:tcPr>
            <w:tcW w:w="1260" w:type="dxa"/>
            <w:vAlign w:val="bottom"/>
            <w:tcBorders>
              <w:top w:val="single" w:sz="8" w:color="auto"/>
            </w:tcBorders>
            <w:shd w:val="clear" w:color="auto" w:fill="CCEEFF"/>
          </w:tcPr>
          <w:p>
            <w:pPr>
              <w:jc w:val="right"/>
              <w:ind w:right="454"/>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10,017</w:t>
            </w:r>
          </w:p>
        </w:tc>
        <w:tc>
          <w:tcPr>
            <w:tcW w:w="10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ind w:right="954"/>
              <w:spacing w:after="0"/>
              <w:rPr>
                <w:sz w:val="20"/>
                <w:szCs w:val="20"/>
                <w:color w:val="auto"/>
              </w:rPr>
            </w:pPr>
            <w:r>
              <w:rPr>
                <w:rFonts w:ascii="Arial" w:cs="Arial" w:eastAsia="Arial" w:hAnsi="Arial"/>
                <w:sz w:val="17"/>
                <w:szCs w:val="17"/>
                <w:color w:val="auto"/>
              </w:rPr>
              <w:t>$</w:t>
            </w:r>
          </w:p>
        </w:tc>
      </w:tr>
      <w:tr>
        <w:trPr>
          <w:trHeight w:val="218"/>
        </w:trPr>
        <w:tc>
          <w:tcPr>
            <w:tcW w:w="6520" w:type="dxa"/>
            <w:vAlign w:val="bottom"/>
          </w:tcPr>
          <w:p>
            <w:pPr>
              <w:ind w:left="640"/>
              <w:spacing w:after="0"/>
              <w:rPr>
                <w:sz w:val="20"/>
                <w:szCs w:val="20"/>
                <w:color w:val="auto"/>
              </w:rPr>
            </w:pPr>
            <w:r>
              <w:rPr>
                <w:rFonts w:ascii="Arial" w:cs="Arial" w:eastAsia="Arial" w:hAnsi="Arial"/>
                <w:sz w:val="17"/>
                <w:szCs w:val="17"/>
                <w:color w:val="auto"/>
              </w:rPr>
              <w:t>Amortization of debt issuance costs</w:t>
            </w:r>
          </w:p>
        </w:tc>
        <w:tc>
          <w:tcPr>
            <w:tcW w:w="1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1,643</w:t>
            </w: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9"/>
        </w:trPr>
        <w:tc>
          <w:tcPr>
            <w:tcW w:w="6520" w:type="dxa"/>
            <w:vAlign w:val="bottom"/>
            <w:shd w:val="clear" w:color="auto" w:fill="CCEEFF"/>
          </w:tcPr>
          <w:p>
            <w:pPr>
              <w:ind w:left="640"/>
              <w:spacing w:after="0"/>
              <w:rPr>
                <w:sz w:val="20"/>
                <w:szCs w:val="20"/>
                <w:color w:val="auto"/>
              </w:rPr>
            </w:pPr>
            <w:r>
              <w:rPr>
                <w:rFonts w:ascii="Arial" w:cs="Arial" w:eastAsia="Arial" w:hAnsi="Arial"/>
                <w:sz w:val="17"/>
                <w:szCs w:val="17"/>
                <w:color w:val="auto"/>
              </w:rPr>
              <w:t>Commitment fee — Revolving Credit Facility</w:t>
            </w:r>
          </w:p>
        </w:tc>
        <w:tc>
          <w:tcPr>
            <w:tcW w:w="1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351</w:t>
            </w:r>
          </w:p>
        </w:tc>
        <w:tc>
          <w:tcPr>
            <w:tcW w:w="100" w:type="dxa"/>
            <w:vAlign w:val="bottom"/>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spacing w:after="0"/>
              <w:rPr>
                <w:sz w:val="19"/>
                <w:szCs w:val="19"/>
                <w:color w:val="auto"/>
              </w:rPr>
            </w:pPr>
          </w:p>
        </w:tc>
      </w:tr>
      <w:tr>
        <w:trPr>
          <w:trHeight w:val="213"/>
        </w:trPr>
        <w:tc>
          <w:tcPr>
            <w:tcW w:w="6520" w:type="dxa"/>
            <w:vAlign w:val="bottom"/>
          </w:tcPr>
          <w:p>
            <w:pPr>
              <w:ind w:left="740"/>
              <w:spacing w:after="0"/>
              <w:rPr>
                <w:sz w:val="20"/>
                <w:szCs w:val="20"/>
                <w:color w:val="auto"/>
              </w:rPr>
            </w:pPr>
            <w:r>
              <w:rPr>
                <w:rFonts w:ascii="Arial" w:cs="Arial" w:eastAsia="Arial" w:hAnsi="Arial"/>
                <w:sz w:val="17"/>
                <w:szCs w:val="17"/>
                <w:color w:val="auto"/>
              </w:rPr>
              <w:t>Total interest expense</w:t>
            </w:r>
          </w:p>
        </w:tc>
        <w:tc>
          <w:tcPr>
            <w:tcW w:w="126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12,011</w:t>
            </w:r>
          </w:p>
        </w:tc>
        <w:tc>
          <w:tcPr>
            <w:tcW w:w="100" w:type="dxa"/>
            <w:vAlign w:val="bottom"/>
          </w:tcPr>
          <w:p>
            <w:pPr>
              <w:spacing w:after="0"/>
              <w:rPr>
                <w:sz w:val="18"/>
                <w:szCs w:val="18"/>
                <w:color w:val="auto"/>
              </w:rPr>
            </w:pPr>
          </w:p>
        </w:tc>
        <w:tc>
          <w:tcPr>
            <w:tcW w:w="1780" w:type="dxa"/>
            <w:vAlign w:val="bottom"/>
            <w:tcBorders>
              <w:bottom w:val="single" w:sz="8" w:color="auto"/>
            </w:tcBorders>
          </w:tcPr>
          <w:p>
            <w:pPr>
              <w:jc w:val="right"/>
              <w:ind w:right="954"/>
              <w:spacing w:after="0"/>
              <w:rPr>
                <w:sz w:val="20"/>
                <w:szCs w:val="20"/>
                <w:color w:val="auto"/>
              </w:rPr>
            </w:pPr>
            <w:r>
              <w:rPr>
                <w:rFonts w:ascii="Arial" w:cs="Arial" w:eastAsia="Arial" w:hAnsi="Arial"/>
                <w:sz w:val="17"/>
                <w:szCs w:val="17"/>
                <w:color w:val="auto"/>
              </w:rPr>
              <w:t>$</w:t>
            </w:r>
          </w:p>
        </w:tc>
      </w:tr>
      <w:tr>
        <w:trPr>
          <w:trHeight w:val="20"/>
        </w:trPr>
        <w:tc>
          <w:tcPr>
            <w:tcW w:w="65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18: Stockholders' Equity</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Shareholders Agreement</w:t>
      </w:r>
    </w:p>
    <w:p>
      <w:pPr>
        <w:spacing w:after="0" w:line="243" w:lineRule="exact"/>
        <w:rPr>
          <w:sz w:val="20"/>
          <w:szCs w:val="20"/>
          <w:color w:val="auto"/>
        </w:rPr>
      </w:pPr>
    </w:p>
    <w:p>
      <w:pPr>
        <w:ind w:right="200" w:firstLine="619"/>
        <w:spacing w:after="0" w:line="257" w:lineRule="auto"/>
        <w:rPr>
          <w:sz w:val="20"/>
          <w:szCs w:val="20"/>
          <w:color w:val="auto"/>
        </w:rPr>
      </w:pPr>
      <w:r>
        <w:rPr>
          <w:rFonts w:ascii="Arial" w:cs="Arial" w:eastAsia="Arial" w:hAnsi="Arial"/>
          <w:sz w:val="17"/>
          <w:szCs w:val="17"/>
          <w:color w:val="auto"/>
        </w:rPr>
        <w:t>At the completion of the Smiths Medical acquisition on January 6, 2022, Smiths owns approximately 10.5% of the total outstanding shares of our common stock (see Note 3: Acquisitions). At closing, in connection with the issuance of the share consideration, we entered into a Shareholders Agreement (the “Shareholders Agreement”) with Smiths. The Shareholders Agreement imposes certain restrictions on Smiths including prohibiting certain transfers of the shares of our common stock issued (i) for 6 months following the closing of the acquisition transaction and (ii) to certain of our competitors and certain other parties, as well as customary standstill limitations. The Shareholders Agreement also permits Smiths to designate one individual for election to our Board of Directors (the "Board") so long as Smiths beneficially owns at least 5.0% of the total outstanding shares of our common stock. On February 1, 2022, our Board appointed a new director designated by Smiths</w:t>
      </w:r>
    </w:p>
    <w:p>
      <w:pPr>
        <w:spacing w:after="0" w:line="200" w:lineRule="exact"/>
        <w:rPr>
          <w:sz w:val="20"/>
          <w:szCs w:val="20"/>
          <w:color w:val="auto"/>
        </w:rPr>
      </w:pPr>
    </w:p>
    <w:p>
      <w:pPr>
        <w:spacing w:after="0" w:line="34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type w:val="continuous"/>
        </w:sectPr>
      </w:pPr>
    </w:p>
    <w:bookmarkStart w:id="34" w:name="page35"/>
    <w:bookmarkEnd w:id="34"/>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316" w:lineRule="exact"/>
        <w:rPr>
          <w:sz w:val="20"/>
          <w:szCs w:val="20"/>
          <w:color w:val="auto"/>
        </w:rPr>
      </w:pPr>
    </w:p>
    <w:p>
      <w:pPr>
        <w:ind w:right="40"/>
        <w:spacing w:after="0" w:line="349" w:lineRule="auto"/>
        <w:rPr>
          <w:sz w:val="20"/>
          <w:szCs w:val="20"/>
          <w:color w:val="auto"/>
        </w:rPr>
      </w:pPr>
      <w:r>
        <w:rPr>
          <w:rFonts w:ascii="Arial" w:cs="Arial" w:eastAsia="Arial" w:hAnsi="Arial"/>
          <w:sz w:val="15"/>
          <w:szCs w:val="15"/>
          <w:color w:val="auto"/>
        </w:rPr>
        <w:t>pursuant to the Shareholders Agreement who will stand for election to the Board at the 2022 Annual Meeting of Stockholders to be held in May 2022. This appointment expands the size of our Board from eight to nine members. See our Current Report on Form 8-K filed on February 1, 2022 for additional information.</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Treasury Stock</w:t>
      </w:r>
    </w:p>
    <w:p>
      <w:pPr>
        <w:spacing w:after="0" w:line="243" w:lineRule="exact"/>
        <w:rPr>
          <w:sz w:val="20"/>
          <w:szCs w:val="20"/>
          <w:color w:val="auto"/>
        </w:rPr>
      </w:pPr>
    </w:p>
    <w:p>
      <w:pPr>
        <w:ind w:firstLine="172"/>
        <w:spacing w:after="0" w:line="262" w:lineRule="auto"/>
        <w:rPr>
          <w:sz w:val="20"/>
          <w:szCs w:val="20"/>
          <w:color w:val="auto"/>
        </w:rPr>
      </w:pPr>
      <w:r>
        <w:rPr>
          <w:rFonts w:ascii="Arial" w:cs="Arial" w:eastAsia="Arial" w:hAnsi="Arial"/>
          <w:sz w:val="17"/>
          <w:szCs w:val="17"/>
          <w:color w:val="auto"/>
        </w:rPr>
        <w:t>In August 2019, our Board approved a share purchase plan to purchase up to $100.0 million of our common stock. This plan has no expiration date. During the three months ended March 31, 2022, we did not purchase any shares of our common stock under our share purchase plan. As of March 31, 2022, all of the $100.0 million available for purchase was remaining under the plan. We are currently limited on share purchases in accordance with the terms and conditions of our Credit Agreement (see Note 17: Long-Term Debt).</w:t>
      </w:r>
    </w:p>
    <w:p>
      <w:pPr>
        <w:spacing w:after="0" w:line="204" w:lineRule="exact"/>
        <w:rPr>
          <w:sz w:val="20"/>
          <w:szCs w:val="20"/>
          <w:color w:val="auto"/>
        </w:rPr>
      </w:pPr>
    </w:p>
    <w:p>
      <w:pPr>
        <w:ind w:right="140" w:firstLine="172"/>
        <w:spacing w:after="0" w:line="259" w:lineRule="auto"/>
        <w:rPr>
          <w:sz w:val="20"/>
          <w:szCs w:val="20"/>
          <w:color w:val="auto"/>
        </w:rPr>
      </w:pPr>
      <w:r>
        <w:rPr>
          <w:rFonts w:ascii="Arial" w:cs="Arial" w:eastAsia="Arial" w:hAnsi="Arial"/>
          <w:sz w:val="17"/>
          <w:szCs w:val="17"/>
          <w:color w:val="auto"/>
        </w:rPr>
        <w:t>For the three months ended March 31, 2022, we withheld 37,279 shares of our common stock from employee vested restricted stock units in consideration for $8.7 million in payments made on the employees' behalf for their minimum statutory income tax withholding obligations. For the three months ended March 31, 2021, we withheld 37,423 shares of our common stock from employee vested restricted stock units in consideration for $7.7 million in payments made on the employees' behalf for their minimum statutory income tax withholding obligations. Treasury stock is used to issue shares for stock option exercises and restricted stock grants.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Accumulated Other Comprehensive (Loss) Income ("AOCI")</w:t>
      </w:r>
    </w:p>
    <w:p>
      <w:pPr>
        <w:spacing w:after="0" w:line="24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components of AOCI, net of tax, were as follows (in thousands):</w:t>
      </w:r>
    </w:p>
    <w:p>
      <w:pPr>
        <w:spacing w:after="0" w:line="111"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3"/>
              </w:rPr>
              <w:t>Foreign Currency</w:t>
            </w:r>
          </w:p>
        </w:tc>
        <w:tc>
          <w:tcPr>
            <w:tcW w:w="1680" w:type="dxa"/>
            <w:vAlign w:val="bottom"/>
            <w:gridSpan w:val="3"/>
          </w:tcPr>
          <w:p>
            <w:pPr>
              <w:jc w:val="right"/>
              <w:ind w:right="180"/>
              <w:spacing w:after="0"/>
              <w:rPr>
                <w:sz w:val="20"/>
                <w:szCs w:val="20"/>
                <w:color w:val="auto"/>
              </w:rPr>
            </w:pPr>
            <w:r>
              <w:rPr>
                <w:rFonts w:ascii="Arial" w:cs="Arial" w:eastAsia="Arial" w:hAnsi="Arial"/>
                <w:sz w:val="17"/>
                <w:szCs w:val="17"/>
                <w:b w:val="1"/>
                <w:bCs w:val="1"/>
                <w:color w:val="auto"/>
                <w:w w:val="92"/>
              </w:rPr>
              <w:t>Unrealized (Losses)</w:t>
            </w:r>
          </w:p>
        </w:tc>
        <w:tc>
          <w:tcPr>
            <w:tcW w:w="7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center"/>
              <w:ind w:right="240"/>
              <w:spacing w:after="0" w:line="167" w:lineRule="exact"/>
              <w:rPr>
                <w:sz w:val="20"/>
                <w:szCs w:val="20"/>
                <w:color w:val="auto"/>
              </w:rPr>
            </w:pPr>
            <w:r>
              <w:rPr>
                <w:rFonts w:ascii="Arial" w:cs="Arial" w:eastAsia="Arial" w:hAnsi="Arial"/>
                <w:sz w:val="17"/>
                <w:szCs w:val="17"/>
                <w:b w:val="1"/>
                <w:bCs w:val="1"/>
                <w:color w:val="auto"/>
                <w:w w:val="91"/>
              </w:rPr>
              <w:t>Translation</w:t>
            </w:r>
          </w:p>
        </w:tc>
        <w:tc>
          <w:tcPr>
            <w:tcW w:w="1680" w:type="dxa"/>
            <w:vAlign w:val="bottom"/>
            <w:gridSpan w:val="3"/>
          </w:tcPr>
          <w:p>
            <w:pPr>
              <w:jc w:val="right"/>
              <w:ind w:right="160"/>
              <w:spacing w:after="0" w:line="167" w:lineRule="exact"/>
              <w:rPr>
                <w:sz w:val="20"/>
                <w:szCs w:val="20"/>
                <w:color w:val="auto"/>
              </w:rPr>
            </w:pPr>
            <w:r>
              <w:rPr>
                <w:rFonts w:ascii="Arial" w:cs="Arial" w:eastAsia="Arial" w:hAnsi="Arial"/>
                <w:sz w:val="17"/>
                <w:szCs w:val="17"/>
                <w:b w:val="1"/>
                <w:bCs w:val="1"/>
                <w:color w:val="auto"/>
                <w:w w:val="92"/>
              </w:rPr>
              <w:t>Gains on Cash Flow</w:t>
            </w:r>
          </w:p>
        </w:tc>
        <w:tc>
          <w:tcPr>
            <w:tcW w:w="1680" w:type="dxa"/>
            <w:vAlign w:val="bottom"/>
            <w:gridSpan w:val="3"/>
            <w:vMerge w:val="restart"/>
          </w:tcPr>
          <w:p>
            <w:pPr>
              <w:ind w:left="60"/>
              <w:spacing w:after="0"/>
              <w:rPr>
                <w:sz w:val="20"/>
                <w:szCs w:val="20"/>
                <w:color w:val="auto"/>
              </w:rPr>
            </w:pPr>
            <w:r>
              <w:rPr>
                <w:rFonts w:ascii="Arial" w:cs="Arial" w:eastAsia="Arial" w:hAnsi="Arial"/>
                <w:sz w:val="17"/>
                <w:szCs w:val="17"/>
                <w:b w:val="1"/>
                <w:bCs w:val="1"/>
                <w:color w:val="auto"/>
              </w:rPr>
              <w:t>Other Adjustments</w:t>
            </w:r>
          </w:p>
        </w:tc>
        <w:tc>
          <w:tcPr>
            <w:tcW w:w="340" w:type="dxa"/>
            <w:vAlign w:val="bottom"/>
          </w:tcPr>
          <w:p>
            <w:pPr>
              <w:spacing w:after="0"/>
              <w:rPr>
                <w:sz w:val="14"/>
                <w:szCs w:val="14"/>
                <w:color w:val="auto"/>
              </w:rPr>
            </w:pPr>
          </w:p>
        </w:tc>
        <w:tc>
          <w:tcPr>
            <w:tcW w:w="1260" w:type="dxa"/>
            <w:vAlign w:val="bottom"/>
            <w:vMerge w:val="restart"/>
          </w:tcPr>
          <w:p>
            <w:pPr>
              <w:jc w:val="right"/>
              <w:ind w:right="534"/>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19"/>
        </w:trPr>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1"/>
              </w:rPr>
              <w:t>Adjustments</w:t>
            </w:r>
          </w:p>
        </w:tc>
        <w:tc>
          <w:tcPr>
            <w:tcW w:w="300" w:type="dxa"/>
            <w:vAlign w:val="bottom"/>
          </w:tcPr>
          <w:p>
            <w:pPr>
              <w:spacing w:after="0"/>
              <w:rPr>
                <w:sz w:val="19"/>
                <w:szCs w:val="19"/>
                <w:color w:val="auto"/>
              </w:rPr>
            </w:pPr>
          </w:p>
        </w:tc>
        <w:tc>
          <w:tcPr>
            <w:tcW w:w="1380" w:type="dxa"/>
            <w:vAlign w:val="bottom"/>
            <w:gridSpan w:val="2"/>
          </w:tcPr>
          <w:p>
            <w:pPr>
              <w:ind w:left="220"/>
              <w:spacing w:after="0"/>
              <w:rPr>
                <w:sz w:val="20"/>
                <w:szCs w:val="20"/>
                <w:color w:val="auto"/>
              </w:rPr>
            </w:pPr>
            <w:r>
              <w:rPr>
                <w:rFonts w:ascii="Arial" w:cs="Arial" w:eastAsia="Arial" w:hAnsi="Arial"/>
                <w:sz w:val="17"/>
                <w:szCs w:val="17"/>
                <w:b w:val="1"/>
                <w:bCs w:val="1"/>
                <w:color w:val="auto"/>
              </w:rPr>
              <w:t>Hedges</w:t>
            </w:r>
          </w:p>
        </w:tc>
        <w:tc>
          <w:tcPr>
            <w:tcW w:w="1680" w:type="dxa"/>
            <w:vAlign w:val="bottom"/>
            <w:gridSpan w:val="3"/>
            <w:vMerge w:val="continue"/>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as of January 1, 2022</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(19,045)</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(237)</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4"/>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(19,269)</w:t>
            </w:r>
          </w:p>
        </w:tc>
        <w:tc>
          <w:tcPr>
            <w:tcW w:w="0" w:type="dxa"/>
            <w:vAlign w:val="bottom"/>
          </w:tcPr>
          <w:p>
            <w:pPr>
              <w:spacing w:after="0"/>
              <w:rPr>
                <w:sz w:val="1"/>
                <w:szCs w:val="1"/>
                <w:color w:val="auto"/>
              </w:rPr>
            </w:pPr>
          </w:p>
        </w:tc>
      </w:tr>
      <w:tr>
        <w:trPr>
          <w:trHeight w:val="168"/>
        </w:trPr>
        <w:tc>
          <w:tcPr>
            <w:tcW w:w="4580" w:type="dxa"/>
            <w:vAlign w:val="bottom"/>
          </w:tcPr>
          <w:p>
            <w:pPr>
              <w:ind w:left="20"/>
              <w:spacing w:after="0" w:line="168" w:lineRule="exact"/>
              <w:rPr>
                <w:sz w:val="20"/>
                <w:szCs w:val="20"/>
                <w:color w:val="auto"/>
              </w:rPr>
            </w:pPr>
            <w:r>
              <w:rPr>
                <w:rFonts w:ascii="Arial" w:cs="Arial" w:eastAsia="Arial" w:hAnsi="Arial"/>
                <w:sz w:val="17"/>
                <w:szCs w:val="17"/>
                <w:color w:val="auto"/>
              </w:rPr>
              <w:t>Other comprehensive (loss) income before</w:t>
            </w:r>
          </w:p>
        </w:tc>
        <w:tc>
          <w:tcPr>
            <w:tcW w:w="12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Arial" w:cs="Arial" w:eastAsia="Arial" w:hAnsi="Arial"/>
                <w:sz w:val="17"/>
                <w:szCs w:val="17"/>
                <w:color w:val="auto"/>
              </w:rPr>
              <w:t>(4,946)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7"/>
                <w:szCs w:val="17"/>
                <w:color w:val="auto"/>
              </w:rPr>
              <w:t>25,782</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7"/>
                <w:szCs w:val="17"/>
                <w:color w:val="auto"/>
              </w:rPr>
              <w:t>20,851</w:t>
            </w:r>
          </w:p>
        </w:tc>
        <w:tc>
          <w:tcPr>
            <w:tcW w:w="0" w:type="dxa"/>
            <w:vAlign w:val="bottom"/>
          </w:tcPr>
          <w:p>
            <w:pPr>
              <w:spacing w:after="0"/>
              <w:rPr>
                <w:sz w:val="1"/>
                <w:szCs w:val="1"/>
                <w:color w:val="auto"/>
              </w:rPr>
            </w:pPr>
          </w:p>
        </w:tc>
      </w:tr>
      <w:tr>
        <w:trPr>
          <w:trHeight w:val="218"/>
        </w:trPr>
        <w:tc>
          <w:tcPr>
            <w:tcW w:w="4580" w:type="dxa"/>
            <w:vAlign w:val="bottom"/>
          </w:tcPr>
          <w:p>
            <w:pPr>
              <w:ind w:left="20"/>
              <w:spacing w:after="0"/>
              <w:rPr>
                <w:sz w:val="20"/>
                <w:szCs w:val="20"/>
                <w:color w:val="auto"/>
              </w:rPr>
            </w:pPr>
            <w:r>
              <w:rPr>
                <w:rFonts w:ascii="Arial" w:cs="Arial" w:eastAsia="Arial" w:hAnsi="Arial"/>
                <w:sz w:val="17"/>
                <w:szCs w:val="17"/>
                <w:color w:val="auto"/>
              </w:rPr>
              <w:t>reclassifications</w:t>
            </w:r>
          </w:p>
        </w:tc>
        <w:tc>
          <w:tcPr>
            <w:tcW w:w="12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Amounts reclassified from AOCI</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22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(2,210)</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(2,210)</w:t>
            </w:r>
          </w:p>
        </w:tc>
        <w:tc>
          <w:tcPr>
            <w:tcW w:w="0" w:type="dxa"/>
            <w:vAlign w:val="bottom"/>
          </w:tcPr>
          <w:p>
            <w:pPr>
              <w:spacing w:after="0"/>
              <w:rPr>
                <w:sz w:val="1"/>
                <w:szCs w:val="1"/>
                <w:color w:val="auto"/>
              </w:rPr>
            </w:pPr>
          </w:p>
        </w:tc>
      </w:tr>
      <w:tr>
        <w:trPr>
          <w:trHeight w:val="211"/>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comprehensive (loss) income</w:t>
            </w:r>
          </w:p>
        </w:tc>
        <w:tc>
          <w:tcPr>
            <w:tcW w:w="1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(4,946)</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23,572</w:t>
            </w:r>
          </w:p>
        </w:tc>
        <w:tc>
          <w:tcPr>
            <w:tcW w:w="10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18,641</w:t>
            </w:r>
          </w:p>
        </w:tc>
        <w:tc>
          <w:tcPr>
            <w:tcW w:w="0" w:type="dxa"/>
            <w:vAlign w:val="bottom"/>
          </w:tcPr>
          <w:p>
            <w:pPr>
              <w:spacing w:after="0"/>
              <w:rPr>
                <w:sz w:val="1"/>
                <w:szCs w:val="1"/>
                <w:color w:val="auto"/>
              </w:rPr>
            </w:pPr>
          </w:p>
        </w:tc>
      </w:tr>
      <w:tr>
        <w:trPr>
          <w:trHeight w:val="238"/>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as of March 31, 2022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(23,991)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23,335</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51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(628)</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3"/>
              </w:rPr>
              <w:t>Foreign Currency</w:t>
            </w:r>
          </w:p>
        </w:tc>
        <w:tc>
          <w:tcPr>
            <w:tcW w:w="120" w:type="dxa"/>
            <w:vAlign w:val="bottom"/>
          </w:tcPr>
          <w:p>
            <w:pPr>
              <w:spacing w:after="0"/>
              <w:rPr>
                <w:sz w:val="16"/>
                <w:szCs w:val="16"/>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2"/>
              </w:rPr>
              <w:t>Unrealized Gains</w:t>
            </w:r>
          </w:p>
        </w:tc>
        <w:tc>
          <w:tcPr>
            <w:tcW w:w="7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center"/>
              <w:ind w:right="240"/>
              <w:spacing w:after="0" w:line="167" w:lineRule="exact"/>
              <w:rPr>
                <w:sz w:val="20"/>
                <w:szCs w:val="20"/>
                <w:color w:val="auto"/>
              </w:rPr>
            </w:pPr>
            <w:r>
              <w:rPr>
                <w:rFonts w:ascii="Arial" w:cs="Arial" w:eastAsia="Arial" w:hAnsi="Arial"/>
                <w:sz w:val="17"/>
                <w:szCs w:val="17"/>
                <w:b w:val="1"/>
                <w:bCs w:val="1"/>
                <w:color w:val="auto"/>
                <w:w w:val="91"/>
              </w:rPr>
              <w:t>Translation</w:t>
            </w:r>
          </w:p>
        </w:tc>
        <w:tc>
          <w:tcPr>
            <w:tcW w:w="120" w:type="dxa"/>
            <w:vAlign w:val="bottom"/>
          </w:tcPr>
          <w:p>
            <w:pPr>
              <w:spacing w:after="0"/>
              <w:rPr>
                <w:sz w:val="14"/>
                <w:szCs w:val="14"/>
                <w:color w:val="auto"/>
              </w:rPr>
            </w:pPr>
          </w:p>
        </w:tc>
        <w:tc>
          <w:tcPr>
            <w:tcW w:w="1560" w:type="dxa"/>
            <w:vAlign w:val="bottom"/>
            <w:gridSpan w:val="2"/>
          </w:tcPr>
          <w:p>
            <w:pPr>
              <w:jc w:val="center"/>
              <w:ind w:right="240"/>
              <w:spacing w:after="0" w:line="167" w:lineRule="exact"/>
              <w:rPr>
                <w:sz w:val="20"/>
                <w:szCs w:val="20"/>
                <w:color w:val="auto"/>
              </w:rPr>
            </w:pPr>
            <w:r>
              <w:rPr>
                <w:rFonts w:ascii="Arial" w:cs="Arial" w:eastAsia="Arial" w:hAnsi="Arial"/>
                <w:sz w:val="17"/>
                <w:szCs w:val="17"/>
                <w:b w:val="1"/>
                <w:bCs w:val="1"/>
                <w:color w:val="auto"/>
                <w:w w:val="87"/>
              </w:rPr>
              <w:t>(Losses) on Cash</w:t>
            </w:r>
          </w:p>
        </w:tc>
        <w:tc>
          <w:tcPr>
            <w:tcW w:w="1680" w:type="dxa"/>
            <w:vAlign w:val="bottom"/>
            <w:gridSpan w:val="3"/>
            <w:vMerge w:val="restart"/>
          </w:tcPr>
          <w:p>
            <w:pPr>
              <w:ind w:left="60"/>
              <w:spacing w:after="0"/>
              <w:rPr>
                <w:sz w:val="20"/>
                <w:szCs w:val="20"/>
                <w:color w:val="auto"/>
              </w:rPr>
            </w:pPr>
            <w:r>
              <w:rPr>
                <w:rFonts w:ascii="Arial" w:cs="Arial" w:eastAsia="Arial" w:hAnsi="Arial"/>
                <w:sz w:val="17"/>
                <w:szCs w:val="17"/>
                <w:b w:val="1"/>
                <w:bCs w:val="1"/>
                <w:color w:val="auto"/>
              </w:rPr>
              <w:t>Other Adjustments</w:t>
            </w:r>
          </w:p>
        </w:tc>
        <w:tc>
          <w:tcPr>
            <w:tcW w:w="340" w:type="dxa"/>
            <w:vAlign w:val="bottom"/>
          </w:tcPr>
          <w:p>
            <w:pPr>
              <w:spacing w:after="0"/>
              <w:rPr>
                <w:sz w:val="14"/>
                <w:szCs w:val="14"/>
                <w:color w:val="auto"/>
              </w:rPr>
            </w:pPr>
          </w:p>
        </w:tc>
        <w:tc>
          <w:tcPr>
            <w:tcW w:w="1260" w:type="dxa"/>
            <w:vAlign w:val="bottom"/>
            <w:vMerge w:val="restart"/>
          </w:tcPr>
          <w:p>
            <w:pPr>
              <w:jc w:val="right"/>
              <w:ind w:right="534"/>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19"/>
        </w:trPr>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1"/>
              </w:rPr>
              <w:t>Adjustments</w:t>
            </w:r>
          </w:p>
        </w:tc>
        <w:tc>
          <w:tcPr>
            <w:tcW w:w="120" w:type="dxa"/>
            <w:vAlign w:val="bottom"/>
          </w:tcPr>
          <w:p>
            <w:pPr>
              <w:spacing w:after="0"/>
              <w:rPr>
                <w:sz w:val="19"/>
                <w:szCs w:val="19"/>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9"/>
              </w:rPr>
              <w:t>Flow Hedges</w:t>
            </w:r>
          </w:p>
        </w:tc>
        <w:tc>
          <w:tcPr>
            <w:tcW w:w="1680" w:type="dxa"/>
            <w:vAlign w:val="bottom"/>
            <w:gridSpan w:val="3"/>
            <w:vMerge w:val="continue"/>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as of January 1, 2021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(4,381)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2,784</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4"/>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(1,522)</w:t>
            </w:r>
          </w:p>
        </w:tc>
        <w:tc>
          <w:tcPr>
            <w:tcW w:w="0" w:type="dxa"/>
            <w:vAlign w:val="bottom"/>
          </w:tcPr>
          <w:p>
            <w:pPr>
              <w:spacing w:after="0"/>
              <w:rPr>
                <w:sz w:val="1"/>
                <w:szCs w:val="1"/>
                <w:color w:val="auto"/>
              </w:rPr>
            </w:pPr>
          </w:p>
        </w:tc>
      </w:tr>
      <w:tr>
        <w:trPr>
          <w:trHeight w:val="168"/>
        </w:trPr>
        <w:tc>
          <w:tcPr>
            <w:tcW w:w="4580" w:type="dxa"/>
            <w:vAlign w:val="bottom"/>
          </w:tcPr>
          <w:p>
            <w:pPr>
              <w:ind w:left="20"/>
              <w:spacing w:after="0" w:line="168" w:lineRule="exact"/>
              <w:rPr>
                <w:sz w:val="20"/>
                <w:szCs w:val="20"/>
                <w:color w:val="auto"/>
              </w:rPr>
            </w:pPr>
            <w:r>
              <w:rPr>
                <w:rFonts w:ascii="Arial" w:cs="Arial" w:eastAsia="Arial" w:hAnsi="Arial"/>
                <w:sz w:val="17"/>
                <w:szCs w:val="17"/>
                <w:color w:val="auto"/>
              </w:rPr>
              <w:t>Other comprehensive (loss) income before</w:t>
            </w:r>
          </w:p>
        </w:tc>
        <w:tc>
          <w:tcPr>
            <w:tcW w:w="12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Arial" w:cs="Arial" w:eastAsia="Arial" w:hAnsi="Arial"/>
                <w:sz w:val="17"/>
                <w:szCs w:val="17"/>
                <w:color w:val="auto"/>
              </w:rPr>
              <w:t>(7,458)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Arial" w:cs="Arial" w:eastAsia="Arial" w:hAnsi="Arial"/>
                <w:sz w:val="17"/>
                <w:szCs w:val="17"/>
                <w:color w:val="auto"/>
              </w:rPr>
              <w:t>(306)</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7"/>
                <w:szCs w:val="17"/>
                <w:color w:val="auto"/>
              </w:rPr>
              <w:t>(7,752)</w:t>
            </w:r>
          </w:p>
        </w:tc>
        <w:tc>
          <w:tcPr>
            <w:tcW w:w="0" w:type="dxa"/>
            <w:vAlign w:val="bottom"/>
          </w:tcPr>
          <w:p>
            <w:pPr>
              <w:spacing w:after="0"/>
              <w:rPr>
                <w:sz w:val="1"/>
                <w:szCs w:val="1"/>
                <w:color w:val="auto"/>
              </w:rPr>
            </w:pPr>
          </w:p>
        </w:tc>
      </w:tr>
      <w:tr>
        <w:trPr>
          <w:trHeight w:val="218"/>
        </w:trPr>
        <w:tc>
          <w:tcPr>
            <w:tcW w:w="4580" w:type="dxa"/>
            <w:vAlign w:val="bottom"/>
          </w:tcPr>
          <w:p>
            <w:pPr>
              <w:ind w:left="20"/>
              <w:spacing w:after="0"/>
              <w:rPr>
                <w:sz w:val="20"/>
                <w:szCs w:val="20"/>
                <w:color w:val="auto"/>
              </w:rPr>
            </w:pPr>
            <w:r>
              <w:rPr>
                <w:rFonts w:ascii="Arial" w:cs="Arial" w:eastAsia="Arial" w:hAnsi="Arial"/>
                <w:sz w:val="17"/>
                <w:szCs w:val="17"/>
                <w:color w:val="auto"/>
              </w:rPr>
              <w:t>reclassifications</w:t>
            </w:r>
          </w:p>
        </w:tc>
        <w:tc>
          <w:tcPr>
            <w:tcW w:w="12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Amounts reclassified from AOCI</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2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(639)</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(639)</w:t>
            </w:r>
          </w:p>
        </w:tc>
        <w:tc>
          <w:tcPr>
            <w:tcW w:w="0" w:type="dxa"/>
            <w:vAlign w:val="bottom"/>
          </w:tcPr>
          <w:p>
            <w:pPr>
              <w:spacing w:after="0"/>
              <w:rPr>
                <w:sz w:val="1"/>
                <w:szCs w:val="1"/>
                <w:color w:val="auto"/>
              </w:rPr>
            </w:pPr>
          </w:p>
        </w:tc>
      </w:tr>
      <w:tr>
        <w:trPr>
          <w:trHeight w:val="211"/>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comprehensive (loss) income</w:t>
            </w:r>
          </w:p>
        </w:tc>
        <w:tc>
          <w:tcPr>
            <w:tcW w:w="1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(7,458)</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(945)</w:t>
            </w:r>
          </w:p>
        </w:tc>
        <w:tc>
          <w:tcPr>
            <w:tcW w:w="10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(8,391)</w:t>
            </w:r>
          </w:p>
        </w:tc>
        <w:tc>
          <w:tcPr>
            <w:tcW w:w="0" w:type="dxa"/>
            <w:vAlign w:val="bottom"/>
          </w:tcPr>
          <w:p>
            <w:pPr>
              <w:spacing w:after="0"/>
              <w:rPr>
                <w:sz w:val="1"/>
                <w:szCs w:val="1"/>
                <w:color w:val="auto"/>
              </w:rPr>
            </w:pPr>
          </w:p>
        </w:tc>
      </w:tr>
      <w:tr>
        <w:trPr>
          <w:trHeight w:val="238"/>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as of March 31, 2021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(11,839)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1,839</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51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(9,913)</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19: Commitments and Contingencies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Legal Proceedings</w:t>
      </w:r>
    </w:p>
    <w:p>
      <w:pPr>
        <w:spacing w:after="0" w:line="243" w:lineRule="exact"/>
        <w:rPr>
          <w:sz w:val="20"/>
          <w:szCs w:val="20"/>
          <w:color w:val="auto"/>
        </w:rPr>
      </w:pPr>
    </w:p>
    <w:p>
      <w:pPr>
        <w:ind w:right="120" w:firstLine="619"/>
        <w:spacing w:after="0" w:line="266" w:lineRule="auto"/>
        <w:rPr>
          <w:sz w:val="20"/>
          <w:szCs w:val="20"/>
          <w:color w:val="auto"/>
        </w:rPr>
      </w:pPr>
      <w:r>
        <w:rPr>
          <w:rFonts w:ascii="Arial" w:cs="Arial" w:eastAsia="Arial" w:hAnsi="Arial"/>
          <w:sz w:val="17"/>
          <w:szCs w:val="17"/>
          <w:color w:val="auto"/>
        </w:rPr>
        <w:t>From time to time, we are involved in various legal proceedings, most of which are routine litigation, in the normal course of business. Our management does not believe that the resolution of the unsettled legal proceedings that we are involved with will have a material adverse impact on our financial position or results of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Off-Balance Sheet Arrangements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7"/>
          <w:szCs w:val="17"/>
          <w:b w:val="1"/>
          <w:bCs w:val="1"/>
          <w:color w:val="auto"/>
        </w:rPr>
        <w:t>ICU MEDICAL, INC. AND SUBSIDIARIES</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316" w:lineRule="exact"/>
        <w:rPr>
          <w:sz w:val="20"/>
          <w:szCs w:val="20"/>
          <w:color w:val="auto"/>
        </w:rPr>
      </w:pPr>
    </w:p>
    <w:p>
      <w:pPr>
        <w:ind w:firstLine="172"/>
        <w:spacing w:after="0" w:line="257" w:lineRule="auto"/>
        <w:rPr>
          <w:sz w:val="20"/>
          <w:szCs w:val="20"/>
          <w:color w:val="auto"/>
        </w:rPr>
      </w:pPr>
      <w:r>
        <w:rPr>
          <w:rFonts w:ascii="Arial" w:cs="Arial" w:eastAsia="Arial" w:hAnsi="Arial"/>
          <w:sz w:val="17"/>
          <w:szCs w:val="17"/>
          <w:color w:val="auto"/>
        </w:rPr>
        <w:t>In the normal course of business, we have agreed to indemnify our officers and directors to the maximum extent permitted under Delaware law and to indemnify customers as to certain intellectual property matters or other matters related to sales of our products. There is no maximum limit on the indemnification that may be required under these agreements.</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Although we can provide no assurances, we have never incurred, nor do we expect to incur, any material liability for indemnification.</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Contingencies</w:t>
      </w:r>
    </w:p>
    <w:p>
      <w:pPr>
        <w:spacing w:after="0" w:line="243" w:lineRule="exact"/>
        <w:rPr>
          <w:sz w:val="20"/>
          <w:szCs w:val="20"/>
          <w:color w:val="auto"/>
        </w:rPr>
      </w:pPr>
    </w:p>
    <w:p>
      <w:pPr>
        <w:ind w:right="20" w:firstLine="619"/>
        <w:spacing w:after="0" w:line="290" w:lineRule="auto"/>
        <w:rPr>
          <w:sz w:val="20"/>
          <w:szCs w:val="20"/>
          <w:color w:val="auto"/>
        </w:rPr>
      </w:pPr>
      <w:r>
        <w:rPr>
          <w:rFonts w:ascii="Arial" w:cs="Arial" w:eastAsia="Arial" w:hAnsi="Arial"/>
          <w:sz w:val="16"/>
          <w:szCs w:val="16"/>
          <w:color w:val="auto"/>
        </w:rPr>
        <w:t>On January 6, 2022, we acquired Smiths Medical. Total consideration for the acquisition includes a potential earn-out payment of $100.0 million in cash contingent on our common stock achieving a certain volume-weighted average price from the closing date to either the third or fourth anniversary of closing. As of March 31, 2022, the estimated fair value of the contingent earn-out is $53.5 million (see Note 9: Fair Value Measurements).</w:t>
      </w:r>
    </w:p>
    <w:p>
      <w:pPr>
        <w:spacing w:after="0" w:line="184" w:lineRule="exact"/>
        <w:rPr>
          <w:sz w:val="20"/>
          <w:szCs w:val="20"/>
          <w:color w:val="auto"/>
        </w:rPr>
      </w:pPr>
    </w:p>
    <w:p>
      <w:pPr>
        <w:ind w:right="160" w:firstLine="619"/>
        <w:spacing w:after="0" w:line="277" w:lineRule="auto"/>
        <w:rPr>
          <w:sz w:val="20"/>
          <w:szCs w:val="20"/>
          <w:color w:val="auto"/>
        </w:rPr>
      </w:pPr>
      <w:r>
        <w:rPr>
          <w:rFonts w:ascii="Arial" w:cs="Arial" w:eastAsia="Arial" w:hAnsi="Arial"/>
          <w:sz w:val="16"/>
          <w:szCs w:val="16"/>
          <w:color w:val="auto"/>
        </w:rPr>
        <w:t>Prior to being acquired, during 2021, Smiths Medical received a Warning Letter from the FDA following an inspection of Smiths Medical’s Oakdale, Minnesota Facility. The Warning Letter cited, among other things, failures to comply with FDA's medical device reporting requirements and failures to comply with applicable portions of the Quality System Regulation. A provision for the estimated costs related to the field service corrective action was recorded on the opening acquired balance sheet of Smiths Medical in the amount of $55.1 million. The initial estimate recorded was based on a probability-weighted estimate of the costs required to settle the obligation. The actual costs to be incurred are dependent upon the scope of the work necessary to achieve regulatory clearance and could differ from the original estimate. The estimated field service corrective action recorded at March 31, 2022 is $54.7 million.</w:t>
      </w:r>
    </w:p>
    <w:p>
      <w:pPr>
        <w:spacing w:after="0" w:line="196" w:lineRule="exact"/>
        <w:rPr>
          <w:sz w:val="20"/>
          <w:szCs w:val="20"/>
          <w:color w:val="auto"/>
        </w:rPr>
      </w:pPr>
    </w:p>
    <w:p>
      <w:pPr>
        <w:ind w:right="100" w:firstLine="619"/>
        <w:spacing w:after="0" w:line="283" w:lineRule="auto"/>
        <w:rPr>
          <w:sz w:val="20"/>
          <w:szCs w:val="20"/>
          <w:color w:val="auto"/>
        </w:rPr>
      </w:pPr>
      <w:r>
        <w:rPr>
          <w:rFonts w:ascii="Arial" w:cs="Arial" w:eastAsia="Arial" w:hAnsi="Arial"/>
          <w:sz w:val="16"/>
          <w:szCs w:val="16"/>
          <w:color w:val="auto"/>
        </w:rPr>
        <w:t>During November 2021, we acquired a small foreign infusion systems supplier. Total consideration for the acquisition includes a potential earn-out payment of up to $2.5 million, consisting of (i) a cash payment of $1.0 million contingent on the achievement of certain revenue targets for the annual period ending December 31, 2022 and, separately, (ii) a cash payment of $1.5 million contingent on certain product-related regulatory certifications obtained by May 26, 2024. As of March 31, 2022, the estimated fair value of the contingent earn-out is $1.6 million (see Note 9: Fair Value Measurements).</w:t>
      </w:r>
    </w:p>
    <w:p>
      <w:pPr>
        <w:spacing w:after="0" w:line="189" w:lineRule="exact"/>
        <w:rPr>
          <w:sz w:val="20"/>
          <w:szCs w:val="20"/>
          <w:color w:val="auto"/>
        </w:rPr>
      </w:pPr>
    </w:p>
    <w:p>
      <w:pPr>
        <w:ind w:right="100" w:firstLine="619"/>
        <w:spacing w:after="0" w:line="302" w:lineRule="auto"/>
        <w:rPr>
          <w:sz w:val="20"/>
          <w:szCs w:val="20"/>
          <w:color w:val="auto"/>
        </w:rPr>
      </w:pPr>
      <w:r>
        <w:rPr>
          <w:rFonts w:ascii="Arial" w:cs="Arial" w:eastAsia="Arial" w:hAnsi="Arial"/>
          <w:sz w:val="15"/>
          <w:szCs w:val="15"/>
          <w:color w:val="auto"/>
        </w:rPr>
        <w:t>During August 2021, we entered into an agreement with one of our international distributors whereby that distributor would not compete with us in a specific territory for a three-year period that will end in September 2024. The terms of the agreement include a contingent earn-out payment. The contingent earn-out shall not exceed $6.0 million, which will be earned based on certain revenue targets over a twelve-month measurement period determined by the highest four consecutive quarters commencing over a two-year period starting on the closing date of the agreement and provided that the distributor is in compliance with its obligations under the agreement. As of March 31, 2022, the estimated fair value of the contingent earn-out is $2.6 million (see Note 9: Fair Value Measurements).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Commitments</w:t>
      </w:r>
    </w:p>
    <w:p>
      <w:pPr>
        <w:spacing w:after="0" w:line="24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We have non-cancelable operating lease agreements where we are contractually obligated to pay certain lease payment amounts (see Note 6: Leases).</w:t>
      </w:r>
    </w:p>
    <w:p>
      <w:pPr>
        <w:spacing w:after="0" w:line="248"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Note 20:</w:t>
      </w:r>
      <w:r>
        <w:rPr>
          <w:sz w:val="20"/>
          <w:szCs w:val="20"/>
          <w:color w:val="auto"/>
        </w:rPr>
        <w:tab/>
      </w:r>
      <w:r>
        <w:rPr>
          <w:rFonts w:ascii="Arial" w:cs="Arial" w:eastAsia="Arial" w:hAnsi="Arial"/>
          <w:sz w:val="15"/>
          <w:szCs w:val="15"/>
          <w:b w:val="1"/>
          <w:bCs w:val="1"/>
          <w:color w:val="auto"/>
        </w:rPr>
        <w:t>Collaborative and Other Arrangements</w:t>
      </w:r>
    </w:p>
    <w:p>
      <w:pPr>
        <w:spacing w:after="0" w:line="249" w:lineRule="exact"/>
        <w:rPr>
          <w:sz w:val="20"/>
          <w:szCs w:val="20"/>
          <w:color w:val="auto"/>
        </w:rPr>
      </w:pPr>
    </w:p>
    <w:p>
      <w:pPr>
        <w:ind w:firstLine="172"/>
        <w:spacing w:after="0" w:line="293" w:lineRule="auto"/>
        <w:rPr>
          <w:sz w:val="20"/>
          <w:szCs w:val="20"/>
          <w:color w:val="auto"/>
        </w:rPr>
      </w:pPr>
      <w:r>
        <w:rPr>
          <w:rFonts w:ascii="Arial" w:cs="Arial" w:eastAsia="Arial" w:hAnsi="Arial"/>
          <w:sz w:val="15"/>
          <w:szCs w:val="15"/>
          <w:color w:val="auto"/>
        </w:rPr>
        <w:t>On February 3, 2017, we entered into two Manufacturing and Supply Agreements ("MSAs") whereby (i) Pfizer will manufacture and supply us with certain agreed upon products for an initial five-year term with a one-time two-year option to extend and (ii) we will manufacture and supply Pfizer certain agreed upon products for a term of five or ten years depending on the product, also with a one-time two-year option to extend. The MSAs provide each party with mutually beneficial interests and both of the MSAs are to be jointly managed by both Pfizer and ICU. The initial supply price, which will be annually updated, is in full consideration for all costs associated with the manufacture, documentation, packaging and certification of the products. On January 1, 2021, we amended our MSA with Pfizer, whereby we manufacture and supply certain agreed upon products to Pfizer. The amendments included a change to the term of the agreement to end on December 31, 2024 with Pfizer's unilateral election to extend through December 31, 2025. Other changes to the terms of the MSA included (i) amendments to our level of supply of products to Pfizer, (ii) certain changes to our manufacturing lines, (iii) updates to our supply price with added volume price tiers for annual periods and (iv) certain minimum purchase requirements for certain products. On February 1, 2022, effective as of January 1, 2022, upon our request, Pfizer executed a Product Addendum (the "Product Addendum") to our MSA, whereby Pfizer manufactures and supplies to us certain agreed upon products. The Product Addendum includes the supply of additional product to us subject to certain time and pricing terms and conditions. The Product Addendum includes a</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jc w:val="center"/>
        <w:ind w:right="-359"/>
        <w:spacing w:after="0"/>
        <w:rPr>
          <w:sz w:val="20"/>
          <w:szCs w:val="20"/>
          <w:color w:val="auto"/>
        </w:rPr>
      </w:pPr>
      <w:r>
        <w:rPr>
          <w:rFonts w:ascii="Arial" w:cs="Arial" w:eastAsia="Arial" w:hAnsi="Arial"/>
          <w:sz w:val="17"/>
          <w:szCs w:val="17"/>
          <w:b w:val="1"/>
          <w:bCs w:val="1"/>
          <w:color w:val="auto"/>
        </w:rPr>
        <w:t>ICU MEDICAL, INC. AND SUBSIDIARIES</w:t>
      </w:r>
    </w:p>
    <w:p>
      <w:pPr>
        <w:spacing w:after="0" w:line="28"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31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minimum purchase obligation of $29.6 million and expires on November 30, 2022. As of March 31, 2022, we had satisfied the minimum purchase obligations under the Product Addendum.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900"/>
          </w:cols>
          <w:pgMar w:left="320" w:top="121" w:right="679" w:bottom="1440" w:gutter="0" w:footer="0" w:header="0"/>
        </w:sectPr>
      </w:pPr>
    </w:p>
    <w:bookmarkStart w:id="37" w:name="page38"/>
    <w:bookmarkEnd w:id="3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2. Management’s Discussion and Analysis of Financial Condition and Results of Operations</w:t>
      </w:r>
    </w:p>
    <w:p>
      <w:pPr>
        <w:spacing w:after="0" w:line="223" w:lineRule="exact"/>
        <w:rPr>
          <w:sz w:val="20"/>
          <w:szCs w:val="20"/>
          <w:color w:val="auto"/>
        </w:rPr>
      </w:pPr>
    </w:p>
    <w:p>
      <w:pPr>
        <w:ind w:right="120" w:firstLine="169"/>
        <w:spacing w:after="0" w:line="349" w:lineRule="auto"/>
        <w:rPr>
          <w:sz w:val="20"/>
          <w:szCs w:val="20"/>
          <w:color w:val="auto"/>
        </w:rPr>
      </w:pPr>
      <w:r>
        <w:rPr>
          <w:rFonts w:ascii="Arial" w:cs="Arial" w:eastAsia="Arial" w:hAnsi="Arial"/>
          <w:sz w:val="15"/>
          <w:szCs w:val="15"/>
          <w:color w:val="auto"/>
        </w:rPr>
        <w:t>The following information should be read in conjunction with the condensed consolidated financial statements and accompanying notes in this Form 10-Q, as well as the audited consolidated financial statements and related notes for the fiscal year ended December 31, 2021 included in our Annual Report on Form 10-K.</w:t>
      </w:r>
    </w:p>
    <w:p>
      <w:pPr>
        <w:spacing w:after="0" w:line="117" w:lineRule="exact"/>
        <w:rPr>
          <w:sz w:val="20"/>
          <w:szCs w:val="20"/>
          <w:color w:val="auto"/>
        </w:rPr>
      </w:pPr>
    </w:p>
    <w:p>
      <w:pPr>
        <w:ind w:right="620" w:firstLine="169"/>
        <w:spacing w:after="0" w:line="279" w:lineRule="auto"/>
        <w:rPr>
          <w:sz w:val="20"/>
          <w:szCs w:val="20"/>
          <w:color w:val="auto"/>
        </w:rPr>
      </w:pPr>
      <w:r>
        <w:rPr>
          <w:rFonts w:ascii="Arial" w:cs="Arial" w:eastAsia="Arial" w:hAnsi="Arial"/>
          <w:sz w:val="17"/>
          <w:szCs w:val="17"/>
          <w:color w:val="auto"/>
        </w:rPr>
        <w:t>When used in this report, the terms “we,” “us,” and “our” refer to ICU Medical, Inc ("ICU") and its subsidiaries included in our condensed consolidated financial statements unless context requires otherwise.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Overview</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Developments</w:t>
      </w:r>
    </w:p>
    <w:p>
      <w:pPr>
        <w:spacing w:after="0" w:line="243" w:lineRule="exact"/>
        <w:rPr>
          <w:sz w:val="20"/>
          <w:szCs w:val="20"/>
          <w:color w:val="auto"/>
        </w:rPr>
      </w:pPr>
    </w:p>
    <w:p>
      <w:pPr>
        <w:ind w:firstLine="619"/>
        <w:spacing w:after="0" w:line="259" w:lineRule="auto"/>
        <w:rPr>
          <w:sz w:val="20"/>
          <w:szCs w:val="20"/>
          <w:color w:val="auto"/>
        </w:rPr>
      </w:pPr>
      <w:r>
        <w:rPr>
          <w:rFonts w:ascii="Arial" w:cs="Arial" w:eastAsia="Arial" w:hAnsi="Arial"/>
          <w:sz w:val="17"/>
          <w:szCs w:val="17"/>
          <w:color w:val="auto"/>
        </w:rPr>
        <w:t>On January 6, 2022 we completed the acquisition of Smiths Medical 2020 Limited ("Smiths Medical"), the holding company of Smiths Group plc's global medical device business. See "Acquisitions" in the remainder of this item for additional detail regarding the acquisition transaction. Smiths Medical is engaged in the development, manufacture and sale of syringe and ambulatory infusion devices, vascular access, and vital care products used in hospital, emergency, home and alternative care settings. Our acquisition of Smiths Medical was strategic and increases our focus and scale in infusion therapy globally which we believe will enhance our competitive position as a leader within the industry.</w:t>
      </w:r>
    </w:p>
    <w:p>
      <w:pPr>
        <w:spacing w:after="0" w:line="209" w:lineRule="exact"/>
        <w:rPr>
          <w:sz w:val="20"/>
          <w:szCs w:val="20"/>
          <w:color w:val="auto"/>
        </w:rPr>
      </w:pPr>
    </w:p>
    <w:p>
      <w:pPr>
        <w:ind w:right="40" w:firstLine="619"/>
        <w:spacing w:after="0" w:line="277" w:lineRule="auto"/>
        <w:rPr>
          <w:sz w:val="20"/>
          <w:szCs w:val="20"/>
          <w:color w:val="auto"/>
        </w:rPr>
      </w:pPr>
      <w:r>
        <w:rPr>
          <w:rFonts w:ascii="Arial" w:cs="Arial" w:eastAsia="Arial" w:hAnsi="Arial"/>
          <w:sz w:val="16"/>
          <w:szCs w:val="16"/>
          <w:color w:val="auto"/>
        </w:rPr>
        <w:t>The combination of ICU and Smiths Medical brings together two highly complementary product portfolios to create a comprehensive range of offerings utilized in the infusion therapy care continuum. Our existing product portfolio includes IV solutions, IV smart pumps with pain management and safety software technology, dedicated and non-dedicated IV sets and needlefree connectors designed to help meet clinical, safety and workflow goals. In addition, we manufacture automated pharmacy IV compounding systems with workflow technology, closed systems transfer devices for preparing and administering hazardous IV drugs, and cardiac monitoring systems for critically ill patients. The acquisition of Smiths Medical broadened our product portfolio to include syringe and ambulatory pumps, peripheral IV catheters, fluid warming and respiratory devices, silicone and PVC tracheotomy tubes, among other products.</w:t>
      </w:r>
    </w:p>
    <w:p>
      <w:pPr>
        <w:spacing w:after="0" w:line="196" w:lineRule="exact"/>
        <w:rPr>
          <w:sz w:val="20"/>
          <w:szCs w:val="20"/>
          <w:color w:val="auto"/>
        </w:rPr>
      </w:pPr>
    </w:p>
    <w:p>
      <w:pPr>
        <w:ind w:right="220" w:firstLine="619"/>
        <w:spacing w:after="0" w:line="266" w:lineRule="auto"/>
        <w:rPr>
          <w:sz w:val="20"/>
          <w:szCs w:val="20"/>
          <w:color w:val="auto"/>
        </w:rPr>
      </w:pPr>
      <w:r>
        <w:rPr>
          <w:rFonts w:ascii="Arial" w:cs="Arial" w:eastAsia="Arial" w:hAnsi="Arial"/>
          <w:sz w:val="17"/>
          <w:szCs w:val="17"/>
          <w:color w:val="auto"/>
        </w:rPr>
        <w:t>Following the Smiths Medical acquisition, we are initially presenting the following product lines in addition to our legacy product lines: Infusion Systems-Smiths Medical, Vascular Access-Smiths Medical and Vital Care-Smiths Medical. See "Products" in the remainder of this item for a list of our primary products included in each line.</w:t>
      </w:r>
    </w:p>
    <w:p>
      <w:pPr>
        <w:spacing w:after="0" w:line="201" w:lineRule="exact"/>
        <w:rPr>
          <w:sz w:val="20"/>
          <w:szCs w:val="20"/>
          <w:color w:val="auto"/>
        </w:rPr>
      </w:pPr>
    </w:p>
    <w:p>
      <w:pPr>
        <w:ind w:right="260" w:firstLine="619"/>
        <w:spacing w:after="0" w:line="312" w:lineRule="auto"/>
        <w:rPr>
          <w:sz w:val="20"/>
          <w:szCs w:val="20"/>
          <w:color w:val="auto"/>
        </w:rPr>
      </w:pPr>
      <w:r>
        <w:rPr>
          <w:rFonts w:ascii="Arial" w:cs="Arial" w:eastAsia="Arial" w:hAnsi="Arial"/>
          <w:sz w:val="16"/>
          <w:szCs w:val="16"/>
          <w:color w:val="auto"/>
        </w:rPr>
        <w:t>Our primary customers are acute care hospitals, wholesalers, ambulatory clinics and alternate site facilities, such as clinics, home health care providers and long-term care facilities. With the addition of Smiths Medical we sell our products in more than 90 countries throughout the world.</w:t>
      </w:r>
    </w:p>
    <w:p>
      <w:pPr>
        <w:spacing w:after="0" w:line="166" w:lineRule="exact"/>
        <w:rPr>
          <w:sz w:val="20"/>
          <w:szCs w:val="20"/>
          <w:color w:val="auto"/>
        </w:rPr>
      </w:pPr>
    </w:p>
    <w:p>
      <w:pPr>
        <w:ind w:right="240" w:firstLine="619"/>
        <w:spacing w:after="0" w:line="279" w:lineRule="auto"/>
        <w:rPr>
          <w:sz w:val="20"/>
          <w:szCs w:val="20"/>
          <w:color w:val="auto"/>
        </w:rPr>
      </w:pPr>
      <w:r>
        <w:rPr>
          <w:rFonts w:ascii="Arial" w:cs="Arial" w:eastAsia="Arial" w:hAnsi="Arial"/>
          <w:sz w:val="17"/>
          <w:szCs w:val="17"/>
          <w:color w:val="auto"/>
        </w:rPr>
        <w:t>The following information is additional to and not a substitute for the Business section under Part I, Item 1 of our Annual Report on Form 10-K for the year ended December 31, 2021 and should be read in conjunction with that filing:</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Manufacturing Changes</w:t>
      </w:r>
    </w:p>
    <w:p>
      <w:pPr>
        <w:spacing w:after="0" w:line="243" w:lineRule="exact"/>
        <w:rPr>
          <w:sz w:val="20"/>
          <w:szCs w:val="20"/>
          <w:color w:val="auto"/>
        </w:rPr>
      </w:pPr>
    </w:p>
    <w:p>
      <w:pPr>
        <w:ind w:right="420" w:firstLine="619"/>
        <w:spacing w:after="0" w:line="279" w:lineRule="auto"/>
        <w:rPr>
          <w:sz w:val="20"/>
          <w:szCs w:val="20"/>
          <w:color w:val="auto"/>
        </w:rPr>
      </w:pPr>
      <w:r>
        <w:rPr>
          <w:rFonts w:ascii="Arial" w:cs="Arial" w:eastAsia="Arial" w:hAnsi="Arial"/>
          <w:sz w:val="17"/>
          <w:szCs w:val="17"/>
          <w:color w:val="auto"/>
        </w:rPr>
        <w:t>With the acquisition of the Smiths Medical business, we now operate additional manufacturing facilities including five facilities in the United States ("U.S."), two facilities in Mexico and two in the UK, and one facility in the Czech Republic, Italy and China.</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Service Centers</w:t>
      </w:r>
    </w:p>
    <w:p>
      <w:pPr>
        <w:spacing w:after="0" w:line="243" w:lineRule="exact"/>
        <w:rPr>
          <w:sz w:val="20"/>
          <w:szCs w:val="20"/>
          <w:color w:val="auto"/>
        </w:rPr>
      </w:pPr>
    </w:p>
    <w:p>
      <w:pPr>
        <w:ind w:right="140" w:firstLine="619"/>
        <w:spacing w:after="0" w:line="279" w:lineRule="auto"/>
        <w:rPr>
          <w:sz w:val="20"/>
          <w:szCs w:val="20"/>
          <w:color w:val="auto"/>
        </w:rPr>
      </w:pPr>
      <w:r>
        <w:rPr>
          <w:rFonts w:ascii="Arial" w:cs="Arial" w:eastAsia="Arial" w:hAnsi="Arial"/>
          <w:sz w:val="17"/>
          <w:szCs w:val="17"/>
          <w:color w:val="auto"/>
        </w:rPr>
        <w:t>With the acquisition of the Smiths Medical business, we now operate additional service and repair facilities in the U.S., Canada, two locations in Europe and four locations in Asia.</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Distribution Changes</w:t>
      </w:r>
    </w:p>
    <w:p>
      <w:pPr>
        <w:spacing w:after="0" w:line="243" w:lineRule="exact"/>
        <w:rPr>
          <w:sz w:val="20"/>
          <w:szCs w:val="20"/>
          <w:color w:val="auto"/>
        </w:rPr>
      </w:pPr>
    </w:p>
    <w:p>
      <w:pPr>
        <w:jc w:val="both"/>
        <w:ind w:right="60" w:firstLine="619"/>
        <w:spacing w:after="0" w:line="266" w:lineRule="auto"/>
        <w:rPr>
          <w:sz w:val="20"/>
          <w:szCs w:val="20"/>
          <w:color w:val="auto"/>
        </w:rPr>
      </w:pPr>
      <w:r>
        <w:rPr>
          <w:rFonts w:ascii="Arial" w:cs="Arial" w:eastAsia="Arial" w:hAnsi="Arial"/>
          <w:sz w:val="17"/>
          <w:szCs w:val="17"/>
          <w:color w:val="auto"/>
        </w:rPr>
        <w:t>Following the Smiths Medical acquisition, we operate two additional main distribution centers, one in the U.S. supporting the Americas and International and one in the Netherlands mainly supporting EMEA. We have a further eleven smaller distribution centers globally three of which are in the U.S., two centers in EMEA and China, and one center in Canada, the U.K., Japan and India.</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Competition Changes</w:t>
      </w:r>
    </w:p>
    <w:p>
      <w:pPr>
        <w:spacing w:after="0" w:line="243"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The Infusion Systems product line of Smiths Medical competes with many of the same competitors as those referenced in Part I, Item 1. "Business" of our 2021 Annual Report on Form 10-K as well as additional competitors such as Moog Medical and QCOR.</w:t>
      </w:r>
    </w:p>
    <w:p>
      <w:pPr>
        <w:spacing w:after="0" w:line="177" w:lineRule="exact"/>
        <w:rPr>
          <w:sz w:val="20"/>
          <w:szCs w:val="20"/>
          <w:color w:val="auto"/>
        </w:rPr>
      </w:pPr>
    </w:p>
    <w:p>
      <w:pPr>
        <w:ind w:right="80" w:firstLine="619"/>
        <w:spacing w:after="0" w:line="232" w:lineRule="auto"/>
        <w:rPr>
          <w:sz w:val="20"/>
          <w:szCs w:val="20"/>
          <w:color w:val="auto"/>
        </w:rPr>
      </w:pPr>
      <w:r>
        <w:rPr>
          <w:rFonts w:ascii="Arial" w:cs="Arial" w:eastAsia="Arial" w:hAnsi="Arial"/>
          <w:sz w:val="17"/>
          <w:szCs w:val="17"/>
          <w:color w:val="auto"/>
        </w:rPr>
        <w:t>The Vascular Access product line of Smith Medicals competes with many of the same competitors as those referenced in Part I, Item 1. "Business" of our 2021 Annual Report on Form 10-K as well as additional competitors such Angio Dynamics, Greiner Bio-One, and Teleflex Incorporated. Our ability to remain competitive in this market will depend on our ability to focus on demonstrable patient outcomes by differentiating our products by improving device functionality and by providing successful customer training programs on the use and maintenance of our products.</w:t>
      </w:r>
    </w:p>
    <w:p>
      <w:pPr>
        <w:spacing w:after="0" w:line="198" w:lineRule="exact"/>
        <w:rPr>
          <w:sz w:val="20"/>
          <w:szCs w:val="20"/>
          <w:color w:val="auto"/>
        </w:rPr>
      </w:pPr>
    </w:p>
    <w:p>
      <w:pPr>
        <w:ind w:right="160" w:firstLine="619"/>
        <w:spacing w:after="0" w:line="232" w:lineRule="auto"/>
        <w:rPr>
          <w:sz w:val="20"/>
          <w:szCs w:val="20"/>
          <w:color w:val="auto"/>
        </w:rPr>
      </w:pPr>
      <w:r>
        <w:rPr>
          <w:rFonts w:ascii="Arial" w:cs="Arial" w:eastAsia="Arial" w:hAnsi="Arial"/>
          <w:sz w:val="17"/>
          <w:szCs w:val="17"/>
          <w:color w:val="auto"/>
        </w:rPr>
        <w:t>The Vital Care product line of Smith Medical competes with numerous competitors due its wide range of business. Those include multinational competitors such as Medtronic and Philips Healthcare as well as smaller more focused competitors such as Belmont and Intersurgical plc. Our ability to compete in this market will depend on our ability to continue to make technological advances to our products, thereby increasing customer efficiency and by providing product support that improves clinical decision-making that ultimately enhances patient safety.</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Products</w:t>
      </w:r>
    </w:p>
    <w:p>
      <w:pPr>
        <w:spacing w:after="0" w:line="249" w:lineRule="exact"/>
        <w:rPr>
          <w:sz w:val="20"/>
          <w:szCs w:val="20"/>
          <w:color w:val="auto"/>
        </w:rPr>
      </w:pPr>
    </w:p>
    <w:p>
      <w:pPr>
        <w:ind w:right="240" w:firstLine="619"/>
        <w:spacing w:after="0" w:line="279" w:lineRule="auto"/>
        <w:rPr>
          <w:sz w:val="20"/>
          <w:szCs w:val="20"/>
          <w:color w:val="auto"/>
        </w:rPr>
      </w:pPr>
      <w:r>
        <w:rPr>
          <w:rFonts w:ascii="Arial" w:cs="Arial" w:eastAsia="Arial" w:hAnsi="Arial"/>
          <w:sz w:val="17"/>
          <w:szCs w:val="17"/>
          <w:color w:val="auto"/>
        </w:rPr>
        <w:t>As of March 31, 2022, our primary product offerings by product line are listed below. We have presented our financial results in accordance with these product lines: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Infusion Consumables</w:t>
      </w:r>
    </w:p>
    <w:p>
      <w:pPr>
        <w:spacing w:after="0" w:line="243" w:lineRule="exact"/>
        <w:rPr>
          <w:sz w:val="20"/>
          <w:szCs w:val="20"/>
          <w:color w:val="auto"/>
        </w:rPr>
      </w:pPr>
    </w:p>
    <w:p>
      <w:pPr>
        <w:ind w:right="300" w:firstLine="619"/>
        <w:spacing w:after="0" w:line="279" w:lineRule="auto"/>
        <w:rPr>
          <w:sz w:val="20"/>
          <w:szCs w:val="20"/>
          <w:color w:val="auto"/>
        </w:rPr>
      </w:pPr>
      <w:r>
        <w:rPr>
          <w:rFonts w:ascii="Arial" w:cs="Arial" w:eastAsia="Arial" w:hAnsi="Arial"/>
          <w:sz w:val="17"/>
          <w:szCs w:val="17"/>
          <w:color w:val="auto"/>
        </w:rPr>
        <w:t>Infusion therapy sets, used in hospitals and ambulatory clinics, consist of a tube running from a bottle or plastic bag containing a solution to a catheter inserted in a patient’s vein, that may or may not be used with an IV pump. Our primary Infusion Consumable products are:</w:t>
      </w:r>
    </w:p>
    <w:p>
      <w:pPr>
        <w:spacing w:after="0" w:line="190" w:lineRule="exact"/>
        <w:rPr>
          <w:sz w:val="20"/>
          <w:szCs w:val="20"/>
          <w:color w:val="auto"/>
        </w:rPr>
      </w:pPr>
    </w:p>
    <w:p>
      <w:pPr>
        <w:ind w:left="1240" w:right="260" w:hanging="309"/>
        <w:spacing w:after="0" w:line="266" w:lineRule="auto"/>
        <w:tabs>
          <w:tab w:leader="none" w:pos="1236" w:val="left"/>
        </w:tabs>
        <w:numPr>
          <w:ilvl w:val="0"/>
          <w:numId w:val="22"/>
        </w:numPr>
        <w:rPr>
          <w:rFonts w:ascii="Arial" w:cs="Arial" w:eastAsia="Arial" w:hAnsi="Arial"/>
          <w:sz w:val="17"/>
          <w:szCs w:val="17"/>
          <w:i w:val="1"/>
          <w:iCs w:val="1"/>
          <w:color w:val="auto"/>
        </w:rPr>
      </w:pPr>
      <w:r>
        <w:rPr>
          <w:rFonts w:ascii="Arial" w:cs="Arial" w:eastAsia="Arial" w:hAnsi="Arial"/>
          <w:sz w:val="17"/>
          <w:szCs w:val="17"/>
          <w:i w:val="1"/>
          <w:iCs w:val="1"/>
          <w:color w:val="auto"/>
        </w:rPr>
        <w:t>Clave™ needlefree products</w:t>
      </w:r>
      <w:r>
        <w:rPr>
          <w:rFonts w:ascii="Arial" w:cs="Arial" w:eastAsia="Arial" w:hAnsi="Arial"/>
          <w:sz w:val="17"/>
          <w:szCs w:val="17"/>
          <w:color w:val="auto"/>
        </w:rPr>
        <w:t>, including the MicroClave, MicroClave Clear, and NanoClave™ brand of connectors, accessories, extension and</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administration sets used for the administration of IV fluids and medications and the Neutron catheter patency device, used to help maintain patency of central venous catheters;</w:t>
      </w:r>
    </w:p>
    <w:p>
      <w:pPr>
        <w:spacing w:after="0" w:line="200" w:lineRule="exact"/>
        <w:rPr>
          <w:rFonts w:ascii="Arial" w:cs="Arial" w:eastAsia="Arial" w:hAnsi="Arial"/>
          <w:sz w:val="17"/>
          <w:szCs w:val="17"/>
          <w:i w:val="1"/>
          <w:iCs w:val="1"/>
          <w:color w:val="auto"/>
        </w:rPr>
      </w:pPr>
    </w:p>
    <w:p>
      <w:pPr>
        <w:ind w:left="1240" w:right="20" w:hanging="309"/>
        <w:spacing w:after="0" w:line="279" w:lineRule="auto"/>
        <w:tabs>
          <w:tab w:leader="none" w:pos="1236"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 xml:space="preserve">SwabCap </w:t>
      </w:r>
      <w:r>
        <w:rPr>
          <w:rFonts w:ascii="Arial" w:cs="Arial" w:eastAsia="Arial" w:hAnsi="Arial"/>
          <w:sz w:val="17"/>
          <w:szCs w:val="17"/>
          <w:color w:val="auto"/>
        </w:rPr>
        <w:t>and SwabTip disinfecting caps, used to protect and disinfect any needlefree connector, including competitive brands of connectors, and</w:t>
      </w:r>
      <w:r>
        <w:rPr>
          <w:rFonts w:ascii="Arial" w:cs="Arial" w:eastAsia="Arial" w:hAnsi="Arial"/>
          <w:sz w:val="17"/>
          <w:szCs w:val="17"/>
          <w:i w:val="1"/>
          <w:iCs w:val="1"/>
          <w:color w:val="auto"/>
        </w:rPr>
        <w:t xml:space="preserve"> </w:t>
      </w:r>
      <w:r>
        <w:rPr>
          <w:rFonts w:ascii="Arial" w:cs="Arial" w:eastAsia="Arial" w:hAnsi="Arial"/>
          <w:sz w:val="17"/>
          <w:szCs w:val="17"/>
          <w:color w:val="auto"/>
        </w:rPr>
        <w:t>male luers;</w:t>
      </w:r>
    </w:p>
    <w:p>
      <w:pPr>
        <w:spacing w:after="0" w:line="190" w:lineRule="exact"/>
        <w:rPr>
          <w:rFonts w:ascii="Arial" w:cs="Arial" w:eastAsia="Arial" w:hAnsi="Arial"/>
          <w:sz w:val="17"/>
          <w:szCs w:val="17"/>
          <w:color w:val="auto"/>
        </w:rPr>
      </w:pPr>
    </w:p>
    <w:p>
      <w:pPr>
        <w:ind w:left="1240" w:hanging="309"/>
        <w:spacing w:after="0"/>
        <w:tabs>
          <w:tab w:leader="none" w:pos="1240"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 xml:space="preserve">ClearGuard HD </w:t>
      </w:r>
      <w:r>
        <w:rPr>
          <w:rFonts w:ascii="Arial" w:cs="Arial" w:eastAsia="Arial" w:hAnsi="Arial"/>
          <w:sz w:val="17"/>
          <w:szCs w:val="17"/>
          <w:color w:val="auto"/>
        </w:rPr>
        <w:t>antimicrobial barrier caps for hemodialysis catheters; and</w:t>
      </w:r>
    </w:p>
    <w:p>
      <w:pPr>
        <w:spacing w:after="0" w:line="236" w:lineRule="exact"/>
        <w:rPr>
          <w:rFonts w:ascii="Arial" w:cs="Arial" w:eastAsia="Arial" w:hAnsi="Arial"/>
          <w:sz w:val="17"/>
          <w:szCs w:val="17"/>
          <w:color w:val="auto"/>
        </w:rPr>
      </w:pPr>
    </w:p>
    <w:p>
      <w:pPr>
        <w:ind w:left="1240" w:hanging="309"/>
        <w:spacing w:after="0"/>
        <w:tabs>
          <w:tab w:leader="none" w:pos="1240"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Tego</w:t>
      </w:r>
      <w:r>
        <w:rPr>
          <w:rFonts w:ascii="Arial" w:cs="Arial" w:eastAsia="Arial" w:hAnsi="Arial"/>
          <w:sz w:val="22"/>
          <w:szCs w:val="22"/>
          <w:i w:val="1"/>
          <w:iCs w:val="1"/>
          <w:color w:val="auto"/>
          <w:vertAlign w:val="superscript"/>
        </w:rPr>
        <w:t>TM</w:t>
      </w:r>
      <w:r>
        <w:rPr>
          <w:rFonts w:ascii="Arial" w:cs="Arial" w:eastAsia="Arial" w:hAnsi="Arial"/>
          <w:sz w:val="17"/>
          <w:szCs w:val="17"/>
          <w:i w:val="1"/>
          <w:iCs w:val="1"/>
          <w:color w:val="auto"/>
        </w:rPr>
        <w:t xml:space="preserve"> </w:t>
      </w:r>
      <w:r>
        <w:rPr>
          <w:rFonts w:ascii="Arial" w:cs="Arial" w:eastAsia="Arial" w:hAnsi="Arial"/>
          <w:sz w:val="17"/>
          <w:szCs w:val="17"/>
          <w:color w:val="auto"/>
        </w:rPr>
        <w:t>hemodialysis connector used to cap and protect hemodialysis central venous catheter hubs.</w:t>
      </w:r>
    </w:p>
    <w:p>
      <w:pPr>
        <w:spacing w:after="0" w:line="192" w:lineRule="exact"/>
        <w:rPr>
          <w:sz w:val="20"/>
          <w:szCs w:val="20"/>
          <w:color w:val="auto"/>
        </w:rPr>
      </w:pPr>
    </w:p>
    <w:p>
      <w:pPr>
        <w:ind w:right="220" w:firstLine="172"/>
        <w:spacing w:after="0" w:line="312" w:lineRule="auto"/>
        <w:rPr>
          <w:sz w:val="20"/>
          <w:szCs w:val="20"/>
          <w:color w:val="auto"/>
        </w:rPr>
      </w:pPr>
      <w:r>
        <w:rPr>
          <w:rFonts w:ascii="Arial" w:cs="Arial" w:eastAsia="Arial" w:hAnsi="Arial"/>
          <w:sz w:val="16"/>
          <w:szCs w:val="16"/>
          <w:i w:val="1"/>
          <w:iCs w:val="1"/>
          <w:color w:val="auto"/>
        </w:rPr>
        <w:t xml:space="preserve">Closed System Transfer Devices ("CSTD") and hazardous drug compounding systems </w:t>
      </w:r>
      <w:r>
        <w:rPr>
          <w:rFonts w:ascii="Arial" w:cs="Arial" w:eastAsia="Arial" w:hAnsi="Arial"/>
          <w:sz w:val="16"/>
          <w:szCs w:val="16"/>
          <w:color w:val="auto"/>
        </w:rPr>
        <w:t>are used to prepare and deliver hazardous IV medications such as those</w:t>
      </w:r>
      <w:r>
        <w:rPr>
          <w:rFonts w:ascii="Arial" w:cs="Arial" w:eastAsia="Arial" w:hAnsi="Arial"/>
          <w:sz w:val="16"/>
          <w:szCs w:val="16"/>
          <w:i w:val="1"/>
          <w:iCs w:val="1"/>
          <w:color w:val="auto"/>
        </w:rPr>
        <w:t xml:space="preserve"> </w:t>
      </w:r>
      <w:r>
        <w:rPr>
          <w:rFonts w:ascii="Arial" w:cs="Arial" w:eastAsia="Arial" w:hAnsi="Arial"/>
          <w:sz w:val="16"/>
          <w:szCs w:val="16"/>
          <w:color w:val="auto"/>
        </w:rPr>
        <w:t>used in chemotherapy, which, if released, can have harmful effects on the healthcare worker and environment. Our products are:</w:t>
      </w:r>
    </w:p>
    <w:p>
      <w:pPr>
        <w:spacing w:after="0" w:line="159" w:lineRule="exact"/>
        <w:rPr>
          <w:sz w:val="20"/>
          <w:szCs w:val="20"/>
          <w:color w:val="auto"/>
        </w:rPr>
      </w:pPr>
    </w:p>
    <w:p>
      <w:pPr>
        <w:ind w:left="1240" w:right="140" w:hanging="309"/>
        <w:spacing w:after="0" w:line="237" w:lineRule="auto"/>
        <w:tabs>
          <w:tab w:leader="none" w:pos="1236"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ChemoLock</w:t>
      </w:r>
      <w:r>
        <w:rPr>
          <w:rFonts w:ascii="Arial" w:cs="Arial" w:eastAsia="Arial" w:hAnsi="Arial"/>
          <w:sz w:val="22"/>
          <w:szCs w:val="22"/>
          <w:i w:val="1"/>
          <w:iCs w:val="1"/>
          <w:color w:val="auto"/>
          <w:vertAlign w:val="superscript"/>
        </w:rPr>
        <w:t>TM</w:t>
      </w:r>
      <w:r>
        <w:rPr>
          <w:rFonts w:ascii="Arial" w:cs="Arial" w:eastAsia="Arial" w:hAnsi="Arial"/>
          <w:sz w:val="17"/>
          <w:szCs w:val="17"/>
          <w:i w:val="1"/>
          <w:iCs w:val="1"/>
          <w:color w:val="auto"/>
        </w:rPr>
        <w:t xml:space="preserve"> </w:t>
      </w:r>
      <w:r>
        <w:rPr>
          <w:rFonts w:ascii="Arial" w:cs="Arial" w:eastAsia="Arial" w:hAnsi="Arial"/>
          <w:sz w:val="17"/>
          <w:szCs w:val="17"/>
          <w:color w:val="auto"/>
        </w:rPr>
        <w:t>CSTD, which utilizes a proprietary needlefree connection method, is used for the preparation and administration of hazardous</w:t>
      </w:r>
      <w:r>
        <w:rPr>
          <w:rFonts w:ascii="Arial" w:cs="Arial" w:eastAsia="Arial" w:hAnsi="Arial"/>
          <w:sz w:val="17"/>
          <w:szCs w:val="17"/>
          <w:i w:val="1"/>
          <w:iCs w:val="1"/>
          <w:color w:val="auto"/>
        </w:rPr>
        <w:t xml:space="preserve"> </w:t>
      </w:r>
      <w:r>
        <w:rPr>
          <w:rFonts w:ascii="Arial" w:cs="Arial" w:eastAsia="Arial" w:hAnsi="Arial"/>
          <w:sz w:val="17"/>
          <w:szCs w:val="17"/>
          <w:color w:val="auto"/>
        </w:rPr>
        <w:t>drugs. ChemoLock is used to limit the escape of hazardous drug or vapor concentrations, block the transfer of environmental contaminants into the system, and eliminates the risk of needlestick injury;</w:t>
      </w:r>
    </w:p>
    <w:p>
      <w:pPr>
        <w:spacing w:after="0" w:line="215" w:lineRule="exact"/>
        <w:rPr>
          <w:rFonts w:ascii="Arial" w:cs="Arial" w:eastAsia="Arial" w:hAnsi="Arial"/>
          <w:sz w:val="17"/>
          <w:szCs w:val="17"/>
          <w:color w:val="auto"/>
        </w:rPr>
      </w:pPr>
    </w:p>
    <w:p>
      <w:pPr>
        <w:ind w:left="1240" w:right="140" w:hanging="309"/>
        <w:spacing w:after="0" w:line="241" w:lineRule="auto"/>
        <w:tabs>
          <w:tab w:leader="none" w:pos="1236"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ChemoClave</w:t>
      </w:r>
      <w:r>
        <w:rPr>
          <w:rFonts w:ascii="Arial" w:cs="Arial" w:eastAsia="Arial" w:hAnsi="Arial"/>
          <w:sz w:val="22"/>
          <w:szCs w:val="22"/>
          <w:i w:val="1"/>
          <w:iCs w:val="1"/>
          <w:color w:val="auto"/>
          <w:vertAlign w:val="superscript"/>
        </w:rPr>
        <w:t>TM</w:t>
      </w:r>
      <w:r>
        <w:rPr>
          <w:rFonts w:ascii="Arial" w:cs="Arial" w:eastAsia="Arial" w:hAnsi="Arial"/>
          <w:sz w:val="17"/>
          <w:szCs w:val="17"/>
          <w:color w:val="auto"/>
        </w:rPr>
        <w:t>, an ISO Connection standard and universally compatible CSTD used for the preparation and administration of hazardous drugs.</w:t>
      </w:r>
      <w:r>
        <w:rPr>
          <w:rFonts w:ascii="Arial" w:cs="Arial" w:eastAsia="Arial" w:hAnsi="Arial"/>
          <w:sz w:val="17"/>
          <w:szCs w:val="17"/>
          <w:i w:val="1"/>
          <w:iCs w:val="1"/>
          <w:color w:val="auto"/>
        </w:rPr>
        <w:t xml:space="preserve"> </w:t>
      </w:r>
      <w:r>
        <w:rPr>
          <w:rFonts w:ascii="Arial" w:cs="Arial" w:eastAsia="Arial" w:hAnsi="Arial"/>
          <w:sz w:val="17"/>
          <w:szCs w:val="17"/>
          <w:color w:val="auto"/>
        </w:rPr>
        <w:t>ChemoClave utilizes standard ISO luer locking connections, making it compatible with all brands of needlefree connectors and pump delivery systems. ChemoClave also is used to limit the escape of hazardous drug or vapor concentrations, block the transfer of environmental contaminants into the system, and eliminate the risk of needlestick injury; and</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240" w:right="40" w:hanging="309"/>
        <w:spacing w:after="0" w:line="241" w:lineRule="auto"/>
        <w:tabs>
          <w:tab w:leader="none" w:pos="1236"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Diana</w:t>
      </w:r>
      <w:r>
        <w:rPr>
          <w:rFonts w:ascii="Arial" w:cs="Arial" w:eastAsia="Arial" w:hAnsi="Arial"/>
          <w:sz w:val="22"/>
          <w:szCs w:val="22"/>
          <w:i w:val="1"/>
          <w:iCs w:val="1"/>
          <w:color w:val="auto"/>
          <w:vertAlign w:val="superscript"/>
        </w:rPr>
        <w:t>TM</w:t>
      </w:r>
      <w:r>
        <w:rPr>
          <w:rFonts w:ascii="Arial" w:cs="Arial" w:eastAsia="Arial" w:hAnsi="Arial"/>
          <w:sz w:val="17"/>
          <w:szCs w:val="17"/>
          <w:i w:val="1"/>
          <w:iCs w:val="1"/>
          <w:color w:val="auto"/>
        </w:rPr>
        <w:t xml:space="preserve"> </w:t>
      </w:r>
      <w:r>
        <w:rPr>
          <w:rFonts w:ascii="Arial" w:cs="Arial" w:eastAsia="Arial" w:hAnsi="Arial"/>
          <w:sz w:val="17"/>
          <w:szCs w:val="17"/>
          <w:color w:val="auto"/>
        </w:rPr>
        <w:t>hazardous drug compounding system, an automated sterile compounding system that incorporates ChemoClave and ChemoLock CSTD</w:t>
      </w:r>
      <w:r>
        <w:rPr>
          <w:rFonts w:ascii="Arial" w:cs="Arial" w:eastAsia="Arial" w:hAnsi="Arial"/>
          <w:sz w:val="17"/>
          <w:szCs w:val="17"/>
          <w:i w:val="1"/>
          <w:iCs w:val="1"/>
          <w:color w:val="auto"/>
        </w:rPr>
        <w:t xml:space="preserve"> </w:t>
      </w:r>
      <w:r>
        <w:rPr>
          <w:rFonts w:ascii="Arial" w:cs="Arial" w:eastAsia="Arial" w:hAnsi="Arial"/>
          <w:sz w:val="17"/>
          <w:szCs w:val="17"/>
          <w:color w:val="auto"/>
        </w:rPr>
        <w:t>consumables and IV workflow technology for the accurate, safe, and efficient preparation of hazardous drugs. It is a user-controlled automated system that provides repeatable accuracy of drug mixes and minimizes clinician exposure to hazardous drugs while helping to maintain the sterility of the drugs being mixed.</w:t>
      </w:r>
    </w:p>
    <w:p>
      <w:pPr>
        <w:spacing w:after="0" w:line="221" w:lineRule="exact"/>
        <w:rPr>
          <w:sz w:val="20"/>
          <w:szCs w:val="20"/>
          <w:color w:val="auto"/>
        </w:rPr>
      </w:pPr>
    </w:p>
    <w:p>
      <w:pPr>
        <w:ind w:right="80" w:firstLine="619"/>
        <w:spacing w:after="0" w:line="318" w:lineRule="auto"/>
        <w:rPr>
          <w:sz w:val="20"/>
          <w:szCs w:val="20"/>
          <w:color w:val="auto"/>
        </w:rPr>
      </w:pPr>
      <w:r>
        <w:rPr>
          <w:rFonts w:ascii="Arial" w:cs="Arial" w:eastAsia="Arial" w:hAnsi="Arial"/>
          <w:sz w:val="15"/>
          <w:szCs w:val="15"/>
          <w:color w:val="auto"/>
        </w:rPr>
        <w:t>The preparation of hazardous drugs typically takes place in a pharmacy where drugs are removed from vials and prepared for delivery to a patient. Those prepared drugs are then transferred to a nursing unit where the chemotherapy is administered via an infusion pump set to a patient. Components of the ChemoClave and ChemoLock product lines are used both in pharmacies and on the nursing floors for the preparation and administration of hazardous drugs.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Infusion Systems</w:t>
      </w:r>
    </w:p>
    <w:p>
      <w:pPr>
        <w:spacing w:after="0" w:line="243" w:lineRule="exact"/>
        <w:rPr>
          <w:sz w:val="20"/>
          <w:szCs w:val="20"/>
          <w:color w:val="auto"/>
        </w:rPr>
      </w:pPr>
    </w:p>
    <w:p>
      <w:pPr>
        <w:ind w:right="20" w:firstLine="169"/>
        <w:spacing w:after="0" w:line="279" w:lineRule="auto"/>
        <w:rPr>
          <w:sz w:val="20"/>
          <w:szCs w:val="20"/>
          <w:color w:val="auto"/>
        </w:rPr>
      </w:pPr>
      <w:r>
        <w:rPr>
          <w:rFonts w:ascii="Arial" w:cs="Arial" w:eastAsia="Arial" w:hAnsi="Arial"/>
          <w:sz w:val="17"/>
          <w:szCs w:val="17"/>
          <w:color w:val="auto"/>
        </w:rPr>
        <w:t>We offer a wide range of infusion pumps, dedicated IV sets, software and professional services. Our primary Infusion System products are dedicated IV sets and the following:</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Infusion Pump Hardware:</w:t>
      </w:r>
    </w:p>
    <w:p>
      <w:pPr>
        <w:spacing w:after="0" w:line="243" w:lineRule="exact"/>
        <w:rPr>
          <w:sz w:val="20"/>
          <w:szCs w:val="20"/>
          <w:color w:val="auto"/>
        </w:rPr>
      </w:pPr>
    </w:p>
    <w:p>
      <w:pPr>
        <w:ind w:left="1240" w:right="20" w:hanging="309"/>
        <w:spacing w:after="0" w:line="262" w:lineRule="auto"/>
        <w:tabs>
          <w:tab w:leader="none" w:pos="1236"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Plum 360™</w:t>
      </w:r>
      <w:r>
        <w:rPr>
          <w:rFonts w:ascii="Arial" w:cs="Arial" w:eastAsia="Arial" w:hAnsi="Arial"/>
          <w:sz w:val="17"/>
          <w:szCs w:val="17"/>
          <w:color w:val="auto"/>
        </w:rPr>
        <w:t>: The Plum 360™ infusion pump is an ICU Medical MedNet™ ready large volume infusion pump with an extensive drug library and</w:t>
      </w:r>
      <w:r>
        <w:rPr>
          <w:rFonts w:ascii="Arial" w:cs="Arial" w:eastAsia="Arial" w:hAnsi="Arial"/>
          <w:sz w:val="17"/>
          <w:szCs w:val="17"/>
          <w:i w:val="1"/>
          <w:iCs w:val="1"/>
          <w:color w:val="auto"/>
        </w:rPr>
        <w:t xml:space="preserve"> </w:t>
      </w:r>
      <w:r>
        <w:rPr>
          <w:rFonts w:ascii="Arial" w:cs="Arial" w:eastAsia="Arial" w:hAnsi="Arial"/>
          <w:sz w:val="17"/>
          <w:szCs w:val="17"/>
          <w:color w:val="auto"/>
        </w:rPr>
        <w:t>wireless capability. Plum 360 was named the 2018, 2019 and 2020 Best in KLAS winner as top-performing IV smart pump and was the first medical device to be awarded UL Cybersecurity Assurance Program Certification. Also, in 2021 and 2022, the Plum 360 won the award as the top-performing Smart Pump EMR-Integrated; and</w:t>
      </w:r>
    </w:p>
    <w:p>
      <w:pPr>
        <w:spacing w:after="0" w:line="203" w:lineRule="exact"/>
        <w:rPr>
          <w:rFonts w:ascii="Arial" w:cs="Arial" w:eastAsia="Arial" w:hAnsi="Arial"/>
          <w:sz w:val="17"/>
          <w:szCs w:val="17"/>
          <w:color w:val="auto"/>
        </w:rPr>
      </w:pPr>
    </w:p>
    <w:p>
      <w:pPr>
        <w:ind w:left="1240" w:right="160" w:hanging="309"/>
        <w:spacing w:after="0" w:line="279" w:lineRule="auto"/>
        <w:tabs>
          <w:tab w:leader="none" w:pos="1236"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LifeCare PCA™</w:t>
      </w:r>
      <w:r>
        <w:rPr>
          <w:rFonts w:ascii="Arial" w:cs="Arial" w:eastAsia="Arial" w:hAnsi="Arial"/>
          <w:sz w:val="17"/>
          <w:szCs w:val="17"/>
          <w:color w:val="auto"/>
        </w:rPr>
        <w:t>: The LifeCare PCA infusion pump is an ICU Medical MedNet™ ready patient-controlled analgesia pump ("PCA"), providing</w:t>
      </w:r>
      <w:r>
        <w:rPr>
          <w:rFonts w:ascii="Arial" w:cs="Arial" w:eastAsia="Arial" w:hAnsi="Arial"/>
          <w:sz w:val="17"/>
          <w:szCs w:val="17"/>
          <w:i w:val="1"/>
          <w:iCs w:val="1"/>
          <w:color w:val="auto"/>
        </w:rPr>
        <w:t xml:space="preserve"> </w:t>
      </w:r>
      <w:r>
        <w:rPr>
          <w:rFonts w:ascii="Arial" w:cs="Arial" w:eastAsia="Arial" w:hAnsi="Arial"/>
          <w:sz w:val="17"/>
          <w:szCs w:val="17"/>
          <w:color w:val="auto"/>
        </w:rPr>
        <w:t>complete IV Electronic Health Record ("IV-EHR") interoperability since 2016.</w:t>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17"/>
          <w:szCs w:val="17"/>
          <w:i w:val="1"/>
          <w:iCs w:val="1"/>
          <w:color w:val="auto"/>
        </w:rPr>
        <w:t>IV Medication Safety Software:</w:t>
      </w:r>
    </w:p>
    <w:p>
      <w:pPr>
        <w:spacing w:after="0" w:line="243" w:lineRule="exact"/>
        <w:rPr>
          <w:sz w:val="20"/>
          <w:szCs w:val="20"/>
          <w:color w:val="auto"/>
        </w:rPr>
      </w:pPr>
    </w:p>
    <w:p>
      <w:pPr>
        <w:ind w:left="1240" w:right="20" w:hanging="309"/>
        <w:spacing w:after="0" w:line="262" w:lineRule="auto"/>
        <w:tabs>
          <w:tab w:leader="none" w:pos="1236"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ICU Medical MedNet</w:t>
      </w:r>
      <w:r>
        <w:rPr>
          <w:rFonts w:ascii="Arial" w:cs="Arial" w:eastAsia="Arial" w:hAnsi="Arial"/>
          <w:sz w:val="17"/>
          <w:szCs w:val="17"/>
          <w:color w:val="auto"/>
        </w:rPr>
        <w:t>™: ICU Medical MedNet is an enterprise-class medication management platform for any sized healthcare system that can</w:t>
      </w:r>
      <w:r>
        <w:rPr>
          <w:rFonts w:ascii="Arial" w:cs="Arial" w:eastAsia="Arial" w:hAnsi="Arial"/>
          <w:sz w:val="17"/>
          <w:szCs w:val="17"/>
          <w:i w:val="1"/>
          <w:iCs w:val="1"/>
          <w:color w:val="auto"/>
        </w:rPr>
        <w:t xml:space="preserve"> </w:t>
      </w:r>
      <w:r>
        <w:rPr>
          <w:rFonts w:ascii="Arial" w:cs="Arial" w:eastAsia="Arial" w:hAnsi="Arial"/>
          <w:sz w:val="17"/>
          <w:szCs w:val="17"/>
          <w:color w:val="auto"/>
        </w:rPr>
        <w:t>help reduce medication errors, improve quality of care, streamline workflows and maximize revenue capture. ICU Medical MedNet connects our industry-leading smart pumps to a hospital’s EHR, asset tracking systems, and alarm notification platforms with the largest array of integration partners.</w:t>
      </w:r>
    </w:p>
    <w:p>
      <w:pPr>
        <w:spacing w:after="0" w:line="204"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Professional Services:</w:t>
      </w:r>
    </w:p>
    <w:p>
      <w:pPr>
        <w:spacing w:after="0" w:line="243" w:lineRule="exact"/>
        <w:rPr>
          <w:sz w:val="20"/>
          <w:szCs w:val="20"/>
          <w:color w:val="auto"/>
        </w:rPr>
      </w:pPr>
    </w:p>
    <w:p>
      <w:pPr>
        <w:ind w:left="1240" w:hanging="309"/>
        <w:spacing w:after="0" w:line="266" w:lineRule="auto"/>
        <w:tabs>
          <w:tab w:leader="none" w:pos="1236"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 addition to the products above, our teams of clinical, information technology, and professional services experts work with customers to develop and deliver safe and efficient infusion systems, providing customized and personalized configuration, implementation, and data analytics services to complement our infusion hardware and software.</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IV Solutions</w:t>
      </w:r>
    </w:p>
    <w:p>
      <w:pPr>
        <w:spacing w:after="0" w:line="243" w:lineRule="exact"/>
        <w:rPr>
          <w:sz w:val="20"/>
          <w:szCs w:val="20"/>
          <w:color w:val="auto"/>
        </w:rPr>
      </w:pPr>
    </w:p>
    <w:p>
      <w:pPr>
        <w:ind w:right="160" w:firstLine="169"/>
        <w:spacing w:after="0" w:line="279" w:lineRule="auto"/>
        <w:rPr>
          <w:sz w:val="20"/>
          <w:szCs w:val="20"/>
          <w:color w:val="auto"/>
        </w:rPr>
      </w:pPr>
      <w:r>
        <w:rPr>
          <w:rFonts w:ascii="Arial" w:cs="Arial" w:eastAsia="Arial" w:hAnsi="Arial"/>
          <w:sz w:val="17"/>
          <w:szCs w:val="17"/>
          <w:color w:val="auto"/>
        </w:rPr>
        <w:t>We provide a broad portfolio of IV solutions to meet our customers’ clinical needs, providing a consistent supply of IV solutions, irrigation, and nutritionals to help provide safe and effective patient care. Our primary IV Solutions products are:</w:t>
      </w:r>
    </w:p>
    <w:p>
      <w:pPr>
        <w:spacing w:after="0" w:line="164" w:lineRule="exact"/>
        <w:rPr>
          <w:sz w:val="20"/>
          <w:szCs w:val="20"/>
          <w:color w:val="auto"/>
        </w:rPr>
      </w:pPr>
    </w:p>
    <w:p>
      <w:pPr>
        <w:ind w:left="180"/>
        <w:spacing w:after="0"/>
        <w:rPr>
          <w:sz w:val="20"/>
          <w:szCs w:val="20"/>
          <w:color w:val="auto"/>
        </w:rPr>
      </w:pPr>
      <w:r>
        <w:rPr>
          <w:rFonts w:ascii="Arial" w:cs="Arial" w:eastAsia="Arial" w:hAnsi="Arial"/>
          <w:sz w:val="17"/>
          <w:szCs w:val="17"/>
          <w:i w:val="1"/>
          <w:iCs w:val="1"/>
          <w:color w:val="auto"/>
        </w:rPr>
        <w:t>IV Therapy and Diluents:</w:t>
      </w:r>
    </w:p>
    <w:p>
      <w:pPr>
        <w:spacing w:after="0" w:line="243" w:lineRule="exact"/>
        <w:rPr>
          <w:sz w:val="20"/>
          <w:szCs w:val="20"/>
          <w:color w:val="auto"/>
        </w:rPr>
      </w:pPr>
    </w:p>
    <w:p>
      <w:pPr>
        <w:ind w:left="1240" w:right="320" w:hanging="309"/>
        <w:spacing w:after="0" w:line="279" w:lineRule="auto"/>
        <w:tabs>
          <w:tab w:leader="none" w:pos="1236"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Including Sodium Chloride, Dextrose, Balanced Electrolyte Solutions, Lactated Ringer's, Ringer's, Mannitol, Sodium Chloride/Dextrose and Sterile Water.</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Irrigation: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0" w:name="page41"/>
    <w:bookmarkEnd w:id="4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240" w:right="400" w:hanging="309"/>
        <w:spacing w:after="0" w:line="279" w:lineRule="auto"/>
        <w:tabs>
          <w:tab w:leader="none" w:pos="1236"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Including Sodium Chloride Irrigation, Sterile Water Irrigation, Physiologic Solutions, Ringer's Irrigation, Acetic Acid Irrigation, Glycine Irrigation, Sorbitol-Mannitol Irrigation, Flexible Containers and Pour Bottle Options.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Critical Care</w:t>
      </w:r>
    </w:p>
    <w:p>
      <w:pPr>
        <w:spacing w:after="0" w:line="243" w:lineRule="exact"/>
        <w:rPr>
          <w:sz w:val="20"/>
          <w:szCs w:val="20"/>
          <w:color w:val="auto"/>
        </w:rPr>
      </w:pPr>
    </w:p>
    <w:p>
      <w:pPr>
        <w:ind w:right="20" w:firstLine="172"/>
        <w:spacing w:after="0" w:line="266" w:lineRule="auto"/>
        <w:rPr>
          <w:sz w:val="20"/>
          <w:szCs w:val="20"/>
          <w:color w:val="auto"/>
        </w:rPr>
      </w:pPr>
      <w:r>
        <w:rPr>
          <w:rFonts w:ascii="Arial" w:cs="Arial" w:eastAsia="Arial" w:hAnsi="Arial"/>
          <w:sz w:val="17"/>
          <w:szCs w:val="17"/>
          <w:color w:val="auto"/>
        </w:rPr>
        <w:t>Our Critical Care products help clinicians get accurate real-time access to patients’ hemodynamic and cardiac status with an extensive portfolio of monitoring systems and advanced sensors &amp; catheters. Measurements provided by our systems help clinicians determine how well the heart is pumping blood and how efficiently oxygen from the blood is being used by the tissues. Our primary Critical Care products are:</w:t>
      </w:r>
    </w:p>
    <w:p>
      <w:pPr>
        <w:spacing w:after="0" w:line="201" w:lineRule="exact"/>
        <w:rPr>
          <w:sz w:val="20"/>
          <w:szCs w:val="20"/>
          <w:color w:val="auto"/>
        </w:rPr>
      </w:pPr>
    </w:p>
    <w:p>
      <w:pPr>
        <w:ind w:left="1240" w:hanging="309"/>
        <w:spacing w:after="0"/>
        <w:tabs>
          <w:tab w:leader="none" w:pos="12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Cogent™ 2-in-1 hemodynamic monitoring system;</w:t>
      </w:r>
    </w:p>
    <w:p>
      <w:pPr>
        <w:spacing w:after="0" w:line="21" w:lineRule="exact"/>
        <w:rPr>
          <w:rFonts w:ascii="Arial" w:cs="Arial" w:eastAsia="Arial" w:hAnsi="Arial"/>
          <w:sz w:val="17"/>
          <w:szCs w:val="17"/>
          <w:color w:val="auto"/>
        </w:rPr>
      </w:pPr>
    </w:p>
    <w:p>
      <w:pPr>
        <w:ind w:left="1240" w:hanging="309"/>
        <w:spacing w:after="0"/>
        <w:tabs>
          <w:tab w:leader="none" w:pos="12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CardioFlo™ hemodynamic monitoring system;</w:t>
      </w:r>
    </w:p>
    <w:p>
      <w:pPr>
        <w:spacing w:after="0" w:line="10" w:lineRule="exact"/>
        <w:rPr>
          <w:rFonts w:ascii="Arial" w:cs="Arial" w:eastAsia="Arial" w:hAnsi="Arial"/>
          <w:sz w:val="17"/>
          <w:szCs w:val="17"/>
          <w:color w:val="auto"/>
        </w:rPr>
      </w:pPr>
    </w:p>
    <w:p>
      <w:pPr>
        <w:ind w:left="1240" w:hanging="309"/>
        <w:spacing w:after="0"/>
        <w:tabs>
          <w:tab w:leader="none" w:pos="12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TDQ™ and OptiQ™ cardiac output monitoring catheters;</w:t>
      </w:r>
    </w:p>
    <w:p>
      <w:pPr>
        <w:spacing w:after="0" w:line="10" w:lineRule="exact"/>
        <w:rPr>
          <w:rFonts w:ascii="Arial" w:cs="Arial" w:eastAsia="Arial" w:hAnsi="Arial"/>
          <w:sz w:val="17"/>
          <w:szCs w:val="17"/>
          <w:color w:val="auto"/>
        </w:rPr>
      </w:pPr>
    </w:p>
    <w:p>
      <w:pPr>
        <w:ind w:left="1240" w:hanging="309"/>
        <w:spacing w:after="0" w:line="198" w:lineRule="auto"/>
        <w:tabs>
          <w:tab w:leader="none" w:pos="12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TriOx</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venous oximetry catheters;</w:t>
      </w:r>
    </w:p>
    <w:p>
      <w:pPr>
        <w:ind w:left="1240" w:hanging="309"/>
        <w:spacing w:after="0"/>
        <w:tabs>
          <w:tab w:leader="none" w:pos="12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Transpac™ blood pressure transducers; and</w:t>
      </w:r>
    </w:p>
    <w:p>
      <w:pPr>
        <w:spacing w:after="0" w:line="7" w:lineRule="exact"/>
        <w:rPr>
          <w:rFonts w:ascii="Arial" w:cs="Arial" w:eastAsia="Arial" w:hAnsi="Arial"/>
          <w:sz w:val="17"/>
          <w:szCs w:val="17"/>
          <w:color w:val="auto"/>
        </w:rPr>
      </w:pPr>
    </w:p>
    <w:p>
      <w:pPr>
        <w:ind w:left="1240" w:hanging="309"/>
        <w:spacing w:after="0"/>
        <w:tabs>
          <w:tab w:leader="none" w:pos="12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SafeSet™ closed blood sampling and conservation system.</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Infusion Systems-Smiths Medical</w:t>
      </w:r>
    </w:p>
    <w:p>
      <w:pPr>
        <w:spacing w:after="0" w:line="243" w:lineRule="exact"/>
        <w:rPr>
          <w:sz w:val="20"/>
          <w:szCs w:val="20"/>
          <w:color w:val="auto"/>
        </w:rPr>
      </w:pPr>
    </w:p>
    <w:p>
      <w:pPr>
        <w:ind w:right="360" w:firstLine="619"/>
        <w:spacing w:after="0" w:line="312" w:lineRule="auto"/>
        <w:rPr>
          <w:sz w:val="20"/>
          <w:szCs w:val="20"/>
          <w:color w:val="auto"/>
        </w:rPr>
      </w:pPr>
      <w:r>
        <w:rPr>
          <w:rFonts w:ascii="Arial" w:cs="Arial" w:eastAsia="Arial" w:hAnsi="Arial"/>
          <w:sz w:val="16"/>
          <w:szCs w:val="16"/>
          <w:color w:val="auto"/>
        </w:rPr>
        <w:t>We offer a wide range of infusion pumps, disposables and safety software for use in both hospital and home settings. These products participate in adjacent categories to the legacy ICU Medical Infusion Systems segment. The primary Infusion Systems-Smith Medical products are:</w:t>
      </w:r>
    </w:p>
    <w:p>
      <w:pPr>
        <w:spacing w:after="0" w:line="166"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Ambulatory Infusion Hardware:</w:t>
      </w:r>
    </w:p>
    <w:p>
      <w:pPr>
        <w:spacing w:after="0" w:line="236" w:lineRule="exact"/>
        <w:rPr>
          <w:sz w:val="20"/>
          <w:szCs w:val="20"/>
          <w:color w:val="auto"/>
        </w:rPr>
      </w:pPr>
    </w:p>
    <w:p>
      <w:pPr>
        <w:ind w:left="620" w:right="360" w:hanging="307"/>
        <w:spacing w:after="0" w:line="230" w:lineRule="auto"/>
        <w:tabs>
          <w:tab w:leader="none" w:pos="616"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CADD</w:t>
      </w:r>
      <w:r>
        <w:rPr>
          <w:rFonts w:ascii="Arial" w:cs="Arial" w:eastAsia="Arial" w:hAnsi="Arial"/>
          <w:sz w:val="22"/>
          <w:szCs w:val="22"/>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ambulatory infusion pumps and disposables, including administration sets and medication cassette reservoirs, support a variety of IV pain</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therapies across clinical care areas from hospital to outpatient treatment.</w:t>
      </w:r>
    </w:p>
    <w:p>
      <w:pPr>
        <w:spacing w:after="0" w:line="221"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i w:val="1"/>
          <w:iCs w:val="1"/>
          <w:color w:val="auto"/>
        </w:rPr>
        <w:t>Syringe Infusion Hardware:</w:t>
      </w:r>
    </w:p>
    <w:p>
      <w:pPr>
        <w:spacing w:after="0" w:line="236" w:lineRule="exact"/>
        <w:rPr>
          <w:rFonts w:ascii="Arial" w:cs="Arial" w:eastAsia="Arial" w:hAnsi="Arial"/>
          <w:sz w:val="17"/>
          <w:szCs w:val="17"/>
          <w:color w:val="auto"/>
        </w:rPr>
      </w:pPr>
    </w:p>
    <w:p>
      <w:pPr>
        <w:ind w:left="620" w:right="180" w:hanging="307"/>
        <w:spacing w:after="0" w:line="230" w:lineRule="auto"/>
        <w:tabs>
          <w:tab w:leader="none" w:pos="616"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Medfusion</w:t>
      </w:r>
      <w:r>
        <w:rPr>
          <w:rFonts w:ascii="Arial" w:cs="Arial" w:eastAsia="Arial" w:hAnsi="Arial"/>
          <w:sz w:val="22"/>
          <w:szCs w:val="22"/>
          <w:color w:val="auto"/>
          <w:vertAlign w:val="superscript"/>
        </w:rPr>
        <w:t>TM</w:t>
      </w:r>
      <w:r>
        <w:rPr>
          <w:rFonts w:ascii="Arial" w:cs="Arial" w:eastAsia="Arial" w:hAnsi="Arial"/>
          <w:sz w:val="17"/>
          <w:szCs w:val="17"/>
          <w:i w:val="1"/>
          <w:iCs w:val="1"/>
          <w:color w:val="auto"/>
        </w:rPr>
        <w:t xml:space="preserve"> </w:t>
      </w:r>
      <w:r>
        <w:rPr>
          <w:rFonts w:ascii="Arial" w:cs="Arial" w:eastAsia="Arial" w:hAnsi="Arial"/>
          <w:sz w:val="17"/>
          <w:szCs w:val="17"/>
          <w:color w:val="auto"/>
        </w:rPr>
        <w:t>syringe infusion pumps are designed for the administration of fluids and medication requiring precisely controlled infusion rates from a</w:t>
      </w:r>
      <w:r>
        <w:rPr>
          <w:rFonts w:ascii="Arial" w:cs="Arial" w:eastAsia="Arial" w:hAnsi="Arial"/>
          <w:sz w:val="17"/>
          <w:szCs w:val="17"/>
          <w:i w:val="1"/>
          <w:iCs w:val="1"/>
          <w:color w:val="auto"/>
        </w:rPr>
        <w:t xml:space="preserve"> </w:t>
      </w:r>
      <w:r>
        <w:rPr>
          <w:rFonts w:ascii="Arial" w:cs="Arial" w:eastAsia="Arial" w:hAnsi="Arial"/>
          <w:sz w:val="17"/>
          <w:szCs w:val="17"/>
          <w:color w:val="auto"/>
        </w:rPr>
        <w:t>variety of syringe sizes in acute care settings.</w:t>
      </w:r>
    </w:p>
    <w:p>
      <w:pPr>
        <w:spacing w:after="0" w:line="221"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i w:val="1"/>
          <w:iCs w:val="1"/>
          <w:color w:val="auto"/>
        </w:rPr>
        <w:t>Infusion Software:</w:t>
      </w:r>
    </w:p>
    <w:p>
      <w:pPr>
        <w:spacing w:after="0" w:line="223" w:lineRule="exact"/>
        <w:rPr>
          <w:rFonts w:ascii="Arial" w:cs="Arial" w:eastAsia="Arial" w:hAnsi="Arial"/>
          <w:sz w:val="17"/>
          <w:szCs w:val="17"/>
          <w:color w:val="auto"/>
        </w:rPr>
      </w:pPr>
    </w:p>
    <w:p>
      <w:pPr>
        <w:ind w:left="620" w:hanging="307"/>
        <w:spacing w:after="0" w:line="216" w:lineRule="auto"/>
        <w:tabs>
          <w:tab w:leader="none" w:pos="616"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PharmGuard</w:t>
      </w:r>
      <w:r>
        <w:rPr>
          <w:rFonts w:ascii="Arial" w:cs="Arial" w:eastAsia="Arial" w:hAnsi="Arial"/>
          <w:sz w:val="22"/>
          <w:szCs w:val="22"/>
          <w:color w:val="auto"/>
          <w:vertAlign w:val="superscript"/>
        </w:rPr>
        <w:t>®</w:t>
      </w:r>
      <w:r>
        <w:rPr>
          <w:rFonts w:ascii="Arial" w:cs="Arial" w:eastAsia="Arial" w:hAnsi="Arial"/>
          <w:sz w:val="17"/>
          <w:szCs w:val="17"/>
          <w:i w:val="1"/>
          <w:iCs w:val="1"/>
          <w:color w:val="auto"/>
        </w:rPr>
        <w:t xml:space="preserve"> Medication Safety Software </w:t>
      </w:r>
      <w:r>
        <w:rPr>
          <w:rFonts w:ascii="Arial" w:cs="Arial" w:eastAsia="Arial" w:hAnsi="Arial"/>
          <w:sz w:val="17"/>
          <w:szCs w:val="17"/>
          <w:color w:val="auto"/>
        </w:rPr>
        <w:t>for</w:t>
      </w:r>
      <w:r>
        <w:rPr>
          <w:rFonts w:ascii="Arial" w:cs="Arial" w:eastAsia="Arial" w:hAnsi="Arial"/>
          <w:sz w:val="17"/>
          <w:szCs w:val="17"/>
          <w:i w:val="1"/>
          <w:iCs w:val="1"/>
          <w:color w:val="auto"/>
        </w:rPr>
        <w:t xml:space="preserve"> Medfusion</w:t>
      </w:r>
      <w:r>
        <w:rPr>
          <w:rFonts w:ascii="Arial" w:cs="Arial" w:eastAsia="Arial" w:hAnsi="Arial"/>
          <w:sz w:val="22"/>
          <w:szCs w:val="22"/>
          <w:color w:val="auto"/>
          <w:vertAlign w:val="superscript"/>
        </w:rPr>
        <w:t>TM</w:t>
      </w:r>
      <w:r>
        <w:rPr>
          <w:rFonts w:ascii="Arial" w:cs="Arial" w:eastAsia="Arial" w:hAnsi="Arial"/>
          <w:sz w:val="17"/>
          <w:szCs w:val="17"/>
          <w:i w:val="1"/>
          <w:iCs w:val="1"/>
          <w:color w:val="auto"/>
        </w:rPr>
        <w:t xml:space="preserve"> </w:t>
      </w:r>
      <w:r>
        <w:rPr>
          <w:rFonts w:ascii="Arial" w:cs="Arial" w:eastAsia="Arial" w:hAnsi="Arial"/>
          <w:sz w:val="17"/>
          <w:szCs w:val="17"/>
          <w:color w:val="auto"/>
        </w:rPr>
        <w:t>4000 syringe and CADD™ Solis pumps allows for customized drug libraries to support the</w:t>
      </w:r>
      <w:r>
        <w:rPr>
          <w:rFonts w:ascii="Arial" w:cs="Arial" w:eastAsia="Arial" w:hAnsi="Arial"/>
          <w:sz w:val="17"/>
          <w:szCs w:val="17"/>
          <w:i w:val="1"/>
          <w:iCs w:val="1"/>
          <w:color w:val="auto"/>
        </w:rPr>
        <w:t xml:space="preserve"> </w:t>
      </w:r>
      <w:r>
        <w:rPr>
          <w:rFonts w:ascii="Arial" w:cs="Arial" w:eastAsia="Arial" w:hAnsi="Arial"/>
          <w:sz w:val="17"/>
          <w:szCs w:val="17"/>
          <w:color w:val="auto"/>
        </w:rPr>
        <w:t>standardization of protocols for medication administration throughout the facility.</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Vascular Access-Smiths Medical</w:t>
      </w:r>
    </w:p>
    <w:p>
      <w:pPr>
        <w:spacing w:after="0" w:line="243" w:lineRule="exact"/>
        <w:rPr>
          <w:sz w:val="20"/>
          <w:szCs w:val="20"/>
          <w:color w:val="auto"/>
        </w:rPr>
      </w:pPr>
    </w:p>
    <w:p>
      <w:pPr>
        <w:ind w:right="40" w:firstLine="619"/>
        <w:spacing w:after="0" w:line="266" w:lineRule="auto"/>
        <w:rPr>
          <w:sz w:val="20"/>
          <w:szCs w:val="20"/>
          <w:color w:val="auto"/>
        </w:rPr>
      </w:pPr>
      <w:r>
        <w:rPr>
          <w:rFonts w:ascii="Arial" w:cs="Arial" w:eastAsia="Arial" w:hAnsi="Arial"/>
          <w:sz w:val="17"/>
          <w:szCs w:val="17"/>
          <w:color w:val="auto"/>
        </w:rPr>
        <w:t>Our Vascular Access-Smiths Medical products allow clinicians to safely access the patients' bloodstream to deliver fluids and medication or to obtain blood samples. Vascular Access products are often used in conjunction with Consumables and Infusion Systems devices. Our primary Vascular Access products are:</w:t>
      </w:r>
    </w:p>
    <w:p>
      <w:pPr>
        <w:spacing w:after="0" w:line="194" w:lineRule="exact"/>
        <w:rPr>
          <w:sz w:val="20"/>
          <w:szCs w:val="20"/>
          <w:color w:val="auto"/>
        </w:rPr>
      </w:pPr>
    </w:p>
    <w:p>
      <w:pPr>
        <w:ind w:left="1240" w:right="60" w:hanging="309"/>
        <w:spacing w:after="0" w:line="237" w:lineRule="auto"/>
        <w:tabs>
          <w:tab w:leader="none" w:pos="1236" w:val="left"/>
        </w:tabs>
        <w:numPr>
          <w:ilvl w:val="0"/>
          <w:numId w:val="32"/>
        </w:numPr>
        <w:rPr>
          <w:rFonts w:ascii="Arial" w:cs="Arial" w:eastAsia="Arial" w:hAnsi="Arial"/>
          <w:sz w:val="17"/>
          <w:szCs w:val="17"/>
          <w:i w:val="1"/>
          <w:iCs w:val="1"/>
          <w:color w:val="auto"/>
        </w:rPr>
      </w:pPr>
      <w:r>
        <w:rPr>
          <w:rFonts w:ascii="Arial" w:cs="Arial" w:eastAsia="Arial" w:hAnsi="Arial"/>
          <w:sz w:val="17"/>
          <w:szCs w:val="17"/>
          <w:i w:val="1"/>
          <w:iCs w:val="1"/>
          <w:color w:val="auto"/>
        </w:rPr>
        <w:t>Jelco</w:t>
      </w:r>
      <w:r>
        <w:rPr>
          <w:rFonts w:ascii="Arial" w:cs="Arial" w:eastAsia="Arial" w:hAnsi="Arial"/>
          <w:sz w:val="22"/>
          <w:szCs w:val="22"/>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safety and conventional peripheral IV catheters, sharps safety devices for hypodermic injection, and venipuncture blood collection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peripheral IV catheters designed to help prevent needlestick injury and to reduce the risks associated with blood exposure and contamination while reducing patients' risk of infection;</w:t>
      </w:r>
    </w:p>
    <w:p>
      <w:pPr>
        <w:spacing w:after="0" w:line="215" w:lineRule="exact"/>
        <w:rPr>
          <w:rFonts w:ascii="Arial" w:cs="Arial" w:eastAsia="Arial" w:hAnsi="Arial"/>
          <w:sz w:val="17"/>
          <w:szCs w:val="17"/>
          <w:i w:val="1"/>
          <w:iCs w:val="1"/>
          <w:color w:val="auto"/>
        </w:rPr>
      </w:pPr>
    </w:p>
    <w:p>
      <w:pPr>
        <w:ind w:left="1240" w:hanging="309"/>
        <w:spacing w:after="0"/>
        <w:tabs>
          <w:tab w:leader="none" w:pos="1240" w:val="left"/>
        </w:tabs>
        <w:numPr>
          <w:ilvl w:val="0"/>
          <w:numId w:val="32"/>
        </w:numPr>
        <w:rPr>
          <w:rFonts w:ascii="Arial" w:cs="Arial" w:eastAsia="Arial" w:hAnsi="Arial"/>
          <w:sz w:val="17"/>
          <w:szCs w:val="17"/>
          <w:i w:val="1"/>
          <w:iCs w:val="1"/>
          <w:color w:val="auto"/>
        </w:rPr>
      </w:pPr>
      <w:r>
        <w:rPr>
          <w:rFonts w:ascii="Arial" w:cs="Arial" w:eastAsia="Arial" w:hAnsi="Arial"/>
          <w:sz w:val="17"/>
          <w:szCs w:val="17"/>
          <w:i w:val="1"/>
          <w:iCs w:val="1"/>
          <w:color w:val="auto"/>
        </w:rPr>
        <w:t>DELTEC</w:t>
      </w:r>
      <w:r>
        <w:rPr>
          <w:rFonts w:ascii="Arial" w:cs="Arial" w:eastAsia="Arial" w:hAnsi="Arial"/>
          <w:sz w:val="22"/>
          <w:szCs w:val="22"/>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implantable ports and</w:t>
      </w:r>
      <w:r>
        <w:rPr>
          <w:rFonts w:ascii="Arial" w:cs="Arial" w:eastAsia="Arial" w:hAnsi="Arial"/>
          <w:sz w:val="17"/>
          <w:szCs w:val="17"/>
          <w:i w:val="1"/>
          <w:iCs w:val="1"/>
          <w:color w:val="auto"/>
        </w:rPr>
        <w:t xml:space="preserve"> GRIPPER</w:t>
      </w:r>
      <w:r>
        <w:rPr>
          <w:rFonts w:ascii="Arial" w:cs="Arial" w:eastAsia="Arial" w:hAnsi="Arial"/>
          <w:sz w:val="22"/>
          <w:szCs w:val="22"/>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non-coring needles for portal access;</w:t>
      </w:r>
    </w:p>
    <w:p>
      <w:pPr>
        <w:spacing w:after="0" w:line="185" w:lineRule="exact"/>
        <w:rPr>
          <w:rFonts w:ascii="Arial" w:cs="Arial" w:eastAsia="Arial" w:hAnsi="Arial"/>
          <w:sz w:val="17"/>
          <w:szCs w:val="17"/>
          <w:i w:val="1"/>
          <w:iCs w:val="1"/>
          <w:color w:val="auto"/>
        </w:rPr>
      </w:pPr>
    </w:p>
    <w:p>
      <w:pPr>
        <w:ind w:left="1240" w:hanging="309"/>
        <w:spacing w:after="0"/>
        <w:tabs>
          <w:tab w:leader="none" w:pos="1240"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Portex</w:t>
      </w:r>
      <w:r>
        <w:rPr>
          <w:rFonts w:ascii="Arial" w:cs="Arial" w:eastAsia="Arial" w:hAnsi="Arial"/>
          <w:sz w:val="22"/>
          <w:szCs w:val="22"/>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arterial blood sampling syringes, anesthesia trays and kits for pain management;</w:t>
      </w:r>
    </w:p>
    <w:p>
      <w:pPr>
        <w:spacing w:after="0" w:line="224" w:lineRule="exact"/>
        <w:rPr>
          <w:rFonts w:ascii="Arial" w:cs="Arial" w:eastAsia="Arial" w:hAnsi="Arial"/>
          <w:sz w:val="17"/>
          <w:szCs w:val="17"/>
          <w:color w:val="auto"/>
        </w:rPr>
      </w:pPr>
    </w:p>
    <w:p>
      <w:pPr>
        <w:ind w:left="1240" w:hanging="309"/>
        <w:spacing w:after="0"/>
        <w:tabs>
          <w:tab w:leader="none" w:pos="1240" w:val="left"/>
        </w:tabs>
        <w:numPr>
          <w:ilvl w:val="0"/>
          <w:numId w:val="32"/>
        </w:numPr>
        <w:rPr>
          <w:rFonts w:ascii="Arial" w:cs="Arial" w:eastAsia="Arial" w:hAnsi="Arial"/>
          <w:sz w:val="21"/>
          <w:szCs w:val="21"/>
          <w:color w:val="auto"/>
        </w:rPr>
      </w:pPr>
      <w:r>
        <w:rPr>
          <w:rFonts w:ascii="Arial" w:cs="Arial" w:eastAsia="Arial" w:hAnsi="Arial"/>
          <w:sz w:val="17"/>
          <w:szCs w:val="17"/>
          <w:i w:val="1"/>
          <w:iCs w:val="1"/>
          <w:color w:val="auto"/>
        </w:rPr>
        <w:t>Powerwand</w:t>
      </w:r>
      <w:r>
        <w:rPr>
          <w:rFonts w:ascii="Arial" w:cs="Arial" w:eastAsia="Arial" w:hAnsi="Arial"/>
          <w:sz w:val="22"/>
          <w:szCs w:val="22"/>
          <w:i w:val="1"/>
          <w:iCs w:val="1"/>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midline catheters; and</w:t>
      </w:r>
    </w:p>
    <w:p>
      <w:pPr>
        <w:spacing w:after="0" w:line="224" w:lineRule="exact"/>
        <w:rPr>
          <w:rFonts w:ascii="Arial" w:cs="Arial" w:eastAsia="Arial" w:hAnsi="Arial"/>
          <w:sz w:val="21"/>
          <w:szCs w:val="21"/>
          <w:color w:val="auto"/>
        </w:rPr>
      </w:pPr>
    </w:p>
    <w:p>
      <w:pPr>
        <w:ind w:left="1240" w:hanging="309"/>
        <w:spacing w:after="0"/>
        <w:tabs>
          <w:tab w:leader="none" w:pos="1240" w:val="left"/>
        </w:tabs>
        <w:numPr>
          <w:ilvl w:val="0"/>
          <w:numId w:val="32"/>
        </w:numPr>
        <w:rPr>
          <w:rFonts w:ascii="Arial" w:cs="Arial" w:eastAsia="Arial" w:hAnsi="Arial"/>
          <w:sz w:val="21"/>
          <w:szCs w:val="21"/>
          <w:color w:val="auto"/>
        </w:rPr>
      </w:pPr>
      <w:r>
        <w:rPr>
          <w:rFonts w:ascii="Arial" w:cs="Arial" w:eastAsia="Arial" w:hAnsi="Arial"/>
          <w:sz w:val="17"/>
          <w:szCs w:val="17"/>
          <w:i w:val="1"/>
          <w:iCs w:val="1"/>
          <w:color w:val="auto"/>
        </w:rPr>
        <w:t>MEDEX</w:t>
      </w:r>
      <w:r>
        <w:rPr>
          <w:rFonts w:ascii="Arial" w:cs="Arial" w:eastAsia="Arial" w:hAnsi="Arial"/>
          <w:sz w:val="22"/>
          <w:szCs w:val="22"/>
          <w:i w:val="1"/>
          <w:iCs w:val="1"/>
          <w:color w:val="auto"/>
          <w:vertAlign w:val="superscript"/>
        </w:rPr>
        <w:t>®</w:t>
      </w:r>
      <w:r>
        <w:rPr>
          <w:rFonts w:ascii="Arial" w:cs="Arial" w:eastAsia="Arial" w:hAnsi="Arial"/>
          <w:sz w:val="17"/>
          <w:szCs w:val="17"/>
          <w:i w:val="1"/>
          <w:iCs w:val="1"/>
          <w:color w:val="auto"/>
        </w:rPr>
        <w:t xml:space="preserve"> LogiCal</w:t>
      </w:r>
      <w:r>
        <w:rPr>
          <w:rFonts w:ascii="Arial" w:cs="Arial" w:eastAsia="Arial" w:hAnsi="Arial"/>
          <w:sz w:val="22"/>
          <w:szCs w:val="22"/>
          <w:i w:val="1"/>
          <w:iCs w:val="1"/>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Pressure Monitoring System and components.</w:t>
      </w:r>
    </w:p>
    <w:p>
      <w:pPr>
        <w:spacing w:after="0" w:line="200" w:lineRule="exact"/>
        <w:rPr>
          <w:sz w:val="20"/>
          <w:szCs w:val="20"/>
          <w:color w:val="auto"/>
        </w:rPr>
      </w:pPr>
    </w:p>
    <w:p>
      <w:pPr>
        <w:spacing w:after="0" w:line="327"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40"/>
          </w:cols>
          <w:pgMar w:left="320" w:top="127" w:right="539" w:bottom="1440" w:gutter="0" w:footer="0" w:header="0"/>
        </w:sectPr>
      </w:pPr>
    </w:p>
    <w:bookmarkStart w:id="41" w:name="page42"/>
    <w:bookmarkEnd w:id="4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Vital Care-Smiths Medical</w:t>
      </w:r>
    </w:p>
    <w:p>
      <w:pPr>
        <w:spacing w:after="0" w:line="243" w:lineRule="exact"/>
        <w:rPr>
          <w:sz w:val="20"/>
          <w:szCs w:val="20"/>
          <w:color w:val="auto"/>
        </w:rPr>
      </w:pPr>
    </w:p>
    <w:p>
      <w:pPr>
        <w:ind w:right="140" w:firstLine="619"/>
        <w:spacing w:after="0" w:line="279" w:lineRule="auto"/>
        <w:rPr>
          <w:sz w:val="20"/>
          <w:szCs w:val="20"/>
          <w:color w:val="auto"/>
        </w:rPr>
      </w:pPr>
      <w:r>
        <w:rPr>
          <w:rFonts w:ascii="Arial" w:cs="Arial" w:eastAsia="Arial" w:hAnsi="Arial"/>
          <w:sz w:val="17"/>
          <w:szCs w:val="17"/>
          <w:color w:val="auto"/>
        </w:rPr>
        <w:t>We offer a range of devices and systems to maintain patients' airways and maintain body temperature before, during and after surgery. Our primary Vital Care products are:</w:t>
      </w:r>
    </w:p>
    <w:p>
      <w:pPr>
        <w:spacing w:after="0" w:line="183" w:lineRule="exact"/>
        <w:rPr>
          <w:sz w:val="20"/>
          <w:szCs w:val="20"/>
          <w:color w:val="auto"/>
        </w:rPr>
      </w:pPr>
    </w:p>
    <w:p>
      <w:pPr>
        <w:ind w:left="1240" w:right="500" w:hanging="309"/>
        <w:spacing w:after="0" w:line="230" w:lineRule="auto"/>
        <w:tabs>
          <w:tab w:leader="none" w:pos="1236"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Level 1</w:t>
      </w:r>
      <w:r>
        <w:rPr>
          <w:rFonts w:ascii="Arial" w:cs="Arial" w:eastAsia="Arial" w:hAnsi="Arial"/>
          <w:sz w:val="22"/>
          <w:szCs w:val="22"/>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temperature management systems used in perioperative and critical care settings to help monitor and regulate patient temperature</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rapid infusion, routine blood and fluid warming, irrigation warming and convective warming.</w:t>
      </w:r>
    </w:p>
    <w:p>
      <w:pPr>
        <w:spacing w:after="0" w:line="214" w:lineRule="exact"/>
        <w:rPr>
          <w:rFonts w:ascii="Arial" w:cs="Arial" w:eastAsia="Arial" w:hAnsi="Arial"/>
          <w:sz w:val="17"/>
          <w:szCs w:val="17"/>
          <w:color w:val="auto"/>
        </w:rPr>
      </w:pPr>
    </w:p>
    <w:p>
      <w:pPr>
        <w:ind w:left="1240" w:right="60" w:hanging="309"/>
        <w:spacing w:after="0" w:line="230" w:lineRule="auto"/>
        <w:tabs>
          <w:tab w:leader="none" w:pos="1236" w:val="left"/>
        </w:tabs>
        <w:numPr>
          <w:ilvl w:val="0"/>
          <w:numId w:val="33"/>
        </w:numPr>
        <w:rPr>
          <w:rFonts w:ascii="Arial" w:cs="Arial" w:eastAsia="Arial" w:hAnsi="Arial"/>
          <w:sz w:val="17"/>
          <w:szCs w:val="17"/>
          <w:i w:val="1"/>
          <w:iCs w:val="1"/>
          <w:color w:val="auto"/>
        </w:rPr>
      </w:pPr>
      <w:r>
        <w:rPr>
          <w:rFonts w:ascii="Arial" w:cs="Arial" w:eastAsia="Arial" w:hAnsi="Arial"/>
          <w:sz w:val="17"/>
          <w:szCs w:val="17"/>
          <w:i w:val="1"/>
          <w:iCs w:val="1"/>
          <w:color w:val="auto"/>
        </w:rPr>
        <w:t>Portex</w:t>
      </w:r>
      <w:r>
        <w:rPr>
          <w:rFonts w:ascii="Arial" w:cs="Arial" w:eastAsia="Arial" w:hAnsi="Arial"/>
          <w:sz w:val="22"/>
          <w:szCs w:val="22"/>
          <w:color w:val="auto"/>
          <w:vertAlign w:val="superscript"/>
        </w:rPr>
        <w:t>®</w:t>
      </w:r>
      <w:r>
        <w:rPr>
          <w:rFonts w:ascii="Arial" w:cs="Arial" w:eastAsia="Arial" w:hAnsi="Arial"/>
          <w:sz w:val="17"/>
          <w:szCs w:val="17"/>
          <w:i w:val="1"/>
          <w:iCs w:val="1"/>
          <w:color w:val="auto"/>
        </w:rPr>
        <w:t xml:space="preserve"> acapella</w:t>
      </w:r>
      <w:r>
        <w:rPr>
          <w:rFonts w:ascii="Arial" w:cs="Arial" w:eastAsia="Arial" w:hAnsi="Arial"/>
          <w:sz w:val="22"/>
          <w:szCs w:val="22"/>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bronchial hygiene products used to mobilize pulmonary secretions to facilitate the opening of airways in patients with chronic</w:t>
      </w:r>
      <w:r>
        <w:rPr>
          <w:rFonts w:ascii="Arial" w:cs="Arial" w:eastAsia="Arial" w:hAnsi="Arial"/>
          <w:sz w:val="17"/>
          <w:szCs w:val="17"/>
          <w:i w:val="1"/>
          <w:iCs w:val="1"/>
          <w:color w:val="auto"/>
        </w:rPr>
        <w:t xml:space="preserve"> </w:t>
      </w:r>
      <w:r>
        <w:rPr>
          <w:rFonts w:ascii="Arial" w:cs="Arial" w:eastAsia="Arial" w:hAnsi="Arial"/>
          <w:sz w:val="17"/>
          <w:szCs w:val="17"/>
          <w:color w:val="auto"/>
        </w:rPr>
        <w:t>respiratory diseases such as chronic obstructive pulmonary disease, or COPD, asthma and cystic fibrosis.</w:t>
      </w:r>
    </w:p>
    <w:p>
      <w:pPr>
        <w:spacing w:after="0" w:line="214" w:lineRule="exact"/>
        <w:rPr>
          <w:rFonts w:ascii="Arial" w:cs="Arial" w:eastAsia="Arial" w:hAnsi="Arial"/>
          <w:sz w:val="17"/>
          <w:szCs w:val="17"/>
          <w:i w:val="1"/>
          <w:iCs w:val="1"/>
          <w:color w:val="auto"/>
        </w:rPr>
      </w:pPr>
    </w:p>
    <w:p>
      <w:pPr>
        <w:ind w:left="1240" w:right="780" w:hanging="309"/>
        <w:spacing w:after="0" w:line="246" w:lineRule="auto"/>
        <w:tabs>
          <w:tab w:leader="none" w:pos="1236" w:val="left"/>
        </w:tabs>
        <w:numPr>
          <w:ilvl w:val="0"/>
          <w:numId w:val="33"/>
        </w:numPr>
        <w:rPr>
          <w:rFonts w:ascii="Arial" w:cs="Arial" w:eastAsia="Arial" w:hAnsi="Arial"/>
          <w:sz w:val="16"/>
          <w:szCs w:val="16"/>
          <w:i w:val="1"/>
          <w:iCs w:val="1"/>
          <w:color w:val="auto"/>
        </w:rPr>
      </w:pPr>
      <w:r>
        <w:rPr>
          <w:rFonts w:ascii="Arial" w:cs="Arial" w:eastAsia="Arial" w:hAnsi="Arial"/>
          <w:sz w:val="16"/>
          <w:szCs w:val="16"/>
          <w:i w:val="1"/>
          <w:iCs w:val="1"/>
          <w:color w:val="auto"/>
        </w:rPr>
        <w:t>Portex</w:t>
      </w:r>
      <w:r>
        <w:rPr>
          <w:rFonts w:ascii="Arial" w:cs="Arial" w:eastAsia="Arial" w:hAnsi="Arial"/>
          <w:sz w:val="21"/>
          <w:szCs w:val="21"/>
          <w:color w:val="auto"/>
          <w:vertAlign w:val="superscript"/>
        </w:rPr>
        <w:t>®</w:t>
      </w:r>
      <w:r>
        <w:rPr>
          <w:rFonts w:ascii="Arial" w:cs="Arial" w:eastAsia="Arial" w:hAnsi="Arial"/>
          <w:sz w:val="16"/>
          <w:szCs w:val="16"/>
          <w:i w:val="1"/>
          <w:iCs w:val="1"/>
          <w:color w:val="auto"/>
        </w:rPr>
        <w:t xml:space="preserve"> Bivona</w:t>
      </w:r>
      <w:r>
        <w:rPr>
          <w:rFonts w:ascii="Arial" w:cs="Arial" w:eastAsia="Arial" w:hAnsi="Arial"/>
          <w:sz w:val="21"/>
          <w:szCs w:val="21"/>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tracheostomy tubes in PVC and silicone construction that provide a secure airway for both surgical and percutaneous</w:t>
      </w:r>
      <w:r>
        <w:rPr>
          <w:rFonts w:ascii="Arial" w:cs="Arial" w:eastAsia="Arial" w:hAnsi="Arial"/>
          <w:sz w:val="16"/>
          <w:szCs w:val="16"/>
          <w:i w:val="1"/>
          <w:iCs w:val="1"/>
          <w:color w:val="auto"/>
        </w:rPr>
        <w:t xml:space="preserve"> </w:t>
      </w:r>
      <w:r>
        <w:rPr>
          <w:rFonts w:ascii="Arial" w:cs="Arial" w:eastAsia="Arial" w:hAnsi="Arial"/>
          <w:sz w:val="16"/>
          <w:szCs w:val="16"/>
          <w:color w:val="auto"/>
        </w:rPr>
        <w:t>procedures. Our silicone tracheostomy tubes are customizable to accommodate unique patient requirements.</w:t>
      </w:r>
    </w:p>
    <w:p>
      <w:pPr>
        <w:spacing w:after="0" w:line="215" w:lineRule="exact"/>
        <w:rPr>
          <w:sz w:val="20"/>
          <w:szCs w:val="20"/>
          <w:color w:val="auto"/>
        </w:rPr>
      </w:pPr>
    </w:p>
    <w:p>
      <w:pPr>
        <w:ind w:right="60" w:firstLine="619"/>
        <w:spacing w:after="0" w:line="279" w:lineRule="auto"/>
        <w:rPr>
          <w:sz w:val="20"/>
          <w:szCs w:val="20"/>
          <w:color w:val="auto"/>
        </w:rPr>
      </w:pPr>
      <w:r>
        <w:rPr>
          <w:rFonts w:ascii="Arial" w:cs="Arial" w:eastAsia="Arial" w:hAnsi="Arial"/>
          <w:sz w:val="16"/>
          <w:szCs w:val="16"/>
          <w:color w:val="auto"/>
        </w:rPr>
        <w:t>In the U.S. a substantial amount of our products are sold to group purchasing organization member hospitals. We believe that as healthcare providers continue to either consolidate or join major buying organizations, the success of our products will depend, in part, on our ability, either independently or through strategic relationships to secure long-term contracts with large healthcare providers and major buying organizations. Although we believe that we are not dependent on any single distributor, large healthcare provider or major buying organization for distribution of our products, the loss of a strategic relationship with any one of these organizations or a decline in the demand for our products could have a material adverse effect on our operating results.</w:t>
      </w:r>
    </w:p>
    <w:p>
      <w:pPr>
        <w:spacing w:after="0" w:line="168" w:lineRule="exact"/>
        <w:rPr>
          <w:sz w:val="20"/>
          <w:szCs w:val="20"/>
          <w:color w:val="auto"/>
        </w:rPr>
      </w:pPr>
    </w:p>
    <w:p>
      <w:pPr>
        <w:ind w:right="40" w:firstLine="619"/>
        <w:spacing w:after="0" w:line="302" w:lineRule="auto"/>
        <w:rPr>
          <w:sz w:val="20"/>
          <w:szCs w:val="20"/>
          <w:color w:val="auto"/>
        </w:rPr>
      </w:pPr>
      <w:r>
        <w:rPr>
          <w:rFonts w:ascii="Arial" w:cs="Arial" w:eastAsia="Arial" w:hAnsi="Arial"/>
          <w:sz w:val="15"/>
          <w:szCs w:val="15"/>
          <w:color w:val="auto"/>
        </w:rPr>
        <w:t>We believe that achievement of our growth objectives worldwide will require increased efforts by us in sales and marketing and product acquisition and development; however, there is no assurance that we will be successful in implementing our growth strategy. Product development or acquisition efforts may not succeed, and even if we do develop or acquire additional products, there is no assurance that we will achieve profitable sales of such products. Increased expenditures for sales and marketing and product acquisition and development may not yield desired results when expected, or at all. While we have taken steps to control these risks, there are certain risks that may be outside of our control, and there is no assurance that steps we have taken will succeed.</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Seasonality/Quarterly Results</w:t>
      </w:r>
    </w:p>
    <w:p>
      <w:pPr>
        <w:spacing w:after="0" w:line="249" w:lineRule="exact"/>
        <w:rPr>
          <w:sz w:val="20"/>
          <w:szCs w:val="20"/>
          <w:color w:val="auto"/>
        </w:rPr>
      </w:pPr>
    </w:p>
    <w:p>
      <w:pPr>
        <w:ind w:right="100" w:firstLine="169"/>
        <w:spacing w:after="0" w:line="283" w:lineRule="auto"/>
        <w:rPr>
          <w:sz w:val="20"/>
          <w:szCs w:val="20"/>
          <w:color w:val="auto"/>
        </w:rPr>
      </w:pPr>
      <w:r>
        <w:rPr>
          <w:rFonts w:ascii="Arial" w:cs="Arial" w:eastAsia="Arial" w:hAnsi="Arial"/>
          <w:sz w:val="16"/>
          <w:szCs w:val="16"/>
          <w:color w:val="auto"/>
        </w:rPr>
        <w:t>There are no significant seasonal aspects to our business. We can experience fluctuations in net sales as a result of variations in the ordering patterns of our largest customers, which may be driven more by the novel coronavirus and its variants (“COVID-19”) pandemic surges and its impact on hospital admissions and procedure volumes along with production scheduling and customer inventory levels, and less by seasonality. Our expenses often do not fluctuate in the same manner as net sales, which may cause fluctuations in operating income that are disproportionate to fluctuations in our revenue.</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Acquisition</w:t>
      </w:r>
    </w:p>
    <w:p>
      <w:pPr>
        <w:spacing w:after="0" w:line="249" w:lineRule="exact"/>
        <w:rPr>
          <w:sz w:val="20"/>
          <w:szCs w:val="20"/>
          <w:color w:val="auto"/>
        </w:rPr>
      </w:pPr>
    </w:p>
    <w:p>
      <w:pPr>
        <w:ind w:firstLine="619"/>
        <w:spacing w:after="0" w:line="257" w:lineRule="auto"/>
        <w:rPr>
          <w:sz w:val="20"/>
          <w:szCs w:val="20"/>
          <w:color w:val="auto"/>
        </w:rPr>
      </w:pPr>
      <w:r>
        <w:rPr>
          <w:rFonts w:ascii="Arial" w:cs="Arial" w:eastAsia="Arial" w:hAnsi="Arial"/>
          <w:sz w:val="17"/>
          <w:szCs w:val="17"/>
          <w:color w:val="auto"/>
        </w:rPr>
        <w:t>On January 6, 2022, we acquired 100% of the equity interests in Smiths Medical from Smiths Group International Holdings Limited (“Smiths”) for cash consideration of $1.9 billion and the issuance of 2.5 million shares of our common stock valued at $576.0 million. We funded the cash portion of the consideration paid with a combination of proceeds from a Credit Agreement dated January 6, 2022 (the "Credit Agreement") and our cash and cash equivalents. The fair value of the common shares issued to Smiths was determined based on the closing market price of our common stock on the acquisition date. Smiths may be entitled to a potential contingent earn-out payment of $100.0 million based on our common stock achieving certain price targets on or prior to the third or fourth anniversary of closing. See Note 3, Acquisitions in our accompanying condensed consolidated financial statements for further details on the acquisition. See "Liquidity and Capital Resources" in the remainder of this item and Note 17 in our accompanying condensed consolidated financial statements for additional information regarding the Credit Agreement.</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COVID-19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220" w:firstLine="172"/>
        <w:spacing w:after="0" w:line="266" w:lineRule="auto"/>
        <w:rPr>
          <w:sz w:val="20"/>
          <w:szCs w:val="20"/>
          <w:color w:val="auto"/>
        </w:rPr>
      </w:pPr>
      <w:r>
        <w:rPr>
          <w:rFonts w:ascii="Arial" w:cs="Arial" w:eastAsia="Arial" w:hAnsi="Arial"/>
          <w:sz w:val="17"/>
          <w:szCs w:val="17"/>
          <w:color w:val="auto"/>
        </w:rPr>
        <w:t>COVID-19 continues to have an impact on our business operations. Our manufacturing, distribution and pump service facilities continue to operate under our business continuity plan and our precautionary safety measures implemented to maximize the safety of our employees and mitigate disruption to our business remain in effect.</w:t>
      </w:r>
    </w:p>
    <w:p>
      <w:pPr>
        <w:spacing w:after="0" w:line="201" w:lineRule="exact"/>
        <w:rPr>
          <w:sz w:val="20"/>
          <w:szCs w:val="20"/>
          <w:color w:val="auto"/>
        </w:rPr>
      </w:pPr>
    </w:p>
    <w:p>
      <w:pPr>
        <w:ind w:right="100" w:firstLine="619"/>
        <w:spacing w:after="0" w:line="259" w:lineRule="auto"/>
        <w:rPr>
          <w:sz w:val="20"/>
          <w:szCs w:val="20"/>
          <w:color w:val="auto"/>
        </w:rPr>
      </w:pPr>
      <w:r>
        <w:rPr>
          <w:rFonts w:ascii="Arial" w:cs="Arial" w:eastAsia="Arial" w:hAnsi="Arial"/>
          <w:sz w:val="17"/>
          <w:szCs w:val="17"/>
          <w:color w:val="auto"/>
        </w:rPr>
        <w:t>While we continually monitor the ongoing and evolving impact of the effect of the COVID-19 pandemic on our operations the overall impact will not be fully reflected in our results of operations until future periods. The duration and extent of the impact from the COVID-19 pandemic depends on future developments that cannot be fully predicted at this time, as such, the impact of the pandemic on our overall financial performance remain uncertain and cannot as yet be quantified. For discussion of the risks and uncertainties we face associated with the COVID-19 pandemic, see Part I, Item 1A. "Risk Factors" of our 2021 Annual Report on Form 10-K.</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Results of Operations</w:t>
      </w:r>
    </w:p>
    <w:p>
      <w:pPr>
        <w:spacing w:after="0" w:line="249" w:lineRule="exact"/>
        <w:rPr>
          <w:sz w:val="20"/>
          <w:szCs w:val="20"/>
          <w:color w:val="auto"/>
        </w:rPr>
      </w:pPr>
    </w:p>
    <w:p>
      <w:pPr>
        <w:ind w:right="240" w:firstLine="169"/>
        <w:spacing w:after="0" w:line="279" w:lineRule="auto"/>
        <w:rPr>
          <w:sz w:val="20"/>
          <w:szCs w:val="20"/>
          <w:color w:val="auto"/>
        </w:rPr>
      </w:pPr>
      <w:r>
        <w:rPr>
          <w:rFonts w:ascii="Arial" w:cs="Arial" w:eastAsia="Arial" w:hAnsi="Arial"/>
          <w:sz w:val="17"/>
          <w:szCs w:val="17"/>
          <w:color w:val="auto"/>
        </w:rPr>
        <w:t>We present income statement data in Part I, Item 1. "Financial Statements." The following table shows, for the three months ended March 31, 2022 and 2021, the percentages of each income statement caption in relation to total revenue:</w:t>
      </w:r>
    </w:p>
    <w:p>
      <w:pPr>
        <w:spacing w:after="0" w:line="73" w:lineRule="exact"/>
        <w:rPr>
          <w:sz w:val="20"/>
          <w:szCs w:val="20"/>
          <w:color w:val="auto"/>
        </w:rPr>
      </w:pPr>
    </w:p>
    <w:p>
      <w:pPr>
        <w:ind w:left="8940"/>
        <w:spacing w:after="0"/>
        <w:rPr>
          <w:sz w:val="20"/>
          <w:szCs w:val="20"/>
          <w:color w:val="auto"/>
        </w:rPr>
      </w:pPr>
      <w:r>
        <w:rPr>
          <w:rFonts w:ascii="Arial" w:cs="Arial" w:eastAsia="Arial" w:hAnsi="Arial"/>
          <w:sz w:val="17"/>
          <w:szCs w:val="17"/>
          <w:b w:val="1"/>
          <w:bCs w:val="1"/>
          <w:color w:val="auto"/>
        </w:rPr>
        <w:t>Three months ended</w:t>
      </w:r>
    </w:p>
    <w:p>
      <w:pPr>
        <w:ind w:left="9340"/>
        <w:spacing w:after="0"/>
        <w:rPr>
          <w:sz w:val="20"/>
          <w:szCs w:val="20"/>
          <w:color w:val="auto"/>
        </w:rPr>
      </w:pPr>
      <w:r>
        <w:rPr>
          <w:rFonts w:ascii="Arial" w:cs="Arial" w:eastAsia="Arial" w:hAnsi="Arial"/>
          <w:sz w:val="17"/>
          <w:szCs w:val="17"/>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18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5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2021</w:t>
            </w:r>
          </w:p>
        </w:tc>
      </w:tr>
      <w:tr>
        <w:trPr>
          <w:trHeight w:val="212"/>
        </w:trPr>
        <w:tc>
          <w:tcPr>
            <w:tcW w:w="9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revenues</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100 %</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100 %</w:t>
            </w:r>
          </w:p>
        </w:tc>
      </w:tr>
      <w:tr>
        <w:trPr>
          <w:trHeight w:val="218"/>
        </w:trPr>
        <w:tc>
          <w:tcPr>
            <w:tcW w:w="9140" w:type="dxa"/>
            <w:vAlign w:val="bottom"/>
            <w:gridSpan w:val="2"/>
          </w:tcPr>
          <w:p>
            <w:pPr>
              <w:ind w:left="20"/>
              <w:spacing w:after="0"/>
              <w:rPr>
                <w:sz w:val="20"/>
                <w:szCs w:val="20"/>
                <w:color w:val="auto"/>
              </w:rPr>
            </w:pPr>
            <w:r>
              <w:rPr>
                <w:rFonts w:ascii="Arial" w:cs="Arial" w:eastAsia="Arial" w:hAnsi="Arial"/>
                <w:sz w:val="17"/>
                <w:szCs w:val="17"/>
                <w:color w:val="auto"/>
              </w:rPr>
              <w:t>Gross profit</w:t>
            </w:r>
          </w:p>
        </w:tc>
        <w:tc>
          <w:tcPr>
            <w:tcW w:w="520" w:type="dxa"/>
            <w:vAlign w:val="bottom"/>
          </w:tcPr>
          <w:p>
            <w:pPr>
              <w:jc w:val="right"/>
              <w:spacing w:after="0"/>
              <w:rPr>
                <w:sz w:val="20"/>
                <w:szCs w:val="20"/>
                <w:color w:val="auto"/>
              </w:rPr>
            </w:pPr>
            <w:r>
              <w:rPr>
                <w:rFonts w:ascii="Arial" w:cs="Arial" w:eastAsia="Arial" w:hAnsi="Arial"/>
                <w:sz w:val="17"/>
                <w:szCs w:val="17"/>
                <w:color w:val="auto"/>
              </w:rPr>
              <w:t>31 %</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35 %</w:t>
            </w:r>
          </w:p>
        </w:tc>
      </w:tr>
      <w:tr>
        <w:trPr>
          <w:trHeight w:val="220"/>
        </w:trPr>
        <w:tc>
          <w:tcPr>
            <w:tcW w:w="91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Selling, general and administrative expenses</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28 %</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23 %</w:t>
            </w:r>
          </w:p>
        </w:tc>
      </w:tr>
      <w:tr>
        <w:trPr>
          <w:trHeight w:val="218"/>
        </w:trPr>
        <w:tc>
          <w:tcPr>
            <w:tcW w:w="9140" w:type="dxa"/>
            <w:vAlign w:val="bottom"/>
            <w:gridSpan w:val="2"/>
          </w:tcPr>
          <w:p>
            <w:pPr>
              <w:ind w:left="140"/>
              <w:spacing w:after="0"/>
              <w:rPr>
                <w:sz w:val="20"/>
                <w:szCs w:val="20"/>
                <w:color w:val="auto"/>
              </w:rPr>
            </w:pPr>
            <w:r>
              <w:rPr>
                <w:rFonts w:ascii="Arial" w:cs="Arial" w:eastAsia="Arial" w:hAnsi="Arial"/>
                <w:sz w:val="17"/>
                <w:szCs w:val="17"/>
                <w:color w:val="auto"/>
              </w:rPr>
              <w:t>Research and development expenses</w:t>
            </w:r>
          </w:p>
        </w:tc>
        <w:tc>
          <w:tcPr>
            <w:tcW w:w="520" w:type="dxa"/>
            <w:vAlign w:val="bottom"/>
          </w:tcPr>
          <w:p>
            <w:pPr>
              <w:jc w:val="right"/>
              <w:spacing w:after="0"/>
              <w:rPr>
                <w:sz w:val="20"/>
                <w:szCs w:val="20"/>
                <w:color w:val="auto"/>
              </w:rPr>
            </w:pPr>
            <w:r>
              <w:rPr>
                <w:rFonts w:ascii="Arial" w:cs="Arial" w:eastAsia="Arial" w:hAnsi="Arial"/>
                <w:sz w:val="17"/>
                <w:szCs w:val="17"/>
                <w:color w:val="auto"/>
              </w:rPr>
              <w:t>4 %</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3 %</w:t>
            </w:r>
          </w:p>
        </w:tc>
      </w:tr>
      <w:tr>
        <w:trPr>
          <w:trHeight w:val="220"/>
        </w:trPr>
        <w:tc>
          <w:tcPr>
            <w:tcW w:w="91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Restructuring, strategic transaction and integration expenses</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6 %</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1 %</w:t>
            </w:r>
          </w:p>
        </w:tc>
      </w:tr>
      <w:tr>
        <w:trPr>
          <w:trHeight w:val="218"/>
        </w:trPr>
        <w:tc>
          <w:tcPr>
            <w:tcW w:w="818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Contract settlement</w:t>
            </w:r>
          </w:p>
        </w:tc>
        <w:tc>
          <w:tcPr>
            <w:tcW w:w="9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 %</w:t>
            </w:r>
          </w:p>
        </w:tc>
        <w:tc>
          <w:tcPr>
            <w:tcW w:w="10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 %</w:t>
            </w:r>
          </w:p>
        </w:tc>
      </w:tr>
      <w:tr>
        <w:trPr>
          <w:trHeight w:val="212"/>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operating expenses</w:t>
            </w:r>
          </w:p>
        </w:tc>
        <w:tc>
          <w:tcPr>
            <w:tcW w:w="9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38 %</w:t>
            </w:r>
          </w:p>
        </w:tc>
        <w:tc>
          <w:tcPr>
            <w:tcW w:w="100" w:type="dxa"/>
            <w:vAlign w:val="bottom"/>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27 %</w:t>
            </w:r>
          </w:p>
        </w:tc>
      </w:tr>
      <w:tr>
        <w:trPr>
          <w:trHeight w:val="212"/>
        </w:trPr>
        <w:tc>
          <w:tcPr>
            <w:tcW w:w="9140" w:type="dxa"/>
            <w:vAlign w:val="bottom"/>
            <w:gridSpan w:val="2"/>
          </w:tcPr>
          <w:p>
            <w:pPr>
              <w:ind w:left="20"/>
              <w:spacing w:after="0"/>
              <w:rPr>
                <w:sz w:val="20"/>
                <w:szCs w:val="20"/>
                <w:color w:val="auto"/>
              </w:rPr>
            </w:pPr>
            <w:r>
              <w:rPr>
                <w:rFonts w:ascii="Arial" w:cs="Arial" w:eastAsia="Arial" w:hAnsi="Arial"/>
                <w:sz w:val="17"/>
                <w:szCs w:val="17"/>
                <w:color w:val="auto"/>
              </w:rPr>
              <w:t>(Loss) income from operations</w:t>
            </w:r>
          </w:p>
        </w:tc>
        <w:tc>
          <w:tcPr>
            <w:tcW w:w="520" w:type="dxa"/>
            <w:vAlign w:val="bottom"/>
          </w:tcPr>
          <w:p>
            <w:pPr>
              <w:jc w:val="right"/>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8 %</w:t>
            </w:r>
          </w:p>
        </w:tc>
      </w:tr>
      <w:tr>
        <w:trPr>
          <w:trHeight w:val="220"/>
        </w:trPr>
        <w:tc>
          <w:tcPr>
            <w:tcW w:w="91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Interest expense</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r>
      <w:tr>
        <w:trPr>
          <w:trHeight w:val="218"/>
        </w:trPr>
        <w:tc>
          <w:tcPr>
            <w:tcW w:w="818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Other income, net</w:t>
            </w:r>
          </w:p>
        </w:tc>
        <w:tc>
          <w:tcPr>
            <w:tcW w:w="9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 %</w:t>
            </w:r>
          </w:p>
        </w:tc>
        <w:tc>
          <w:tcPr>
            <w:tcW w:w="10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 %</w:t>
            </w:r>
          </w:p>
        </w:tc>
      </w:tr>
      <w:tr>
        <w:trPr>
          <w:trHeight w:val="213"/>
        </w:trPr>
        <w:tc>
          <w:tcPr>
            <w:tcW w:w="9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(Loss) income before income taxes</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8 %</w:t>
            </w:r>
          </w:p>
        </w:tc>
      </w:tr>
      <w:tr>
        <w:trPr>
          <w:trHeight w:val="218"/>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Benefit (provision) for income taxes</w:t>
            </w:r>
          </w:p>
        </w:tc>
        <w:tc>
          <w:tcPr>
            <w:tcW w:w="9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3 %</w:t>
            </w:r>
          </w:p>
        </w:tc>
        <w:tc>
          <w:tcPr>
            <w:tcW w:w="10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r>
      <w:tr>
        <w:trPr>
          <w:trHeight w:val="233"/>
        </w:trPr>
        <w:tc>
          <w:tcPr>
            <w:tcW w:w="9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(loss) income</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7 %</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361" w:lineRule="exact"/>
        <w:rPr>
          <w:sz w:val="20"/>
          <w:szCs w:val="20"/>
          <w:color w:val="auto"/>
        </w:rPr>
      </w:pPr>
    </w:p>
    <w:p>
      <w:pPr>
        <w:ind w:right="140" w:firstLine="619"/>
        <w:spacing w:after="0" w:line="302" w:lineRule="auto"/>
        <w:rPr>
          <w:sz w:val="20"/>
          <w:szCs w:val="20"/>
          <w:color w:val="auto"/>
        </w:rPr>
      </w:pPr>
      <w:r>
        <w:rPr>
          <w:rFonts w:ascii="Arial" w:cs="Arial" w:eastAsia="Arial" w:hAnsi="Arial"/>
          <w:sz w:val="15"/>
          <w:szCs w:val="15"/>
          <w:color w:val="auto"/>
        </w:rPr>
        <w:t>In addition to comparing changes in revenue on a U.S. GAAP basis, we also compare the changes in revenue from one period to another using constant currency. We provide constant currency information to enhance the visibility of underlying business trends, excluding the effects of changes in foreign currency translation rates. To calculate our constant currency results, we apply the average exchange rate for revenues from the prior year to the current year results. These results should be considered in addition to, not as a substitute for, results reported in accordance with GAAP. Results on a constant currency basis, as we present them, may not be comparable to similarly titled measures used by other companies and are not measures of performance presented in accordance with GAAP.</w:t>
      </w: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Infusion Consumables</w:t>
      </w:r>
    </w:p>
    <w:p>
      <w:pPr>
        <w:spacing w:after="0" w:line="24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summarizes our total Infusion Consumables revenue (in millions):</w:t>
      </w:r>
    </w:p>
    <w:p>
      <w:pPr>
        <w:spacing w:after="0" w:line="138" w:lineRule="exact"/>
        <w:rPr>
          <w:sz w:val="20"/>
          <w:szCs w:val="20"/>
          <w:color w:val="auto"/>
        </w:rPr>
      </w:pPr>
    </w:p>
    <w:p>
      <w:pPr>
        <w:ind w:left="8140"/>
        <w:spacing w:after="0"/>
        <w:rPr>
          <w:sz w:val="20"/>
          <w:szCs w:val="20"/>
          <w:color w:val="auto"/>
        </w:rPr>
      </w:pPr>
      <w:r>
        <w:rPr>
          <w:rFonts w:ascii="Arial" w:cs="Arial" w:eastAsia="Arial" w:hAnsi="Arial"/>
          <w:sz w:val="15"/>
          <w:szCs w:val="15"/>
          <w:b w:val="1"/>
          <w:bCs w:val="1"/>
          <w:color w:val="auto"/>
        </w:rPr>
        <w:t>Three months ended</w:t>
      </w:r>
    </w:p>
    <w:p>
      <w:pPr>
        <w:ind w:left="8500"/>
        <w:spacing w:after="0"/>
        <w:rPr>
          <w:sz w:val="20"/>
          <w:szCs w:val="20"/>
          <w:color w:val="auto"/>
        </w:rPr>
      </w:pPr>
      <w:r>
        <w:rPr>
          <w:rFonts w:ascii="Arial" w:cs="Arial" w:eastAsia="Arial" w:hAnsi="Arial"/>
          <w:sz w:val="15"/>
          <w:szCs w:val="15"/>
          <w:b w:val="1"/>
          <w:bCs w:val="1"/>
          <w:color w:val="auto"/>
        </w:rPr>
        <w:t>March 31,</w:t>
      </w:r>
    </w:p>
    <w:p>
      <w:pPr>
        <w:spacing w:after="0" w:line="1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64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303"/>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323"/>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ind w:left="60"/>
              <w:spacing w:after="0"/>
              <w:rPr>
                <w:sz w:val="20"/>
                <w:szCs w:val="20"/>
                <w:color w:val="auto"/>
              </w:rPr>
            </w:pPr>
            <w:r>
              <w:rPr>
                <w:rFonts w:ascii="Arial" w:cs="Arial" w:eastAsia="Arial" w:hAnsi="Arial"/>
                <w:sz w:val="15"/>
                <w:szCs w:val="15"/>
                <w:b w:val="1"/>
                <w:bCs w:val="1"/>
                <w:color w:val="auto"/>
              </w:rPr>
              <w:t>$ Change</w:t>
            </w:r>
          </w:p>
        </w:tc>
        <w:tc>
          <w:tcPr>
            <w:tcW w:w="1200" w:type="dxa"/>
            <w:vAlign w:val="bottom"/>
            <w:tcBorders>
              <w:top w:val="single" w:sz="8" w:color="auto"/>
            </w:tcBorders>
          </w:tcPr>
          <w:p>
            <w:pPr>
              <w:jc w:val="right"/>
              <w:ind w:right="163"/>
              <w:spacing w:after="0"/>
              <w:rPr>
                <w:sz w:val="20"/>
                <w:szCs w:val="20"/>
                <w:color w:val="auto"/>
              </w:rPr>
            </w:pPr>
            <w:r>
              <w:rPr>
                <w:rFonts w:ascii="Arial" w:cs="Arial" w:eastAsia="Arial" w:hAnsi="Arial"/>
                <w:sz w:val="15"/>
                <w:szCs w:val="15"/>
                <w:b w:val="1"/>
                <w:bCs w:val="1"/>
                <w:color w:val="auto"/>
              </w:rPr>
              <w:t>% Change</w:t>
            </w:r>
          </w:p>
        </w:tc>
      </w:tr>
      <w:tr>
        <w:trPr>
          <w:trHeight w:val="201"/>
        </w:trPr>
        <w:tc>
          <w:tcPr>
            <w:tcW w:w="6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Infusion Consumables</w:t>
            </w:r>
          </w:p>
        </w:tc>
        <w:tc>
          <w:tcPr>
            <w:tcW w:w="24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140.5</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8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126.4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14.1</w:t>
            </w: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11.2 %</w:t>
            </w:r>
          </w:p>
        </w:tc>
      </w:tr>
    </w:tbl>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3" w:name="page44"/>
    <w:bookmarkEnd w:id="4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160" w:firstLine="619"/>
        <w:spacing w:after="0" w:line="257" w:lineRule="auto"/>
        <w:rPr>
          <w:sz w:val="20"/>
          <w:szCs w:val="20"/>
          <w:color w:val="auto"/>
        </w:rPr>
      </w:pPr>
      <w:r>
        <w:rPr>
          <w:rFonts w:ascii="Arial" w:cs="Arial" w:eastAsia="Arial" w:hAnsi="Arial"/>
          <w:sz w:val="16"/>
          <w:szCs w:val="16"/>
          <w:color w:val="auto"/>
        </w:rPr>
        <w:t>Infusion Consumables revenue increased for the three months ended March 31, 2022, as compared to the same period in the prior year, due to growth in our global core infusion, global oncology, renal and specialty products. On a constant currency basis, Infusion Consumables revenue would have been $142.5 million for the three months ended March 31, 2022, an increase of $16.1 million or 12.7%, as compared to the same period in the prior year.</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Infusion Systems</w:t>
      </w:r>
    </w:p>
    <w:p>
      <w:pPr>
        <w:spacing w:after="0" w:line="24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summarizes our total Infusion Systems revenue (in millions):</w:t>
      </w:r>
    </w:p>
    <w:p>
      <w:pPr>
        <w:spacing w:after="0" w:line="48" w:lineRule="exact"/>
        <w:rPr>
          <w:sz w:val="20"/>
          <w:szCs w:val="20"/>
          <w:color w:val="auto"/>
        </w:rPr>
      </w:pPr>
    </w:p>
    <w:p>
      <w:pPr>
        <w:ind w:left="8160"/>
        <w:spacing w:after="0"/>
        <w:rPr>
          <w:sz w:val="20"/>
          <w:szCs w:val="20"/>
          <w:color w:val="auto"/>
        </w:rPr>
      </w:pPr>
      <w:r>
        <w:rPr>
          <w:rFonts w:ascii="Arial" w:cs="Arial" w:eastAsia="Arial" w:hAnsi="Arial"/>
          <w:sz w:val="15"/>
          <w:szCs w:val="15"/>
          <w:b w:val="1"/>
          <w:bCs w:val="1"/>
          <w:color w:val="auto"/>
        </w:rPr>
        <w:t>Three months ended</w:t>
      </w:r>
    </w:p>
    <w:p>
      <w:pPr>
        <w:ind w:left="8500"/>
        <w:spacing w:after="0"/>
        <w:rPr>
          <w:sz w:val="20"/>
          <w:szCs w:val="20"/>
          <w:color w:val="auto"/>
        </w:rPr>
      </w:pPr>
      <w:r>
        <w:rPr>
          <w:rFonts w:ascii="Arial" w:cs="Arial" w:eastAsia="Arial" w:hAnsi="Arial"/>
          <w:sz w:val="15"/>
          <w:szCs w:val="15"/>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40" w:type="dxa"/>
            <w:vAlign w:val="bottom"/>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2022</w:t>
            </w:r>
          </w:p>
        </w:tc>
        <w:tc>
          <w:tcPr>
            <w:tcW w:w="3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303"/>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 Change</w:t>
            </w:r>
          </w:p>
        </w:tc>
        <w:tc>
          <w:tcPr>
            <w:tcW w:w="1220" w:type="dxa"/>
            <w:vAlign w:val="bottom"/>
            <w:tcBorders>
              <w:top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 Change</w:t>
            </w:r>
          </w:p>
        </w:tc>
      </w:tr>
      <w:tr>
        <w:trPr>
          <w:trHeight w:val="201"/>
        </w:trPr>
        <w:tc>
          <w:tcPr>
            <w:tcW w:w="6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Infusion Systems</w:t>
            </w:r>
          </w:p>
        </w:tc>
        <w:tc>
          <w:tcPr>
            <w:tcW w:w="740" w:type="dxa"/>
            <w:vAlign w:val="bottom"/>
            <w:tcBorders>
              <w:top w:val="single" w:sz="8" w:color="auto"/>
            </w:tcBorders>
            <w:shd w:val="clear" w:color="auto" w:fill="CCEEFF"/>
          </w:tcPr>
          <w:p>
            <w:pPr>
              <w:jc w:val="right"/>
              <w:ind w:right="563"/>
              <w:spacing w:after="0"/>
              <w:rPr>
                <w:sz w:val="20"/>
                <w:szCs w:val="20"/>
                <w:color w:val="auto"/>
              </w:rPr>
            </w:pPr>
            <w:r>
              <w:rPr>
                <w:rFonts w:ascii="Arial" w:cs="Arial" w:eastAsia="Arial" w:hAnsi="Arial"/>
                <w:sz w:val="15"/>
                <w:szCs w:val="15"/>
                <w:color w:val="auto"/>
                <w:w w:val="95"/>
              </w:rPr>
              <w:t>$</w:t>
            </w:r>
          </w:p>
        </w:tc>
        <w:tc>
          <w:tcPr>
            <w:tcW w:w="3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88"/>
              </w:rPr>
              <w:t>87.0</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84.3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w:t>
            </w:r>
          </w:p>
        </w:tc>
        <w:tc>
          <w:tcPr>
            <w:tcW w:w="1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3.2 %</w:t>
            </w:r>
          </w:p>
        </w:tc>
      </w:tr>
    </w:tbl>
    <w:p>
      <w:pPr>
        <w:spacing w:after="0" w:line="271" w:lineRule="exact"/>
        <w:rPr>
          <w:sz w:val="20"/>
          <w:szCs w:val="20"/>
          <w:color w:val="auto"/>
        </w:rPr>
      </w:pPr>
    </w:p>
    <w:p>
      <w:pPr>
        <w:ind w:right="360" w:firstLine="619"/>
        <w:spacing w:after="0" w:line="232" w:lineRule="auto"/>
        <w:rPr>
          <w:sz w:val="20"/>
          <w:szCs w:val="20"/>
          <w:color w:val="auto"/>
        </w:rPr>
      </w:pPr>
      <w:r>
        <w:rPr>
          <w:rFonts w:ascii="Arial" w:cs="Arial" w:eastAsia="Arial" w:hAnsi="Arial"/>
          <w:sz w:val="17"/>
          <w:szCs w:val="17"/>
          <w:color w:val="auto"/>
        </w:rPr>
        <w:t>Infusion Systems revenue increased for the three months ended March 31, 2022, as compared to the same period in the prior year, due to higher large volume pump ("LVP") dedicated set sales driven by larger install base of LVPs, offset partially by lower sales related to our non-LVP products. On a constant currency basis, Infusion Systems revenue would have been $88.7 million for the three months ended March 31, 2022, an increase of $4.4 million or 5.2%, as compared to the same period in the prior year.</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IV Solutions</w:t>
      </w:r>
    </w:p>
    <w:p>
      <w:pPr>
        <w:spacing w:after="0" w:line="24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summarizes our total IV Solutions revenue (in millions):</w:t>
      </w:r>
    </w:p>
    <w:p>
      <w:pPr>
        <w:spacing w:after="0" w:line="125" w:lineRule="exact"/>
        <w:rPr>
          <w:sz w:val="20"/>
          <w:szCs w:val="20"/>
          <w:color w:val="auto"/>
        </w:rPr>
      </w:pPr>
    </w:p>
    <w:p>
      <w:pPr>
        <w:ind w:left="8160"/>
        <w:spacing w:after="0"/>
        <w:rPr>
          <w:sz w:val="20"/>
          <w:szCs w:val="20"/>
          <w:color w:val="auto"/>
        </w:rPr>
      </w:pPr>
      <w:r>
        <w:rPr>
          <w:rFonts w:ascii="Arial" w:cs="Arial" w:eastAsia="Arial" w:hAnsi="Arial"/>
          <w:sz w:val="15"/>
          <w:szCs w:val="15"/>
          <w:b w:val="1"/>
          <w:bCs w:val="1"/>
          <w:color w:val="auto"/>
        </w:rPr>
        <w:t>Three months ended</w:t>
      </w:r>
    </w:p>
    <w:p>
      <w:pPr>
        <w:ind w:left="8500"/>
        <w:spacing w:after="0"/>
        <w:rPr>
          <w:sz w:val="20"/>
          <w:szCs w:val="20"/>
          <w:color w:val="auto"/>
        </w:rPr>
      </w:pPr>
      <w:r>
        <w:rPr>
          <w:rFonts w:ascii="Arial" w:cs="Arial" w:eastAsia="Arial" w:hAnsi="Arial"/>
          <w:sz w:val="15"/>
          <w:szCs w:val="15"/>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40" w:type="dxa"/>
            <w:vAlign w:val="bottom"/>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2022</w:t>
            </w:r>
          </w:p>
        </w:tc>
        <w:tc>
          <w:tcPr>
            <w:tcW w:w="3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303"/>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 Change</w:t>
            </w:r>
          </w:p>
        </w:tc>
        <w:tc>
          <w:tcPr>
            <w:tcW w:w="1220" w:type="dxa"/>
            <w:vAlign w:val="bottom"/>
            <w:tcBorders>
              <w:top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 Change</w:t>
            </w:r>
          </w:p>
        </w:tc>
      </w:tr>
      <w:tr>
        <w:trPr>
          <w:trHeight w:val="201"/>
        </w:trPr>
        <w:tc>
          <w:tcPr>
            <w:tcW w:w="6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IV Solutions</w:t>
            </w:r>
          </w:p>
        </w:tc>
        <w:tc>
          <w:tcPr>
            <w:tcW w:w="740" w:type="dxa"/>
            <w:vAlign w:val="bottom"/>
            <w:tcBorders>
              <w:top w:val="single" w:sz="8" w:color="auto"/>
            </w:tcBorders>
            <w:shd w:val="clear" w:color="auto" w:fill="CCEEFF"/>
          </w:tcPr>
          <w:p>
            <w:pPr>
              <w:jc w:val="right"/>
              <w:ind w:right="563"/>
              <w:spacing w:after="0"/>
              <w:rPr>
                <w:sz w:val="20"/>
                <w:szCs w:val="20"/>
                <w:color w:val="auto"/>
              </w:rPr>
            </w:pPr>
            <w:r>
              <w:rPr>
                <w:rFonts w:ascii="Arial" w:cs="Arial" w:eastAsia="Arial" w:hAnsi="Arial"/>
                <w:sz w:val="15"/>
                <w:szCs w:val="15"/>
                <w:color w:val="auto"/>
                <w:w w:val="95"/>
              </w:rPr>
              <w:t>$</w:t>
            </w:r>
          </w:p>
        </w:tc>
        <w:tc>
          <w:tcPr>
            <w:tcW w:w="3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88"/>
              </w:rPr>
              <w:t>88.5</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94.2</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(5.7)</w:t>
            </w:r>
          </w:p>
        </w:tc>
        <w:tc>
          <w:tcPr>
            <w:tcW w:w="1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(6.1)%</w:t>
            </w:r>
          </w:p>
        </w:tc>
      </w:tr>
    </w:tbl>
    <w:p>
      <w:pPr>
        <w:spacing w:after="0" w:line="284" w:lineRule="exact"/>
        <w:rPr>
          <w:sz w:val="20"/>
          <w:szCs w:val="20"/>
          <w:color w:val="auto"/>
        </w:rPr>
      </w:pPr>
    </w:p>
    <w:p>
      <w:pPr>
        <w:ind w:right="400" w:firstLine="619"/>
        <w:spacing w:after="0" w:line="279" w:lineRule="auto"/>
        <w:rPr>
          <w:sz w:val="20"/>
          <w:szCs w:val="20"/>
          <w:color w:val="auto"/>
        </w:rPr>
      </w:pPr>
      <w:r>
        <w:rPr>
          <w:rFonts w:ascii="Arial" w:cs="Arial" w:eastAsia="Arial" w:hAnsi="Arial"/>
          <w:sz w:val="17"/>
          <w:szCs w:val="17"/>
          <w:color w:val="auto"/>
        </w:rPr>
        <w:t>IV Solutions revenue decreased for the three months ended March 31, 2022, as compared to the same period in the prior year, primarily due to lower contract manufacturing sales to Pfizer.</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Critical Care</w:t>
      </w:r>
    </w:p>
    <w:p>
      <w:pPr>
        <w:spacing w:after="0" w:line="24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summarizes our total Critical Care revenue (in millions):</w:t>
      </w:r>
    </w:p>
    <w:p>
      <w:pPr>
        <w:spacing w:after="0" w:line="138" w:lineRule="exact"/>
        <w:rPr>
          <w:sz w:val="20"/>
          <w:szCs w:val="20"/>
          <w:color w:val="auto"/>
        </w:rPr>
      </w:pPr>
    </w:p>
    <w:p>
      <w:pPr>
        <w:ind w:left="8160"/>
        <w:spacing w:after="0"/>
        <w:rPr>
          <w:sz w:val="20"/>
          <w:szCs w:val="20"/>
          <w:color w:val="auto"/>
        </w:rPr>
      </w:pPr>
      <w:r>
        <w:rPr>
          <w:rFonts w:ascii="Arial" w:cs="Arial" w:eastAsia="Arial" w:hAnsi="Arial"/>
          <w:sz w:val="15"/>
          <w:szCs w:val="15"/>
          <w:b w:val="1"/>
          <w:bCs w:val="1"/>
          <w:color w:val="auto"/>
        </w:rPr>
        <w:t>Three months ended</w:t>
      </w:r>
    </w:p>
    <w:p>
      <w:pPr>
        <w:ind w:left="8500"/>
        <w:spacing w:after="0"/>
        <w:rPr>
          <w:sz w:val="20"/>
          <w:szCs w:val="20"/>
          <w:color w:val="auto"/>
        </w:rPr>
      </w:pPr>
      <w:r>
        <w:rPr>
          <w:rFonts w:ascii="Arial" w:cs="Arial" w:eastAsia="Arial" w:hAnsi="Arial"/>
          <w:sz w:val="15"/>
          <w:szCs w:val="15"/>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40" w:type="dxa"/>
            <w:vAlign w:val="bottom"/>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2022</w:t>
            </w:r>
          </w:p>
        </w:tc>
        <w:tc>
          <w:tcPr>
            <w:tcW w:w="3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303"/>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 Change</w:t>
            </w:r>
          </w:p>
        </w:tc>
        <w:tc>
          <w:tcPr>
            <w:tcW w:w="1220" w:type="dxa"/>
            <w:vAlign w:val="bottom"/>
            <w:tcBorders>
              <w:top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 Change</w:t>
            </w:r>
          </w:p>
        </w:tc>
      </w:tr>
      <w:tr>
        <w:trPr>
          <w:trHeight w:val="201"/>
        </w:trPr>
        <w:tc>
          <w:tcPr>
            <w:tcW w:w="6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Critical Care</w:t>
            </w:r>
          </w:p>
        </w:tc>
        <w:tc>
          <w:tcPr>
            <w:tcW w:w="740" w:type="dxa"/>
            <w:vAlign w:val="bottom"/>
            <w:tcBorders>
              <w:top w:val="single" w:sz="8" w:color="auto"/>
            </w:tcBorders>
            <w:shd w:val="clear" w:color="auto" w:fill="CCEEFF"/>
          </w:tcPr>
          <w:p>
            <w:pPr>
              <w:jc w:val="right"/>
              <w:ind w:right="563"/>
              <w:spacing w:after="0"/>
              <w:rPr>
                <w:sz w:val="20"/>
                <w:szCs w:val="20"/>
                <w:color w:val="auto"/>
              </w:rPr>
            </w:pPr>
            <w:r>
              <w:rPr>
                <w:rFonts w:ascii="Arial" w:cs="Arial" w:eastAsia="Arial" w:hAnsi="Arial"/>
                <w:sz w:val="15"/>
                <w:szCs w:val="15"/>
                <w:color w:val="auto"/>
                <w:w w:val="95"/>
              </w:rPr>
              <w:t>$</w:t>
            </w:r>
          </w:p>
        </w:tc>
        <w:tc>
          <w:tcPr>
            <w:tcW w:w="3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88"/>
              </w:rPr>
              <w:t>12.2</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13.1</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(0.9)</w:t>
            </w:r>
          </w:p>
        </w:tc>
        <w:tc>
          <w:tcPr>
            <w:tcW w:w="1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w:t>
            </w:r>
          </w:p>
        </w:tc>
      </w:tr>
    </w:tbl>
    <w:p>
      <w:pPr>
        <w:spacing w:after="0" w:line="27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Critical Care revenue slightly decreased for the three months ended March 31, 2022, as compared to the same period in the prior year.</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Infusion Systems-Smiths Medical</w:t>
      </w:r>
    </w:p>
    <w:p>
      <w:pPr>
        <w:spacing w:after="0" w:line="24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summarizes our total Infusion Systems-Smiths Medical revenue (in millions):</w:t>
      </w:r>
    </w:p>
    <w:p>
      <w:pPr>
        <w:spacing w:after="0" w:line="280" w:lineRule="exact"/>
        <w:rPr>
          <w:sz w:val="20"/>
          <w:szCs w:val="20"/>
          <w:color w:val="auto"/>
        </w:rPr>
      </w:pPr>
    </w:p>
    <w:p>
      <w:pPr>
        <w:ind w:left="8200"/>
        <w:spacing w:after="0"/>
        <w:rPr>
          <w:sz w:val="20"/>
          <w:szCs w:val="20"/>
          <w:color w:val="auto"/>
        </w:rPr>
      </w:pPr>
      <w:r>
        <w:rPr>
          <w:rFonts w:ascii="Arial" w:cs="Arial" w:eastAsia="Arial" w:hAnsi="Arial"/>
          <w:sz w:val="15"/>
          <w:szCs w:val="15"/>
          <w:b w:val="1"/>
          <w:bCs w:val="1"/>
          <w:color w:val="auto"/>
        </w:rPr>
        <w:t>Three months ended</w:t>
      </w:r>
    </w:p>
    <w:p>
      <w:pPr>
        <w:ind w:left="8560"/>
        <w:spacing w:after="0"/>
        <w:rPr>
          <w:sz w:val="20"/>
          <w:szCs w:val="20"/>
          <w:color w:val="auto"/>
        </w:rPr>
      </w:pPr>
      <w:r>
        <w:rPr>
          <w:rFonts w:ascii="Arial" w:cs="Arial" w:eastAsia="Arial" w:hAnsi="Arial"/>
          <w:sz w:val="15"/>
          <w:szCs w:val="15"/>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6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03"/>
              <w:spacing w:after="0"/>
              <w:rPr>
                <w:sz w:val="20"/>
                <w:szCs w:val="20"/>
                <w:color w:val="auto"/>
              </w:rPr>
            </w:pPr>
            <w:r>
              <w:rPr>
                <w:rFonts w:ascii="Arial" w:cs="Arial" w:eastAsia="Arial" w:hAnsi="Arial"/>
                <w:sz w:val="15"/>
                <w:szCs w:val="15"/>
                <w:b w:val="1"/>
                <w:bCs w:val="1"/>
                <w:color w:val="auto"/>
              </w:rPr>
              <w:t>2022</w:t>
            </w:r>
          </w:p>
        </w:tc>
        <w:tc>
          <w:tcPr>
            <w:tcW w:w="12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03"/>
              <w:spacing w:after="0"/>
              <w:rPr>
                <w:sz w:val="20"/>
                <w:szCs w:val="20"/>
                <w:color w:val="auto"/>
              </w:rPr>
            </w:pPr>
            <w:r>
              <w:rPr>
                <w:rFonts w:ascii="Arial" w:cs="Arial" w:eastAsia="Arial" w:hAnsi="Arial"/>
                <w:sz w:val="15"/>
                <w:szCs w:val="15"/>
                <w:b w:val="1"/>
                <w:bCs w:val="1"/>
                <w:color w:val="auto"/>
              </w:rPr>
              <w:t>2021</w:t>
            </w:r>
          </w:p>
        </w:tc>
        <w:tc>
          <w:tcPr>
            <w:tcW w:w="120" w:type="dxa"/>
            <w:vAlign w:val="bottom"/>
            <w:tcBorders>
              <w:top w:val="single" w:sz="8" w:color="auto"/>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163"/>
              <w:spacing w:after="0"/>
              <w:rPr>
                <w:sz w:val="20"/>
                <w:szCs w:val="20"/>
                <w:color w:val="auto"/>
              </w:rPr>
            </w:pPr>
            <w:r>
              <w:rPr>
                <w:rFonts w:ascii="Arial" w:cs="Arial" w:eastAsia="Arial" w:hAnsi="Arial"/>
                <w:sz w:val="15"/>
                <w:szCs w:val="15"/>
                <w:b w:val="1"/>
                <w:bCs w:val="1"/>
                <w:color w:val="auto"/>
                <w:w w:val="97"/>
              </w:rPr>
              <w:t>$ Change</w:t>
            </w:r>
          </w:p>
        </w:tc>
        <w:tc>
          <w:tcPr>
            <w:tcW w:w="100" w:type="dxa"/>
            <w:vAlign w:val="bottom"/>
            <w:tcBorders>
              <w:top w:val="single" w:sz="8" w:color="auto"/>
              <w:bottom w:val="single" w:sz="8" w:color="CCEEFF"/>
            </w:tcBorders>
          </w:tcPr>
          <w:p>
            <w:pPr>
              <w:spacing w:after="0"/>
              <w:rPr>
                <w:sz w:val="17"/>
                <w:szCs w:val="17"/>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6"/>
              </w:rPr>
              <w:t>% Change</w:t>
            </w:r>
          </w:p>
        </w:tc>
      </w:tr>
      <w:tr>
        <w:trPr>
          <w:trHeight w:val="201"/>
        </w:trPr>
        <w:tc>
          <w:tcPr>
            <w:tcW w:w="6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Infusion Systems-Smiths Medical</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120" w:type="dxa"/>
            <w:vAlign w:val="bottom"/>
            <w:gridSpan w:val="3"/>
            <w:shd w:val="clear" w:color="auto" w:fill="CCEEFF"/>
          </w:tcPr>
          <w:p>
            <w:pPr>
              <w:ind w:left="620"/>
              <w:spacing w:after="0"/>
              <w:rPr>
                <w:sz w:val="20"/>
                <w:szCs w:val="20"/>
                <w:color w:val="auto"/>
              </w:rPr>
            </w:pPr>
            <w:r>
              <w:rPr>
                <w:rFonts w:ascii="Arial" w:cs="Arial" w:eastAsia="Arial" w:hAnsi="Arial"/>
                <w:sz w:val="15"/>
                <w:szCs w:val="15"/>
                <w:color w:val="auto"/>
              </w:rPr>
              <w:t>—   $</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66.3</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nm</w:t>
            </w:r>
          </w:p>
        </w:tc>
      </w:tr>
    </w:tbl>
    <w:p>
      <w:pPr>
        <w:spacing w:after="0" w:line="310" w:lineRule="exact"/>
        <w:rPr>
          <w:sz w:val="20"/>
          <w:szCs w:val="20"/>
          <w:color w:val="auto"/>
        </w:rPr>
      </w:pPr>
    </w:p>
    <w:p>
      <w:pPr>
        <w:jc w:val="both"/>
        <w:ind w:right="200" w:firstLine="619"/>
        <w:spacing w:after="0" w:line="279" w:lineRule="auto"/>
        <w:rPr>
          <w:sz w:val="20"/>
          <w:szCs w:val="20"/>
          <w:color w:val="auto"/>
        </w:rPr>
      </w:pPr>
      <w:r>
        <w:rPr>
          <w:rFonts w:ascii="Arial" w:cs="Arial" w:eastAsia="Arial" w:hAnsi="Arial"/>
          <w:sz w:val="17"/>
          <w:szCs w:val="17"/>
          <w:color w:val="auto"/>
        </w:rPr>
        <w:t>The Infusion Systems-Smiths Medical revenue is a result of the acquisition of Smiths Medical. The amount in the table above represents approximately three months of revenue from the closing date of the transaction to the end of the quarter.</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4" w:name="page45"/>
    <w:bookmarkEnd w:id="4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Vascular Access-Smiths Medical</w:t>
      </w:r>
    </w:p>
    <w:p>
      <w:pPr>
        <w:spacing w:after="0" w:line="24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summarizes our total Vascular Access revenue (in millions):</w:t>
      </w:r>
    </w:p>
    <w:p>
      <w:pPr>
        <w:spacing w:after="0" w:line="280" w:lineRule="exact"/>
        <w:rPr>
          <w:sz w:val="20"/>
          <w:szCs w:val="20"/>
          <w:color w:val="auto"/>
        </w:rPr>
      </w:pPr>
    </w:p>
    <w:p>
      <w:pPr>
        <w:ind w:left="8200"/>
        <w:spacing w:after="0"/>
        <w:rPr>
          <w:sz w:val="20"/>
          <w:szCs w:val="20"/>
          <w:color w:val="auto"/>
        </w:rPr>
      </w:pPr>
      <w:r>
        <w:rPr>
          <w:rFonts w:ascii="Arial" w:cs="Arial" w:eastAsia="Arial" w:hAnsi="Arial"/>
          <w:sz w:val="15"/>
          <w:szCs w:val="15"/>
          <w:b w:val="1"/>
          <w:bCs w:val="1"/>
          <w:color w:val="auto"/>
        </w:rPr>
        <w:t>Three months ended</w:t>
      </w:r>
    </w:p>
    <w:p>
      <w:pPr>
        <w:ind w:left="8560"/>
        <w:spacing w:after="0"/>
        <w:rPr>
          <w:sz w:val="20"/>
          <w:szCs w:val="20"/>
          <w:color w:val="auto"/>
        </w:rPr>
      </w:pPr>
      <w:r>
        <w:rPr>
          <w:rFonts w:ascii="Arial" w:cs="Arial" w:eastAsia="Arial" w:hAnsi="Arial"/>
          <w:sz w:val="15"/>
          <w:szCs w:val="15"/>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6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03"/>
              <w:spacing w:after="0"/>
              <w:rPr>
                <w:sz w:val="20"/>
                <w:szCs w:val="20"/>
                <w:color w:val="auto"/>
              </w:rPr>
            </w:pPr>
            <w:r>
              <w:rPr>
                <w:rFonts w:ascii="Arial" w:cs="Arial" w:eastAsia="Arial" w:hAnsi="Arial"/>
                <w:sz w:val="15"/>
                <w:szCs w:val="15"/>
                <w:b w:val="1"/>
                <w:bCs w:val="1"/>
                <w:color w:val="auto"/>
              </w:rPr>
              <w:t>2022</w:t>
            </w:r>
          </w:p>
        </w:tc>
        <w:tc>
          <w:tcPr>
            <w:tcW w:w="12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03"/>
              <w:spacing w:after="0"/>
              <w:rPr>
                <w:sz w:val="20"/>
                <w:szCs w:val="20"/>
                <w:color w:val="auto"/>
              </w:rPr>
            </w:pPr>
            <w:r>
              <w:rPr>
                <w:rFonts w:ascii="Arial" w:cs="Arial" w:eastAsia="Arial" w:hAnsi="Arial"/>
                <w:sz w:val="15"/>
                <w:szCs w:val="15"/>
                <w:b w:val="1"/>
                <w:bCs w:val="1"/>
                <w:color w:val="auto"/>
              </w:rPr>
              <w:t>2021</w:t>
            </w:r>
          </w:p>
        </w:tc>
        <w:tc>
          <w:tcPr>
            <w:tcW w:w="120" w:type="dxa"/>
            <w:vAlign w:val="bottom"/>
            <w:tcBorders>
              <w:top w:val="single" w:sz="8" w:color="auto"/>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163"/>
              <w:spacing w:after="0"/>
              <w:rPr>
                <w:sz w:val="20"/>
                <w:szCs w:val="20"/>
                <w:color w:val="auto"/>
              </w:rPr>
            </w:pPr>
            <w:r>
              <w:rPr>
                <w:rFonts w:ascii="Arial" w:cs="Arial" w:eastAsia="Arial" w:hAnsi="Arial"/>
                <w:sz w:val="15"/>
                <w:szCs w:val="15"/>
                <w:b w:val="1"/>
                <w:bCs w:val="1"/>
                <w:color w:val="auto"/>
                <w:w w:val="97"/>
              </w:rPr>
              <w:t>$ Change</w:t>
            </w:r>
          </w:p>
        </w:tc>
        <w:tc>
          <w:tcPr>
            <w:tcW w:w="100" w:type="dxa"/>
            <w:vAlign w:val="bottom"/>
            <w:tcBorders>
              <w:top w:val="single" w:sz="8" w:color="auto"/>
              <w:bottom w:val="single" w:sz="8" w:color="CCEEFF"/>
            </w:tcBorders>
          </w:tcPr>
          <w:p>
            <w:pPr>
              <w:spacing w:after="0"/>
              <w:rPr>
                <w:sz w:val="17"/>
                <w:szCs w:val="17"/>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6"/>
              </w:rPr>
              <w:t>% Change</w:t>
            </w:r>
          </w:p>
        </w:tc>
      </w:tr>
      <w:tr>
        <w:trPr>
          <w:trHeight w:val="201"/>
        </w:trPr>
        <w:tc>
          <w:tcPr>
            <w:tcW w:w="6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Vascular Access-Smiths Medical</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120" w:type="dxa"/>
            <w:vAlign w:val="bottom"/>
            <w:gridSpan w:val="3"/>
            <w:shd w:val="clear" w:color="auto" w:fill="CCEEFF"/>
          </w:tcPr>
          <w:p>
            <w:pPr>
              <w:ind w:left="620"/>
              <w:spacing w:after="0"/>
              <w:rPr>
                <w:sz w:val="20"/>
                <w:szCs w:val="20"/>
                <w:color w:val="auto"/>
              </w:rPr>
            </w:pPr>
            <w:r>
              <w:rPr>
                <w:rFonts w:ascii="Arial" w:cs="Arial" w:eastAsia="Arial" w:hAnsi="Arial"/>
                <w:sz w:val="15"/>
                <w:szCs w:val="15"/>
                <w:color w:val="auto"/>
              </w:rPr>
              <w:t>—   $</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79.0</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nm</w:t>
            </w:r>
          </w:p>
        </w:tc>
      </w:tr>
    </w:tbl>
    <w:p>
      <w:pPr>
        <w:spacing w:after="0" w:line="310" w:lineRule="exact"/>
        <w:rPr>
          <w:sz w:val="20"/>
          <w:szCs w:val="20"/>
          <w:color w:val="auto"/>
        </w:rPr>
      </w:pPr>
    </w:p>
    <w:p>
      <w:pPr>
        <w:ind w:right="260" w:firstLine="619"/>
        <w:spacing w:after="0" w:line="279" w:lineRule="auto"/>
        <w:rPr>
          <w:sz w:val="20"/>
          <w:szCs w:val="20"/>
          <w:color w:val="auto"/>
        </w:rPr>
      </w:pPr>
      <w:r>
        <w:rPr>
          <w:rFonts w:ascii="Arial" w:cs="Arial" w:eastAsia="Arial" w:hAnsi="Arial"/>
          <w:sz w:val="17"/>
          <w:szCs w:val="17"/>
          <w:color w:val="auto"/>
        </w:rPr>
        <w:t>The Vascular Access-Smiths Medical revenue is a result of the acquisition of Smiths Medical. The amount in the table above represents approximately three months of revenue from the closing date of the transaction to the end of the quarter.</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Vital Care-Smiths Medical</w:t>
      </w:r>
    </w:p>
    <w:p>
      <w:pPr>
        <w:spacing w:after="0" w:line="48" w:lineRule="exact"/>
        <w:rPr>
          <w:sz w:val="20"/>
          <w:szCs w:val="20"/>
          <w:color w:val="auto"/>
        </w:rPr>
      </w:pPr>
    </w:p>
    <w:p>
      <w:pPr>
        <w:ind w:left="8200"/>
        <w:spacing w:after="0"/>
        <w:rPr>
          <w:sz w:val="20"/>
          <w:szCs w:val="20"/>
          <w:color w:val="auto"/>
        </w:rPr>
      </w:pPr>
      <w:r>
        <w:rPr>
          <w:rFonts w:ascii="Arial" w:cs="Arial" w:eastAsia="Arial" w:hAnsi="Arial"/>
          <w:sz w:val="15"/>
          <w:szCs w:val="15"/>
          <w:b w:val="1"/>
          <w:bCs w:val="1"/>
          <w:color w:val="auto"/>
        </w:rPr>
        <w:t>Three months ended</w:t>
      </w:r>
    </w:p>
    <w:p>
      <w:pPr>
        <w:ind w:left="8560"/>
        <w:spacing w:after="0"/>
        <w:rPr>
          <w:sz w:val="20"/>
          <w:szCs w:val="20"/>
          <w:color w:val="auto"/>
        </w:rPr>
      </w:pPr>
      <w:r>
        <w:rPr>
          <w:rFonts w:ascii="Arial" w:cs="Arial" w:eastAsia="Arial" w:hAnsi="Arial"/>
          <w:sz w:val="15"/>
          <w:szCs w:val="15"/>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6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03"/>
              <w:spacing w:after="0"/>
              <w:rPr>
                <w:sz w:val="20"/>
                <w:szCs w:val="20"/>
                <w:color w:val="auto"/>
              </w:rPr>
            </w:pPr>
            <w:r>
              <w:rPr>
                <w:rFonts w:ascii="Arial" w:cs="Arial" w:eastAsia="Arial" w:hAnsi="Arial"/>
                <w:sz w:val="15"/>
                <w:szCs w:val="15"/>
                <w:b w:val="1"/>
                <w:bCs w:val="1"/>
                <w:color w:val="auto"/>
              </w:rPr>
              <w:t>2022</w:t>
            </w:r>
          </w:p>
        </w:tc>
        <w:tc>
          <w:tcPr>
            <w:tcW w:w="12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03"/>
              <w:spacing w:after="0"/>
              <w:rPr>
                <w:sz w:val="20"/>
                <w:szCs w:val="20"/>
                <w:color w:val="auto"/>
              </w:rPr>
            </w:pPr>
            <w:r>
              <w:rPr>
                <w:rFonts w:ascii="Arial" w:cs="Arial" w:eastAsia="Arial" w:hAnsi="Arial"/>
                <w:sz w:val="15"/>
                <w:szCs w:val="15"/>
                <w:b w:val="1"/>
                <w:bCs w:val="1"/>
                <w:color w:val="auto"/>
              </w:rPr>
              <w:t>2021</w:t>
            </w:r>
          </w:p>
        </w:tc>
        <w:tc>
          <w:tcPr>
            <w:tcW w:w="120" w:type="dxa"/>
            <w:vAlign w:val="bottom"/>
            <w:tcBorders>
              <w:top w:val="single" w:sz="8" w:color="auto"/>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163"/>
              <w:spacing w:after="0"/>
              <w:rPr>
                <w:sz w:val="20"/>
                <w:szCs w:val="20"/>
                <w:color w:val="auto"/>
              </w:rPr>
            </w:pPr>
            <w:r>
              <w:rPr>
                <w:rFonts w:ascii="Arial" w:cs="Arial" w:eastAsia="Arial" w:hAnsi="Arial"/>
                <w:sz w:val="15"/>
                <w:szCs w:val="15"/>
                <w:b w:val="1"/>
                <w:bCs w:val="1"/>
                <w:color w:val="auto"/>
                <w:w w:val="97"/>
              </w:rPr>
              <w:t>$ Change</w:t>
            </w:r>
          </w:p>
        </w:tc>
        <w:tc>
          <w:tcPr>
            <w:tcW w:w="100" w:type="dxa"/>
            <w:vAlign w:val="bottom"/>
            <w:tcBorders>
              <w:top w:val="single" w:sz="8" w:color="auto"/>
              <w:bottom w:val="single" w:sz="8" w:color="CCEEFF"/>
            </w:tcBorders>
          </w:tcPr>
          <w:p>
            <w:pPr>
              <w:spacing w:after="0"/>
              <w:rPr>
                <w:sz w:val="17"/>
                <w:szCs w:val="17"/>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6"/>
              </w:rPr>
              <w:t>% Change</w:t>
            </w:r>
          </w:p>
        </w:tc>
      </w:tr>
      <w:tr>
        <w:trPr>
          <w:trHeight w:val="201"/>
        </w:trPr>
        <w:tc>
          <w:tcPr>
            <w:tcW w:w="6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Vital Care-Smiths Medical</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69.6</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120" w:type="dxa"/>
            <w:vAlign w:val="bottom"/>
            <w:gridSpan w:val="3"/>
            <w:shd w:val="clear" w:color="auto" w:fill="CCEEFF"/>
          </w:tcPr>
          <w:p>
            <w:pPr>
              <w:ind w:left="620"/>
              <w:spacing w:after="0"/>
              <w:rPr>
                <w:sz w:val="20"/>
                <w:szCs w:val="20"/>
                <w:color w:val="auto"/>
              </w:rPr>
            </w:pPr>
            <w:r>
              <w:rPr>
                <w:rFonts w:ascii="Arial" w:cs="Arial" w:eastAsia="Arial" w:hAnsi="Arial"/>
                <w:sz w:val="15"/>
                <w:szCs w:val="15"/>
                <w:color w:val="auto"/>
              </w:rPr>
              <w:t>—   $</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69.6</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nm</w:t>
            </w:r>
          </w:p>
        </w:tc>
      </w:tr>
    </w:tbl>
    <w:p>
      <w:pPr>
        <w:spacing w:after="0" w:line="297" w:lineRule="exact"/>
        <w:rPr>
          <w:sz w:val="20"/>
          <w:szCs w:val="20"/>
          <w:color w:val="auto"/>
        </w:rPr>
      </w:pPr>
    </w:p>
    <w:p>
      <w:pPr>
        <w:ind w:right="300" w:firstLine="619"/>
        <w:spacing w:after="0" w:line="279" w:lineRule="auto"/>
        <w:rPr>
          <w:sz w:val="20"/>
          <w:szCs w:val="20"/>
          <w:color w:val="auto"/>
        </w:rPr>
      </w:pPr>
      <w:r>
        <w:rPr>
          <w:rFonts w:ascii="Arial" w:cs="Arial" w:eastAsia="Arial" w:hAnsi="Arial"/>
          <w:sz w:val="17"/>
          <w:szCs w:val="17"/>
          <w:color w:val="auto"/>
        </w:rPr>
        <w:t>The Vital Care-Smiths Medical revenue is a result of the acquisition of Smiths Medical. The amount in the table above represents approximately three months of revenue from the closing date of the transaction to the end of the quarter.</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Gross Margins</w:t>
      </w:r>
    </w:p>
    <w:p>
      <w:pPr>
        <w:spacing w:after="0" w:line="243" w:lineRule="exact"/>
        <w:rPr>
          <w:sz w:val="20"/>
          <w:szCs w:val="20"/>
          <w:color w:val="auto"/>
        </w:rPr>
      </w:pPr>
    </w:p>
    <w:p>
      <w:pPr>
        <w:ind w:firstLine="172"/>
        <w:spacing w:after="0" w:line="258" w:lineRule="auto"/>
        <w:rPr>
          <w:sz w:val="20"/>
          <w:szCs w:val="20"/>
          <w:color w:val="auto"/>
        </w:rPr>
      </w:pPr>
      <w:r>
        <w:rPr>
          <w:rFonts w:ascii="Arial" w:cs="Arial" w:eastAsia="Arial" w:hAnsi="Arial"/>
          <w:sz w:val="17"/>
          <w:szCs w:val="17"/>
          <w:color w:val="auto"/>
        </w:rPr>
        <w:t>For the three months ended March 31, 2022 and 2021, gross margins were 31.1% and 35.4%, respectively. The decrease in gross margins for the three months ended March 31, 2022, as compared to the same period in the prior year, was primarily due to the acquisition of Smiths Medical. Smiths Medical gross margins are lower than historical ICU margins for the quarter due to: $13.2 million spending on quality systems and product-related remediation costs; lower manufacturing absorption due to supply chain disruptions; and the impact of inflation and higher freight expediting costs. Legacy ICU gross margins for the quarter were generally consistent with prior year and reflected improvement due to increased sales of higher margin consumables, offset by lower absorption in our Austin manufacturing plant from lower volumes and inflation.</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Selling, General and Administrative (“SG&amp;A”) Expenses</w:t>
      </w:r>
    </w:p>
    <w:p>
      <w:pPr>
        <w:spacing w:after="0" w:line="24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summarizes our total SG&amp;A Expenses (in millions):</w:t>
      </w:r>
    </w:p>
    <w:p>
      <w:pPr>
        <w:spacing w:after="0" w:line="138" w:lineRule="exact"/>
        <w:rPr>
          <w:sz w:val="20"/>
          <w:szCs w:val="20"/>
          <w:color w:val="auto"/>
        </w:rPr>
      </w:pPr>
    </w:p>
    <w:p>
      <w:pPr>
        <w:ind w:left="8160"/>
        <w:spacing w:after="0"/>
        <w:rPr>
          <w:sz w:val="20"/>
          <w:szCs w:val="20"/>
          <w:color w:val="auto"/>
        </w:rPr>
      </w:pPr>
      <w:r>
        <w:rPr>
          <w:rFonts w:ascii="Arial" w:cs="Arial" w:eastAsia="Arial" w:hAnsi="Arial"/>
          <w:sz w:val="15"/>
          <w:szCs w:val="15"/>
          <w:b w:val="1"/>
          <w:bCs w:val="1"/>
          <w:color w:val="auto"/>
        </w:rPr>
        <w:t>Three months ended</w:t>
      </w:r>
    </w:p>
    <w:p>
      <w:pPr>
        <w:ind w:left="8500"/>
        <w:spacing w:after="0"/>
        <w:rPr>
          <w:sz w:val="20"/>
          <w:szCs w:val="20"/>
          <w:color w:val="auto"/>
        </w:rPr>
      </w:pPr>
      <w:r>
        <w:rPr>
          <w:rFonts w:ascii="Arial" w:cs="Arial" w:eastAsia="Arial" w:hAnsi="Arial"/>
          <w:sz w:val="15"/>
          <w:szCs w:val="15"/>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323"/>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303"/>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 Change</w:t>
            </w:r>
          </w:p>
        </w:tc>
        <w:tc>
          <w:tcPr>
            <w:tcW w:w="1220" w:type="dxa"/>
            <w:vAlign w:val="bottom"/>
            <w:tcBorders>
              <w:top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 Change</w:t>
            </w:r>
          </w:p>
        </w:tc>
      </w:tr>
      <w:tr>
        <w:trPr>
          <w:trHeight w:val="201"/>
        </w:trPr>
        <w:tc>
          <w:tcPr>
            <w:tcW w:w="6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SG&amp;A</w:t>
            </w:r>
          </w:p>
        </w:tc>
        <w:tc>
          <w:tcPr>
            <w:tcW w:w="24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8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153.2</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72.4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80.8</w:t>
            </w:r>
          </w:p>
        </w:tc>
        <w:tc>
          <w:tcPr>
            <w:tcW w:w="1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111.6 %</w:t>
            </w:r>
          </w:p>
        </w:tc>
      </w:tr>
    </w:tbl>
    <w:p>
      <w:pPr>
        <w:spacing w:after="0" w:line="284" w:lineRule="exact"/>
        <w:rPr>
          <w:sz w:val="20"/>
          <w:szCs w:val="20"/>
          <w:color w:val="auto"/>
        </w:rPr>
      </w:pPr>
    </w:p>
    <w:p>
      <w:pPr>
        <w:ind w:right="80" w:firstLine="619"/>
        <w:spacing w:after="0" w:line="262" w:lineRule="auto"/>
        <w:rPr>
          <w:sz w:val="20"/>
          <w:szCs w:val="20"/>
          <w:color w:val="auto"/>
        </w:rPr>
      </w:pPr>
      <w:r>
        <w:rPr>
          <w:rFonts w:ascii="Arial" w:cs="Arial" w:eastAsia="Arial" w:hAnsi="Arial"/>
          <w:sz w:val="17"/>
          <w:szCs w:val="17"/>
          <w:color w:val="auto"/>
        </w:rPr>
        <w:t>SG&amp;A expenses increased for the three months ended March 31, 2022, as compared to the same period in the prior year, primarily due to a $72.7 million impact from the acquisition of Smiths Medical, which consisted primarily of $28.0 million of salaries and benefits, $25.1 million of depreciation and amortization expense. Expenses that increased aside from the Smiths Medical acquisition included $5.9 million in stock based compensation. Stock based compensation increased due to a change in the probability of shares expected to be earned.</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(“R&amp;D”) Expenses</w:t>
      </w:r>
    </w:p>
    <w:p>
      <w:pPr>
        <w:spacing w:after="0" w:line="24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summarizes our total R&amp;D Expenses (in millions):</w:t>
      </w:r>
    </w:p>
    <w:p>
      <w:pPr>
        <w:spacing w:after="0" w:line="125" w:lineRule="exact"/>
        <w:rPr>
          <w:sz w:val="20"/>
          <w:szCs w:val="20"/>
          <w:color w:val="auto"/>
        </w:rPr>
      </w:pPr>
    </w:p>
    <w:p>
      <w:pPr>
        <w:ind w:left="8160"/>
        <w:spacing w:after="0"/>
        <w:rPr>
          <w:sz w:val="20"/>
          <w:szCs w:val="20"/>
          <w:color w:val="auto"/>
        </w:rPr>
      </w:pPr>
      <w:r>
        <w:rPr>
          <w:rFonts w:ascii="Arial" w:cs="Arial" w:eastAsia="Arial" w:hAnsi="Arial"/>
          <w:sz w:val="15"/>
          <w:szCs w:val="15"/>
          <w:b w:val="1"/>
          <w:bCs w:val="1"/>
          <w:color w:val="auto"/>
        </w:rPr>
        <w:t>Three months ended</w:t>
      </w:r>
    </w:p>
    <w:p>
      <w:pPr>
        <w:ind w:left="8500"/>
        <w:spacing w:after="0"/>
        <w:rPr>
          <w:sz w:val="20"/>
          <w:szCs w:val="20"/>
          <w:color w:val="auto"/>
        </w:rPr>
      </w:pPr>
      <w:r>
        <w:rPr>
          <w:rFonts w:ascii="Arial" w:cs="Arial" w:eastAsia="Arial" w:hAnsi="Arial"/>
          <w:sz w:val="15"/>
          <w:szCs w:val="15"/>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40" w:type="dxa"/>
            <w:vAlign w:val="bottom"/>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2022</w:t>
            </w:r>
          </w:p>
        </w:tc>
        <w:tc>
          <w:tcPr>
            <w:tcW w:w="3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303"/>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 Change</w:t>
            </w:r>
          </w:p>
        </w:tc>
        <w:tc>
          <w:tcPr>
            <w:tcW w:w="1220" w:type="dxa"/>
            <w:vAlign w:val="bottom"/>
            <w:tcBorders>
              <w:top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 Change</w:t>
            </w:r>
          </w:p>
        </w:tc>
      </w:tr>
      <w:tr>
        <w:trPr>
          <w:trHeight w:val="201"/>
        </w:trPr>
        <w:tc>
          <w:tcPr>
            <w:tcW w:w="6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R&amp;D</w:t>
            </w:r>
          </w:p>
        </w:tc>
        <w:tc>
          <w:tcPr>
            <w:tcW w:w="740" w:type="dxa"/>
            <w:vAlign w:val="bottom"/>
            <w:tcBorders>
              <w:top w:val="single" w:sz="8" w:color="auto"/>
            </w:tcBorders>
            <w:shd w:val="clear" w:color="auto" w:fill="CCEEFF"/>
          </w:tcPr>
          <w:p>
            <w:pPr>
              <w:jc w:val="right"/>
              <w:ind w:right="563"/>
              <w:spacing w:after="0"/>
              <w:rPr>
                <w:sz w:val="20"/>
                <w:szCs w:val="20"/>
                <w:color w:val="auto"/>
              </w:rPr>
            </w:pPr>
            <w:r>
              <w:rPr>
                <w:rFonts w:ascii="Arial" w:cs="Arial" w:eastAsia="Arial" w:hAnsi="Arial"/>
                <w:sz w:val="15"/>
                <w:szCs w:val="15"/>
                <w:color w:val="auto"/>
                <w:w w:val="95"/>
              </w:rPr>
              <w:t>$</w:t>
            </w:r>
          </w:p>
        </w:tc>
        <w:tc>
          <w:tcPr>
            <w:tcW w:w="3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88"/>
              </w:rPr>
              <w:t>23.9</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13.2</w:t>
            </w:r>
          </w:p>
        </w:tc>
        <w:tc>
          <w:tcPr>
            <w:tcW w:w="1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123.4 %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5" w:name="page46"/>
    <w:bookmarkEnd w:id="4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40" w:firstLine="619"/>
        <w:spacing w:after="0" w:line="266" w:lineRule="auto"/>
        <w:rPr>
          <w:sz w:val="20"/>
          <w:szCs w:val="20"/>
          <w:color w:val="auto"/>
        </w:rPr>
      </w:pPr>
      <w:r>
        <w:rPr>
          <w:rFonts w:ascii="Arial" w:cs="Arial" w:eastAsia="Arial" w:hAnsi="Arial"/>
          <w:sz w:val="17"/>
          <w:szCs w:val="17"/>
          <w:color w:val="auto"/>
        </w:rPr>
        <w:t>R&amp;D expenses increased for the three months ended March 31, 2022, as compared to the same period in the prior year primarily due to the acquisition of Smiths Medical. The increase included $11.8 million related to Smiths Medical R&amp;D expenses. R&amp;D expenses during both periods primarily relate to compensation and related benefit expenses on current R&amp;D projects.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Restructuring, Strategic Transaction and Integration Expenses</w:t>
      </w:r>
    </w:p>
    <w:p>
      <w:pPr>
        <w:spacing w:after="0" w:line="243" w:lineRule="exact"/>
        <w:rPr>
          <w:sz w:val="20"/>
          <w:szCs w:val="20"/>
          <w:color w:val="auto"/>
        </w:rPr>
      </w:pPr>
    </w:p>
    <w:p>
      <w:pPr>
        <w:ind w:right="620" w:firstLine="172"/>
        <w:spacing w:after="0" w:line="279" w:lineRule="auto"/>
        <w:rPr>
          <w:sz w:val="20"/>
          <w:szCs w:val="20"/>
          <w:color w:val="auto"/>
        </w:rPr>
      </w:pPr>
      <w:r>
        <w:rPr>
          <w:rFonts w:ascii="Arial" w:cs="Arial" w:eastAsia="Arial" w:hAnsi="Arial"/>
          <w:sz w:val="17"/>
          <w:szCs w:val="17"/>
          <w:color w:val="auto"/>
        </w:rPr>
        <w:t>Restructuring, strategic transaction and integration expenses were $33.9 million and $2.9 million for the three months ended March 31, 2022 and 2021, respectively.</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Restructuring charges</w:t>
      </w:r>
    </w:p>
    <w:p>
      <w:pPr>
        <w:spacing w:after="0" w:line="243" w:lineRule="exact"/>
        <w:rPr>
          <w:sz w:val="20"/>
          <w:szCs w:val="20"/>
          <w:color w:val="auto"/>
        </w:rPr>
      </w:pPr>
    </w:p>
    <w:p>
      <w:pPr>
        <w:ind w:firstLine="172"/>
        <w:spacing w:after="0" w:line="259" w:lineRule="auto"/>
        <w:rPr>
          <w:sz w:val="20"/>
          <w:szCs w:val="20"/>
          <w:color w:val="auto"/>
        </w:rPr>
      </w:pPr>
      <w:r>
        <w:rPr>
          <w:rFonts w:ascii="Arial" w:cs="Arial" w:eastAsia="Arial" w:hAnsi="Arial"/>
          <w:sz w:val="17"/>
          <w:szCs w:val="17"/>
          <w:color w:val="auto"/>
        </w:rPr>
        <w:t>Restructuring charges were $3.2 million for the three months ended March 31, 2022 related to severance costs. We expect to pay unpaid restructuring charges as of March 31, 2022 by the end of 2022. There were no restructuring charges for the three months ended March 31, 2021.</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Strategic transaction and integration expenses</w:t>
      </w:r>
    </w:p>
    <w:p>
      <w:pPr>
        <w:spacing w:after="0" w:line="232" w:lineRule="exact"/>
        <w:rPr>
          <w:sz w:val="20"/>
          <w:szCs w:val="20"/>
          <w:color w:val="auto"/>
        </w:rPr>
      </w:pPr>
    </w:p>
    <w:p>
      <w:pPr>
        <w:ind w:right="40" w:firstLine="172"/>
        <w:spacing w:after="0" w:line="279" w:lineRule="auto"/>
        <w:rPr>
          <w:sz w:val="20"/>
          <w:szCs w:val="20"/>
          <w:color w:val="auto"/>
        </w:rPr>
      </w:pPr>
      <w:r>
        <w:rPr>
          <w:rFonts w:ascii="Arial" w:cs="Arial" w:eastAsia="Arial" w:hAnsi="Arial"/>
          <w:sz w:val="16"/>
          <w:szCs w:val="16"/>
          <w:color w:val="auto"/>
        </w:rPr>
        <w:t>Strategic transaction and integration expenses were $30.7 million and $2.9 million for the three months ended March 31, 2022 and 2021, respectively. The strategic transaction and integration expenses during the three months ended March 31, 2022 were primarily related to our acquisition of Smiths Medical which primarily included legal expenses, bank fees, a United Kingdom stamp tax and employee costs. The strategic transaction and integration expenses during the three months ended March 31, 2021 were primarily related to integration costs associated with previous acquisitions, the Hospira Infusion Systems ("HIS") earn-out dispute with Pfizer and one-time costs incurred to comply with regulatory initiatives.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Contract Settlement</w:t>
      </w:r>
    </w:p>
    <w:p>
      <w:pPr>
        <w:spacing w:after="0" w:line="243" w:lineRule="exact"/>
        <w:rPr>
          <w:sz w:val="20"/>
          <w:szCs w:val="20"/>
          <w:color w:val="auto"/>
        </w:rPr>
      </w:pPr>
    </w:p>
    <w:p>
      <w:pPr>
        <w:ind w:firstLine="172"/>
        <w:spacing w:after="0" w:line="279" w:lineRule="auto"/>
        <w:rPr>
          <w:sz w:val="20"/>
          <w:szCs w:val="20"/>
          <w:color w:val="auto"/>
        </w:rPr>
      </w:pPr>
      <w:r>
        <w:rPr>
          <w:rFonts w:ascii="Arial" w:cs="Arial" w:eastAsia="Arial" w:hAnsi="Arial"/>
          <w:sz w:val="17"/>
          <w:szCs w:val="17"/>
          <w:color w:val="auto"/>
        </w:rPr>
        <w:t>We did not incur contract settlement expense for the three months ended March 31, 2022. For the three months ended March 31, 2021, we recorded $0.1 million in contract settlement expense.</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Expense</w:t>
      </w:r>
    </w:p>
    <w:p>
      <w:pPr>
        <w:spacing w:after="0" w:line="24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Interest expense was $13.6 million and $0.2 million for the three months ended March 31, 2022 and 2021, respectively.</w:t>
      </w:r>
    </w:p>
    <w:p>
      <w:pPr>
        <w:spacing w:after="0" w:line="243" w:lineRule="exact"/>
        <w:rPr>
          <w:sz w:val="20"/>
          <w:szCs w:val="20"/>
          <w:color w:val="auto"/>
        </w:rPr>
      </w:pPr>
    </w:p>
    <w:p>
      <w:pPr>
        <w:ind w:right="40" w:firstLine="619"/>
        <w:spacing w:after="0" w:line="262" w:lineRule="auto"/>
        <w:rPr>
          <w:sz w:val="20"/>
          <w:szCs w:val="20"/>
          <w:color w:val="auto"/>
        </w:rPr>
      </w:pPr>
      <w:r>
        <w:rPr>
          <w:rFonts w:ascii="Arial" w:cs="Arial" w:eastAsia="Arial" w:hAnsi="Arial"/>
          <w:sz w:val="17"/>
          <w:szCs w:val="17"/>
          <w:color w:val="auto"/>
        </w:rPr>
        <w:t>Interest expense for the three months ended March 31, 2022 includes the contractual interest incurred on borrowings under the Credit Agreement, the per annum commitment fee charged on the available amount of the revolving credit facility contained in the Credit Agreement and the amortization of debt issuance costs incurred in connection with entering into the Credit Agreement (see Note 17: Long-Term Debt in our accompanying condensed consolidated financial statements for additional information).</w:t>
      </w:r>
    </w:p>
    <w:p>
      <w:pPr>
        <w:spacing w:after="0" w:line="204" w:lineRule="exact"/>
        <w:rPr>
          <w:sz w:val="20"/>
          <w:szCs w:val="20"/>
          <w:color w:val="auto"/>
        </w:rPr>
      </w:pPr>
    </w:p>
    <w:p>
      <w:pPr>
        <w:ind w:right="40" w:firstLine="619"/>
        <w:spacing w:after="0" w:line="266" w:lineRule="auto"/>
        <w:rPr>
          <w:sz w:val="20"/>
          <w:szCs w:val="20"/>
          <w:color w:val="auto"/>
        </w:rPr>
      </w:pPr>
      <w:r>
        <w:rPr>
          <w:rFonts w:ascii="Arial" w:cs="Arial" w:eastAsia="Arial" w:hAnsi="Arial"/>
          <w:sz w:val="17"/>
          <w:szCs w:val="17"/>
          <w:color w:val="auto"/>
        </w:rPr>
        <w:t>Interest expense for the three months ended March 31, 2021 includes the per annum commitment fee charged on the unused portion of the revolver under our 2017 Credit Facility (the "Prior Credit Facility") and the amortization of financing costs that were incurred in 2017 in connection with entering into the Prior Credit Facility. The Prior Credit Facility was terminated in connection with entering into the Credit Agreement.</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net</w:t>
      </w:r>
    </w:p>
    <w:p>
      <w:pPr>
        <w:spacing w:after="0" w:line="243" w:lineRule="exact"/>
        <w:rPr>
          <w:sz w:val="20"/>
          <w:szCs w:val="20"/>
          <w:color w:val="auto"/>
        </w:rPr>
      </w:pPr>
    </w:p>
    <w:p>
      <w:pPr>
        <w:jc w:val="both"/>
        <w:ind w:right="80" w:firstLine="172"/>
        <w:spacing w:after="0" w:line="307" w:lineRule="auto"/>
        <w:rPr>
          <w:sz w:val="20"/>
          <w:szCs w:val="20"/>
          <w:color w:val="auto"/>
        </w:rPr>
      </w:pPr>
      <w:r>
        <w:rPr>
          <w:rFonts w:ascii="Arial" w:cs="Arial" w:eastAsia="Arial" w:hAnsi="Arial"/>
          <w:sz w:val="15"/>
          <w:szCs w:val="15"/>
          <w:color w:val="auto"/>
        </w:rPr>
        <w:t>Other income netted to $1.0 million and $0.7 million for the three months ended March 31, 2022 and 2021, respectively. For the three months ended March 31, 2022, other income, net was related to $0.6 million of interest income, $0.5 million of miscellaneous income and $0.2 million in foreign exchange gains, partially offset by $0.3 million of loss from disposed assets. For the three months ended March 31, 2021, other income, net was related to $0.7 million of interest income, $0.5 million in foreign exchange gains and $0.2 million of miscellaneous income, partially offset by $0.7 million of loss from disposed assets.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46" w:name="page47"/>
    <w:bookmarkEnd w:id="4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For the three months ended March 31, 2022 and 2021, income taxes were accrued at an estimated effective tax rate of 31% and 12%, respectively.</w:t>
      </w:r>
    </w:p>
    <w:p>
      <w:pPr>
        <w:spacing w:after="0" w:line="254" w:lineRule="exact"/>
        <w:rPr>
          <w:sz w:val="20"/>
          <w:szCs w:val="20"/>
          <w:color w:val="auto"/>
        </w:rPr>
      </w:pPr>
    </w:p>
    <w:p>
      <w:pPr>
        <w:ind w:right="180" w:firstLine="169"/>
        <w:spacing w:after="0" w:line="266" w:lineRule="auto"/>
        <w:rPr>
          <w:sz w:val="20"/>
          <w:szCs w:val="20"/>
          <w:color w:val="auto"/>
        </w:rPr>
      </w:pPr>
      <w:r>
        <w:rPr>
          <w:rFonts w:ascii="Arial" w:cs="Arial" w:eastAsia="Arial" w:hAnsi="Arial"/>
          <w:sz w:val="17"/>
          <w:szCs w:val="17"/>
          <w:color w:val="auto"/>
        </w:rPr>
        <w:t>The effective tax rate for the three months ended March 31, 2022 differs from the federal statutory rate of 21% principally because of the effect of the mix of U.S. and foreign incomes, state income taxes, section 162(m) excess compensation, foreign-derived intangible income ("FDII") and tax credits. The effective tax rate during the three months ended March 31, 2022 included the following:</w:t>
      </w:r>
    </w:p>
    <w:p>
      <w:pPr>
        <w:spacing w:after="0" w:line="201" w:lineRule="exact"/>
        <w:rPr>
          <w:sz w:val="20"/>
          <w:szCs w:val="20"/>
          <w:color w:val="auto"/>
        </w:rPr>
      </w:pPr>
    </w:p>
    <w:p>
      <w:pPr>
        <w:ind w:left="620" w:hanging="307"/>
        <w:spacing w:after="0"/>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Excess tax benefits recognized on stock option exercises and the vesting of restricted stock units during the period of $2.6 million.</w:t>
      </w:r>
    </w:p>
    <w:p>
      <w:pPr>
        <w:spacing w:after="0" w:line="243" w:lineRule="exact"/>
        <w:rPr>
          <w:sz w:val="20"/>
          <w:szCs w:val="20"/>
          <w:color w:val="auto"/>
        </w:rPr>
      </w:pPr>
    </w:p>
    <w:p>
      <w:pPr>
        <w:jc w:val="both"/>
        <w:ind w:right="280" w:firstLine="169"/>
        <w:spacing w:after="0" w:line="318" w:lineRule="auto"/>
        <w:rPr>
          <w:sz w:val="20"/>
          <w:szCs w:val="20"/>
          <w:color w:val="auto"/>
        </w:rPr>
      </w:pPr>
      <w:r>
        <w:rPr>
          <w:rFonts w:ascii="Arial" w:cs="Arial" w:eastAsia="Arial" w:hAnsi="Arial"/>
          <w:sz w:val="15"/>
          <w:szCs w:val="15"/>
          <w:color w:val="auto"/>
        </w:rPr>
        <w:t>The effective tax rate for the three months ended March 31, 2021 differs from the federal statutory rate of 21% principally because of the effect of the mix of U.S. and foreign incomes, state income taxes, GILTI, FDII and tax credits. The effective tax rate during the three months ended March 31, 2021 included a tax benefit of $1.8 million related to the excess tax benefits recognized on stock option exercises and the vesting of restricted stock units during the period.</w:t>
      </w: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Liquidity and Capital Resources</w:t>
      </w:r>
    </w:p>
    <w:p>
      <w:pPr>
        <w:spacing w:after="0" w:line="223" w:lineRule="exact"/>
        <w:rPr>
          <w:sz w:val="20"/>
          <w:szCs w:val="20"/>
          <w:color w:val="auto"/>
        </w:rPr>
      </w:pPr>
    </w:p>
    <w:p>
      <w:pPr>
        <w:ind w:right="300" w:firstLine="619"/>
        <w:spacing w:after="0" w:line="262" w:lineRule="auto"/>
        <w:rPr>
          <w:sz w:val="20"/>
          <w:szCs w:val="20"/>
          <w:color w:val="auto"/>
        </w:rPr>
      </w:pPr>
      <w:r>
        <w:rPr>
          <w:rFonts w:ascii="Arial" w:cs="Arial" w:eastAsia="Arial" w:hAnsi="Arial"/>
          <w:sz w:val="17"/>
          <w:szCs w:val="17"/>
          <w:color w:val="auto"/>
        </w:rPr>
        <w:t>We regularly evaluate our liquidity and capital resources, including our access to external capital, to ensure we can adequately meet our principal cash requirements, which include working capital requirements, planned capital investments in our business, commitments, acquisition restructuring and integration expenses, investments in quality systems and quality compliance objectives, payment of interest expense, repayment of outstanding borrowings, income tax obligations and acquisition opportunities in accordance with our growth strategy.</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Sources of Liquidity</w:t>
      </w:r>
    </w:p>
    <w:p>
      <w:pPr>
        <w:spacing w:after="0" w:line="243" w:lineRule="exact"/>
        <w:rPr>
          <w:sz w:val="20"/>
          <w:szCs w:val="20"/>
          <w:color w:val="auto"/>
        </w:rPr>
      </w:pPr>
    </w:p>
    <w:p>
      <w:pPr>
        <w:ind w:right="640" w:firstLine="619"/>
        <w:spacing w:after="0" w:line="279" w:lineRule="auto"/>
        <w:rPr>
          <w:sz w:val="20"/>
          <w:szCs w:val="20"/>
          <w:color w:val="auto"/>
        </w:rPr>
      </w:pPr>
      <w:r>
        <w:rPr>
          <w:rFonts w:ascii="Arial" w:cs="Arial" w:eastAsia="Arial" w:hAnsi="Arial"/>
          <w:sz w:val="17"/>
          <w:szCs w:val="17"/>
          <w:color w:val="auto"/>
        </w:rPr>
        <w:t>Our primary sources of liquidity are cash and cash equivalents, our short-term investment portfolio, cash flows from our operations and access to borrowing arrangements.</w:t>
      </w:r>
    </w:p>
    <w:p>
      <w:pPr>
        <w:spacing w:after="0" w:line="190" w:lineRule="exact"/>
        <w:rPr>
          <w:sz w:val="20"/>
          <w:szCs w:val="20"/>
          <w:color w:val="auto"/>
        </w:rPr>
      </w:pPr>
    </w:p>
    <w:p>
      <w:pPr>
        <w:ind w:right="300" w:firstLine="619"/>
        <w:spacing w:after="0" w:line="283" w:lineRule="auto"/>
        <w:rPr>
          <w:sz w:val="20"/>
          <w:szCs w:val="20"/>
          <w:color w:val="auto"/>
        </w:rPr>
      </w:pPr>
      <w:r>
        <w:rPr>
          <w:rFonts w:ascii="Arial" w:cs="Arial" w:eastAsia="Arial" w:hAnsi="Arial"/>
          <w:sz w:val="16"/>
          <w:szCs w:val="16"/>
          <w:color w:val="auto"/>
        </w:rPr>
        <w:t>Funds generated from operations are held in cash and cash equivalents and investment securities. During the three months ended March 31, 2022, our cash and cash equivalents and short-term investment securities decreased by $223.0 million from $567.2 million at December 31, 2021 to $344.3 million at March 31, 2022, which was primarily due to our use of existing cash balances to partially fund the Smiths Medical acquisition in January 2022. Our short-term investment portfolio consists of investment-grade corporate bonds and is primarily intended to facilitate capital preservation.</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2022 Credit Agreement and Access to Capital</w:t>
      </w:r>
    </w:p>
    <w:p>
      <w:pPr>
        <w:spacing w:after="0" w:line="243" w:lineRule="exact"/>
        <w:rPr>
          <w:sz w:val="20"/>
          <w:szCs w:val="20"/>
          <w:color w:val="auto"/>
        </w:rPr>
      </w:pPr>
    </w:p>
    <w:p>
      <w:pPr>
        <w:ind w:right="60" w:firstLine="619"/>
        <w:spacing w:after="0" w:line="274" w:lineRule="auto"/>
        <w:rPr>
          <w:sz w:val="20"/>
          <w:szCs w:val="20"/>
          <w:color w:val="auto"/>
        </w:rPr>
      </w:pPr>
      <w:r>
        <w:rPr>
          <w:rFonts w:ascii="Arial" w:cs="Arial" w:eastAsia="Arial" w:hAnsi="Arial"/>
          <w:sz w:val="16"/>
          <w:szCs w:val="16"/>
          <w:color w:val="auto"/>
        </w:rPr>
        <w:t>We entered into the Credit Agreement with various lenders on January 6, 2022 in connection with the closing of the Smiths Medical acquisition. The Credit Agreement provides for a five-year term loan A facility of $850.0 million (the "Term Loan A"), a seven-year term loan B facility of $850.0 million (the "Term Loan B") and a five-year revolving credit facility of $500.0 million (the "Revolving Credit Facility") (collectively, the "Senior Secured Credit Facilities"). The proceeds from the term loans were used to finance a portion of the cash consideration for the Smiths Medical acquisition. The outstanding aggregate principal amount of the term loans is $1.7 billion as of March 31, 2022, which includes the Term Loan A that will mature in January 2027 and the Term Loan B that will mature in January 2029. The proceeds of future borrowings under the Revolving Credit Facility, which expires in January 2027, may be used as a source of liquidity to support our ongoing working capital requirements and other general corporate purposes. There are no outstanding borrowings under the Revolving Credit Facility as of March 31, 2022. As part of entering into the Senior Secured Credit Facilities, we were assigned issuer and Term Loan B credit ratings. At the date of issuance of this report, our issuer and Term Loan B credit ratings assigned and outlook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80" w:type="dxa"/>
            <w:vAlign w:val="bottom"/>
          </w:tcPr>
          <w:p>
            <w:pPr>
              <w:spacing w:after="0"/>
              <w:rPr>
                <w:sz w:val="16"/>
                <w:szCs w:val="16"/>
                <w:color w:val="auto"/>
              </w:rPr>
            </w:pPr>
          </w:p>
        </w:tc>
        <w:tc>
          <w:tcPr>
            <w:tcW w:w="2440" w:type="dxa"/>
            <w:vAlign w:val="bottom"/>
          </w:tcPr>
          <w:p>
            <w:pPr>
              <w:jc w:val="center"/>
              <w:ind w:right="154"/>
              <w:spacing w:after="0"/>
              <w:rPr>
                <w:sz w:val="20"/>
                <w:szCs w:val="20"/>
                <w:color w:val="auto"/>
              </w:rPr>
            </w:pPr>
            <w:r>
              <w:rPr>
                <w:rFonts w:ascii="Arial" w:cs="Arial" w:eastAsia="Arial" w:hAnsi="Arial"/>
                <w:sz w:val="17"/>
                <w:szCs w:val="17"/>
                <w:b w:val="1"/>
                <w:bCs w:val="1"/>
                <w:color w:val="auto"/>
                <w:w w:val="93"/>
              </w:rPr>
              <w:t>Issuer/Term Loan B</w:t>
            </w:r>
          </w:p>
        </w:tc>
        <w:tc>
          <w:tcPr>
            <w:tcW w:w="2020" w:type="dxa"/>
            <w:vAlign w:val="bottom"/>
            <w:vMerge w:val="restart"/>
          </w:tcPr>
          <w:p>
            <w:pPr>
              <w:jc w:val="center"/>
              <w:ind w:right="114"/>
              <w:spacing w:after="0"/>
              <w:rPr>
                <w:sz w:val="20"/>
                <w:szCs w:val="20"/>
                <w:color w:val="auto"/>
              </w:rPr>
            </w:pPr>
            <w:r>
              <w:rPr>
                <w:rFonts w:ascii="Arial" w:cs="Arial" w:eastAsia="Arial" w:hAnsi="Arial"/>
                <w:sz w:val="17"/>
                <w:szCs w:val="17"/>
                <w:b w:val="1"/>
                <w:bCs w:val="1"/>
                <w:color w:val="auto"/>
                <w:w w:val="96"/>
              </w:rPr>
              <w:t>Outlook</w:t>
            </w:r>
          </w:p>
        </w:tc>
        <w:tc>
          <w:tcPr>
            <w:tcW w:w="0" w:type="dxa"/>
            <w:vAlign w:val="bottom"/>
          </w:tcPr>
          <w:p>
            <w:pPr>
              <w:spacing w:after="0"/>
              <w:rPr>
                <w:sz w:val="1"/>
                <w:szCs w:val="1"/>
                <w:color w:val="auto"/>
              </w:rPr>
            </w:pPr>
          </w:p>
        </w:tc>
      </w:tr>
      <w:tr>
        <w:trPr>
          <w:trHeight w:val="219"/>
        </w:trPr>
        <w:tc>
          <w:tcPr>
            <w:tcW w:w="6780" w:type="dxa"/>
            <w:vAlign w:val="bottom"/>
            <w:tcBorders>
              <w:bottom w:val="single" w:sz="8" w:color="CCEEFF"/>
            </w:tcBorders>
          </w:tcPr>
          <w:p>
            <w:pPr>
              <w:spacing w:after="0"/>
              <w:rPr>
                <w:sz w:val="19"/>
                <w:szCs w:val="19"/>
                <w:color w:val="auto"/>
              </w:rPr>
            </w:pPr>
          </w:p>
        </w:tc>
        <w:tc>
          <w:tcPr>
            <w:tcW w:w="2440" w:type="dxa"/>
            <w:vAlign w:val="bottom"/>
            <w:tcBorders>
              <w:bottom w:val="single" w:sz="8" w:color="auto"/>
            </w:tcBorders>
          </w:tcPr>
          <w:p>
            <w:pPr>
              <w:jc w:val="center"/>
              <w:ind w:right="114"/>
              <w:spacing w:after="0"/>
              <w:rPr>
                <w:sz w:val="20"/>
                <w:szCs w:val="20"/>
                <w:color w:val="auto"/>
              </w:rPr>
            </w:pPr>
            <w:r>
              <w:rPr>
                <w:rFonts w:ascii="Arial" w:cs="Arial" w:eastAsia="Arial" w:hAnsi="Arial"/>
                <w:sz w:val="17"/>
                <w:szCs w:val="17"/>
                <w:b w:val="1"/>
                <w:bCs w:val="1"/>
                <w:color w:val="auto"/>
                <w:w w:val="92"/>
              </w:rPr>
              <w:t>Credit Ratings</w:t>
            </w:r>
          </w:p>
        </w:tc>
        <w:tc>
          <w:tcPr>
            <w:tcW w:w="2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7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Moody's</w:t>
            </w:r>
          </w:p>
        </w:tc>
        <w:tc>
          <w:tcPr>
            <w:tcW w:w="2440" w:type="dxa"/>
            <w:vAlign w:val="bottom"/>
            <w:shd w:val="clear" w:color="auto" w:fill="CCEEFF"/>
          </w:tcPr>
          <w:p>
            <w:pPr>
              <w:jc w:val="center"/>
              <w:ind w:right="114"/>
              <w:spacing w:after="0"/>
              <w:rPr>
                <w:sz w:val="20"/>
                <w:szCs w:val="20"/>
                <w:color w:val="auto"/>
              </w:rPr>
            </w:pPr>
            <w:r>
              <w:rPr>
                <w:rFonts w:ascii="Arial" w:cs="Arial" w:eastAsia="Arial" w:hAnsi="Arial"/>
                <w:sz w:val="17"/>
                <w:szCs w:val="17"/>
                <w:color w:val="auto"/>
                <w:w w:val="92"/>
              </w:rPr>
              <w:t>Ba3</w:t>
            </w:r>
          </w:p>
        </w:tc>
        <w:tc>
          <w:tcPr>
            <w:tcW w:w="2020" w:type="dxa"/>
            <w:vAlign w:val="bottom"/>
            <w:shd w:val="clear" w:color="auto" w:fill="CCEEFF"/>
          </w:tcPr>
          <w:p>
            <w:pPr>
              <w:jc w:val="center"/>
              <w:ind w:right="114"/>
              <w:spacing w:after="0"/>
              <w:rPr>
                <w:sz w:val="20"/>
                <w:szCs w:val="20"/>
                <w:color w:val="auto"/>
              </w:rPr>
            </w:pPr>
            <w:r>
              <w:rPr>
                <w:rFonts w:ascii="Arial" w:cs="Arial" w:eastAsia="Arial" w:hAnsi="Arial"/>
                <w:sz w:val="17"/>
                <w:szCs w:val="17"/>
                <w:color w:val="auto"/>
                <w:w w:val="87"/>
              </w:rPr>
              <w:t>Stable</w:t>
            </w:r>
          </w:p>
        </w:tc>
        <w:tc>
          <w:tcPr>
            <w:tcW w:w="0" w:type="dxa"/>
            <w:vAlign w:val="bottom"/>
          </w:tcPr>
          <w:p>
            <w:pPr>
              <w:spacing w:after="0"/>
              <w:rPr>
                <w:sz w:val="1"/>
                <w:szCs w:val="1"/>
                <w:color w:val="auto"/>
              </w:rPr>
            </w:pPr>
          </w:p>
        </w:tc>
      </w:tr>
      <w:tr>
        <w:trPr>
          <w:trHeight w:val="219"/>
        </w:trPr>
        <w:tc>
          <w:tcPr>
            <w:tcW w:w="6780" w:type="dxa"/>
            <w:vAlign w:val="bottom"/>
          </w:tcPr>
          <w:p>
            <w:pPr>
              <w:ind w:left="20"/>
              <w:spacing w:after="0"/>
              <w:rPr>
                <w:sz w:val="20"/>
                <w:szCs w:val="20"/>
                <w:color w:val="auto"/>
              </w:rPr>
            </w:pPr>
            <w:r>
              <w:rPr>
                <w:rFonts w:ascii="Arial" w:cs="Arial" w:eastAsia="Arial" w:hAnsi="Arial"/>
                <w:sz w:val="17"/>
                <w:szCs w:val="17"/>
                <w:b w:val="1"/>
                <w:bCs w:val="1"/>
                <w:color w:val="auto"/>
              </w:rPr>
              <w:t>Fitch</w:t>
            </w:r>
          </w:p>
        </w:tc>
        <w:tc>
          <w:tcPr>
            <w:tcW w:w="2440" w:type="dxa"/>
            <w:vAlign w:val="bottom"/>
          </w:tcPr>
          <w:p>
            <w:pPr>
              <w:jc w:val="center"/>
              <w:ind w:right="114"/>
              <w:spacing w:after="0"/>
              <w:rPr>
                <w:sz w:val="20"/>
                <w:szCs w:val="20"/>
                <w:color w:val="auto"/>
              </w:rPr>
            </w:pPr>
            <w:r>
              <w:rPr>
                <w:rFonts w:ascii="Arial" w:cs="Arial" w:eastAsia="Arial" w:hAnsi="Arial"/>
                <w:sz w:val="17"/>
                <w:szCs w:val="17"/>
                <w:color w:val="auto"/>
              </w:rPr>
              <w:t>BB/BBB-</w:t>
            </w:r>
          </w:p>
        </w:tc>
        <w:tc>
          <w:tcPr>
            <w:tcW w:w="2020" w:type="dxa"/>
            <w:vAlign w:val="bottom"/>
          </w:tcPr>
          <w:p>
            <w:pPr>
              <w:jc w:val="center"/>
              <w:ind w:right="114"/>
              <w:spacing w:after="0"/>
              <w:rPr>
                <w:sz w:val="20"/>
                <w:szCs w:val="20"/>
                <w:color w:val="auto"/>
              </w:rPr>
            </w:pPr>
            <w:r>
              <w:rPr>
                <w:rFonts w:ascii="Arial" w:cs="Arial" w:eastAsia="Arial" w:hAnsi="Arial"/>
                <w:sz w:val="17"/>
                <w:szCs w:val="17"/>
                <w:color w:val="auto"/>
                <w:w w:val="87"/>
              </w:rPr>
              <w:t>Stable</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Standard &amp; Poor's</w:t>
            </w:r>
          </w:p>
        </w:tc>
        <w:tc>
          <w:tcPr>
            <w:tcW w:w="2440" w:type="dxa"/>
            <w:vAlign w:val="bottom"/>
            <w:shd w:val="clear" w:color="auto" w:fill="CCEEFF"/>
          </w:tcPr>
          <w:p>
            <w:pPr>
              <w:jc w:val="center"/>
              <w:ind w:right="114"/>
              <w:spacing w:after="0"/>
              <w:rPr>
                <w:sz w:val="20"/>
                <w:szCs w:val="20"/>
                <w:color w:val="auto"/>
              </w:rPr>
            </w:pPr>
            <w:r>
              <w:rPr>
                <w:rFonts w:ascii="Arial" w:cs="Arial" w:eastAsia="Arial" w:hAnsi="Arial"/>
                <w:sz w:val="17"/>
                <w:szCs w:val="17"/>
                <w:color w:val="auto"/>
              </w:rPr>
              <w:t>BB/BB</w:t>
            </w:r>
          </w:p>
        </w:tc>
        <w:tc>
          <w:tcPr>
            <w:tcW w:w="2020" w:type="dxa"/>
            <w:vAlign w:val="bottom"/>
            <w:shd w:val="clear" w:color="auto" w:fill="CCEEFF"/>
          </w:tcPr>
          <w:p>
            <w:pPr>
              <w:jc w:val="center"/>
              <w:ind w:right="114"/>
              <w:spacing w:after="0"/>
              <w:rPr>
                <w:sz w:val="20"/>
                <w:szCs w:val="20"/>
                <w:color w:val="auto"/>
              </w:rPr>
            </w:pPr>
            <w:r>
              <w:rPr>
                <w:rFonts w:ascii="Arial" w:cs="Arial" w:eastAsia="Arial" w:hAnsi="Arial"/>
                <w:sz w:val="17"/>
                <w:szCs w:val="17"/>
                <w:color w:val="auto"/>
                <w:w w:val="87"/>
              </w:rPr>
              <w:t>Stable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7" w:name="page48"/>
    <w:bookmarkEnd w:id="4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240" w:firstLine="619"/>
        <w:spacing w:after="0" w:line="262" w:lineRule="auto"/>
        <w:rPr>
          <w:sz w:val="20"/>
          <w:szCs w:val="20"/>
          <w:color w:val="auto"/>
        </w:rPr>
      </w:pPr>
      <w:r>
        <w:rPr>
          <w:rFonts w:ascii="Arial" w:cs="Arial" w:eastAsia="Arial" w:hAnsi="Arial"/>
          <w:sz w:val="17"/>
          <w:szCs w:val="17"/>
          <w:color w:val="auto"/>
        </w:rPr>
        <w:t>The Credit Agreement contains financial covenants that pertain to the Term Loan A and the Revolving Credit Facility. Specifically, we are required to maintain a Senior Secured Leverage Ratio of no more than 4.50 to 1.00 until June 30, 2024, with stepdowns to 4.00 to 1.00 thereafter, and an Interest Coverage Ratio of no less than 3.00 to 1.00 (defined and discussed in greater detail in Note 17: Long-Term Debt to our accompanying condensed consolidated financial statements). We were in compliance with these financial covenants as of March 31, 2022.</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2017 Credit Facility</w:t>
      </w:r>
    </w:p>
    <w:p>
      <w:pPr>
        <w:spacing w:after="0" w:line="24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On November 8, 2017, we entered into a five-year revolving credit facility with various lenders for $150.0 million (the "Prior Credit Facility"). The Prior Credit Facility, which was set to expire in November 2022, was terminated upon entering into the new Senior Secured Credit Facilities. There were no outstanding borrowings under the Prior Credit Facility at the time of its termination.</w:t>
      </w:r>
    </w:p>
    <w:p>
      <w:pPr>
        <w:spacing w:after="0" w:line="201" w:lineRule="exact"/>
        <w:rPr>
          <w:sz w:val="20"/>
          <w:szCs w:val="20"/>
          <w:color w:val="auto"/>
        </w:rPr>
      </w:pPr>
    </w:p>
    <w:p>
      <w:pPr>
        <w:ind w:right="80" w:firstLine="619"/>
        <w:spacing w:after="0" w:line="295" w:lineRule="auto"/>
        <w:rPr>
          <w:sz w:val="20"/>
          <w:szCs w:val="20"/>
          <w:color w:val="auto"/>
        </w:rPr>
      </w:pPr>
      <w:r>
        <w:rPr>
          <w:rFonts w:ascii="Arial" w:cs="Arial" w:eastAsia="Arial" w:hAnsi="Arial"/>
          <w:sz w:val="15"/>
          <w:szCs w:val="15"/>
          <w:color w:val="auto"/>
        </w:rPr>
        <w:t>We believe that our existing cash and cash equivalents along with cash flows expected to be generated from future operations and the funds received and accessible under the Senior Secured Credit Facilities will provide us with sufficient liquidity to finance our cash requirements for the next twelve months. In the event that we experience downturns, cyclical fluctuations in our business that are more severe or longer than anticipated, fail to achieve anticipated revenue and expense levels, or have significant unplanned cash expenditures, we may need to obtain or seek alternative sources of capital or financing, and we can provide no assurances that the terms of such capital or financing will be available to us on favorable terms, if at all. Our ability to generate cash flows from operations, issue debt or enter into other financing arrangements on acceptable terms could be adversely affected if there is a material decline in the demand for our products or in the solvency of our customers or suppliers, deterioration in our key financial ratios or credit ratings or other significantly unfavorable changes in conditions. See Part I. Item 1A. "Risk Factors” in our 2021 Annual Report on Form 10-K for discussion of the risks and uncertainties associated with our debt financing.</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Uses of Liquidity</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Capital Expenditures</w:t>
      </w:r>
    </w:p>
    <w:p>
      <w:pPr>
        <w:spacing w:after="0" w:line="243" w:lineRule="exact"/>
        <w:rPr>
          <w:sz w:val="20"/>
          <w:szCs w:val="20"/>
          <w:color w:val="auto"/>
        </w:rPr>
      </w:pPr>
    </w:p>
    <w:p>
      <w:pPr>
        <w:ind w:right="480" w:firstLine="619"/>
        <w:spacing w:after="0" w:line="279" w:lineRule="auto"/>
        <w:rPr>
          <w:sz w:val="20"/>
          <w:szCs w:val="20"/>
          <w:color w:val="auto"/>
        </w:rPr>
      </w:pPr>
      <w:r>
        <w:rPr>
          <w:rFonts w:ascii="Arial" w:cs="Arial" w:eastAsia="Arial" w:hAnsi="Arial"/>
          <w:sz w:val="17"/>
          <w:szCs w:val="17"/>
          <w:color w:val="auto"/>
        </w:rPr>
        <w:t>At March 31, 2022, there have been no material changes to our estimate for 2022 planned capital expenditures, as previously disclosed in our 2021 Annual Report on Form 10-K.</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Contractual Obligations</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principal commitments at March 31, 2022 include both short and long-term future obligations.</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Operating Leases</w:t>
      </w:r>
    </w:p>
    <w:p>
      <w:pPr>
        <w:spacing w:after="0" w:line="243" w:lineRule="exact"/>
        <w:rPr>
          <w:sz w:val="20"/>
          <w:szCs w:val="20"/>
          <w:color w:val="auto"/>
        </w:rPr>
      </w:pPr>
    </w:p>
    <w:p>
      <w:pPr>
        <w:ind w:right="340" w:firstLine="619"/>
        <w:spacing w:after="0" w:line="266" w:lineRule="auto"/>
        <w:rPr>
          <w:sz w:val="20"/>
          <w:szCs w:val="20"/>
          <w:color w:val="auto"/>
        </w:rPr>
      </w:pPr>
      <w:r>
        <w:rPr>
          <w:rFonts w:ascii="Arial" w:cs="Arial" w:eastAsia="Arial" w:hAnsi="Arial"/>
          <w:sz w:val="17"/>
          <w:szCs w:val="17"/>
          <w:color w:val="auto"/>
        </w:rPr>
        <w:t>We have non-cancelable operating lease agreements where we are contractually obligated for certain lease payment amounts. We assumed additional operating leases as a result of our acquisition of Smiths Medical. For more information regarding our operating lease obligations, (see Note 6: Leases to our accompanying condensed consolidated financial statements).</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Long-term Debt</w:t>
      </w:r>
    </w:p>
    <w:p>
      <w:pPr>
        <w:spacing w:after="0" w:line="243" w:lineRule="exact"/>
        <w:rPr>
          <w:sz w:val="20"/>
          <w:szCs w:val="20"/>
          <w:color w:val="auto"/>
        </w:rPr>
      </w:pPr>
    </w:p>
    <w:p>
      <w:pPr>
        <w:ind w:right="60" w:firstLine="619"/>
        <w:spacing w:after="0" w:line="257" w:lineRule="auto"/>
        <w:rPr>
          <w:sz w:val="20"/>
          <w:szCs w:val="20"/>
          <w:color w:val="auto"/>
        </w:rPr>
      </w:pPr>
      <w:r>
        <w:rPr>
          <w:rFonts w:ascii="Arial" w:cs="Arial" w:eastAsia="Arial" w:hAnsi="Arial"/>
          <w:sz w:val="17"/>
          <w:szCs w:val="17"/>
          <w:color w:val="auto"/>
        </w:rPr>
        <w:t>As discussed above, in January 2022, we incurred borrowings under Senior Secured Credit Facilities. The principal repayment obligations and estimated interest payments on the term loans and estimated commitment fee payments on the revolver are estimated in the table below. Interest payments on the term loans were estimated using an Adjusted Term SOFR rate and an initial applicable margin of 1.75% for Term Loan A and 2.50% for Term Loan B and the revolver commitment fees were estimated using the initial rate of 0.25%. The applicable margin rate and commitment fee rate will change from time to time in accordance with a preset pricing grid based on the leverage ratio (see Note 17: Long-Term Debt to our accompanying condensed consolidated financial statements for pricing grids related to the Senior Secured Credit Facilities). We expect to fund these obligations with our existing cash and cash equivalents and cash generated from our future operations.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48" w:name="page49"/>
    <w:bookmarkEnd w:id="4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060" w:type="dxa"/>
            <w:vAlign w:val="bottom"/>
          </w:tcPr>
          <w:p>
            <w:pPr>
              <w:spacing w:after="0"/>
              <w:rPr>
                <w:sz w:val="19"/>
                <w:szCs w:val="19"/>
                <w:color w:val="auto"/>
              </w:rPr>
            </w:pPr>
          </w:p>
        </w:tc>
        <w:tc>
          <w:tcPr>
            <w:tcW w:w="1140" w:type="dxa"/>
            <w:vAlign w:val="bottom"/>
            <w:gridSpan w:val="2"/>
            <w:vMerge w:val="restart"/>
          </w:tcPr>
          <w:p>
            <w:pPr>
              <w:jc w:val="right"/>
              <w:spacing w:after="0"/>
              <w:rPr>
                <w:sz w:val="20"/>
                <w:szCs w:val="20"/>
                <w:color w:val="auto"/>
              </w:rPr>
            </w:pPr>
            <w:r>
              <w:rPr>
                <w:rFonts w:ascii="Arial" w:cs="Arial" w:eastAsia="Arial" w:hAnsi="Arial"/>
                <w:sz w:val="17"/>
                <w:szCs w:val="17"/>
                <w:b w:val="1"/>
                <w:bCs w:val="1"/>
                <w:color w:val="auto"/>
                <w:w w:val="97"/>
              </w:rPr>
              <w:t>Remainder of</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14"/>
              <w:spacing w:after="0"/>
              <w:rPr>
                <w:sz w:val="20"/>
                <w:szCs w:val="20"/>
                <w:color w:val="auto"/>
              </w:rPr>
            </w:pPr>
            <w:r>
              <w:rPr>
                <w:rFonts w:ascii="Arial" w:cs="Arial" w:eastAsia="Arial" w:hAnsi="Arial"/>
                <w:sz w:val="17"/>
                <w:szCs w:val="17"/>
                <w:b w:val="1"/>
                <w:bCs w:val="1"/>
                <w:color w:val="auto"/>
                <w:w w:val="94"/>
              </w:rPr>
              <w:t>(in millions)</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0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vMerge w:val="restart"/>
          </w:tcPr>
          <w:p>
            <w:pPr>
              <w:jc w:val="right"/>
              <w:ind w:right="294"/>
              <w:spacing w:after="0"/>
              <w:rPr>
                <w:sz w:val="20"/>
                <w:szCs w:val="20"/>
                <w:color w:val="auto"/>
              </w:rPr>
            </w:pPr>
            <w:r>
              <w:rPr>
                <w:rFonts w:ascii="Arial" w:cs="Arial" w:eastAsia="Arial" w:hAnsi="Arial"/>
                <w:sz w:val="17"/>
                <w:szCs w:val="17"/>
                <w:b w:val="1"/>
                <w:bCs w:val="1"/>
                <w:color w:val="auto"/>
              </w:rPr>
              <w:t>2023</w:t>
            </w:r>
          </w:p>
        </w:tc>
        <w:tc>
          <w:tcPr>
            <w:tcW w:w="280" w:type="dxa"/>
            <w:vAlign w:val="bottom"/>
          </w:tcPr>
          <w:p>
            <w:pPr>
              <w:spacing w:after="0"/>
              <w:rPr>
                <w:sz w:val="14"/>
                <w:szCs w:val="14"/>
                <w:color w:val="auto"/>
              </w:rPr>
            </w:pPr>
          </w:p>
        </w:tc>
        <w:tc>
          <w:tcPr>
            <w:tcW w:w="880" w:type="dxa"/>
            <w:vAlign w:val="bottom"/>
            <w:vMerge w:val="restart"/>
          </w:tcPr>
          <w:p>
            <w:pPr>
              <w:jc w:val="right"/>
              <w:ind w:right="294"/>
              <w:spacing w:after="0"/>
              <w:rPr>
                <w:sz w:val="20"/>
                <w:szCs w:val="20"/>
                <w:color w:val="auto"/>
              </w:rPr>
            </w:pPr>
            <w:r>
              <w:rPr>
                <w:rFonts w:ascii="Arial" w:cs="Arial" w:eastAsia="Arial" w:hAnsi="Arial"/>
                <w:sz w:val="17"/>
                <w:szCs w:val="17"/>
                <w:b w:val="1"/>
                <w:bCs w:val="1"/>
                <w:color w:val="auto"/>
              </w:rPr>
              <w:t>2024</w:t>
            </w:r>
          </w:p>
        </w:tc>
        <w:tc>
          <w:tcPr>
            <w:tcW w:w="140" w:type="dxa"/>
            <w:vAlign w:val="bottom"/>
          </w:tcPr>
          <w:p>
            <w:pPr>
              <w:spacing w:after="0"/>
              <w:rPr>
                <w:sz w:val="14"/>
                <w:szCs w:val="14"/>
                <w:color w:val="auto"/>
              </w:rPr>
            </w:pPr>
          </w:p>
        </w:tc>
        <w:tc>
          <w:tcPr>
            <w:tcW w:w="1020" w:type="dxa"/>
            <w:vAlign w:val="bottom"/>
            <w:vMerge w:val="restart"/>
          </w:tcPr>
          <w:p>
            <w:pPr>
              <w:jc w:val="right"/>
              <w:ind w:right="294"/>
              <w:spacing w:after="0"/>
              <w:rPr>
                <w:sz w:val="20"/>
                <w:szCs w:val="20"/>
                <w:color w:val="auto"/>
              </w:rPr>
            </w:pPr>
            <w:r>
              <w:rPr>
                <w:rFonts w:ascii="Arial" w:cs="Arial" w:eastAsia="Arial" w:hAnsi="Arial"/>
                <w:sz w:val="17"/>
                <w:szCs w:val="17"/>
                <w:b w:val="1"/>
                <w:bCs w:val="1"/>
                <w:color w:val="auto"/>
              </w:rPr>
              <w:t>2025</w:t>
            </w:r>
          </w:p>
        </w:tc>
        <w:tc>
          <w:tcPr>
            <w:tcW w:w="280" w:type="dxa"/>
            <w:vAlign w:val="bottom"/>
          </w:tcPr>
          <w:p>
            <w:pPr>
              <w:spacing w:after="0"/>
              <w:rPr>
                <w:sz w:val="14"/>
                <w:szCs w:val="14"/>
                <w:color w:val="auto"/>
              </w:rPr>
            </w:pPr>
          </w:p>
        </w:tc>
        <w:tc>
          <w:tcPr>
            <w:tcW w:w="880" w:type="dxa"/>
            <w:vAlign w:val="bottom"/>
            <w:vMerge w:val="restart"/>
          </w:tcPr>
          <w:p>
            <w:pPr>
              <w:jc w:val="right"/>
              <w:ind w:right="294"/>
              <w:spacing w:after="0"/>
              <w:rPr>
                <w:sz w:val="20"/>
                <w:szCs w:val="20"/>
                <w:color w:val="auto"/>
              </w:rPr>
            </w:pPr>
            <w:r>
              <w:rPr>
                <w:rFonts w:ascii="Arial" w:cs="Arial" w:eastAsia="Arial" w:hAnsi="Arial"/>
                <w:sz w:val="17"/>
                <w:szCs w:val="17"/>
                <w:b w:val="1"/>
                <w:bCs w:val="1"/>
                <w:color w:val="auto"/>
              </w:rPr>
              <w:t>2026</w:t>
            </w:r>
          </w:p>
        </w:tc>
        <w:tc>
          <w:tcPr>
            <w:tcW w:w="280" w:type="dxa"/>
            <w:vAlign w:val="bottom"/>
          </w:tcPr>
          <w:p>
            <w:pPr>
              <w:spacing w:after="0"/>
              <w:rPr>
                <w:sz w:val="14"/>
                <w:szCs w:val="14"/>
                <w:color w:val="auto"/>
              </w:rPr>
            </w:pPr>
          </w:p>
        </w:tc>
        <w:tc>
          <w:tcPr>
            <w:tcW w:w="880" w:type="dxa"/>
            <w:vAlign w:val="bottom"/>
            <w:vMerge w:val="restart"/>
          </w:tcPr>
          <w:p>
            <w:pPr>
              <w:jc w:val="right"/>
              <w:ind w:right="294"/>
              <w:spacing w:after="0"/>
              <w:rPr>
                <w:sz w:val="20"/>
                <w:szCs w:val="20"/>
                <w:color w:val="auto"/>
              </w:rPr>
            </w:pPr>
            <w:r>
              <w:rPr>
                <w:rFonts w:ascii="Arial" w:cs="Arial" w:eastAsia="Arial" w:hAnsi="Arial"/>
                <w:sz w:val="17"/>
                <w:szCs w:val="17"/>
                <w:b w:val="1"/>
                <w:bCs w:val="1"/>
                <w:color w:val="auto"/>
              </w:rPr>
              <w:t>2027</w:t>
            </w:r>
          </w:p>
        </w:tc>
        <w:tc>
          <w:tcPr>
            <w:tcW w:w="180" w:type="dxa"/>
            <w:vAlign w:val="bottom"/>
          </w:tcPr>
          <w:p>
            <w:pPr>
              <w:spacing w:after="0"/>
              <w:rPr>
                <w:sz w:val="14"/>
                <w:szCs w:val="14"/>
                <w:color w:val="auto"/>
              </w:rPr>
            </w:pPr>
          </w:p>
        </w:tc>
        <w:tc>
          <w:tcPr>
            <w:tcW w:w="1040" w:type="dxa"/>
            <w:vAlign w:val="bottom"/>
            <w:vMerge w:val="restart"/>
          </w:tcPr>
          <w:p>
            <w:pPr>
              <w:jc w:val="right"/>
              <w:ind w:right="114"/>
              <w:spacing w:after="0"/>
              <w:rPr>
                <w:sz w:val="20"/>
                <w:szCs w:val="20"/>
                <w:color w:val="auto"/>
              </w:rPr>
            </w:pPr>
            <w:r>
              <w:rPr>
                <w:rFonts w:ascii="Arial" w:cs="Arial" w:eastAsia="Arial" w:hAnsi="Arial"/>
                <w:sz w:val="17"/>
                <w:szCs w:val="17"/>
                <w:b w:val="1"/>
                <w:bCs w:val="1"/>
                <w:color w:val="auto"/>
                <w:w w:val="98"/>
              </w:rPr>
              <w:t>Thereafter</w:t>
            </w:r>
          </w:p>
        </w:tc>
        <w:tc>
          <w:tcPr>
            <w:tcW w:w="0" w:type="dxa"/>
            <w:vAlign w:val="bottom"/>
          </w:tcPr>
          <w:p>
            <w:pPr>
              <w:spacing w:after="0"/>
              <w:rPr>
                <w:sz w:val="1"/>
                <w:szCs w:val="1"/>
                <w:color w:val="auto"/>
              </w:rPr>
            </w:pPr>
          </w:p>
        </w:tc>
      </w:tr>
      <w:tr>
        <w:trPr>
          <w:trHeight w:val="219"/>
        </w:trPr>
        <w:tc>
          <w:tcPr>
            <w:tcW w:w="30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2022</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Term Loan A Principal Payments</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1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 $</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w:t>
            </w: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42.5</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42.5</w:t>
            </w: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63.8</w:t>
            </w: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664.0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3060" w:type="dxa"/>
            <w:vAlign w:val="bottom"/>
          </w:tcPr>
          <w:p>
            <w:pPr>
              <w:ind w:left="20"/>
              <w:spacing w:after="0"/>
              <w:rPr>
                <w:sz w:val="20"/>
                <w:szCs w:val="20"/>
                <w:color w:val="auto"/>
              </w:rPr>
            </w:pPr>
            <w:r>
              <w:rPr>
                <w:rFonts w:ascii="Arial" w:cs="Arial" w:eastAsia="Arial" w:hAnsi="Arial"/>
                <w:sz w:val="17"/>
                <w:szCs w:val="17"/>
                <w:color w:val="auto"/>
              </w:rPr>
              <w:t>Term Loan A Interest Payments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25.3</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39.0</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34.6</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29.8</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26.7</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0.3</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3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Term Loan B Principal Payments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801.1</w:t>
            </w:r>
          </w:p>
        </w:tc>
        <w:tc>
          <w:tcPr>
            <w:tcW w:w="0" w:type="dxa"/>
            <w:vAlign w:val="bottom"/>
          </w:tcPr>
          <w:p>
            <w:pPr>
              <w:spacing w:after="0"/>
              <w:rPr>
                <w:sz w:val="1"/>
                <w:szCs w:val="1"/>
                <w:color w:val="auto"/>
              </w:rPr>
            </w:pPr>
          </w:p>
        </w:tc>
      </w:tr>
      <w:tr>
        <w:trPr>
          <w:trHeight w:val="218"/>
        </w:trPr>
        <w:tc>
          <w:tcPr>
            <w:tcW w:w="3060" w:type="dxa"/>
            <w:vAlign w:val="bottom"/>
          </w:tcPr>
          <w:p>
            <w:pPr>
              <w:ind w:left="20"/>
              <w:spacing w:after="0"/>
              <w:rPr>
                <w:sz w:val="20"/>
                <w:szCs w:val="20"/>
                <w:color w:val="auto"/>
              </w:rPr>
            </w:pPr>
            <w:r>
              <w:rPr>
                <w:rFonts w:ascii="Arial" w:cs="Arial" w:eastAsia="Arial" w:hAnsi="Arial"/>
                <w:sz w:val="17"/>
                <w:szCs w:val="17"/>
                <w:color w:val="auto"/>
              </w:rPr>
              <w:t>Term Loan B Interest Payments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32.5</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44.9</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43.4</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40.8</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39.0</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38.4</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41.1</w:t>
            </w: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Revolver Commitment Fee</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306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65.1</w:t>
            </w: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114.8</w:t>
            </w: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130.0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122.4</w:t>
            </w: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138.8</w:t>
            </w: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711.4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842.2</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Minimum Purchase Obligations</w:t>
      </w:r>
    </w:p>
    <w:p>
      <w:pPr>
        <w:spacing w:after="0" w:line="243" w:lineRule="exact"/>
        <w:rPr>
          <w:sz w:val="20"/>
          <w:szCs w:val="20"/>
          <w:color w:val="auto"/>
        </w:rPr>
      </w:pPr>
    </w:p>
    <w:p>
      <w:pPr>
        <w:ind w:firstLine="619"/>
        <w:spacing w:after="0" w:line="262" w:lineRule="auto"/>
        <w:rPr>
          <w:sz w:val="20"/>
          <w:szCs w:val="20"/>
          <w:color w:val="auto"/>
        </w:rPr>
      </w:pPr>
      <w:r>
        <w:rPr>
          <w:rFonts w:ascii="Arial" w:cs="Arial" w:eastAsia="Arial" w:hAnsi="Arial"/>
          <w:sz w:val="17"/>
          <w:szCs w:val="17"/>
          <w:color w:val="auto"/>
        </w:rPr>
        <w:t>On February 1, 2022, effective as of January 1, 2022, upon our request, Pfizer executed a Product Addendum (the "Product Addendum") to our Manufacturing and Supply Agreements to supply us with additional product subject to certain time and pricing terms and conditions (see Note 20: Collaborative and Other Arrangements to our accompanying condensed consolidated financial statements for additional information). As of March 31, 2022, we had satisfied the minimum purchase obligations under the Product Addendum. The Product Addendum expires on November 30, 2022.</w:t>
      </w:r>
    </w:p>
    <w:p>
      <w:pPr>
        <w:spacing w:after="0" w:line="204"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Other Future Capital Investments</w:t>
      </w:r>
    </w:p>
    <w:p>
      <w:pPr>
        <w:spacing w:after="0" w:line="243" w:lineRule="exact"/>
        <w:rPr>
          <w:sz w:val="20"/>
          <w:szCs w:val="20"/>
          <w:color w:val="auto"/>
        </w:rPr>
      </w:pPr>
    </w:p>
    <w:p>
      <w:pPr>
        <w:ind w:right="40" w:firstLine="619"/>
        <w:spacing w:after="0" w:line="279" w:lineRule="auto"/>
        <w:rPr>
          <w:sz w:val="20"/>
          <w:szCs w:val="20"/>
          <w:color w:val="auto"/>
        </w:rPr>
      </w:pPr>
      <w:r>
        <w:rPr>
          <w:rFonts w:ascii="Arial" w:cs="Arial" w:eastAsia="Arial" w:hAnsi="Arial"/>
          <w:sz w:val="17"/>
          <w:szCs w:val="17"/>
          <w:color w:val="auto"/>
        </w:rPr>
        <w:t>At March 31, 2022, there have been no material changes to our estimate for restructuring and integration expenses along with spending to support quality systems and quality compliance objectives, as previously disclosed in our 2021 Annual Report on Form 10-K.</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Indemnifications</w:t>
      </w:r>
    </w:p>
    <w:p>
      <w:pPr>
        <w:spacing w:after="0" w:line="249" w:lineRule="exact"/>
        <w:rPr>
          <w:sz w:val="20"/>
          <w:szCs w:val="20"/>
          <w:color w:val="auto"/>
        </w:rPr>
      </w:pPr>
    </w:p>
    <w:p>
      <w:pPr>
        <w:jc w:val="both"/>
        <w:ind w:right="300" w:firstLine="619"/>
        <w:spacing w:after="0" w:line="318" w:lineRule="auto"/>
        <w:rPr>
          <w:sz w:val="20"/>
          <w:szCs w:val="20"/>
          <w:color w:val="auto"/>
        </w:rPr>
      </w:pPr>
      <w:r>
        <w:rPr>
          <w:rFonts w:ascii="Arial" w:cs="Arial" w:eastAsia="Arial" w:hAnsi="Arial"/>
          <w:sz w:val="15"/>
          <w:szCs w:val="15"/>
          <w:color w:val="auto"/>
        </w:rPr>
        <w:t>In the normal course of business, we have agreed to indemnify our officers and directors to the maximum extent permitted under Delaware law and to indemnify customers as to certain intellectual property matters related to sales of our products. There is no maximum limit on the indemnification that may be required under these agreements. Although we can provide no assurances, we have never incurred, nor do we expect to incur, any liability for indemnification.</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Historical Cash Flows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 from Operating Activities</w:t>
      </w:r>
    </w:p>
    <w:p>
      <w:pPr>
        <w:spacing w:after="0" w:line="243" w:lineRule="exact"/>
        <w:rPr>
          <w:sz w:val="20"/>
          <w:szCs w:val="20"/>
          <w:color w:val="auto"/>
        </w:rPr>
      </w:pPr>
    </w:p>
    <w:p>
      <w:pPr>
        <w:ind w:firstLine="619"/>
        <w:spacing w:after="0" w:line="273" w:lineRule="auto"/>
        <w:rPr>
          <w:sz w:val="20"/>
          <w:szCs w:val="20"/>
          <w:color w:val="auto"/>
        </w:rPr>
      </w:pPr>
      <w:r>
        <w:rPr>
          <w:rFonts w:ascii="Arial" w:cs="Arial" w:eastAsia="Arial" w:hAnsi="Arial"/>
          <w:sz w:val="16"/>
          <w:szCs w:val="16"/>
          <w:color w:val="auto"/>
        </w:rPr>
        <w:t>Our net cash used in operations for the three months ended March 31, 2022 was $1.3 million. Net income plus adjustments for non-cash net expenses contributed $49.9 million. Net cash used in operations as a result of changes in operating assets and liabilities was $51.3 million. The changes in operating assets and liabilities included a $36.2 million increase in inventories, a $14.4 million increase in other assets, a $19.2 million decrease in accrued liabilities and $26.1 million in net changes in income taxes, including excess tax benefits and deferred income taxes. Offsetting these amounts was a $22.5 million decrease in accounts receivable, a $2.6 million decrease in prepaid expenses and other current assets and a $19.5 million increase in accounts payable. The increase in inventory was primarily due to the increase in safety stock. The increase in other assets was due to the purchase of spare parts and the capitalization of debt issuance costs allocated to the revolving credit facility. The decrease in accrued liabilities was primarily due to the payout of annual bonuses. The net changes in income taxes was a result of the timing of payments. The decrease in accounts receivable is primarily due to collection efforts and the timing of revenue. The net decrease in prepaid expenses and other current assets was primarily due to a decrease in deferred costs mostly offset by capitalized debt issuance costs allocated to the revolving credit facility. The increase in accounts payable was due to the timing of payments.</w:t>
      </w:r>
    </w:p>
    <w:p>
      <w:pPr>
        <w:spacing w:after="0" w:line="202" w:lineRule="exact"/>
        <w:rPr>
          <w:sz w:val="20"/>
          <w:szCs w:val="20"/>
          <w:color w:val="auto"/>
        </w:rPr>
      </w:pPr>
    </w:p>
    <w:p>
      <w:pPr>
        <w:ind w:right="20" w:firstLine="619"/>
        <w:spacing w:after="0" w:line="283" w:lineRule="auto"/>
        <w:rPr>
          <w:sz w:val="20"/>
          <w:szCs w:val="20"/>
          <w:color w:val="auto"/>
        </w:rPr>
      </w:pPr>
      <w:r>
        <w:rPr>
          <w:rFonts w:ascii="Arial" w:cs="Arial" w:eastAsia="Arial" w:hAnsi="Arial"/>
          <w:sz w:val="16"/>
          <w:szCs w:val="16"/>
          <w:color w:val="auto"/>
        </w:rPr>
        <w:t>Our net cash provided by operations for the three months ended March 31, 2021 was $51.3 million. Net income plus adjustments for non-cash net expenses contributed $56.9 million. Net cash used in operations as a result of changes in operating assets and liabilities was $5.6 million. The changes in operating assets and liabilities included a $20.0 million decrease in accrued liabilities, a $3.5 million increase in other assets and a $0.7 million increase in prepaid expenses and other assets. Offsetting these amounts was a $13.2 million decrease in inventories, a $2.4 million increase in accounts payable, a $1.5</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9" w:name="page50"/>
    <w:bookmarkEnd w:id="4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120"/>
        <w:spacing w:after="0" w:line="256" w:lineRule="auto"/>
        <w:rPr>
          <w:sz w:val="20"/>
          <w:szCs w:val="20"/>
          <w:color w:val="auto"/>
        </w:rPr>
      </w:pPr>
      <w:r>
        <w:rPr>
          <w:rFonts w:ascii="Arial" w:cs="Arial" w:eastAsia="Arial" w:hAnsi="Arial"/>
          <w:sz w:val="17"/>
          <w:szCs w:val="17"/>
          <w:color w:val="auto"/>
        </w:rPr>
        <w:t>million decrease in accounts receivable and $1.4 million in net changes in income taxes, including excess tax benefits and deferred income taxes. The decrease in accrued liabilities was primarily due to the payment of annual bonuses. The net increase in prepaid expenses and other current assets was primarily due to the payment of annual software renewals, offset by the amortization of prepaid insurance and property taxes. The increase in other assets was due to the purchase of spare parts. The</w:t>
      </w:r>
    </w:p>
    <w:p>
      <w:pPr>
        <w:spacing w:after="0" w:line="2" w:lineRule="exact"/>
        <w:rPr>
          <w:sz w:val="20"/>
          <w:szCs w:val="20"/>
          <w:color w:val="auto"/>
        </w:rPr>
      </w:pPr>
    </w:p>
    <w:p>
      <w:pPr>
        <w:jc w:val="both"/>
        <w:ind w:right="80"/>
        <w:spacing w:after="0" w:line="259" w:lineRule="auto"/>
        <w:rPr>
          <w:sz w:val="20"/>
          <w:szCs w:val="20"/>
          <w:color w:val="auto"/>
        </w:rPr>
      </w:pPr>
      <w:r>
        <w:rPr>
          <w:rFonts w:ascii="Arial" w:cs="Arial" w:eastAsia="Arial" w:hAnsi="Arial"/>
          <w:sz w:val="17"/>
          <w:szCs w:val="17"/>
          <w:color w:val="auto"/>
        </w:rPr>
        <w:t>decrease in inventory was primarily due to the timing of production and customer purchases combined with the reduction in capitalized manufacturing variances. The increase in accounts payable was due to the timing of payments. The decrease in accounts receivable is primarily due to collection efforts. The net changes in income taxes was a result of the timing of payments.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520" w:type="dxa"/>
            <w:vAlign w:val="bottom"/>
          </w:tcPr>
          <w:p>
            <w:pPr>
              <w:spacing w:after="0"/>
              <w:rPr>
                <w:sz w:val="20"/>
                <w:szCs w:val="20"/>
                <w:color w:val="auto"/>
              </w:rPr>
            </w:pPr>
            <w:r>
              <w:rPr>
                <w:rFonts w:ascii="Arial" w:cs="Arial" w:eastAsia="Arial" w:hAnsi="Arial"/>
                <w:sz w:val="17"/>
                <w:szCs w:val="17"/>
                <w:b w:val="1"/>
                <w:bCs w:val="1"/>
                <w:i w:val="1"/>
                <w:iCs w:val="1"/>
                <w:color w:val="auto"/>
              </w:rPr>
              <w:t>Cash Flows from Investing Activities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438"/>
        </w:trPr>
        <w:tc>
          <w:tcPr>
            <w:tcW w:w="6520" w:type="dxa"/>
            <w:vAlign w:val="bottom"/>
          </w:tcPr>
          <w:p>
            <w:pPr>
              <w:ind w:left="180"/>
              <w:spacing w:after="0"/>
              <w:rPr>
                <w:sz w:val="20"/>
                <w:szCs w:val="20"/>
                <w:color w:val="auto"/>
              </w:rPr>
            </w:pPr>
            <w:r>
              <w:rPr>
                <w:rFonts w:ascii="Arial" w:cs="Arial" w:eastAsia="Arial" w:hAnsi="Arial"/>
                <w:sz w:val="17"/>
                <w:szCs w:val="17"/>
                <w:color w:val="auto"/>
                <w:w w:val="96"/>
              </w:rPr>
              <w:t>The following table summarizes the changes in our investing cash flows (in thousands):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85"/>
        </w:trPr>
        <w:tc>
          <w:tcPr>
            <w:tcW w:w="6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40" w:type="dxa"/>
            <w:vAlign w:val="bottom"/>
            <w:gridSpan w:val="5"/>
          </w:tcPr>
          <w:p>
            <w:pPr>
              <w:ind w:left="340"/>
              <w:spacing w:after="0"/>
              <w:rPr>
                <w:sz w:val="20"/>
                <w:szCs w:val="20"/>
                <w:color w:val="auto"/>
              </w:rPr>
            </w:pPr>
            <w:r>
              <w:rPr>
                <w:rFonts w:ascii="Arial" w:cs="Arial" w:eastAsia="Arial" w:hAnsi="Arial"/>
                <w:sz w:val="17"/>
                <w:szCs w:val="17"/>
                <w:b w:val="1"/>
                <w:bCs w:val="1"/>
                <w:color w:val="auto"/>
              </w:rPr>
              <w:t>Three months ended</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19"/>
        </w:trPr>
        <w:tc>
          <w:tcPr>
            <w:tcW w:w="65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ind w:right="14"/>
              <w:spacing w:after="0"/>
              <w:rPr>
                <w:sz w:val="20"/>
                <w:szCs w:val="20"/>
                <w:color w:val="auto"/>
              </w:rPr>
            </w:pPr>
            <w:r>
              <w:rPr>
                <w:rFonts w:ascii="Arial" w:cs="Arial" w:eastAsia="Arial" w:hAnsi="Arial"/>
                <w:sz w:val="17"/>
                <w:szCs w:val="17"/>
                <w:b w:val="1"/>
                <w:bCs w:val="1"/>
                <w:color w:val="auto"/>
              </w:rPr>
              <w:t>March 31,</w:t>
            </w:r>
          </w:p>
        </w:tc>
        <w:tc>
          <w:tcPr>
            <w:tcW w:w="9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12"/>
        </w:trPr>
        <w:tc>
          <w:tcPr>
            <w:tcW w:w="65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Change</w:t>
            </w:r>
          </w:p>
        </w:tc>
        <w:tc>
          <w:tcPr>
            <w:tcW w:w="400" w:type="dxa"/>
            <w:vAlign w:val="bottom"/>
            <w:tcBorders>
              <w:bottom w:val="single" w:sz="8" w:color="auto"/>
            </w:tcBorders>
          </w:tcPr>
          <w:p>
            <w:pPr>
              <w:spacing w:after="0"/>
              <w:rPr>
                <w:sz w:val="18"/>
                <w:szCs w:val="18"/>
                <w:color w:val="auto"/>
              </w:rPr>
            </w:pPr>
          </w:p>
        </w:tc>
      </w:tr>
      <w:tr>
        <w:trPr>
          <w:trHeight w:val="199"/>
        </w:trPr>
        <w:tc>
          <w:tcPr>
            <w:tcW w:w="65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Investing Cash Flows: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r>
      <w:tr>
        <w:trPr>
          <w:trHeight w:val="218"/>
        </w:trPr>
        <w:tc>
          <w:tcPr>
            <w:tcW w:w="6520" w:type="dxa"/>
            <w:vAlign w:val="bottom"/>
          </w:tcPr>
          <w:p>
            <w:pPr>
              <w:ind w:left="20"/>
              <w:spacing w:after="0"/>
              <w:rPr>
                <w:sz w:val="20"/>
                <w:szCs w:val="20"/>
                <w:color w:val="auto"/>
              </w:rPr>
            </w:pPr>
            <w:r>
              <w:rPr>
                <w:rFonts w:ascii="Arial" w:cs="Arial" w:eastAsia="Arial" w:hAnsi="Arial"/>
                <w:sz w:val="17"/>
                <w:szCs w:val="17"/>
                <w:color w:val="auto"/>
              </w:rPr>
              <w:t>Purchases of property, plant and equipment</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(23,606)</w:t>
            </w:r>
          </w:p>
        </w:tc>
        <w:tc>
          <w:tcPr>
            <w:tcW w:w="100" w:type="dxa"/>
            <w:vAlign w:val="bottom"/>
          </w:tcPr>
          <w:p>
            <w:pPr>
              <w:spacing w:after="0"/>
              <w:rPr>
                <w:sz w:val="18"/>
                <w:szCs w:val="18"/>
                <w:color w:val="auto"/>
              </w:rPr>
            </w:pP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(14,028)</w:t>
            </w:r>
          </w:p>
        </w:tc>
        <w:tc>
          <w:tcPr>
            <w:tcW w:w="12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(9,578)</w:t>
            </w:r>
          </w:p>
        </w:tc>
        <w:tc>
          <w:tcPr>
            <w:tcW w:w="400" w:type="dxa"/>
            <w:vAlign w:val="bottom"/>
          </w:tcPr>
          <w:p>
            <w:pPr>
              <w:jc w:val="right"/>
              <w:ind w:right="94"/>
              <w:spacing w:after="0"/>
              <w:rPr>
                <w:sz w:val="20"/>
                <w:szCs w:val="20"/>
                <w:color w:val="auto"/>
              </w:rPr>
            </w:pPr>
            <w:r>
              <w:rPr>
                <w:rFonts w:ascii="Arial" w:cs="Arial" w:eastAsia="Arial" w:hAnsi="Arial"/>
                <w:sz w:val="17"/>
                <w:szCs w:val="17"/>
                <w:color w:val="auto"/>
                <w:w w:val="96"/>
              </w:rPr>
              <w:t>(1)</w:t>
            </w:r>
          </w:p>
        </w:tc>
      </w:tr>
      <w:tr>
        <w:trPr>
          <w:trHeight w:val="220"/>
        </w:trPr>
        <w:tc>
          <w:tcPr>
            <w:tcW w:w="6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Proceeds from sale of assets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845</w:t>
            </w:r>
          </w:p>
        </w:tc>
        <w:tc>
          <w:tcPr>
            <w:tcW w:w="400" w:type="dxa"/>
            <w:vAlign w:val="bottom"/>
            <w:shd w:val="clear" w:color="auto" w:fill="CCEEFF"/>
          </w:tcPr>
          <w:p>
            <w:pPr>
              <w:spacing w:after="0"/>
              <w:rPr>
                <w:sz w:val="19"/>
                <w:szCs w:val="19"/>
                <w:color w:val="auto"/>
              </w:rPr>
            </w:pPr>
          </w:p>
        </w:tc>
      </w:tr>
      <w:tr>
        <w:trPr>
          <w:trHeight w:val="218"/>
        </w:trPr>
        <w:tc>
          <w:tcPr>
            <w:tcW w:w="6520" w:type="dxa"/>
            <w:vAlign w:val="bottom"/>
          </w:tcPr>
          <w:p>
            <w:pPr>
              <w:ind w:left="20"/>
              <w:spacing w:after="0"/>
              <w:rPr>
                <w:sz w:val="20"/>
                <w:szCs w:val="20"/>
                <w:color w:val="auto"/>
              </w:rPr>
            </w:pPr>
            <w:r>
              <w:rPr>
                <w:rFonts w:ascii="Arial" w:cs="Arial" w:eastAsia="Arial" w:hAnsi="Arial"/>
                <w:sz w:val="17"/>
                <w:szCs w:val="17"/>
                <w:color w:val="auto"/>
              </w:rPr>
              <w:t>Business acquisitions, net of cash acquired</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(1,844,164)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(1,844,164)</w:t>
            </w:r>
          </w:p>
        </w:tc>
        <w:tc>
          <w:tcPr>
            <w:tcW w:w="400" w:type="dxa"/>
            <w:vAlign w:val="bottom"/>
          </w:tcPr>
          <w:p>
            <w:pPr>
              <w:jc w:val="right"/>
              <w:ind w:right="94"/>
              <w:spacing w:after="0"/>
              <w:rPr>
                <w:sz w:val="20"/>
                <w:szCs w:val="20"/>
                <w:color w:val="auto"/>
              </w:rPr>
            </w:pPr>
            <w:r>
              <w:rPr>
                <w:rFonts w:ascii="Arial" w:cs="Arial" w:eastAsia="Arial" w:hAnsi="Arial"/>
                <w:sz w:val="17"/>
                <w:szCs w:val="17"/>
                <w:color w:val="auto"/>
                <w:w w:val="96"/>
              </w:rPr>
              <w:t>(2)</w:t>
            </w:r>
          </w:p>
        </w:tc>
      </w:tr>
      <w:tr>
        <w:trPr>
          <w:trHeight w:val="220"/>
        </w:trPr>
        <w:tc>
          <w:tcPr>
            <w:tcW w:w="6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Intangible asset additions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(513)</w:t>
            </w:r>
          </w:p>
        </w:tc>
        <w:tc>
          <w:tcPr>
            <w:tcW w:w="400" w:type="dxa"/>
            <w:vAlign w:val="bottom"/>
            <w:shd w:val="clear" w:color="auto" w:fill="CCEEFF"/>
          </w:tcPr>
          <w:p>
            <w:pPr>
              <w:spacing w:after="0"/>
              <w:rPr>
                <w:sz w:val="19"/>
                <w:szCs w:val="19"/>
                <w:color w:val="auto"/>
              </w:rPr>
            </w:pPr>
          </w:p>
        </w:tc>
      </w:tr>
      <w:tr>
        <w:trPr>
          <w:trHeight w:val="218"/>
        </w:trPr>
        <w:tc>
          <w:tcPr>
            <w:tcW w:w="6520" w:type="dxa"/>
            <w:vAlign w:val="bottom"/>
          </w:tcPr>
          <w:p>
            <w:pPr>
              <w:ind w:left="20"/>
              <w:spacing w:after="0"/>
              <w:rPr>
                <w:sz w:val="20"/>
                <w:szCs w:val="20"/>
                <w:color w:val="auto"/>
              </w:rPr>
            </w:pPr>
            <w:r>
              <w:rPr>
                <w:rFonts w:ascii="Arial" w:cs="Arial" w:eastAsia="Arial" w:hAnsi="Arial"/>
                <w:sz w:val="17"/>
                <w:szCs w:val="17"/>
                <w:color w:val="auto"/>
              </w:rPr>
              <w:t>Purchases of investment securities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(1,993)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(10,034)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8,041</w:t>
            </w:r>
          </w:p>
        </w:tc>
        <w:tc>
          <w:tcPr>
            <w:tcW w:w="400" w:type="dxa"/>
            <w:vAlign w:val="bottom"/>
          </w:tcPr>
          <w:p>
            <w:pPr>
              <w:jc w:val="right"/>
              <w:ind w:right="94"/>
              <w:spacing w:after="0"/>
              <w:rPr>
                <w:sz w:val="20"/>
                <w:szCs w:val="20"/>
                <w:color w:val="auto"/>
              </w:rPr>
            </w:pPr>
            <w:r>
              <w:rPr>
                <w:rFonts w:ascii="Arial" w:cs="Arial" w:eastAsia="Arial" w:hAnsi="Arial"/>
                <w:sz w:val="17"/>
                <w:szCs w:val="17"/>
                <w:color w:val="auto"/>
                <w:w w:val="96"/>
              </w:rPr>
              <w:t>(3)</w:t>
            </w:r>
          </w:p>
        </w:tc>
      </w:tr>
      <w:tr>
        <w:trPr>
          <w:trHeight w:val="219"/>
        </w:trPr>
        <w:tc>
          <w:tcPr>
            <w:tcW w:w="6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Proceeds from sale of investment securities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3,500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7,000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(3,500)</w:t>
            </w:r>
          </w:p>
        </w:tc>
        <w:tc>
          <w:tcPr>
            <w:tcW w:w="4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96"/>
              </w:rPr>
              <w:t>(4)</w:t>
            </w:r>
          </w:p>
        </w:tc>
      </w:tr>
      <w:tr>
        <w:trPr>
          <w:trHeight w:val="213"/>
        </w:trPr>
        <w:tc>
          <w:tcPr>
            <w:tcW w:w="6520" w:type="dxa"/>
            <w:vAlign w:val="bottom"/>
          </w:tcPr>
          <w:p>
            <w:pPr>
              <w:ind w:left="140"/>
              <w:spacing w:after="0"/>
              <w:rPr>
                <w:sz w:val="20"/>
                <w:szCs w:val="20"/>
                <w:color w:val="auto"/>
              </w:rPr>
            </w:pPr>
            <w:r>
              <w:rPr>
                <w:rFonts w:ascii="Arial" w:cs="Arial" w:eastAsia="Arial" w:hAnsi="Arial"/>
                <w:sz w:val="17"/>
                <w:szCs w:val="17"/>
                <w:color w:val="auto"/>
              </w:rPr>
              <w:t>Net cash used in investing activities</w:t>
            </w: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(1,867,750)</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(18,881)</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(1,848,869)</w:t>
            </w:r>
          </w:p>
        </w:tc>
        <w:tc>
          <w:tcPr>
            <w:tcW w:w="400" w:type="dxa"/>
            <w:vAlign w:val="bottom"/>
          </w:tcPr>
          <w:p>
            <w:pPr>
              <w:spacing w:after="0"/>
              <w:rPr>
                <w:sz w:val="18"/>
                <w:szCs w:val="18"/>
                <w:color w:val="auto"/>
              </w:rPr>
            </w:pPr>
          </w:p>
        </w:tc>
      </w:tr>
      <w:tr>
        <w:trPr>
          <w:trHeight w:val="20"/>
        </w:trPr>
        <w:tc>
          <w:tcPr>
            <w:tcW w:w="6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w:t>
      </w:r>
    </w:p>
    <w:p>
      <w:pPr>
        <w:spacing w:after="0" w:line="62" w:lineRule="exact"/>
        <w:rPr>
          <w:sz w:val="20"/>
          <w:szCs w:val="20"/>
          <w:color w:val="auto"/>
        </w:rPr>
      </w:pPr>
    </w:p>
    <w:p>
      <w:pPr>
        <w:ind w:left="320" w:right="180" w:hanging="317"/>
        <w:spacing w:after="0" w:line="226" w:lineRule="auto"/>
        <w:tabs>
          <w:tab w:leader="none" w:pos="183" w:val="left"/>
        </w:tabs>
        <w:numPr>
          <w:ilvl w:val="0"/>
          <w:numId w:val="35"/>
        </w:numPr>
        <w:rPr>
          <w:rFonts w:ascii="Arial" w:cs="Arial" w:eastAsia="Arial" w:hAnsi="Arial"/>
          <w:sz w:val="22"/>
          <w:szCs w:val="22"/>
          <w:color w:val="auto"/>
          <w:vertAlign w:val="superscript"/>
        </w:rPr>
      </w:pPr>
      <w:r>
        <w:rPr>
          <w:rFonts w:ascii="Arial" w:cs="Arial" w:eastAsia="Arial" w:hAnsi="Arial"/>
          <w:sz w:val="17"/>
          <w:szCs w:val="17"/>
          <w:color w:val="auto"/>
        </w:rPr>
        <w:t>Our purchases of property, plant and equipment increased during the quarter due to the acquisition of Smiths Medical and will also vary from period to period based on additional investments needed to support new and existing products and expansion of our manufacturing facilities.</w:t>
      </w:r>
    </w:p>
    <w:p>
      <w:pPr>
        <w:spacing w:after="0" w:line="41" w:lineRule="exact"/>
        <w:rPr>
          <w:rFonts w:ascii="Arial" w:cs="Arial" w:eastAsia="Arial" w:hAnsi="Arial"/>
          <w:sz w:val="22"/>
          <w:szCs w:val="22"/>
          <w:color w:val="auto"/>
          <w:vertAlign w:val="superscript"/>
        </w:rPr>
      </w:pPr>
    </w:p>
    <w:p>
      <w:pPr>
        <w:ind w:left="320" w:right="200" w:hanging="317"/>
        <w:spacing w:after="0" w:line="234" w:lineRule="auto"/>
        <w:tabs>
          <w:tab w:leader="none" w:pos="183" w:val="left"/>
        </w:tabs>
        <w:numPr>
          <w:ilvl w:val="0"/>
          <w:numId w:val="35"/>
        </w:numPr>
        <w:rPr>
          <w:rFonts w:ascii="Arial" w:cs="Arial" w:eastAsia="Arial" w:hAnsi="Arial"/>
          <w:sz w:val="22"/>
          <w:szCs w:val="22"/>
          <w:color w:val="auto"/>
          <w:vertAlign w:val="superscript"/>
        </w:rPr>
      </w:pPr>
      <w:r>
        <w:rPr>
          <w:rFonts w:ascii="Arial" w:cs="Arial" w:eastAsia="Arial" w:hAnsi="Arial"/>
          <w:sz w:val="17"/>
          <w:szCs w:val="17"/>
          <w:color w:val="auto"/>
        </w:rPr>
        <w:t>Our business acquisitions will vary from period to period based upon our current growth strategy and our ability to execute on desirable target companies. On January 6, 2022, we completed the acquisition of Smiths Medical. The cash consideration for the transaction was $1.9 billion, which was financed with existing cash balances and borrowings under the Credit Agreement. Acquired cash was $78.8 million.</w:t>
      </w:r>
    </w:p>
    <w:p>
      <w:pPr>
        <w:spacing w:after="0" w:line="42" w:lineRule="exact"/>
        <w:rPr>
          <w:rFonts w:ascii="Arial" w:cs="Arial" w:eastAsia="Arial" w:hAnsi="Arial"/>
          <w:sz w:val="22"/>
          <w:szCs w:val="22"/>
          <w:color w:val="auto"/>
          <w:vertAlign w:val="superscript"/>
        </w:rPr>
      </w:pPr>
    </w:p>
    <w:p>
      <w:pPr>
        <w:ind w:left="320" w:right="80" w:hanging="317"/>
        <w:spacing w:after="0" w:line="226" w:lineRule="auto"/>
        <w:tabs>
          <w:tab w:leader="none" w:pos="252" w:val="left"/>
        </w:tabs>
        <w:numPr>
          <w:ilvl w:val="0"/>
          <w:numId w:val="35"/>
        </w:numPr>
        <w:rPr>
          <w:rFonts w:ascii="Arial" w:cs="Arial" w:eastAsia="Arial" w:hAnsi="Arial"/>
          <w:sz w:val="22"/>
          <w:szCs w:val="22"/>
          <w:color w:val="auto"/>
          <w:vertAlign w:val="superscript"/>
        </w:rPr>
      </w:pPr>
      <w:r>
        <w:rPr>
          <w:rFonts w:ascii="Arial" w:cs="Arial" w:eastAsia="Arial" w:hAnsi="Arial"/>
          <w:sz w:val="17"/>
          <w:szCs w:val="17"/>
          <w:color w:val="auto"/>
        </w:rPr>
        <w:t>Our purchases of investment securities will vary from period to period based on current cash needs, planning for known future transactions and changes in our investment strategy.</w:t>
      </w:r>
    </w:p>
    <w:p>
      <w:pPr>
        <w:spacing w:after="0" w:line="17" w:lineRule="exact"/>
        <w:rPr>
          <w:rFonts w:ascii="Arial" w:cs="Arial" w:eastAsia="Arial" w:hAnsi="Arial"/>
          <w:sz w:val="22"/>
          <w:szCs w:val="22"/>
          <w:color w:val="auto"/>
          <w:vertAlign w:val="superscript"/>
        </w:rPr>
      </w:pPr>
    </w:p>
    <w:p>
      <w:pPr>
        <w:ind w:left="180" w:hanging="177"/>
        <w:spacing w:after="0"/>
        <w:tabs>
          <w:tab w:leader="none" w:pos="180" w:val="left"/>
        </w:tabs>
        <w:numPr>
          <w:ilvl w:val="0"/>
          <w:numId w:val="35"/>
        </w:numPr>
        <w:rPr>
          <w:rFonts w:ascii="Arial" w:cs="Arial" w:eastAsia="Arial" w:hAnsi="Arial"/>
          <w:sz w:val="21"/>
          <w:szCs w:val="21"/>
          <w:color w:val="auto"/>
          <w:vertAlign w:val="superscript"/>
        </w:rPr>
      </w:pPr>
      <w:r>
        <w:rPr>
          <w:rFonts w:ascii="Arial" w:cs="Arial" w:eastAsia="Arial" w:hAnsi="Arial"/>
          <w:sz w:val="16"/>
          <w:szCs w:val="16"/>
          <w:color w:val="auto"/>
        </w:rPr>
        <w:t>Proceeds from the sale of our investment securities will vary from period to period based on the maturity dates of the investments.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 from Financing Activities</w:t>
      </w:r>
    </w:p>
    <w:p>
      <w:pPr>
        <w:spacing w:after="0" w:line="217"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summarizes the changes in our financing cash flows (in thousands):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0" w:name="page51"/>
    <w:bookmarkEnd w:id="5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40" w:type="dxa"/>
            <w:vAlign w:val="bottom"/>
            <w:gridSpan w:val="5"/>
          </w:tcPr>
          <w:p>
            <w:pPr>
              <w:ind w:left="340"/>
              <w:spacing w:after="0"/>
              <w:rPr>
                <w:sz w:val="20"/>
                <w:szCs w:val="20"/>
                <w:color w:val="auto"/>
              </w:rPr>
            </w:pPr>
            <w:r>
              <w:rPr>
                <w:rFonts w:ascii="Arial" w:cs="Arial" w:eastAsia="Arial" w:hAnsi="Arial"/>
                <w:sz w:val="17"/>
                <w:szCs w:val="17"/>
                <w:b w:val="1"/>
                <w:bCs w:val="1"/>
                <w:color w:val="auto"/>
              </w:rPr>
              <w:t>Three months ended</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219"/>
        </w:trPr>
        <w:tc>
          <w:tcPr>
            <w:tcW w:w="65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ind w:right="14"/>
              <w:spacing w:after="0"/>
              <w:rPr>
                <w:sz w:val="20"/>
                <w:szCs w:val="20"/>
                <w:color w:val="auto"/>
              </w:rPr>
            </w:pPr>
            <w:r>
              <w:rPr>
                <w:rFonts w:ascii="Arial" w:cs="Arial" w:eastAsia="Arial" w:hAnsi="Arial"/>
                <w:sz w:val="17"/>
                <w:szCs w:val="17"/>
                <w:b w:val="1"/>
                <w:bCs w:val="1"/>
                <w:color w:val="auto"/>
              </w:rPr>
              <w:t>March 31,</w:t>
            </w:r>
          </w:p>
        </w:tc>
        <w:tc>
          <w:tcPr>
            <w:tcW w:w="9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12"/>
        </w:trPr>
        <w:tc>
          <w:tcPr>
            <w:tcW w:w="65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Change</w:t>
            </w:r>
          </w:p>
        </w:tc>
        <w:tc>
          <w:tcPr>
            <w:tcW w:w="400" w:type="dxa"/>
            <w:vAlign w:val="bottom"/>
            <w:tcBorders>
              <w:bottom w:val="single" w:sz="8" w:color="auto"/>
            </w:tcBorders>
          </w:tcPr>
          <w:p>
            <w:pPr>
              <w:spacing w:after="0"/>
              <w:rPr>
                <w:sz w:val="18"/>
                <w:szCs w:val="18"/>
                <w:color w:val="auto"/>
              </w:rPr>
            </w:pPr>
          </w:p>
        </w:tc>
      </w:tr>
      <w:tr>
        <w:trPr>
          <w:trHeight w:val="199"/>
        </w:trPr>
        <w:tc>
          <w:tcPr>
            <w:tcW w:w="65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Financing Cash Flows: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r>
      <w:tr>
        <w:trPr>
          <w:trHeight w:val="218"/>
        </w:trPr>
        <w:tc>
          <w:tcPr>
            <w:tcW w:w="6520" w:type="dxa"/>
            <w:vAlign w:val="bottom"/>
          </w:tcPr>
          <w:p>
            <w:pPr>
              <w:ind w:left="20"/>
              <w:spacing w:after="0"/>
              <w:rPr>
                <w:sz w:val="20"/>
                <w:szCs w:val="20"/>
                <w:color w:val="auto"/>
              </w:rPr>
            </w:pPr>
            <w:r>
              <w:rPr>
                <w:rFonts w:ascii="Arial" w:cs="Arial" w:eastAsia="Arial" w:hAnsi="Arial"/>
                <w:sz w:val="17"/>
                <w:szCs w:val="17"/>
                <w:color w:val="auto"/>
              </w:rPr>
              <w:t>Proceeds from issuance of long-term debt, net of lender debt issuance costs</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1,672,698</w:t>
            </w:r>
          </w:p>
        </w:tc>
        <w:tc>
          <w:tcPr>
            <w:tcW w:w="100" w:type="dxa"/>
            <w:vAlign w:val="bottom"/>
          </w:tcPr>
          <w:p>
            <w:pPr>
              <w:spacing w:after="0"/>
              <w:rPr>
                <w:sz w:val="18"/>
                <w:szCs w:val="18"/>
                <w:color w:val="auto"/>
              </w:rPr>
            </w:pP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1,672,698</w:t>
            </w:r>
          </w:p>
        </w:tc>
        <w:tc>
          <w:tcPr>
            <w:tcW w:w="400" w:type="dxa"/>
            <w:vAlign w:val="bottom"/>
          </w:tcPr>
          <w:p>
            <w:pPr>
              <w:jc w:val="right"/>
              <w:ind w:right="94"/>
              <w:spacing w:after="0"/>
              <w:rPr>
                <w:sz w:val="20"/>
                <w:szCs w:val="20"/>
                <w:color w:val="auto"/>
              </w:rPr>
            </w:pPr>
            <w:r>
              <w:rPr>
                <w:rFonts w:ascii="Arial" w:cs="Arial" w:eastAsia="Arial" w:hAnsi="Arial"/>
                <w:sz w:val="17"/>
                <w:szCs w:val="17"/>
                <w:color w:val="auto"/>
                <w:w w:val="96"/>
              </w:rPr>
              <w:t>(1)</w:t>
            </w:r>
          </w:p>
        </w:tc>
      </w:tr>
      <w:tr>
        <w:trPr>
          <w:trHeight w:val="220"/>
        </w:trPr>
        <w:tc>
          <w:tcPr>
            <w:tcW w:w="6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Principal payments on long-term debt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(16,000)</w:t>
            </w:r>
          </w:p>
        </w:tc>
        <w:tc>
          <w:tcPr>
            <w:tcW w:w="4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96"/>
              </w:rPr>
              <w:t>(2)</w:t>
            </w:r>
          </w:p>
        </w:tc>
      </w:tr>
      <w:tr>
        <w:trPr>
          <w:trHeight w:val="218"/>
        </w:trPr>
        <w:tc>
          <w:tcPr>
            <w:tcW w:w="6520" w:type="dxa"/>
            <w:vAlign w:val="bottom"/>
          </w:tcPr>
          <w:p>
            <w:pPr>
              <w:ind w:left="20"/>
              <w:spacing w:after="0"/>
              <w:rPr>
                <w:sz w:val="20"/>
                <w:szCs w:val="20"/>
                <w:color w:val="auto"/>
              </w:rPr>
            </w:pPr>
            <w:r>
              <w:rPr>
                <w:rFonts w:ascii="Arial" w:cs="Arial" w:eastAsia="Arial" w:hAnsi="Arial"/>
                <w:sz w:val="17"/>
                <w:szCs w:val="17"/>
                <w:color w:val="auto"/>
              </w:rPr>
              <w:t>Payment of third-party debt issuance costs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(1,852)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(1,852)</w:t>
            </w:r>
          </w:p>
        </w:tc>
        <w:tc>
          <w:tcPr>
            <w:tcW w:w="400" w:type="dxa"/>
            <w:vAlign w:val="bottom"/>
          </w:tcPr>
          <w:p>
            <w:pPr>
              <w:jc w:val="right"/>
              <w:ind w:right="94"/>
              <w:spacing w:after="0"/>
              <w:rPr>
                <w:sz w:val="20"/>
                <w:szCs w:val="20"/>
                <w:color w:val="auto"/>
              </w:rPr>
            </w:pPr>
            <w:r>
              <w:rPr>
                <w:rFonts w:ascii="Arial" w:cs="Arial" w:eastAsia="Arial" w:hAnsi="Arial"/>
                <w:sz w:val="17"/>
                <w:szCs w:val="17"/>
                <w:color w:val="auto"/>
                <w:w w:val="96"/>
              </w:rPr>
              <w:t>(2)</w:t>
            </w:r>
          </w:p>
        </w:tc>
      </w:tr>
      <w:tr>
        <w:trPr>
          <w:trHeight w:val="220"/>
        </w:trPr>
        <w:tc>
          <w:tcPr>
            <w:tcW w:w="6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Proceeds from exercise of stock options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2,974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4,864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(1,890)</w:t>
            </w:r>
          </w:p>
        </w:tc>
        <w:tc>
          <w:tcPr>
            <w:tcW w:w="4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96"/>
              </w:rPr>
              <w:t>(3)</w:t>
            </w:r>
          </w:p>
        </w:tc>
      </w:tr>
      <w:tr>
        <w:trPr>
          <w:trHeight w:val="218"/>
        </w:trPr>
        <w:tc>
          <w:tcPr>
            <w:tcW w:w="6520" w:type="dxa"/>
            <w:vAlign w:val="bottom"/>
          </w:tcPr>
          <w:p>
            <w:pPr>
              <w:ind w:left="20"/>
              <w:spacing w:after="0"/>
              <w:rPr>
                <w:sz w:val="20"/>
                <w:szCs w:val="20"/>
                <w:color w:val="auto"/>
              </w:rPr>
            </w:pPr>
            <w:r>
              <w:rPr>
                <w:rFonts w:ascii="Arial" w:cs="Arial" w:eastAsia="Arial" w:hAnsi="Arial"/>
                <w:sz w:val="17"/>
                <w:szCs w:val="17"/>
                <w:color w:val="auto"/>
              </w:rPr>
              <w:t>Payments on finance leases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(160)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(141)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(19)</w:t>
            </w:r>
          </w:p>
        </w:tc>
        <w:tc>
          <w:tcPr>
            <w:tcW w:w="400" w:type="dxa"/>
            <w:vAlign w:val="bottom"/>
          </w:tcPr>
          <w:p>
            <w:pPr>
              <w:spacing w:after="0"/>
              <w:rPr>
                <w:sz w:val="18"/>
                <w:szCs w:val="18"/>
                <w:color w:val="auto"/>
              </w:rPr>
            </w:pPr>
          </w:p>
        </w:tc>
      </w:tr>
      <w:tr>
        <w:trPr>
          <w:trHeight w:val="219"/>
        </w:trPr>
        <w:tc>
          <w:tcPr>
            <w:tcW w:w="6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Tax withholding payments related to net share settlement of equity awards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(8,743)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(7,723)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(1,020)</w:t>
            </w:r>
          </w:p>
        </w:tc>
        <w:tc>
          <w:tcPr>
            <w:tcW w:w="4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96"/>
              </w:rPr>
              <w:t>(4)</w:t>
            </w:r>
          </w:p>
        </w:tc>
      </w:tr>
      <w:tr>
        <w:trPr>
          <w:trHeight w:val="213"/>
        </w:trPr>
        <w:tc>
          <w:tcPr>
            <w:tcW w:w="6520" w:type="dxa"/>
            <w:vAlign w:val="bottom"/>
          </w:tcPr>
          <w:p>
            <w:pPr>
              <w:ind w:left="140"/>
              <w:spacing w:after="0"/>
              <w:rPr>
                <w:sz w:val="20"/>
                <w:szCs w:val="20"/>
                <w:color w:val="auto"/>
              </w:rPr>
            </w:pPr>
            <w:r>
              <w:rPr>
                <w:rFonts w:ascii="Arial" w:cs="Arial" w:eastAsia="Arial" w:hAnsi="Arial"/>
                <w:sz w:val="17"/>
                <w:szCs w:val="17"/>
                <w:color w:val="auto"/>
              </w:rPr>
              <w:t>Net cash provided by (used in) financing activities</w:t>
            </w: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1,648,917</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(3,000)</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1,651,917</w:t>
            </w:r>
          </w:p>
        </w:tc>
        <w:tc>
          <w:tcPr>
            <w:tcW w:w="400" w:type="dxa"/>
            <w:vAlign w:val="bottom"/>
          </w:tcPr>
          <w:p>
            <w:pPr>
              <w:spacing w:after="0"/>
              <w:rPr>
                <w:sz w:val="18"/>
                <w:szCs w:val="18"/>
                <w:color w:val="auto"/>
              </w:rPr>
            </w:pPr>
          </w:p>
        </w:tc>
      </w:tr>
      <w:tr>
        <w:trPr>
          <w:trHeight w:val="20"/>
        </w:trPr>
        <w:tc>
          <w:tcPr>
            <w:tcW w:w="6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w:t>
      </w:r>
    </w:p>
    <w:p>
      <w:pPr>
        <w:spacing w:after="0" w:line="62" w:lineRule="exact"/>
        <w:rPr>
          <w:sz w:val="20"/>
          <w:szCs w:val="20"/>
          <w:color w:val="auto"/>
        </w:rPr>
      </w:pPr>
    </w:p>
    <w:p>
      <w:pPr>
        <w:ind w:left="320" w:right="180" w:hanging="317"/>
        <w:spacing w:after="0" w:line="234" w:lineRule="auto"/>
        <w:tabs>
          <w:tab w:leader="none" w:pos="252" w:val="left"/>
        </w:tabs>
        <w:numPr>
          <w:ilvl w:val="0"/>
          <w:numId w:val="36"/>
        </w:numPr>
        <w:rPr>
          <w:rFonts w:ascii="Arial" w:cs="Arial" w:eastAsia="Arial" w:hAnsi="Arial"/>
          <w:sz w:val="22"/>
          <w:szCs w:val="22"/>
          <w:color w:val="auto"/>
          <w:vertAlign w:val="superscript"/>
        </w:rPr>
      </w:pPr>
      <w:r>
        <w:rPr>
          <w:rFonts w:ascii="Arial" w:cs="Arial" w:eastAsia="Arial" w:hAnsi="Arial"/>
          <w:sz w:val="17"/>
          <w:szCs w:val="17"/>
          <w:color w:val="auto"/>
        </w:rPr>
        <w:t>In January 2022, we borrowed an aggregate of $1.7 billion under Senior Secured Credit Facilities contained in the Credit Agreement to partially finance our acquisition of Smiths Medical (see Note 17: Long-Term Debt to our accompanying condensed consolidated financial statements for additional information). The proceeds are net of $27.3 million in payments of lender debt issuance costs.</w:t>
      </w:r>
    </w:p>
    <w:p>
      <w:pPr>
        <w:spacing w:after="0" w:line="6" w:lineRule="exact"/>
        <w:rPr>
          <w:rFonts w:ascii="Arial" w:cs="Arial" w:eastAsia="Arial" w:hAnsi="Arial"/>
          <w:sz w:val="22"/>
          <w:szCs w:val="22"/>
          <w:color w:val="auto"/>
          <w:vertAlign w:val="superscript"/>
        </w:rPr>
      </w:pPr>
    </w:p>
    <w:p>
      <w:pPr>
        <w:ind w:left="300" w:hanging="297"/>
        <w:spacing w:after="0"/>
        <w:tabs>
          <w:tab w:leader="none" w:pos="300" w:val="left"/>
        </w:tabs>
        <w:numPr>
          <w:ilvl w:val="0"/>
          <w:numId w:val="36"/>
        </w:numPr>
        <w:rPr>
          <w:rFonts w:ascii="Arial" w:cs="Arial" w:eastAsia="Arial" w:hAnsi="Arial"/>
          <w:sz w:val="22"/>
          <w:szCs w:val="22"/>
          <w:color w:val="auto"/>
          <w:vertAlign w:val="superscript"/>
        </w:rPr>
      </w:pPr>
      <w:r>
        <w:rPr>
          <w:rFonts w:ascii="Arial" w:cs="Arial" w:eastAsia="Arial" w:hAnsi="Arial"/>
          <w:sz w:val="17"/>
          <w:szCs w:val="17"/>
          <w:color w:val="auto"/>
        </w:rPr>
        <w:t>Payment of $16.0 million of principal payments on the Senior Secured Credit Facilities and $1.9 million in third-party debt issuance costs.</w:t>
      </w:r>
    </w:p>
    <w:p>
      <w:pPr>
        <w:spacing w:after="0" w:line="54" w:lineRule="exact"/>
        <w:rPr>
          <w:rFonts w:ascii="Arial" w:cs="Arial" w:eastAsia="Arial" w:hAnsi="Arial"/>
          <w:sz w:val="22"/>
          <w:szCs w:val="22"/>
          <w:color w:val="auto"/>
          <w:vertAlign w:val="superscript"/>
        </w:rPr>
      </w:pPr>
    </w:p>
    <w:p>
      <w:pPr>
        <w:ind w:left="320" w:right="320" w:hanging="317"/>
        <w:spacing w:after="0" w:line="219" w:lineRule="auto"/>
        <w:tabs>
          <w:tab w:leader="none" w:pos="312" w:val="left"/>
        </w:tabs>
        <w:numPr>
          <w:ilvl w:val="0"/>
          <w:numId w:val="36"/>
        </w:numPr>
        <w:rPr>
          <w:rFonts w:ascii="Arial" w:cs="Arial" w:eastAsia="Arial" w:hAnsi="Arial"/>
          <w:sz w:val="22"/>
          <w:szCs w:val="22"/>
          <w:color w:val="auto"/>
          <w:vertAlign w:val="superscript"/>
        </w:rPr>
      </w:pPr>
      <w:r>
        <w:rPr>
          <w:rFonts w:ascii="Arial" w:cs="Arial" w:eastAsia="Arial" w:hAnsi="Arial"/>
          <w:sz w:val="17"/>
          <w:szCs w:val="17"/>
          <w:color w:val="auto"/>
        </w:rPr>
        <w:t>Proceeds from the exercise of stock options will vary from period to period based on the volume of options exercised and the exercise price of the specific options exercised.</w:t>
      </w:r>
    </w:p>
    <w:p>
      <w:pPr>
        <w:spacing w:after="0" w:line="40" w:lineRule="exact"/>
        <w:rPr>
          <w:rFonts w:ascii="Arial" w:cs="Arial" w:eastAsia="Arial" w:hAnsi="Arial"/>
          <w:sz w:val="22"/>
          <w:szCs w:val="22"/>
          <w:color w:val="auto"/>
          <w:vertAlign w:val="superscript"/>
        </w:rPr>
      </w:pPr>
    </w:p>
    <w:p>
      <w:pPr>
        <w:ind w:left="320" w:right="180" w:hanging="317"/>
        <w:spacing w:after="0" w:line="261" w:lineRule="auto"/>
        <w:tabs>
          <w:tab w:leader="none" w:pos="168" w:val="left"/>
        </w:tabs>
        <w:numPr>
          <w:ilvl w:val="0"/>
          <w:numId w:val="36"/>
        </w:numPr>
        <w:rPr>
          <w:rFonts w:ascii="Arial" w:cs="Arial" w:eastAsia="Arial" w:hAnsi="Arial"/>
          <w:sz w:val="20"/>
          <w:szCs w:val="20"/>
          <w:color w:val="auto"/>
          <w:vertAlign w:val="superscript"/>
        </w:rPr>
      </w:pPr>
      <w:r>
        <w:rPr>
          <w:rFonts w:ascii="Arial" w:cs="Arial" w:eastAsia="Arial" w:hAnsi="Arial"/>
          <w:sz w:val="16"/>
          <w:szCs w:val="16"/>
          <w:color w:val="auto"/>
        </w:rPr>
        <w:t>During the three months ended March 31, 2022, our employees surrendered 37,279 shares of our common stock from vested restricted stock awards as consideration for approximately $8.7 million in minimum statutory withholding obligations paid on their behalf. During the three months ended March 31, 2021, our employees surrendered 37,423 shares of our common stock from vested restricted stock awards as consideration for approximately $7.7 million in minimum statutory withholding obligations paid on their behalf.</w:t>
      </w:r>
    </w:p>
    <w:p>
      <w:pPr>
        <w:spacing w:after="0" w:line="207" w:lineRule="exact"/>
        <w:rPr>
          <w:sz w:val="20"/>
          <w:szCs w:val="20"/>
          <w:color w:val="auto"/>
        </w:rPr>
      </w:pPr>
    </w:p>
    <w:p>
      <w:pPr>
        <w:ind w:firstLine="619"/>
        <w:spacing w:after="0" w:line="349" w:lineRule="auto"/>
        <w:rPr>
          <w:sz w:val="20"/>
          <w:szCs w:val="20"/>
          <w:color w:val="auto"/>
        </w:rPr>
      </w:pPr>
      <w:r>
        <w:rPr>
          <w:rFonts w:ascii="Arial" w:cs="Arial" w:eastAsia="Arial" w:hAnsi="Arial"/>
          <w:sz w:val="15"/>
          <w:szCs w:val="15"/>
          <w:color w:val="auto"/>
        </w:rPr>
        <w:t>Our common stock purchase plan, which authorized the repurchase of up to $100.0 million of our common stock, was approved by our Board of Directors in August 2019. This plan has no expiration date. As of March 31, 2022, all of the $100.0 million available for purchase was remaining under the plan.</w:t>
      </w:r>
    </w:p>
    <w:p>
      <w:pPr>
        <w:spacing w:after="0" w:line="3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w:t>
      </w:r>
    </w:p>
    <w:p>
      <w:pPr>
        <w:spacing w:after="0" w:line="249" w:lineRule="exact"/>
        <w:rPr>
          <w:sz w:val="20"/>
          <w:szCs w:val="20"/>
          <w:color w:val="auto"/>
        </w:rPr>
      </w:pPr>
    </w:p>
    <w:p>
      <w:pPr>
        <w:ind w:right="40" w:firstLine="619"/>
        <w:spacing w:after="0" w:line="266" w:lineRule="auto"/>
        <w:rPr>
          <w:sz w:val="20"/>
          <w:szCs w:val="20"/>
          <w:color w:val="auto"/>
        </w:rPr>
      </w:pPr>
      <w:r>
        <w:rPr>
          <w:rFonts w:ascii="Arial" w:cs="Arial" w:eastAsia="Arial" w:hAnsi="Arial"/>
          <w:sz w:val="17"/>
          <w:szCs w:val="17"/>
          <w:color w:val="auto"/>
        </w:rPr>
        <w:t>In our 2021 Annual Report on Form 10-K, we identified the critical accounting policies which affect our more significant estimates and assumptions used in preparing our consolidated financial statements. There have been no material changes to our critical accounting policies from those previously disclosed in our 2021 Annual Report on Form 10-K.</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Accounting Pronouncements</w:t>
      </w:r>
    </w:p>
    <w:p>
      <w:pPr>
        <w:spacing w:after="0" w:line="22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See Note 2: New Accounting Pronouncements in Part I, Item 1. "Financial Statements."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1" w:name="page52"/>
    <w:bookmarkEnd w:id="51"/>
    <w:p>
      <w:pPr>
        <w:spacing w:after="0"/>
        <w:rPr>
          <w:sz w:val="20"/>
          <w:szCs w:val="20"/>
          <w:color w:val="auto"/>
        </w:rPr>
      </w:pPr>
      <w:r>
        <w:rPr>
          <w:rFonts w:ascii="Arial" w:cs="Arial" w:eastAsia="Arial" w:hAnsi="Arial"/>
          <w:sz w:val="17"/>
          <w:szCs w:val="17"/>
          <w:b w:val="1"/>
          <w:bCs w:val="1"/>
          <w:color w:val="auto"/>
        </w:rPr>
        <w:t>Forward-Looking Statements</w:t>
      </w:r>
    </w:p>
    <w:p>
      <w:pPr>
        <w:spacing w:after="0" w:line="223" w:lineRule="exact"/>
        <w:rPr>
          <w:sz w:val="20"/>
          <w:szCs w:val="20"/>
          <w:color w:val="auto"/>
        </w:rPr>
      </w:pPr>
    </w:p>
    <w:p>
      <w:pPr>
        <w:ind w:right="40" w:firstLine="619"/>
        <w:spacing w:after="0" w:line="276" w:lineRule="auto"/>
        <w:rPr>
          <w:sz w:val="20"/>
          <w:szCs w:val="20"/>
          <w:color w:val="auto"/>
        </w:rPr>
      </w:pPr>
      <w:r>
        <w:rPr>
          <w:rFonts w:ascii="Arial" w:cs="Arial" w:eastAsia="Arial" w:hAnsi="Arial"/>
          <w:sz w:val="16"/>
          <w:szCs w:val="16"/>
          <w:color w:val="auto"/>
        </w:rPr>
        <w:t>Various portions of this Quarterly Report on Form 10-Q, including this Management’s Discussion and Analysis of Financial Condition and Results of Operations, and documents referenced herein, describe trends in our business and finances that we perceive and state some of our expectations and beliefs about our future. These statements about the future are “forward-looking statements,” within the meaning of Section 27A of the Securities Act of 1933, as amended, and Section 21E of the Securities Exchange Act of 1934, as amended, and we may identify them by using words such as "anticipate," "believe," "expect," "estimate," "intend," "plan," "will," "continue," "could," "may," and by similar expressions and statements about aims, goals and plans. The forward-looking statements are based on the best information currently available to us and assumptions that we believe are reasonable, but we do not intend the statements to be representations as to future results. They include, without limitation, statements about:</w:t>
      </w:r>
    </w:p>
    <w:p>
      <w:pPr>
        <w:spacing w:after="0" w:line="195" w:lineRule="exact"/>
        <w:rPr>
          <w:sz w:val="20"/>
          <w:szCs w:val="20"/>
          <w:color w:val="auto"/>
        </w:rPr>
      </w:pPr>
    </w:p>
    <w:p>
      <w:pPr>
        <w:ind w:left="1240" w:hanging="309"/>
        <w:spacing w:after="0" w:line="277" w:lineRule="auto"/>
        <w:tabs>
          <w:tab w:leader="none" w:pos="1236" w:val="left"/>
        </w:tabs>
        <w:numPr>
          <w:ilvl w:val="0"/>
          <w:numId w:val="37"/>
        </w:numPr>
        <w:rPr>
          <w:rFonts w:ascii="Arial" w:cs="Arial" w:eastAsia="Arial" w:hAnsi="Arial"/>
          <w:sz w:val="16"/>
          <w:szCs w:val="16"/>
          <w:color w:val="auto"/>
        </w:rPr>
      </w:pPr>
      <w:r>
        <w:rPr>
          <w:rFonts w:ascii="Arial" w:cs="Arial" w:eastAsia="Arial" w:hAnsi="Arial"/>
          <w:sz w:val="16"/>
          <w:szCs w:val="16"/>
          <w:color w:val="auto"/>
        </w:rPr>
        <w:t>future growth; future operating results and various elements of operating results, including future expenditures and effects with respect to sales and marketing and product development and acquisition efforts; future sales and unit volumes of products; expected increases and decreases in sales; deferred revenue; accruals for restructuring charges, future license, royalty and revenue share income; production costs; gross margins; litigation expense; future SG&amp;A and R&amp;D expenses; manufacturing expenses; future costs of expanding our business; income; losses; cash flow; amortization; source of funds for capital purchases and operations; future tax rates; alternative sources of capital or financing; changes in working capital items such as receivables and inventory; selling prices; and income taxes;</w:t>
      </w:r>
    </w:p>
    <w:p>
      <w:pPr>
        <w:spacing w:after="0" w:line="195" w:lineRule="exact"/>
        <w:rPr>
          <w:rFonts w:ascii="Arial" w:cs="Arial" w:eastAsia="Arial" w:hAnsi="Arial"/>
          <w:sz w:val="16"/>
          <w:szCs w:val="16"/>
          <w:color w:val="auto"/>
        </w:rPr>
      </w:pPr>
    </w:p>
    <w:p>
      <w:pPr>
        <w:ind w:left="1240" w:right="20" w:hanging="309"/>
        <w:spacing w:after="0" w:line="292" w:lineRule="auto"/>
        <w:tabs>
          <w:tab w:leader="none" w:pos="1236" w:val="left"/>
        </w:tabs>
        <w:numPr>
          <w:ilvl w:val="0"/>
          <w:numId w:val="37"/>
        </w:numPr>
        <w:rPr>
          <w:rFonts w:ascii="Arial" w:cs="Arial" w:eastAsia="Arial" w:hAnsi="Arial"/>
          <w:sz w:val="15"/>
          <w:szCs w:val="15"/>
          <w:color w:val="auto"/>
        </w:rPr>
      </w:pPr>
      <w:r>
        <w:rPr>
          <w:rFonts w:ascii="Arial" w:cs="Arial" w:eastAsia="Arial" w:hAnsi="Arial"/>
          <w:sz w:val="15"/>
          <w:szCs w:val="15"/>
          <w:color w:val="auto"/>
        </w:rPr>
        <w:t>factors affecting operating results, such as shipments to specific customers; reduced dependence on current proprietary products; loss of a strategic relationship; change in demand; domestic and international sales; expansion in international markets, selling prices; future increases or decreases in sales of certain products and in certain markets and distribution channels; maintaining strategic relationships and securing long-term and multi-product contracts with large healthcare providers and major buying organizations; increases in systems capabilities; introduction, development and sales of new products, acquisition and integration of businesses and product lines (including Smiths Medical); benefits of our products over competing systems; qualification of our new products for the expedited Section 510(k) clearance procedure; possibility of lengthier clearance process for new products; planned increases in marketing; warranty claims; rebates; product returns; bad debt expense; amortization expense; inventory requirements; lives of property and equipment; manufacturing efficiencies and cost savings; unit manufacturing costs; establishment or expansion of production facilities inside or outside of the United States; planned new orders for semi-automated or fully automated assembly machines for new products; adequacy of production capacity; results of R&amp;D; our plans to repurchase shares of our common stock; asset impairment losses; relocation of manufacturing facilities and personnel; effect of expansion of manufacturing facilities on production efficiencies and resolution of production inefficiencies; the effect of costs to customers and delivery times; business seasonality and fluctuations in quarterly results; customer ordering patterns and the effects of new accounting pronouncements; and</w:t>
      </w:r>
    </w:p>
    <w:p>
      <w:pPr>
        <w:spacing w:after="0" w:line="185" w:lineRule="exact"/>
        <w:rPr>
          <w:rFonts w:ascii="Arial" w:cs="Arial" w:eastAsia="Arial" w:hAnsi="Arial"/>
          <w:sz w:val="15"/>
          <w:szCs w:val="15"/>
          <w:color w:val="auto"/>
        </w:rPr>
      </w:pPr>
    </w:p>
    <w:p>
      <w:pPr>
        <w:ind w:left="1240" w:right="20" w:hanging="309"/>
        <w:spacing w:after="0" w:line="273" w:lineRule="auto"/>
        <w:tabs>
          <w:tab w:leader="none" w:pos="1236" w:val="left"/>
        </w:tabs>
        <w:numPr>
          <w:ilvl w:val="0"/>
          <w:numId w:val="37"/>
        </w:numPr>
        <w:rPr>
          <w:rFonts w:ascii="Arial" w:cs="Arial" w:eastAsia="Arial" w:hAnsi="Arial"/>
          <w:sz w:val="16"/>
          <w:szCs w:val="16"/>
          <w:color w:val="auto"/>
        </w:rPr>
      </w:pPr>
      <w:r>
        <w:rPr>
          <w:rFonts w:ascii="Arial" w:cs="Arial" w:eastAsia="Arial" w:hAnsi="Arial"/>
          <w:sz w:val="16"/>
          <w:szCs w:val="16"/>
          <w:color w:val="auto"/>
        </w:rPr>
        <w:t>new or extended contracts with manufacturers and buying organizations; dependence on a small number of customers; loss of larger distributors and the ability to locate other distributors; impact of our recently completed acquisition of the Smiths Medical business; the outcome of our strategic initiatives; regulatory approvals and compliance; including the work necessary to achieve regulatory clearance with respect to the Smiths Medical Warning Letter; outcome of litigation; patent protection and intellectual property landscape; patent infringement claims and the impact of newly issued patents on other medical devices; competitive and market factors, including continuing development of competing products by other manufacturers; improved production processes and higher volume production; innovation requirements; consolidation of the healthcare provider market and downward pressure on selling prices; distribution or financial capabilities of competitors; healthcare reform legislation; use of treasury stock; working capital requirements; liquidity and realizable value of our investment securities; future investment alternatives; foreign currency denominated financial instruments; foreign exchange risk; commodity price risk; our expectations regarding liquidity and capital resources over the next twelve months; capital expenditures; plans to convert existing space; acquisitions of other businesses or product lines, indemnification liabilities and contractual liabilities.</w:t>
      </w:r>
    </w:p>
    <w:p>
      <w:pPr>
        <w:spacing w:after="0" w:line="199" w:lineRule="exact"/>
        <w:rPr>
          <w:sz w:val="20"/>
          <w:szCs w:val="20"/>
          <w:color w:val="auto"/>
        </w:rPr>
      </w:pPr>
    </w:p>
    <w:p>
      <w:pPr>
        <w:jc w:val="both"/>
        <w:ind w:right="40" w:firstLine="662"/>
        <w:spacing w:after="0" w:line="290" w:lineRule="auto"/>
        <w:rPr>
          <w:sz w:val="20"/>
          <w:szCs w:val="20"/>
          <w:color w:val="auto"/>
        </w:rPr>
      </w:pPr>
      <w:r>
        <w:rPr>
          <w:rFonts w:ascii="Arial" w:cs="Arial" w:eastAsia="Arial" w:hAnsi="Arial"/>
          <w:sz w:val="16"/>
          <w:szCs w:val="16"/>
          <w:color w:val="auto"/>
        </w:rPr>
        <w:t>Forward-looking statements involve certain risks and uncertainties, which may cause actual results to differ materially from those discussed in each such statement. First, one should consider the factors and risks described in the statements themselves or otherwise discussed herein. Those factors are uncertain, and if one or more of them turn out differently than we currently expect, our operating results may differ materially from our current expectations.</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52" w:name="page53"/>
    <w:bookmarkEnd w:id="52"/>
    <w:p>
      <w:pPr>
        <w:ind w:right="160" w:firstLine="619"/>
        <w:spacing w:after="0" w:line="262" w:lineRule="auto"/>
        <w:rPr>
          <w:sz w:val="20"/>
          <w:szCs w:val="20"/>
          <w:color w:val="auto"/>
        </w:rPr>
      </w:pPr>
      <w:r>
        <w:rPr>
          <w:rFonts w:ascii="Arial" w:cs="Arial" w:eastAsia="Arial" w:hAnsi="Arial"/>
          <w:sz w:val="17"/>
          <w:szCs w:val="17"/>
          <w:color w:val="auto"/>
        </w:rPr>
        <w:t>Second, investors should read the forward-looking statements in conjunction with the Risk Factors discussed in Part I, Item 1A of our Annual Report on Form 10-K for the year ended December 31, 2021, Part II, Item 1A of this Quarterly Report on Form 10-Q and our other reports filed with the Securities and Exchange Commission ("SEC"). Also, actual future operating results are subject to other important factors and risks that we cannot predict or control, including without limitation, the following:</w:t>
      </w:r>
    </w:p>
    <w:p>
      <w:pPr>
        <w:spacing w:after="0" w:line="204" w:lineRule="exact"/>
        <w:rPr>
          <w:sz w:val="20"/>
          <w:szCs w:val="20"/>
          <w:color w:val="auto"/>
        </w:rPr>
      </w:pPr>
    </w:p>
    <w:p>
      <w:pPr>
        <w:ind w:left="620" w:hanging="307"/>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impacts of the COVID-19 pandemic on us, our business and on domestic and global economies generally;</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integration of Smiths Medical being more difficult, time-consuming or costly than expected;</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general economic and business conditions, both in the U.S. and internationally;</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unexpected changes in our arrangements with Pfizer or our other large customers;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outcome of litigation;</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fluctuations in foreign exchange rates and other risks of doing business internationally;</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increased competition for skilled workers;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decreases in availability of the raw materials needed to manufacture our products;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effect of price and safety considerations on the healthcare industry;</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competitive factors, such as product innovation, new technologies, marketing and distribution strength and price erosion;</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successful development and marketing of new products;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unanticipated market shifts and trends;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impact of legislation affecting government reimbursement of healthcare costs;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changes by our major customers and independent distributors in their strategies that might affect their efforts to market our products;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effects of additional governmental regulations;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unanticipated production problems;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acquisition and integration expenses (including as it relates to the Smiths Medical acquisition);</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availability of patent protection and the cost of enforcing and of defending patent claims;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natural disasters and outbreak of disease or illness;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supply chain constraints or disruptions;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impact of inflation on raw materials, freight charges and labor, especially in the U.S.; and</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interest rate increases.</w:t>
      </w:r>
    </w:p>
    <w:p>
      <w:pPr>
        <w:spacing w:after="0" w:line="114" w:lineRule="exact"/>
        <w:rPr>
          <w:sz w:val="20"/>
          <w:szCs w:val="20"/>
          <w:color w:val="auto"/>
        </w:rPr>
      </w:pPr>
    </w:p>
    <w:p>
      <w:pPr>
        <w:ind w:firstLine="619"/>
        <w:spacing w:after="0" w:line="266" w:lineRule="auto"/>
        <w:rPr>
          <w:sz w:val="20"/>
          <w:szCs w:val="20"/>
          <w:color w:val="auto"/>
        </w:rPr>
      </w:pPr>
      <w:r>
        <w:rPr>
          <w:rFonts w:ascii="Arial" w:cs="Arial" w:eastAsia="Arial" w:hAnsi="Arial"/>
          <w:sz w:val="17"/>
          <w:szCs w:val="17"/>
          <w:color w:val="auto"/>
        </w:rPr>
        <w:t>The forward-looking statements in this report are subject to additional risks and uncertainties, including those detailed from time to time in our other filings with the SEC. These forward-looking statements are made only as of the date hereof and, except as required by law, we undertake no obligation to update or revise any of them,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53" w:name="page54"/>
    <w:bookmarkEnd w:id="53"/>
    <w:p>
      <w:pPr>
        <w:spacing w:after="0"/>
        <w:rPr>
          <w:sz w:val="20"/>
          <w:szCs w:val="20"/>
          <w:color w:val="auto"/>
        </w:rPr>
      </w:pPr>
      <w:r>
        <w:rPr>
          <w:rFonts w:ascii="Arial" w:cs="Arial" w:eastAsia="Arial" w:hAnsi="Arial"/>
          <w:sz w:val="17"/>
          <w:szCs w:val="17"/>
          <w:b w:val="1"/>
          <w:bCs w:val="1"/>
          <w:u w:val="single" w:color="auto"/>
          <w:color w:val="auto"/>
        </w:rPr>
        <w:t>Item 3. Quantitative and Qualitative Disclosures about Market Risk</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Rate Risk</w:t>
      </w:r>
    </w:p>
    <w:p>
      <w:pPr>
        <w:spacing w:after="0" w:line="243" w:lineRule="exact"/>
        <w:rPr>
          <w:sz w:val="20"/>
          <w:szCs w:val="20"/>
          <w:color w:val="auto"/>
        </w:rPr>
      </w:pPr>
    </w:p>
    <w:p>
      <w:pPr>
        <w:jc w:val="both"/>
        <w:ind w:right="180" w:firstLine="172"/>
        <w:spacing w:after="0" w:line="266" w:lineRule="auto"/>
        <w:rPr>
          <w:sz w:val="20"/>
          <w:szCs w:val="20"/>
          <w:color w:val="auto"/>
        </w:rPr>
      </w:pPr>
      <w:r>
        <w:rPr>
          <w:rFonts w:ascii="Arial" w:cs="Arial" w:eastAsia="Arial" w:hAnsi="Arial"/>
          <w:sz w:val="17"/>
          <w:szCs w:val="17"/>
          <w:color w:val="auto"/>
        </w:rPr>
        <w:t>In connection with the Smiths Medical acquisition on January 6, 2022 we entered into the Senior Secured Credit Facilities totaling approximately $2.2 billion consisting of a variable-rate term loan A facility of $850.0 million, a variable-rate term loan B facility of $850.0 million and a revolving credit facility of $500.0 million. We are exposed to changes in interest rates on all of these variable-rate debt instruments.</w:t>
      </w:r>
    </w:p>
    <w:p>
      <w:pPr>
        <w:spacing w:after="0" w:line="201" w:lineRule="exact"/>
        <w:rPr>
          <w:sz w:val="20"/>
          <w:szCs w:val="20"/>
          <w:color w:val="auto"/>
        </w:rPr>
      </w:pPr>
    </w:p>
    <w:p>
      <w:pPr>
        <w:ind w:right="40" w:firstLine="619"/>
        <w:spacing w:after="0" w:line="262" w:lineRule="auto"/>
        <w:rPr>
          <w:sz w:val="20"/>
          <w:szCs w:val="20"/>
          <w:color w:val="auto"/>
        </w:rPr>
      </w:pPr>
      <w:r>
        <w:rPr>
          <w:rFonts w:ascii="Arial" w:cs="Arial" w:eastAsia="Arial" w:hAnsi="Arial"/>
          <w:sz w:val="17"/>
          <w:szCs w:val="17"/>
          <w:color w:val="auto"/>
        </w:rPr>
        <w:t>The term loan A facility currently bears interest based on Adjusted Term SOFR plus an initial applicable margin of 1.75% per year. The term loan B facility currently bears interest based on Adjusted Term SOFR subject to a 0.50% floor plus an initial applicable margin of 2.5%. We used a sensitivity analyses to measure our interest rate risk exposure. If the SOFR rate increases or decreases 1% from March 31, 2022, the additional annual interest expense or savings related to the term loans would amount to approximately $17.0 million.</w:t>
      </w:r>
    </w:p>
    <w:p>
      <w:pPr>
        <w:spacing w:after="0" w:line="204" w:lineRule="exact"/>
        <w:rPr>
          <w:sz w:val="20"/>
          <w:szCs w:val="20"/>
          <w:color w:val="auto"/>
        </w:rPr>
      </w:pPr>
    </w:p>
    <w:p>
      <w:pPr>
        <w:ind w:right="80" w:firstLine="619"/>
        <w:spacing w:after="0" w:line="277" w:lineRule="auto"/>
        <w:rPr>
          <w:sz w:val="20"/>
          <w:szCs w:val="20"/>
          <w:color w:val="auto"/>
        </w:rPr>
      </w:pPr>
      <w:r>
        <w:rPr>
          <w:rFonts w:ascii="Arial" w:cs="Arial" w:eastAsia="Arial" w:hAnsi="Arial"/>
          <w:sz w:val="16"/>
          <w:szCs w:val="16"/>
          <w:color w:val="auto"/>
        </w:rPr>
        <w:t>In order to mitigate and offset a portion of this interest rate risk exposure associated with these debt instruments we entered into interest rate swaps to achieve a targeted mix of fixed and variable-rate debt. The term loan A swap has an initial notional amount of $300.0 million, reducing to $150.0 million evenly on a quarterly basis excluding its final maturity on March 30, 2027 and we will pay a fixed rate of 1.32% and will receive the greater of 3-month USD SOFR or (0.15)%. The term loan B swap has an initial notional amount of $750.0 million, reducing to $46.9 million evenly on a quarterly basis excluding its final maturity on March 30, 2026 and we will pay a fixed rate of 1.17% and will receive the greater of 3-month USD SOFR or 0.35%. See Note 8: Derivatives and Hedging Activities to the condensed consolidated financial statements in Part I, Item 1 of this Form 10-Q.</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Foreign Exchange Risk</w:t>
      </w:r>
    </w:p>
    <w:p>
      <w:pPr>
        <w:spacing w:after="0" w:line="243" w:lineRule="exact"/>
        <w:rPr>
          <w:sz w:val="20"/>
          <w:szCs w:val="20"/>
          <w:color w:val="auto"/>
        </w:rPr>
      </w:pPr>
    </w:p>
    <w:p>
      <w:pPr>
        <w:ind w:firstLine="169"/>
        <w:spacing w:after="0" w:line="276" w:lineRule="auto"/>
        <w:rPr>
          <w:sz w:val="20"/>
          <w:szCs w:val="20"/>
          <w:color w:val="auto"/>
        </w:rPr>
      </w:pPr>
      <w:r>
        <w:rPr>
          <w:rFonts w:ascii="Arial" w:cs="Arial" w:eastAsia="Arial" w:hAnsi="Arial"/>
          <w:sz w:val="16"/>
          <w:szCs w:val="16"/>
          <w:color w:val="auto"/>
        </w:rPr>
        <w:t>We transact business globally in multiple currencies, some of which are considered volatile. Our international revenues and expenses and working capital positions denominated in these foreign currencies expose us to the risk of fluctuations in foreign currency exchange rates against the U.S. dollar. As the receiver of foreign currencies we are adversely affected by the strengthening of the U.S. dollar and other currencies relative to the operating unit functional currency. Our hedging policy attempts to manage these risks to an acceptable level. We manage our foreign currency exposures on a consolidated basis to take advantage of net exposures and natural offsets, which are then further reduced by the gains and losses of our hedging instruments. Gains and losses on the hedging instruments offset gains and losses on the hedged forecasted transactions and reduce the earnings volatility related to foreign exchange, however we do not hedge our entire foreign exchange exposure and are still subject to earnings volatility due to foreign exchange risk.</w:t>
      </w:r>
    </w:p>
    <w:p>
      <w:pPr>
        <w:spacing w:after="0" w:line="195" w:lineRule="exact"/>
        <w:rPr>
          <w:sz w:val="20"/>
          <w:szCs w:val="20"/>
          <w:color w:val="auto"/>
        </w:rPr>
      </w:pPr>
    </w:p>
    <w:p>
      <w:pPr>
        <w:ind w:right="20" w:firstLine="619"/>
        <w:spacing w:after="0" w:line="277" w:lineRule="auto"/>
        <w:rPr>
          <w:sz w:val="20"/>
          <w:szCs w:val="20"/>
          <w:color w:val="auto"/>
        </w:rPr>
      </w:pPr>
      <w:r>
        <w:rPr>
          <w:rFonts w:ascii="Arial" w:cs="Arial" w:eastAsia="Arial" w:hAnsi="Arial"/>
          <w:sz w:val="16"/>
          <w:szCs w:val="16"/>
          <w:color w:val="auto"/>
        </w:rPr>
        <w:t>Our foreign exchange forward contracts hedge a portion of our forecasted foreign currency-denominated revenues and expenses (principally Mexican Pesos, Euros, Czech Koruna and Japanese Yen) that differ from the functional currency of the operating unit. These derivative contracts are designated and qualify as cash flow hedges (see Note 8: Derivatives and Hedging Activities to the condensed consolidated financial statements in Part I, Item 1 of this Form 10-Q). We performed a sensitivity analysis to estimate changes in the fair value of our foreign exchange derivatives due to potential changes in near-term foreign exchange rates. At March 31, 2022, the effect of a hypothetical 10% weakening in the actual foreign exchange rates used for the applicable currencies would result in an estimated increase in the fair value of these outstanding derivatives contracts by approximately $1.0 million.</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4. Controls and Procedures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Evaluation of Disclosure Controls and Procedures</w:t>
      </w:r>
    </w:p>
    <w:p>
      <w:pPr>
        <w:spacing w:after="0" w:line="217" w:lineRule="exact"/>
        <w:rPr>
          <w:sz w:val="20"/>
          <w:szCs w:val="20"/>
          <w:color w:val="auto"/>
        </w:rPr>
      </w:pPr>
    </w:p>
    <w:p>
      <w:pPr>
        <w:ind w:right="80" w:firstLine="619"/>
        <w:spacing w:after="0" w:line="258" w:lineRule="auto"/>
        <w:rPr>
          <w:sz w:val="20"/>
          <w:szCs w:val="20"/>
          <w:color w:val="auto"/>
        </w:rPr>
      </w:pPr>
      <w:r>
        <w:rPr>
          <w:rFonts w:ascii="Arial" w:cs="Arial" w:eastAsia="Arial" w:hAnsi="Arial"/>
          <w:sz w:val="17"/>
          <w:szCs w:val="17"/>
          <w:color w:val="auto"/>
        </w:rPr>
        <w:t>Our principal executive officer and principal financial officer have concluded, based on their evaluation of our disclosure controls and procedures (as defined in Rules 13a-15(e) and 15d-15(e) under the Securities Exchange Act of 1934, as amended (the "Exchange Act")), as of the end of the period covered by this Report, that our disclosure controls and procedures are effective to ensure that the information we are required to disclose in the reports that we file or submit under the Exchange Act is accumulated and communicated to our management, including our principal executive officer and principal financial officer, as appropriate, to allow timely decisions regarding required disclosure and that such information is recorded, processed, summarized and reported within the time periods specified in the rules and forms of the SEC.</w:t>
      </w:r>
    </w:p>
    <w:p>
      <w:pPr>
        <w:spacing w:after="0" w:line="200" w:lineRule="exact"/>
        <w:rPr>
          <w:sz w:val="20"/>
          <w:szCs w:val="20"/>
          <w:color w:val="auto"/>
        </w:rPr>
      </w:pPr>
    </w:p>
    <w:p>
      <w:pPr>
        <w:spacing w:after="0" w:line="34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049" w:right="379" w:bottom="1440" w:gutter="0" w:footer="0" w:header="0"/>
        </w:sectPr>
      </w:pPr>
    </w:p>
    <w:bookmarkStart w:id="54" w:name="page55"/>
    <w:bookmarkEnd w:id="54"/>
    <w:p>
      <w:pPr>
        <w:spacing w:after="0"/>
        <w:rPr>
          <w:sz w:val="20"/>
          <w:szCs w:val="20"/>
          <w:color w:val="auto"/>
        </w:rPr>
      </w:pPr>
      <w:r>
        <w:rPr>
          <w:rFonts w:ascii="Arial" w:cs="Arial" w:eastAsia="Arial" w:hAnsi="Arial"/>
          <w:sz w:val="17"/>
          <w:szCs w:val="17"/>
          <w:i w:val="1"/>
          <w:iCs w:val="1"/>
          <w:color w:val="auto"/>
        </w:rPr>
        <w:t>Changes in Internal Control Over Financial Reporting</w:t>
      </w:r>
    </w:p>
    <w:p>
      <w:pPr>
        <w:spacing w:after="0" w:line="243" w:lineRule="exact"/>
        <w:rPr>
          <w:sz w:val="20"/>
          <w:szCs w:val="20"/>
          <w:color w:val="auto"/>
        </w:rPr>
      </w:pPr>
    </w:p>
    <w:p>
      <w:pPr>
        <w:ind w:right="20" w:firstLine="619"/>
        <w:spacing w:after="0" w:line="262" w:lineRule="auto"/>
        <w:rPr>
          <w:sz w:val="20"/>
          <w:szCs w:val="20"/>
          <w:color w:val="auto"/>
        </w:rPr>
      </w:pPr>
      <w:r>
        <w:rPr>
          <w:rFonts w:ascii="Arial" w:cs="Arial" w:eastAsia="Arial" w:hAnsi="Arial"/>
          <w:sz w:val="17"/>
          <w:szCs w:val="17"/>
          <w:color w:val="auto"/>
        </w:rPr>
        <w:t>On January 6, 2022, we completed our acquisition of Smiths Medical and we continue to integrate the acquired operations. As the acquisition occurred in the first quarter of 2022, the scope of our evaluation of the effectiveness of internal control over financial reporting does not include Smiths Medical. This exclusion is in accordance with the SEC's general guidance that an assessment of a recently acquired business may be omitted from our scope for a period not to exceed one year from the date of the acquisition.</w:t>
      </w:r>
    </w:p>
    <w:p>
      <w:pPr>
        <w:spacing w:after="0" w:line="204" w:lineRule="exact"/>
        <w:rPr>
          <w:sz w:val="20"/>
          <w:szCs w:val="20"/>
          <w:color w:val="auto"/>
        </w:rPr>
      </w:pPr>
    </w:p>
    <w:p>
      <w:pPr>
        <w:ind w:right="20" w:firstLine="619"/>
        <w:spacing w:after="0" w:line="279" w:lineRule="auto"/>
        <w:rPr>
          <w:sz w:val="20"/>
          <w:szCs w:val="20"/>
          <w:color w:val="auto"/>
        </w:rPr>
      </w:pPr>
      <w:r>
        <w:rPr>
          <w:rFonts w:ascii="Arial" w:cs="Arial" w:eastAsia="Arial" w:hAnsi="Arial"/>
          <w:sz w:val="17"/>
          <w:szCs w:val="17"/>
          <w:color w:val="auto"/>
        </w:rPr>
        <w:t>There was no change in our internal control over financial reporting during the quarter ended March 31, 2022 that has materially affected or is reasonably likely to materially affect our internal control over financial reporting, except as mentioned above.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II - OTHER INFORMATION</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1. Legal Proceedings</w:t>
      </w:r>
    </w:p>
    <w:p>
      <w:pPr>
        <w:spacing w:after="0" w:line="223" w:lineRule="exact"/>
        <w:rPr>
          <w:sz w:val="20"/>
          <w:szCs w:val="20"/>
          <w:color w:val="auto"/>
        </w:rPr>
      </w:pPr>
    </w:p>
    <w:p>
      <w:pPr>
        <w:ind w:right="340" w:firstLine="172"/>
        <w:spacing w:after="0" w:line="279" w:lineRule="auto"/>
        <w:rPr>
          <w:sz w:val="20"/>
          <w:szCs w:val="20"/>
          <w:color w:val="auto"/>
        </w:rPr>
      </w:pPr>
      <w:r>
        <w:rPr>
          <w:rFonts w:ascii="Arial" w:cs="Arial" w:eastAsia="Arial" w:hAnsi="Arial"/>
          <w:sz w:val="17"/>
          <w:szCs w:val="17"/>
          <w:color w:val="auto"/>
        </w:rPr>
        <w:t>Certain legal proceedings in which we are involved are discussed in Part I, Item 1. "Financial Statements" of this Form 10-Q in Note 19. Commitments and Contingencies to the Condensed Consolidated Financial Statements, and is incorporated herein by reference.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1A.  Risk Factors</w:t>
      </w:r>
    </w:p>
    <w:p>
      <w:pPr>
        <w:spacing w:after="0" w:line="223" w:lineRule="exact"/>
        <w:rPr>
          <w:sz w:val="20"/>
          <w:szCs w:val="20"/>
          <w:color w:val="auto"/>
        </w:rPr>
      </w:pPr>
    </w:p>
    <w:p>
      <w:pPr>
        <w:jc w:val="both"/>
        <w:ind w:right="180" w:firstLine="172"/>
        <w:spacing w:after="0" w:line="266" w:lineRule="auto"/>
        <w:rPr>
          <w:sz w:val="20"/>
          <w:szCs w:val="20"/>
          <w:color w:val="auto"/>
        </w:rPr>
      </w:pPr>
      <w:r>
        <w:rPr>
          <w:rFonts w:ascii="Arial" w:cs="Arial" w:eastAsia="Arial" w:hAnsi="Arial"/>
          <w:sz w:val="17"/>
          <w:szCs w:val="17"/>
          <w:color w:val="auto"/>
        </w:rPr>
        <w:t>In evaluating an investment in our common stock, investors should consider carefully, among other things, the risk factors previously disclosed in Part I, Item 1A of our Annual Report on Form 10-K filed with the SEC for the year ended December 31, 2021, as well as the information contained in this Quarterly Report and our other reports and registration statements filed with the SEC.</w:t>
      </w:r>
    </w:p>
    <w:p>
      <w:pPr>
        <w:spacing w:after="0" w:line="201" w:lineRule="exact"/>
        <w:rPr>
          <w:sz w:val="20"/>
          <w:szCs w:val="20"/>
          <w:color w:val="auto"/>
        </w:rPr>
      </w:pPr>
    </w:p>
    <w:p>
      <w:pPr>
        <w:ind w:right="60" w:firstLine="619"/>
        <w:spacing w:after="0" w:line="266" w:lineRule="auto"/>
        <w:rPr>
          <w:sz w:val="20"/>
          <w:szCs w:val="20"/>
          <w:color w:val="auto"/>
        </w:rPr>
      </w:pPr>
      <w:r>
        <w:rPr>
          <w:rFonts w:ascii="Arial" w:cs="Arial" w:eastAsia="Arial" w:hAnsi="Arial"/>
          <w:sz w:val="17"/>
          <w:szCs w:val="17"/>
          <w:i w:val="1"/>
          <w:iCs w:val="1"/>
          <w:color w:val="auto"/>
        </w:rPr>
        <w:t>The Smiths Medical acquisition completed in the period has resulted in organizational changes and significant growth to our business. If we fail to effectively manage this growth and change to our business in a manner that preserves our reputation with customers and the key aspects of our corporate culture, our business, financial condition and results of operations could be harmed.</w:t>
      </w:r>
    </w:p>
    <w:p>
      <w:pPr>
        <w:spacing w:after="0" w:line="201" w:lineRule="exact"/>
        <w:rPr>
          <w:sz w:val="20"/>
          <w:szCs w:val="20"/>
          <w:color w:val="auto"/>
        </w:rPr>
      </w:pPr>
    </w:p>
    <w:p>
      <w:pPr>
        <w:ind w:right="40" w:firstLine="619"/>
        <w:spacing w:after="0" w:line="299" w:lineRule="auto"/>
        <w:rPr>
          <w:sz w:val="20"/>
          <w:szCs w:val="20"/>
          <w:color w:val="auto"/>
        </w:rPr>
      </w:pPr>
      <w:r>
        <w:rPr>
          <w:rFonts w:ascii="Arial" w:cs="Arial" w:eastAsia="Arial" w:hAnsi="Arial"/>
          <w:sz w:val="15"/>
          <w:szCs w:val="15"/>
          <w:color w:val="auto"/>
        </w:rPr>
        <w:t>The Smiths Medical acquisition has resulted in significant growth in our personnel and operations, adding approximately 6,700 employees to our headcount, bringing our total headcount as of March 31, 2031 to approximately 15,300 employees. We will continue to incur significant expenditures and the allocation of management time to assimilate the Smiths Medical employees in a manner that preserves the key aspects of our corporate culture, including a focus on strong customer satisfaction, but there can be no assurance that we will be successful in our efforts. If we do not effectively integrate, train and manage our combined employee base and maintain strong customer relationships, our corporate culture could be undermined, the quality of our products and customer service could suffer, and our reputation could be harmed, each of which could adversely impact our business, financial condition and results of operations.</w:t>
      </w:r>
    </w:p>
    <w:p>
      <w:pPr>
        <w:spacing w:after="0" w:line="180" w:lineRule="exact"/>
        <w:rPr>
          <w:sz w:val="20"/>
          <w:szCs w:val="20"/>
          <w:color w:val="auto"/>
        </w:rPr>
      </w:pPr>
    </w:p>
    <w:p>
      <w:pPr>
        <w:ind w:firstLine="619"/>
        <w:spacing w:after="0" w:line="257" w:lineRule="auto"/>
        <w:rPr>
          <w:sz w:val="20"/>
          <w:szCs w:val="20"/>
          <w:color w:val="auto"/>
        </w:rPr>
      </w:pPr>
      <w:r>
        <w:rPr>
          <w:rFonts w:ascii="Arial" w:cs="Arial" w:eastAsia="Arial" w:hAnsi="Arial"/>
          <w:sz w:val="17"/>
          <w:szCs w:val="17"/>
          <w:color w:val="auto"/>
        </w:rPr>
        <w:t>The Smiths Medical acquisition is a significant acquisition for us and the product offerings within Smiths Medical are not product offerings that we previously offered. The success of our business will depend, in part, on our ability to realize our anticipated benefits, opportunities and synergies from combining our legacy businesses and Smiths Medical. We can provide no assurance that the anticipated benefits of the Smiths Medical acquisition will be fully realized in the time frame anticipated or at all. Integrating the operations of Smiths Medical with that of our legacy business will be a complex, costly and time-consuming process. The integration process may disrupt the businesses and, if implemented ineffectively, would restrict the realization of the full expected benefits. The failure to meet the challenges involved in integrating the two businesses could cause an interruption of, or a loss of momentum in, the activities of the combined businesses and could adversely affect the results of operations of the combined businesses. Potential difficulties that may be encountered in the integration process include the following:</w:t>
      </w:r>
    </w:p>
    <w:p>
      <w:pPr>
        <w:spacing w:after="0" w:line="208" w:lineRule="exact"/>
        <w:rPr>
          <w:sz w:val="20"/>
          <w:szCs w:val="20"/>
          <w:color w:val="auto"/>
        </w:rPr>
      </w:pPr>
    </w:p>
    <w:p>
      <w:pPr>
        <w:ind w:left="620" w:hanging="307"/>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challenges in preserving important strategic customer and other third-party relationships of both businesses;</w:t>
      </w:r>
    </w:p>
    <w:p>
      <w:pPr>
        <w:spacing w:after="0" w:line="21" w:lineRule="exact"/>
        <w:rPr>
          <w:rFonts w:ascii="Arial" w:cs="Arial" w:eastAsia="Arial" w:hAnsi="Arial"/>
          <w:sz w:val="17"/>
          <w:szCs w:val="17"/>
          <w:color w:val="auto"/>
        </w:rPr>
      </w:pPr>
    </w:p>
    <w:p>
      <w:pPr>
        <w:ind w:left="620" w:hanging="307"/>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diversion of management’s attention to integration matters;</w:t>
      </w:r>
    </w:p>
    <w:p>
      <w:pPr>
        <w:spacing w:after="0" w:line="1" w:lineRule="exact"/>
        <w:rPr>
          <w:rFonts w:ascii="Arial" w:cs="Arial" w:eastAsia="Arial" w:hAnsi="Arial"/>
          <w:sz w:val="17"/>
          <w:szCs w:val="17"/>
          <w:color w:val="auto"/>
        </w:rPr>
      </w:pPr>
    </w:p>
    <w:p>
      <w:pPr>
        <w:ind w:left="620" w:hanging="307"/>
        <w:spacing w:after="0" w:line="237" w:lineRule="auto"/>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challenges in maintaining employee morale and retaining or attracting key employees;</w:t>
      </w:r>
    </w:p>
    <w:p>
      <w:pPr>
        <w:ind w:left="620" w:hanging="307"/>
        <w:spacing w:after="0" w:line="237" w:lineRule="auto"/>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potential incompatibility of corporate cultures;</w:t>
      </w:r>
    </w:p>
    <w:p>
      <w:pPr>
        <w:ind w:left="620" w:hanging="307"/>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changes in the combined business due to potential divestitures or requirements imposed by antitrust regulators;</w:t>
      </w:r>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87" w:right="379" w:bottom="1440" w:gutter="0" w:footer="0" w:header="0"/>
        </w:sectPr>
      </w:pPr>
    </w:p>
    <w:bookmarkStart w:id="55" w:name="page56"/>
    <w:bookmarkEnd w:id="55"/>
    <w:p>
      <w:pPr>
        <w:ind w:left="620" w:right="420" w:hanging="307"/>
        <w:spacing w:after="0" w:line="246" w:lineRule="auto"/>
        <w:tabs>
          <w:tab w:leader="none" w:pos="616" w:val="left"/>
        </w:tabs>
        <w:numPr>
          <w:ilvl w:val="0"/>
          <w:numId w:val="40"/>
        </w:numPr>
        <w:rPr>
          <w:rFonts w:ascii="Arial" w:cs="Arial" w:eastAsia="Arial" w:hAnsi="Arial"/>
          <w:sz w:val="17"/>
          <w:szCs w:val="17"/>
          <w:color w:val="auto"/>
        </w:rPr>
      </w:pPr>
      <w:r>
        <w:rPr>
          <w:rFonts w:ascii="Arial" w:cs="Arial" w:eastAsia="Arial" w:hAnsi="Arial"/>
          <w:sz w:val="17"/>
          <w:szCs w:val="17"/>
          <w:color w:val="auto"/>
        </w:rPr>
        <w:t>costs, delays and other difficulties consolidating corporate and administrative infrastructures and information systems and in implementing common systems and procedures including, in particular, our internal controls over financial reporting; and</w:t>
      </w:r>
    </w:p>
    <w:p>
      <w:pPr>
        <w:ind w:left="620" w:hanging="307"/>
        <w:spacing w:after="0"/>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coordinating and integrating a geographically dispersed organization, including operations in jurisdictions we currently do not operate in.</w:t>
      </w:r>
    </w:p>
    <w:p>
      <w:pPr>
        <w:spacing w:after="0" w:line="216"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Any one or all of these factors may increase operating costs or lower anticipated financial performance. Achieving the anticipated benefits and the potential benefits underlying our reasons for the Smiths Medical business acquisition will depend on successful integration of the businesses. Because of the significance of the Smiths Medical business acquisition to us, our failure to successfully integrate the Smiths Medical business with that of our own could have a material adverse impact on our business, financial condition and results of operations.</w:t>
      </w:r>
    </w:p>
    <w:p>
      <w:pPr>
        <w:spacing w:after="0" w:line="204" w:lineRule="exact"/>
        <w:rPr>
          <w:sz w:val="20"/>
          <w:szCs w:val="20"/>
          <w:color w:val="auto"/>
        </w:rPr>
      </w:pPr>
    </w:p>
    <w:p>
      <w:pPr>
        <w:ind w:right="160" w:firstLine="619"/>
        <w:spacing w:after="0" w:line="279" w:lineRule="auto"/>
        <w:rPr>
          <w:sz w:val="20"/>
          <w:szCs w:val="20"/>
          <w:color w:val="auto"/>
        </w:rPr>
      </w:pPr>
      <w:r>
        <w:rPr>
          <w:rFonts w:ascii="Arial" w:cs="Arial" w:eastAsia="Arial" w:hAnsi="Arial"/>
          <w:sz w:val="17"/>
          <w:szCs w:val="17"/>
          <w:color w:val="auto"/>
        </w:rPr>
        <w:t>There have been no other material changes in the risk factors other than those mentioned above from those previously disclosed under “Risk Factors” in Part I, Item 1A of our Annual Report on Form 10-K with the SEC for the year ended December 31, 2021.</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2. Unregistered Sales of Equity Securities and Use of Proceeds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Recent Sales of Unregistered Securities</w:t>
      </w:r>
    </w:p>
    <w:p>
      <w:pPr>
        <w:spacing w:after="0" w:line="243" w:lineRule="exact"/>
        <w:rPr>
          <w:sz w:val="20"/>
          <w:szCs w:val="20"/>
          <w:color w:val="auto"/>
        </w:rPr>
      </w:pPr>
    </w:p>
    <w:p>
      <w:pPr>
        <w:ind w:right="120" w:firstLine="619"/>
        <w:spacing w:after="0" w:line="279" w:lineRule="auto"/>
        <w:rPr>
          <w:sz w:val="20"/>
          <w:szCs w:val="20"/>
          <w:color w:val="auto"/>
        </w:rPr>
      </w:pPr>
      <w:r>
        <w:rPr>
          <w:rFonts w:ascii="Arial" w:cs="Arial" w:eastAsia="Arial" w:hAnsi="Arial"/>
          <w:sz w:val="17"/>
          <w:szCs w:val="17"/>
          <w:color w:val="auto"/>
        </w:rPr>
        <w:t>On January 6, 2022, as part of the consideration for the acquisition of Smiths Medical, we issued 2.5 million unregistered shares of our common stock to Smiths Group International Holdings Limited.</w:t>
      </w:r>
    </w:p>
    <w:p>
      <w:pPr>
        <w:spacing w:after="0" w:line="190" w:lineRule="exact"/>
        <w:rPr>
          <w:sz w:val="20"/>
          <w:szCs w:val="20"/>
          <w:color w:val="auto"/>
        </w:rPr>
      </w:pPr>
    </w:p>
    <w:p>
      <w:pPr>
        <w:jc w:val="both"/>
        <w:ind w:right="40" w:firstLine="619"/>
        <w:spacing w:after="0" w:line="266" w:lineRule="auto"/>
        <w:rPr>
          <w:sz w:val="20"/>
          <w:szCs w:val="20"/>
          <w:color w:val="auto"/>
        </w:rPr>
      </w:pPr>
      <w:r>
        <w:rPr>
          <w:rFonts w:ascii="Arial" w:cs="Arial" w:eastAsia="Arial" w:hAnsi="Arial"/>
          <w:sz w:val="17"/>
          <w:szCs w:val="17"/>
          <w:color w:val="auto"/>
        </w:rPr>
        <w:t>The issuance of these shares to Smiths Medical in accordance with the terms and subject to the conditions set forth in a shareholders agreement was made in reliance on the private offering exemption of Section 4(a)(2) of the Securities Act and/or the private offering safe harbor provision of Rule 506 of Regulation D promulgated thereunder, as transactions not involving a public offering.</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Purchase of Equity Securities</w:t>
      </w:r>
    </w:p>
    <w:p>
      <w:pPr>
        <w:spacing w:after="0" w:line="24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is a summary of our stock repurchasing activity during the first quarter of 2022:</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7"/>
              </w:rPr>
              <w:t>Total number of shares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vMerge w:val="restart"/>
          </w:tcPr>
          <w:p>
            <w:pPr>
              <w:jc w:val="center"/>
              <w:ind w:right="104"/>
              <w:spacing w:after="0"/>
              <w:rPr>
                <w:sz w:val="20"/>
                <w:szCs w:val="20"/>
                <w:color w:val="auto"/>
              </w:rPr>
            </w:pPr>
            <w:r>
              <w:rPr>
                <w:rFonts w:ascii="Arial" w:cs="Arial" w:eastAsia="Arial" w:hAnsi="Arial"/>
                <w:sz w:val="14"/>
                <w:szCs w:val="14"/>
                <w:b w:val="1"/>
                <w:bCs w:val="1"/>
                <w:color w:val="auto"/>
                <w:w w:val="91"/>
              </w:rPr>
              <w:t>Approximate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4"/>
              </w:rPr>
              <w:t>purchased as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6"/>
              </w:rPr>
              <w:t>Average</w:t>
            </w:r>
          </w:p>
        </w:tc>
        <w:tc>
          <w:tcPr>
            <w:tcW w:w="14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part of a</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jc w:val="center"/>
              <w:ind w:right="84"/>
              <w:spacing w:after="0" w:line="129" w:lineRule="exact"/>
              <w:rPr>
                <w:sz w:val="20"/>
                <w:szCs w:val="20"/>
                <w:color w:val="auto"/>
              </w:rPr>
            </w:pPr>
            <w:r>
              <w:rPr>
                <w:rFonts w:ascii="Arial" w:cs="Arial" w:eastAsia="Arial" w:hAnsi="Arial"/>
                <w:sz w:val="14"/>
                <w:szCs w:val="14"/>
                <w:b w:val="1"/>
                <w:bCs w:val="1"/>
                <w:color w:val="auto"/>
                <w:w w:val="89"/>
              </w:rPr>
              <w:t>dollar value that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87"/>
              </w:rPr>
              <w:t>Total number of shares</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4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publicly</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jc w:val="center"/>
              <w:ind w:right="84"/>
              <w:spacing w:after="0" w:line="129" w:lineRule="exact"/>
              <w:rPr>
                <w:sz w:val="20"/>
                <w:szCs w:val="20"/>
                <w:color w:val="auto"/>
              </w:rPr>
            </w:pPr>
            <w:r>
              <w:rPr>
                <w:rFonts w:ascii="Arial" w:cs="Arial" w:eastAsia="Arial" w:hAnsi="Arial"/>
                <w:sz w:val="14"/>
                <w:szCs w:val="14"/>
                <w:b w:val="1"/>
                <w:bCs w:val="1"/>
                <w:color w:val="auto"/>
                <w:w w:val="88"/>
              </w:rPr>
              <w:t>may yet be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00" w:type="dxa"/>
            <w:vAlign w:val="bottom"/>
            <w:vMerge w:val="restart"/>
          </w:tcPr>
          <w:p>
            <w:pPr>
              <w:spacing w:after="0"/>
              <w:rPr>
                <w:sz w:val="11"/>
                <w:szCs w:val="11"/>
                <w:color w:val="auto"/>
              </w:rPr>
            </w:pPr>
          </w:p>
        </w:tc>
        <w:tc>
          <w:tcPr>
            <w:tcW w:w="14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87"/>
              </w:rPr>
              <w:t>price paid</w:t>
            </w:r>
          </w:p>
        </w:tc>
        <w:tc>
          <w:tcPr>
            <w:tcW w:w="14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announced</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jc w:val="center"/>
              <w:ind w:right="84"/>
              <w:spacing w:after="0" w:line="129" w:lineRule="exact"/>
              <w:rPr>
                <w:sz w:val="20"/>
                <w:szCs w:val="20"/>
                <w:color w:val="auto"/>
              </w:rPr>
            </w:pPr>
            <w:r>
              <w:rPr>
                <w:rFonts w:ascii="Arial" w:cs="Arial" w:eastAsia="Arial" w:hAnsi="Arial"/>
                <w:sz w:val="14"/>
                <w:szCs w:val="14"/>
                <w:b w:val="1"/>
                <w:bCs w:val="1"/>
                <w:color w:val="auto"/>
                <w:w w:val="88"/>
              </w:rPr>
              <w:t>purchased under</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0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42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purchased</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b w:val="1"/>
                <w:bCs w:val="1"/>
                <w:color w:val="auto"/>
                <w:w w:val="85"/>
              </w:rPr>
              <w:t>per share</w:t>
            </w:r>
          </w:p>
        </w:tc>
        <w:tc>
          <w:tcPr>
            <w:tcW w:w="1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84"/>
              <w:spacing w:after="0" w:line="180" w:lineRule="exact"/>
              <w:rPr>
                <w:sz w:val="20"/>
                <w:szCs w:val="20"/>
                <w:color w:val="auto"/>
              </w:rPr>
            </w:pPr>
            <w:r>
              <w:rPr>
                <w:rFonts w:ascii="Arial" w:cs="Arial" w:eastAsia="Arial" w:hAnsi="Arial"/>
                <w:sz w:val="14"/>
                <w:szCs w:val="14"/>
                <w:b w:val="1"/>
                <w:bCs w:val="1"/>
                <w:color w:val="auto"/>
                <w:w w:val="87"/>
              </w:rPr>
              <w:t>the program</w:t>
            </w:r>
            <w:r>
              <w:rPr>
                <w:rFonts w:ascii="Arial" w:cs="Arial" w:eastAsia="Arial" w:hAnsi="Arial"/>
                <w:sz w:val="17"/>
                <w:szCs w:val="17"/>
                <w:b w:val="1"/>
                <w:bCs w:val="1"/>
                <w:color w:val="auto"/>
                <w:w w:val="87"/>
                <w:vertAlign w:val="superscript"/>
              </w:rPr>
              <w:t>(1)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01/01/2022 — 01/31/2022</w:t>
            </w:r>
          </w:p>
        </w:tc>
        <w:tc>
          <w:tcPr>
            <w:tcW w:w="1420" w:type="dxa"/>
            <w:vAlign w:val="bottom"/>
            <w:shd w:val="clear" w:color="auto" w:fill="CCEEFF"/>
          </w:tcPr>
          <w:p>
            <w:pPr>
              <w:ind w:left="1180"/>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ind w:left="1200"/>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4"/>
              <w:spacing w:after="0"/>
              <w:rPr>
                <w:sz w:val="20"/>
                <w:szCs w:val="20"/>
                <w:color w:val="auto"/>
              </w:rPr>
            </w:pPr>
            <w:r>
              <w:rPr>
                <w:rFonts w:ascii="Arial" w:cs="Arial" w:eastAsia="Arial" w:hAnsi="Arial"/>
                <w:sz w:val="17"/>
                <w:szCs w:val="17"/>
                <w:color w:val="auto"/>
              </w:rPr>
              <w:t>100,000,000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80" w:type="dxa"/>
            <w:vAlign w:val="bottom"/>
            <w:gridSpan w:val="2"/>
          </w:tcPr>
          <w:p>
            <w:pPr>
              <w:ind w:left="20"/>
              <w:spacing w:after="0"/>
              <w:rPr>
                <w:sz w:val="20"/>
                <w:szCs w:val="20"/>
                <w:color w:val="auto"/>
              </w:rPr>
            </w:pPr>
            <w:r>
              <w:rPr>
                <w:rFonts w:ascii="Arial" w:cs="Arial" w:eastAsia="Arial" w:hAnsi="Arial"/>
                <w:sz w:val="17"/>
                <w:szCs w:val="17"/>
                <w:color w:val="auto"/>
              </w:rPr>
              <w:t>02/01/2022 — 02/28/2022</w:t>
            </w:r>
          </w:p>
        </w:tc>
        <w:tc>
          <w:tcPr>
            <w:tcW w:w="1420" w:type="dxa"/>
            <w:vAlign w:val="bottom"/>
          </w:tcPr>
          <w:p>
            <w:pPr>
              <w:ind w:left="1180"/>
              <w:spacing w:after="0"/>
              <w:rPr>
                <w:sz w:val="20"/>
                <w:szCs w:val="20"/>
                <w:color w:val="auto"/>
              </w:rPr>
            </w:pPr>
            <w:r>
              <w:rPr>
                <w:rFonts w:ascii="Arial" w:cs="Arial" w:eastAsia="Arial" w:hAnsi="Arial"/>
                <w:sz w:val="17"/>
                <w:szCs w:val="17"/>
                <w:color w:val="auto"/>
              </w:rPr>
              <w:t>—</w:t>
            </w:r>
          </w:p>
        </w:tc>
        <w:tc>
          <w:tcPr>
            <w:tcW w:w="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60" w:type="dxa"/>
            <w:vAlign w:val="bottom"/>
            <w:gridSpan w:val="2"/>
          </w:tcPr>
          <w:p>
            <w:pPr>
              <w:ind w:left="920"/>
              <w:spacing w:after="0"/>
              <w:rPr>
                <w:sz w:val="20"/>
                <w:szCs w:val="20"/>
                <w:color w:val="auto"/>
              </w:rPr>
            </w:pPr>
            <w:r>
              <w:rPr>
                <w:rFonts w:ascii="Arial" w:cs="Arial" w:eastAsia="Arial" w:hAnsi="Arial"/>
                <w:sz w:val="17"/>
                <w:szCs w:val="17"/>
                <w:color w:val="auto"/>
              </w:rPr>
              <w:t>—</w:t>
            </w:r>
          </w:p>
        </w:tc>
        <w:tc>
          <w:tcPr>
            <w:tcW w:w="1440" w:type="dxa"/>
            <w:vAlign w:val="bottom"/>
          </w:tcPr>
          <w:p>
            <w:pPr>
              <w:ind w:left="1200"/>
              <w:spacing w:after="0"/>
              <w:rPr>
                <w:sz w:val="20"/>
                <w:szCs w:val="20"/>
                <w:color w:val="auto"/>
              </w:rPr>
            </w:pPr>
            <w:r>
              <w:rPr>
                <w:rFonts w:ascii="Arial" w:cs="Arial" w:eastAsia="Arial" w:hAnsi="Arial"/>
                <w:sz w:val="17"/>
                <w:szCs w:val="17"/>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4"/>
              <w:spacing w:after="0"/>
              <w:rPr>
                <w:sz w:val="20"/>
                <w:szCs w:val="20"/>
                <w:color w:val="auto"/>
              </w:rPr>
            </w:pPr>
            <w:r>
              <w:rPr>
                <w:rFonts w:ascii="Arial" w:cs="Arial" w:eastAsia="Arial" w:hAnsi="Arial"/>
                <w:sz w:val="17"/>
                <w:szCs w:val="17"/>
                <w:color w:val="auto"/>
              </w:rPr>
              <w:t>100,000,000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03/01/2022 — 03/31/2022</w:t>
            </w:r>
          </w:p>
        </w:tc>
        <w:tc>
          <w:tcPr>
            <w:tcW w:w="1420" w:type="dxa"/>
            <w:vAlign w:val="bottom"/>
            <w:tcBorders>
              <w:bottom w:val="single" w:sz="8" w:color="auto"/>
            </w:tcBorders>
            <w:shd w:val="clear" w:color="auto" w:fill="CCEEFF"/>
          </w:tcPr>
          <w:p>
            <w:pPr>
              <w:ind w:left="1180"/>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shd w:val="clear" w:color="auto" w:fill="CCEEFF"/>
          </w:tcPr>
          <w:p>
            <w:pPr>
              <w:ind w:left="1200"/>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4"/>
              <w:spacing w:after="0"/>
              <w:rPr>
                <w:sz w:val="20"/>
                <w:szCs w:val="20"/>
                <w:color w:val="auto"/>
              </w:rPr>
            </w:pPr>
            <w:r>
              <w:rPr>
                <w:rFonts w:ascii="Arial" w:cs="Arial" w:eastAsia="Arial" w:hAnsi="Arial"/>
                <w:sz w:val="17"/>
                <w:szCs w:val="17"/>
                <w:color w:val="auto"/>
              </w:rPr>
              <w:t>100,000,000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80" w:type="dxa"/>
            <w:vAlign w:val="bottom"/>
            <w:gridSpan w:val="2"/>
          </w:tcPr>
          <w:p>
            <w:pPr>
              <w:ind w:left="20"/>
              <w:spacing w:after="0"/>
              <w:rPr>
                <w:sz w:val="20"/>
                <w:szCs w:val="20"/>
                <w:color w:val="auto"/>
              </w:rPr>
            </w:pPr>
            <w:r>
              <w:rPr>
                <w:rFonts w:ascii="Arial" w:cs="Arial" w:eastAsia="Arial" w:hAnsi="Arial"/>
                <w:sz w:val="17"/>
                <w:szCs w:val="17"/>
                <w:color w:val="auto"/>
              </w:rPr>
              <w:t>First quarter of 2022 total</w:t>
            </w:r>
          </w:p>
        </w:tc>
        <w:tc>
          <w:tcPr>
            <w:tcW w:w="1420" w:type="dxa"/>
            <w:vAlign w:val="bottom"/>
            <w:tcBorders>
              <w:bottom w:val="single" w:sz="8" w:color="auto"/>
            </w:tcBorders>
          </w:tcPr>
          <w:p>
            <w:pPr>
              <w:ind w:left="1180"/>
              <w:spacing w:after="0"/>
              <w:rPr>
                <w:sz w:val="20"/>
                <w:szCs w:val="20"/>
                <w:color w:val="auto"/>
              </w:rPr>
            </w:pPr>
            <w:r>
              <w:rPr>
                <w:rFonts w:ascii="Arial" w:cs="Arial" w:eastAsia="Arial" w:hAnsi="Arial"/>
                <w:sz w:val="17"/>
                <w:szCs w:val="17"/>
                <w:color w:val="auto"/>
              </w:rPr>
              <w:t>—</w:t>
            </w:r>
          </w:p>
        </w:tc>
        <w:tc>
          <w:tcPr>
            <w:tcW w:w="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60" w:type="dxa"/>
            <w:vAlign w:val="bottom"/>
            <w:gridSpan w:val="2"/>
          </w:tcPr>
          <w:p>
            <w:pPr>
              <w:ind w:left="920"/>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tcPr>
          <w:p>
            <w:pPr>
              <w:ind w:left="1200"/>
              <w:spacing w:after="0"/>
              <w:rPr>
                <w:sz w:val="20"/>
                <w:szCs w:val="20"/>
                <w:color w:val="auto"/>
              </w:rPr>
            </w:pPr>
            <w:r>
              <w:rPr>
                <w:rFonts w:ascii="Arial" w:cs="Arial" w:eastAsia="Arial" w:hAnsi="Arial"/>
                <w:sz w:val="17"/>
                <w:szCs w:val="17"/>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4"/>
              <w:spacing w:after="0"/>
              <w:rPr>
                <w:sz w:val="20"/>
                <w:szCs w:val="20"/>
                <w:color w:val="auto"/>
              </w:rPr>
            </w:pPr>
            <w:r>
              <w:rPr>
                <w:rFonts w:ascii="Arial" w:cs="Arial" w:eastAsia="Arial" w:hAnsi="Arial"/>
                <w:sz w:val="17"/>
                <w:szCs w:val="17"/>
                <w:color w:val="auto"/>
              </w:rPr>
              <w:t>100,000,000</w:t>
            </w: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jc w:val="right"/>
              <w:ind w:right="2378"/>
              <w:spacing w:after="0"/>
              <w:rPr>
                <w:sz w:val="20"/>
                <w:szCs w:val="20"/>
                <w:color w:val="auto"/>
              </w:rPr>
            </w:pPr>
            <w:r>
              <w:rPr>
                <w:rFonts w:ascii="Arial" w:cs="Arial" w:eastAsia="Arial" w:hAnsi="Arial"/>
                <w:sz w:val="19"/>
                <w:szCs w:val="19"/>
                <w:color w:val="auto"/>
                <w:w w:val="88"/>
              </w:rPr>
              <w:t>____________________________</w:t>
            </w: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1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320" w:right="20" w:hanging="317"/>
        <w:spacing w:after="0" w:line="282" w:lineRule="auto"/>
        <w:tabs>
          <w:tab w:leader="none" w:pos="230" w:val="left"/>
        </w:tabs>
        <w:numPr>
          <w:ilvl w:val="0"/>
          <w:numId w:val="41"/>
        </w:numPr>
        <w:rPr>
          <w:rFonts w:ascii="Arial" w:cs="Arial" w:eastAsia="Arial" w:hAnsi="Arial"/>
          <w:sz w:val="19"/>
          <w:szCs w:val="19"/>
          <w:color w:val="auto"/>
          <w:vertAlign w:val="superscript"/>
        </w:rPr>
      </w:pPr>
      <w:r>
        <w:rPr>
          <w:rFonts w:ascii="Arial" w:cs="Arial" w:eastAsia="Arial" w:hAnsi="Arial"/>
          <w:sz w:val="15"/>
          <w:szCs w:val="15"/>
          <w:color w:val="auto"/>
        </w:rPr>
        <w:t>Our common stock purchase plan, which authorized the repurchase of up to $100.0 million of our common stock, was authorized by our Board of Directors and publicly announced in August, 2019. This plan has no expiration date. We are not obligated to make any purchases under our stock purchase program. Subject to applicable state and federal corporate and securities laws, purchases under a stock purchase program may be made at such times and in such amounts as we deem appropriate. Purchases made under our stock purchase program can be discontinued at any time we feel additional purchases are not warranted.</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6. Exhibits</w:t>
      </w:r>
    </w:p>
    <w:p>
      <w:pPr>
        <w:spacing w:after="0" w:line="326" w:lineRule="exact"/>
        <w:rPr>
          <w:sz w:val="20"/>
          <w:szCs w:val="20"/>
          <w:color w:val="auto"/>
        </w:rPr>
      </w:pPr>
    </w:p>
    <w:p>
      <w:pPr>
        <w:ind w:right="100" w:firstLine="172"/>
        <w:spacing w:after="0" w:line="279" w:lineRule="auto"/>
        <w:rPr>
          <w:sz w:val="20"/>
          <w:szCs w:val="20"/>
          <w:color w:val="auto"/>
        </w:rPr>
      </w:pPr>
      <w:r>
        <w:rPr>
          <w:rFonts w:ascii="Arial" w:cs="Arial" w:eastAsia="Arial" w:hAnsi="Arial"/>
          <w:sz w:val="17"/>
          <w:szCs w:val="17"/>
          <w:color w:val="auto"/>
        </w:rPr>
        <w:t>See the Exhibit Index following the signature page to this Quarterly Report on Form 10-Q for a list of exhibits filed or furnished with this report, which Exhibit Index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5" w:right="339" w:bottom="1440" w:gutter="0" w:footer="0" w:header="0"/>
        </w:sectPr>
      </w:pPr>
    </w:p>
    <w:bookmarkStart w:id="56" w:name="page57"/>
    <w:bookmarkEnd w:id="5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89535</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7" w:name="page58"/>
    <w:bookmarkEnd w:id="57"/>
    <w:p>
      <w:pPr>
        <w:spacing w:after="0"/>
        <w:rPr>
          <w:sz w:val="20"/>
          <w:szCs w:val="20"/>
          <w:color w:val="auto"/>
        </w:rPr>
      </w:pPr>
      <w:r>
        <w:rPr>
          <w:rFonts w:ascii="Arial" w:cs="Arial" w:eastAsia="Arial" w:hAnsi="Arial"/>
          <w:sz w:val="17"/>
          <w:szCs w:val="17"/>
          <w:b w:val="1"/>
          <w:bCs w:val="1"/>
          <w:color w:val="auto"/>
        </w:rPr>
        <w:t>Signature</w:t>
      </w:r>
    </w:p>
    <w:p>
      <w:pPr>
        <w:spacing w:after="0" w:line="223" w:lineRule="exact"/>
        <w:rPr>
          <w:sz w:val="20"/>
          <w:szCs w:val="20"/>
          <w:color w:val="auto"/>
        </w:rPr>
      </w:pPr>
    </w:p>
    <w:p>
      <w:pPr>
        <w:ind w:right="740" w:firstLine="619"/>
        <w:spacing w:after="0" w:line="279"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ICU Medical, Inc.</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760" w:type="dxa"/>
            <w:vAlign w:val="bottom"/>
          </w:tcPr>
          <w:p>
            <w:pPr>
              <w:ind w:left="20"/>
              <w:spacing w:after="0"/>
              <w:rPr>
                <w:sz w:val="20"/>
                <w:szCs w:val="20"/>
                <w:color w:val="auto"/>
              </w:rPr>
            </w:pPr>
            <w:r>
              <w:rPr>
                <w:rFonts w:ascii="Arial" w:cs="Arial" w:eastAsia="Arial" w:hAnsi="Arial"/>
                <w:sz w:val="17"/>
                <w:szCs w:val="17"/>
                <w:color w:val="auto"/>
              </w:rPr>
              <w:t>(Registrant)</w:t>
            </w:r>
          </w:p>
        </w:tc>
        <w:tc>
          <w:tcPr>
            <w:tcW w:w="1820" w:type="dxa"/>
            <w:vAlign w:val="bottom"/>
          </w:tcPr>
          <w:p>
            <w:pPr>
              <w:spacing w:after="0"/>
              <w:rPr>
                <w:sz w:val="18"/>
                <w:szCs w:val="18"/>
                <w:color w:val="auto"/>
              </w:rPr>
            </w:pPr>
          </w:p>
        </w:tc>
        <w:tc>
          <w:tcPr>
            <w:tcW w:w="5660" w:type="dxa"/>
            <w:vAlign w:val="bottom"/>
          </w:tcPr>
          <w:p>
            <w:pPr>
              <w:spacing w:after="0"/>
              <w:rPr>
                <w:sz w:val="18"/>
                <w:szCs w:val="18"/>
                <w:color w:val="auto"/>
              </w:rPr>
            </w:pPr>
          </w:p>
        </w:tc>
      </w:tr>
      <w:tr>
        <w:trPr>
          <w:trHeight w:val="439"/>
        </w:trPr>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Brian M. Bonnell</w:t>
            </w:r>
          </w:p>
        </w:tc>
        <w:tc>
          <w:tcPr>
            <w:tcW w:w="1820" w:type="dxa"/>
            <w:vAlign w:val="bottom"/>
            <w:tcBorders>
              <w:bottom w:val="single" w:sz="8" w:color="auto"/>
            </w:tcBorders>
          </w:tcPr>
          <w:p>
            <w:pPr>
              <w:spacing w:after="0"/>
              <w:rPr>
                <w:sz w:val="24"/>
                <w:szCs w:val="24"/>
                <w:color w:val="auto"/>
              </w:rPr>
            </w:pPr>
          </w:p>
        </w:tc>
        <w:tc>
          <w:tcPr>
            <w:tcW w:w="5660" w:type="dxa"/>
            <w:vAlign w:val="bottom"/>
          </w:tcPr>
          <w:p>
            <w:pPr>
              <w:jc w:val="right"/>
              <w:ind w:right="4034"/>
              <w:spacing w:after="0"/>
              <w:rPr>
                <w:sz w:val="20"/>
                <w:szCs w:val="20"/>
                <w:color w:val="auto"/>
              </w:rPr>
            </w:pPr>
            <w:r>
              <w:rPr>
                <w:rFonts w:ascii="Arial" w:cs="Arial" w:eastAsia="Arial" w:hAnsi="Arial"/>
                <w:sz w:val="17"/>
                <w:szCs w:val="17"/>
                <w:color w:val="auto"/>
              </w:rPr>
              <w:t>Date: May 9, 2022</w:t>
            </w:r>
          </w:p>
        </w:tc>
      </w:tr>
      <w:tr>
        <w:trPr>
          <w:trHeight w:val="211"/>
        </w:trPr>
        <w:tc>
          <w:tcPr>
            <w:tcW w:w="3760" w:type="dxa"/>
            <w:vAlign w:val="bottom"/>
          </w:tcPr>
          <w:p>
            <w:pPr>
              <w:ind w:left="20"/>
              <w:spacing w:after="0"/>
              <w:rPr>
                <w:sz w:val="20"/>
                <w:szCs w:val="20"/>
                <w:color w:val="auto"/>
              </w:rPr>
            </w:pPr>
            <w:r>
              <w:rPr>
                <w:rFonts w:ascii="Arial" w:cs="Arial" w:eastAsia="Arial" w:hAnsi="Arial"/>
                <w:sz w:val="17"/>
                <w:szCs w:val="17"/>
                <w:color w:val="auto"/>
              </w:rPr>
              <w:t>Brian M. Bonnell</w:t>
            </w:r>
          </w:p>
        </w:tc>
        <w:tc>
          <w:tcPr>
            <w:tcW w:w="1820" w:type="dxa"/>
            <w:vAlign w:val="bottom"/>
          </w:tcPr>
          <w:p>
            <w:pPr>
              <w:spacing w:after="0"/>
              <w:rPr>
                <w:sz w:val="18"/>
                <w:szCs w:val="18"/>
                <w:color w:val="auto"/>
              </w:rPr>
            </w:pPr>
          </w:p>
        </w:tc>
        <w:tc>
          <w:tcPr>
            <w:tcW w:w="5660" w:type="dxa"/>
            <w:vAlign w:val="bottom"/>
          </w:tcPr>
          <w:p>
            <w:pPr>
              <w:spacing w:after="0"/>
              <w:rPr>
                <w:sz w:val="18"/>
                <w:szCs w:val="18"/>
                <w:color w:val="auto"/>
              </w:rPr>
            </w:pPr>
          </w:p>
        </w:tc>
      </w:tr>
      <w:tr>
        <w:trPr>
          <w:trHeight w:val="219"/>
        </w:trPr>
        <w:tc>
          <w:tcPr>
            <w:tcW w:w="3760" w:type="dxa"/>
            <w:vAlign w:val="bottom"/>
          </w:tcPr>
          <w:p>
            <w:pPr>
              <w:ind w:left="20"/>
              <w:spacing w:after="0"/>
              <w:rPr>
                <w:sz w:val="20"/>
                <w:szCs w:val="20"/>
                <w:color w:val="auto"/>
              </w:rPr>
            </w:pPr>
            <w:r>
              <w:rPr>
                <w:rFonts w:ascii="Arial" w:cs="Arial" w:eastAsia="Arial" w:hAnsi="Arial"/>
                <w:sz w:val="17"/>
                <w:szCs w:val="17"/>
                <w:color w:val="auto"/>
              </w:rPr>
              <w:t>Chief Financial Officer</w:t>
            </w:r>
          </w:p>
        </w:tc>
        <w:tc>
          <w:tcPr>
            <w:tcW w:w="1820" w:type="dxa"/>
            <w:vAlign w:val="bottom"/>
          </w:tcPr>
          <w:p>
            <w:pPr>
              <w:spacing w:after="0"/>
              <w:rPr>
                <w:sz w:val="19"/>
                <w:szCs w:val="19"/>
                <w:color w:val="auto"/>
              </w:rPr>
            </w:pPr>
          </w:p>
        </w:tc>
        <w:tc>
          <w:tcPr>
            <w:tcW w:w="5660" w:type="dxa"/>
            <w:vAlign w:val="bottom"/>
          </w:tcPr>
          <w:p>
            <w:pPr>
              <w:spacing w:after="0"/>
              <w:rPr>
                <w:sz w:val="19"/>
                <w:szCs w:val="19"/>
                <w:color w:val="auto"/>
              </w:rPr>
            </w:pPr>
          </w:p>
        </w:tc>
      </w:tr>
      <w:tr>
        <w:trPr>
          <w:trHeight w:val="219"/>
        </w:trPr>
        <w:tc>
          <w:tcPr>
            <w:tcW w:w="3760" w:type="dxa"/>
            <w:vAlign w:val="bottom"/>
          </w:tcPr>
          <w:p>
            <w:pPr>
              <w:ind w:left="20"/>
              <w:spacing w:after="0"/>
              <w:rPr>
                <w:sz w:val="20"/>
                <w:szCs w:val="20"/>
                <w:color w:val="auto"/>
              </w:rPr>
            </w:pPr>
            <w:r>
              <w:rPr>
                <w:rFonts w:ascii="Arial" w:cs="Arial" w:eastAsia="Arial" w:hAnsi="Arial"/>
                <w:sz w:val="17"/>
                <w:szCs w:val="17"/>
                <w:color w:val="auto"/>
              </w:rPr>
              <w:t>(Principal Financial Officer)</w:t>
            </w:r>
          </w:p>
        </w:tc>
        <w:tc>
          <w:tcPr>
            <w:tcW w:w="1820" w:type="dxa"/>
            <w:vAlign w:val="bottom"/>
          </w:tcPr>
          <w:p>
            <w:pPr>
              <w:spacing w:after="0"/>
              <w:rPr>
                <w:sz w:val="19"/>
                <w:szCs w:val="19"/>
                <w:color w:val="auto"/>
              </w:rPr>
            </w:pPr>
          </w:p>
        </w:tc>
        <w:tc>
          <w:tcPr>
            <w:tcW w:w="5660" w:type="dxa"/>
            <w:vAlign w:val="bottom"/>
          </w:tcPr>
          <w:p>
            <w:pPr>
              <w:spacing w:after="0"/>
              <w:rPr>
                <w:sz w:val="19"/>
                <w:szCs w:val="19"/>
                <w:color w:val="auto"/>
              </w:rPr>
            </w:pPr>
          </w:p>
        </w:tc>
      </w:tr>
      <w:tr>
        <w:trPr>
          <w:trHeight w:val="812"/>
        </w:trPr>
        <w:tc>
          <w:tcPr>
            <w:tcW w:w="3760" w:type="dxa"/>
            <w:vAlign w:val="bottom"/>
          </w:tcPr>
          <w:p>
            <w:pPr>
              <w:spacing w:after="0"/>
              <w:rPr>
                <w:sz w:val="24"/>
                <w:szCs w:val="24"/>
                <w:color w:val="auto"/>
              </w:rPr>
            </w:pPr>
          </w:p>
        </w:tc>
        <w:tc>
          <w:tcPr>
            <w:tcW w:w="7480" w:type="dxa"/>
            <w:vAlign w:val="bottom"/>
            <w:gridSpan w:val="2"/>
          </w:tcPr>
          <w:p>
            <w:pPr>
              <w:jc w:val="right"/>
              <w:ind w:right="5454"/>
              <w:spacing w:after="0"/>
              <w:rPr>
                <w:sz w:val="20"/>
                <w:szCs w:val="20"/>
                <w:color w:val="auto"/>
              </w:rPr>
            </w:pPr>
            <w:r>
              <w:rPr>
                <w:rFonts w:ascii="Arial" w:cs="Arial" w:eastAsia="Arial" w:hAnsi="Arial"/>
                <w:sz w:val="17"/>
                <w:szCs w:val="17"/>
                <w:color w:val="auto"/>
              </w:rPr>
              <w:t>58</w:t>
            </w:r>
          </w:p>
        </w:tc>
      </w:tr>
      <w:tr>
        <w:trPr>
          <w:trHeight w:val="110"/>
        </w:trPr>
        <w:tc>
          <w:tcPr>
            <w:tcW w:w="3760" w:type="dxa"/>
            <w:vAlign w:val="bottom"/>
            <w:tcBorders>
              <w:bottom w:val="single" w:sz="8" w:color="9A9A9A"/>
            </w:tcBorders>
          </w:tcPr>
          <w:p>
            <w:pPr>
              <w:spacing w:after="0"/>
              <w:rPr>
                <w:sz w:val="9"/>
                <w:szCs w:val="9"/>
                <w:color w:val="auto"/>
              </w:rPr>
            </w:pPr>
          </w:p>
        </w:tc>
        <w:tc>
          <w:tcPr>
            <w:tcW w:w="1820" w:type="dxa"/>
            <w:vAlign w:val="bottom"/>
            <w:tcBorders>
              <w:bottom w:val="single" w:sz="8" w:color="9A9A9A"/>
            </w:tcBorders>
          </w:tcPr>
          <w:p>
            <w:pPr>
              <w:spacing w:after="0"/>
              <w:rPr>
                <w:sz w:val="9"/>
                <w:szCs w:val="9"/>
                <w:color w:val="auto"/>
              </w:rPr>
            </w:pPr>
          </w:p>
        </w:tc>
        <w:tc>
          <w:tcPr>
            <w:tcW w:w="56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95"/>
        </w:trPr>
        <w:tc>
          <w:tcPr>
            <w:tcW w:w="1020" w:type="dxa"/>
            <w:vAlign w:val="bottom"/>
            <w:tcBorders>
              <w:bottom w:val="single" w:sz="8" w:color="auto"/>
            </w:tcBorders>
            <w:gridSpan w:val="3"/>
          </w:tcPr>
          <w:p>
            <w:pPr>
              <w:spacing w:after="0"/>
              <w:rPr>
                <w:sz w:val="20"/>
                <w:szCs w:val="20"/>
                <w:color w:val="auto"/>
              </w:rPr>
            </w:pPr>
            <w:r>
              <w:rPr>
                <w:rFonts w:ascii="Arial" w:cs="Arial" w:eastAsia="Arial" w:hAnsi="Arial"/>
                <w:sz w:val="17"/>
                <w:szCs w:val="17"/>
                <w:b w:val="1"/>
                <w:bCs w:val="1"/>
                <w:color w:val="auto"/>
                <w:w w:val="94"/>
              </w:rPr>
              <w:t>Exhibit Index</w:t>
            </w:r>
          </w:p>
        </w:tc>
        <w:tc>
          <w:tcPr>
            <w:tcW w:w="560" w:type="dxa"/>
            <w:vAlign w:val="bottom"/>
          </w:tcPr>
          <w:p>
            <w:pPr>
              <w:spacing w:after="0"/>
              <w:rPr>
                <w:sz w:val="16"/>
                <w:szCs w:val="16"/>
                <w:color w:val="auto"/>
              </w:rPr>
            </w:pPr>
          </w:p>
        </w:tc>
        <w:tc>
          <w:tcPr>
            <w:tcW w:w="9240" w:type="dxa"/>
            <w:vAlign w:val="bottom"/>
          </w:tcPr>
          <w:p>
            <w:pPr>
              <w:spacing w:after="0"/>
              <w:rPr>
                <w:sz w:val="16"/>
                <w:szCs w:val="16"/>
                <w:color w:val="auto"/>
              </w:rPr>
            </w:pPr>
          </w:p>
        </w:tc>
      </w:tr>
      <w:tr>
        <w:trPr>
          <w:trHeight w:val="573"/>
        </w:trPr>
        <w:tc>
          <w:tcPr>
            <w:tcW w:w="1580" w:type="dxa"/>
            <w:vAlign w:val="bottom"/>
            <w:gridSpan w:val="4"/>
          </w:tcPr>
          <w:p>
            <w:pPr>
              <w:ind w:left="20"/>
              <w:spacing w:after="0"/>
              <w:rPr>
                <w:rFonts w:ascii="Arial" w:cs="Arial" w:eastAsia="Arial" w:hAnsi="Arial"/>
                <w:sz w:val="17"/>
                <w:szCs w:val="17"/>
                <w:color w:val="auto"/>
              </w:rPr>
            </w:pPr>
            <w:r>
              <w:rPr>
                <w:rFonts w:ascii="Arial" w:cs="Arial" w:eastAsia="Arial" w:hAnsi="Arial"/>
                <w:sz w:val="17"/>
                <w:szCs w:val="17"/>
                <w:color w:val="auto"/>
              </w:rPr>
              <w:t xml:space="preserve">Exhibit </w:t>
            </w:r>
            <w:hyperlink r:id="rId93">
              <w:r>
                <w:rPr>
                  <w:rFonts w:ascii="Arial" w:cs="Arial" w:eastAsia="Arial" w:hAnsi="Arial"/>
                  <w:sz w:val="17"/>
                  <w:szCs w:val="17"/>
                  <w:color w:val="0000FF"/>
                </w:rPr>
                <w:t>10.1</w:t>
              </w:r>
            </w:hyperlink>
          </w:p>
        </w:tc>
        <w:tc>
          <w:tcPr>
            <w:tcW w:w="9240" w:type="dxa"/>
            <w:vAlign w:val="bottom"/>
          </w:tcPr>
          <w:p>
            <w:pPr>
              <w:ind w:left="380"/>
              <w:spacing w:after="0"/>
              <w:rPr>
                <w:sz w:val="20"/>
                <w:szCs w:val="20"/>
                <w:color w:val="auto"/>
              </w:rPr>
            </w:pPr>
            <w:r>
              <w:rPr>
                <w:rFonts w:ascii="Arial" w:cs="Arial" w:eastAsia="Arial" w:hAnsi="Arial"/>
                <w:sz w:val="17"/>
                <w:szCs w:val="17"/>
                <w:color w:val="auto"/>
                <w:w w:val="93"/>
              </w:rPr>
              <w:t>Amended and Restated Executive Employment Agreement, dated as of April 15, 2022, by and between ICU Medical, Inc. and</w:t>
            </w:r>
          </w:p>
        </w:tc>
      </w:tr>
      <w:tr>
        <w:trPr>
          <w:trHeight w:val="135"/>
        </w:trPr>
        <w:tc>
          <w:tcPr>
            <w:tcW w:w="560" w:type="dxa"/>
            <w:vAlign w:val="bottom"/>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240" w:type="dxa"/>
            <w:vAlign w:val="bottom"/>
          </w:tcPr>
          <w:p>
            <w:pPr>
              <w:ind w:left="380"/>
              <w:spacing w:after="0" w:line="136" w:lineRule="exact"/>
              <w:rPr>
                <w:sz w:val="20"/>
                <w:szCs w:val="20"/>
                <w:color w:val="auto"/>
              </w:rPr>
            </w:pPr>
            <w:r>
              <w:rPr>
                <w:rFonts w:ascii="Arial" w:cs="Arial" w:eastAsia="Arial" w:hAnsi="Arial"/>
                <w:sz w:val="15"/>
                <w:szCs w:val="15"/>
                <w:color w:val="auto"/>
              </w:rPr>
              <w:t>Vivek Jain. Filed as an Exhibit to Registrant's Current Report on Form 8-K filed April 20, 2022, and incorporated herein by</w:t>
            </w:r>
          </w:p>
        </w:tc>
      </w:tr>
      <w:tr>
        <w:trPr>
          <w:trHeight w:val="217"/>
        </w:trPr>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40" w:type="dxa"/>
            <w:vAlign w:val="bottom"/>
          </w:tcPr>
          <w:p>
            <w:pPr>
              <w:ind w:left="380"/>
              <w:spacing w:after="0"/>
              <w:rPr>
                <w:sz w:val="20"/>
                <w:szCs w:val="20"/>
                <w:color w:val="auto"/>
              </w:rPr>
            </w:pPr>
            <w:r>
              <w:rPr>
                <w:rFonts w:ascii="Arial" w:cs="Arial" w:eastAsia="Arial" w:hAnsi="Arial"/>
                <w:sz w:val="17"/>
                <w:szCs w:val="17"/>
                <w:color w:val="auto"/>
              </w:rPr>
              <w:t>reference.</w:t>
            </w:r>
          </w:p>
        </w:tc>
      </w:tr>
      <w:tr>
        <w:trPr>
          <w:trHeight w:val="234"/>
        </w:trPr>
        <w:tc>
          <w:tcPr>
            <w:tcW w:w="1580" w:type="dxa"/>
            <w:vAlign w:val="bottom"/>
            <w:gridSpan w:val="4"/>
          </w:tcPr>
          <w:p>
            <w:pPr>
              <w:ind w:left="20"/>
              <w:spacing w:after="0"/>
              <w:rPr>
                <w:rFonts w:ascii="Arial" w:cs="Arial" w:eastAsia="Arial" w:hAnsi="Arial"/>
                <w:sz w:val="17"/>
                <w:szCs w:val="17"/>
                <w:color w:val="auto"/>
              </w:rPr>
            </w:pPr>
            <w:r>
              <w:rPr>
                <w:rFonts w:ascii="Arial" w:cs="Arial" w:eastAsia="Arial" w:hAnsi="Arial"/>
                <w:sz w:val="17"/>
                <w:szCs w:val="17"/>
                <w:color w:val="auto"/>
              </w:rPr>
              <w:t xml:space="preserve">Exhibit </w:t>
            </w:r>
            <w:hyperlink w:anchor="page60">
              <w:r>
                <w:rPr>
                  <w:rFonts w:ascii="Arial" w:cs="Arial" w:eastAsia="Arial" w:hAnsi="Arial"/>
                  <w:sz w:val="17"/>
                  <w:szCs w:val="17"/>
                  <w:color w:val="0000FF"/>
                </w:rPr>
                <w:t>31.1</w:t>
              </w:r>
            </w:hyperlink>
          </w:p>
        </w:tc>
        <w:tc>
          <w:tcPr>
            <w:tcW w:w="9240" w:type="dxa"/>
            <w:vAlign w:val="bottom"/>
          </w:tcPr>
          <w:p>
            <w:pPr>
              <w:ind w:left="380"/>
              <w:spacing w:after="0"/>
              <w:rPr>
                <w:sz w:val="20"/>
                <w:szCs w:val="20"/>
                <w:color w:val="auto"/>
              </w:rPr>
            </w:pPr>
            <w:r>
              <w:rPr>
                <w:rFonts w:ascii="Arial" w:cs="Arial" w:eastAsia="Arial" w:hAnsi="Arial"/>
                <w:sz w:val="17"/>
                <w:szCs w:val="17"/>
                <w:color w:val="auto"/>
              </w:rPr>
              <w:t>Certification of Chief Executive Officer pursuant to Section 302 of the Sarbanes-Oxley Act of 2002</w:t>
            </w:r>
          </w:p>
        </w:tc>
      </w:tr>
      <w:tr>
        <w:trPr>
          <w:trHeight w:val="20"/>
        </w:trPr>
        <w:tc>
          <w:tcPr>
            <w:tcW w:w="5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r>
      <w:tr>
        <w:trPr>
          <w:trHeight w:val="251"/>
        </w:trPr>
        <w:tc>
          <w:tcPr>
            <w:tcW w:w="1580" w:type="dxa"/>
            <w:vAlign w:val="bottom"/>
            <w:gridSpan w:val="4"/>
          </w:tcPr>
          <w:p>
            <w:pPr>
              <w:ind w:left="20"/>
              <w:spacing w:after="0"/>
              <w:rPr>
                <w:rFonts w:ascii="Arial" w:cs="Arial" w:eastAsia="Arial" w:hAnsi="Arial"/>
                <w:sz w:val="17"/>
                <w:szCs w:val="17"/>
                <w:color w:val="auto"/>
              </w:rPr>
            </w:pPr>
            <w:r>
              <w:rPr>
                <w:rFonts w:ascii="Arial" w:cs="Arial" w:eastAsia="Arial" w:hAnsi="Arial"/>
                <w:sz w:val="17"/>
                <w:szCs w:val="17"/>
                <w:color w:val="auto"/>
              </w:rPr>
              <w:t xml:space="preserve">Exhibit </w:t>
            </w:r>
            <w:hyperlink w:anchor="page61">
              <w:r>
                <w:rPr>
                  <w:rFonts w:ascii="Arial" w:cs="Arial" w:eastAsia="Arial" w:hAnsi="Arial"/>
                  <w:sz w:val="17"/>
                  <w:szCs w:val="17"/>
                  <w:color w:val="0000FF"/>
                </w:rPr>
                <w:t>31.2</w:t>
              </w:r>
            </w:hyperlink>
          </w:p>
        </w:tc>
        <w:tc>
          <w:tcPr>
            <w:tcW w:w="9240" w:type="dxa"/>
            <w:vAlign w:val="bottom"/>
          </w:tcPr>
          <w:p>
            <w:pPr>
              <w:ind w:left="380"/>
              <w:spacing w:after="0"/>
              <w:rPr>
                <w:sz w:val="20"/>
                <w:szCs w:val="20"/>
                <w:color w:val="auto"/>
              </w:rPr>
            </w:pPr>
            <w:r>
              <w:rPr>
                <w:rFonts w:ascii="Arial" w:cs="Arial" w:eastAsia="Arial" w:hAnsi="Arial"/>
                <w:sz w:val="17"/>
                <w:szCs w:val="17"/>
                <w:color w:val="auto"/>
              </w:rPr>
              <w:t>Certification of Chief Financial Officer pursuant to Section 302 of the Sarbanes-Oxley Act of 2002</w:t>
            </w:r>
          </w:p>
        </w:tc>
      </w:tr>
      <w:tr>
        <w:trPr>
          <w:trHeight w:val="20"/>
        </w:trPr>
        <w:tc>
          <w:tcPr>
            <w:tcW w:w="5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r>
      <w:tr>
        <w:trPr>
          <w:trHeight w:val="251"/>
        </w:trPr>
        <w:tc>
          <w:tcPr>
            <w:tcW w:w="1580" w:type="dxa"/>
            <w:vAlign w:val="bottom"/>
            <w:gridSpan w:val="4"/>
          </w:tcPr>
          <w:p>
            <w:pPr>
              <w:ind w:left="20"/>
              <w:spacing w:after="0"/>
              <w:rPr>
                <w:rFonts w:ascii="Arial" w:cs="Arial" w:eastAsia="Arial" w:hAnsi="Arial"/>
                <w:sz w:val="17"/>
                <w:szCs w:val="17"/>
                <w:color w:val="auto"/>
              </w:rPr>
            </w:pPr>
            <w:r>
              <w:rPr>
                <w:rFonts w:ascii="Arial" w:cs="Arial" w:eastAsia="Arial" w:hAnsi="Arial"/>
                <w:sz w:val="17"/>
                <w:szCs w:val="17"/>
                <w:color w:val="auto"/>
              </w:rPr>
              <w:t xml:space="preserve">Exhibit </w:t>
            </w:r>
            <w:hyperlink w:anchor="page62">
              <w:r>
                <w:rPr>
                  <w:rFonts w:ascii="Arial" w:cs="Arial" w:eastAsia="Arial" w:hAnsi="Arial"/>
                  <w:sz w:val="17"/>
                  <w:szCs w:val="17"/>
                  <w:color w:val="0000FF"/>
                </w:rPr>
                <w:t>32.1</w:t>
              </w:r>
            </w:hyperlink>
          </w:p>
        </w:tc>
        <w:tc>
          <w:tcPr>
            <w:tcW w:w="9240" w:type="dxa"/>
            <w:vAlign w:val="bottom"/>
          </w:tcPr>
          <w:p>
            <w:pPr>
              <w:ind w:left="380"/>
              <w:spacing w:after="0"/>
              <w:rPr>
                <w:sz w:val="20"/>
                <w:szCs w:val="20"/>
                <w:color w:val="auto"/>
              </w:rPr>
            </w:pPr>
            <w:r>
              <w:rPr>
                <w:rFonts w:ascii="Arial" w:cs="Arial" w:eastAsia="Arial" w:hAnsi="Arial"/>
                <w:sz w:val="17"/>
                <w:szCs w:val="17"/>
                <w:color w:val="auto"/>
                <w:w w:val="93"/>
              </w:rPr>
              <w:t>Certifications of Chief Executive Officer and Chief Financial Officer pursuant to Section 906 of the Sarbanes-Oxley Act of 2002</w:t>
            </w:r>
          </w:p>
        </w:tc>
      </w:tr>
      <w:tr>
        <w:trPr>
          <w:trHeight w:val="20"/>
        </w:trPr>
        <w:tc>
          <w:tcPr>
            <w:tcW w:w="5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r>
      <w:tr>
        <w:trPr>
          <w:trHeight w:val="238"/>
        </w:trPr>
        <w:tc>
          <w:tcPr>
            <w:tcW w:w="1580" w:type="dxa"/>
            <w:vAlign w:val="bottom"/>
            <w:gridSpan w:val="4"/>
          </w:tcPr>
          <w:p>
            <w:pPr>
              <w:ind w:left="20"/>
              <w:spacing w:after="0"/>
              <w:rPr>
                <w:sz w:val="20"/>
                <w:szCs w:val="20"/>
                <w:color w:val="auto"/>
              </w:rPr>
            </w:pPr>
            <w:r>
              <w:rPr>
                <w:rFonts w:ascii="Arial" w:cs="Arial" w:eastAsia="Arial" w:hAnsi="Arial"/>
                <w:sz w:val="17"/>
                <w:szCs w:val="17"/>
                <w:color w:val="auto"/>
              </w:rPr>
              <w:t>Exhibit 101.INS</w:t>
            </w:r>
          </w:p>
        </w:tc>
        <w:tc>
          <w:tcPr>
            <w:tcW w:w="9240" w:type="dxa"/>
            <w:vAlign w:val="bottom"/>
          </w:tcPr>
          <w:p>
            <w:pPr>
              <w:ind w:left="380"/>
              <w:spacing w:after="0"/>
              <w:rPr>
                <w:sz w:val="20"/>
                <w:szCs w:val="20"/>
                <w:color w:val="auto"/>
              </w:rPr>
            </w:pPr>
            <w:r>
              <w:rPr>
                <w:rFonts w:ascii="Arial" w:cs="Arial" w:eastAsia="Arial" w:hAnsi="Arial"/>
                <w:sz w:val="17"/>
                <w:szCs w:val="17"/>
                <w:color w:val="auto"/>
                <w:w w:val="96"/>
              </w:rPr>
              <w:t>XBRL Instance Document - this instance document does not appear in the Interactive Data File because its XBRL tags are</w:t>
            </w:r>
          </w:p>
        </w:tc>
      </w:tr>
      <w:tr>
        <w:trPr>
          <w:trHeight w:val="217"/>
        </w:trPr>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40" w:type="dxa"/>
            <w:vAlign w:val="bottom"/>
          </w:tcPr>
          <w:p>
            <w:pPr>
              <w:ind w:left="380"/>
              <w:spacing w:after="0"/>
              <w:rPr>
                <w:sz w:val="20"/>
                <w:szCs w:val="20"/>
                <w:color w:val="auto"/>
              </w:rPr>
            </w:pPr>
            <w:r>
              <w:rPr>
                <w:rFonts w:ascii="Arial" w:cs="Arial" w:eastAsia="Arial" w:hAnsi="Arial"/>
                <w:sz w:val="17"/>
                <w:szCs w:val="17"/>
                <w:color w:val="auto"/>
              </w:rPr>
              <w:t>embedded within the Inline XBRL document.</w:t>
            </w:r>
          </w:p>
        </w:tc>
      </w:tr>
      <w:tr>
        <w:trPr>
          <w:trHeight w:val="271"/>
        </w:trPr>
        <w:tc>
          <w:tcPr>
            <w:tcW w:w="1580" w:type="dxa"/>
            <w:vAlign w:val="bottom"/>
            <w:gridSpan w:val="4"/>
          </w:tcPr>
          <w:p>
            <w:pPr>
              <w:ind w:left="20"/>
              <w:spacing w:after="0"/>
              <w:rPr>
                <w:sz w:val="20"/>
                <w:szCs w:val="20"/>
                <w:color w:val="auto"/>
              </w:rPr>
            </w:pPr>
            <w:r>
              <w:rPr>
                <w:rFonts w:ascii="Arial" w:cs="Arial" w:eastAsia="Arial" w:hAnsi="Arial"/>
                <w:sz w:val="17"/>
                <w:szCs w:val="17"/>
                <w:color w:val="auto"/>
              </w:rPr>
              <w:t>Exhibit 101.SCH</w:t>
            </w:r>
          </w:p>
        </w:tc>
        <w:tc>
          <w:tcPr>
            <w:tcW w:w="9240" w:type="dxa"/>
            <w:vAlign w:val="bottom"/>
          </w:tcPr>
          <w:p>
            <w:pPr>
              <w:ind w:left="380"/>
              <w:spacing w:after="0"/>
              <w:rPr>
                <w:sz w:val="20"/>
                <w:szCs w:val="20"/>
                <w:color w:val="auto"/>
              </w:rPr>
            </w:pPr>
            <w:r>
              <w:rPr>
                <w:rFonts w:ascii="Arial" w:cs="Arial" w:eastAsia="Arial" w:hAnsi="Arial"/>
                <w:sz w:val="17"/>
                <w:szCs w:val="17"/>
                <w:color w:val="auto"/>
              </w:rPr>
              <w:t>XBRL Taxonomy Extension Schema Document</w:t>
            </w:r>
          </w:p>
        </w:tc>
      </w:tr>
      <w:tr>
        <w:trPr>
          <w:trHeight w:val="271"/>
        </w:trPr>
        <w:tc>
          <w:tcPr>
            <w:tcW w:w="1580" w:type="dxa"/>
            <w:vAlign w:val="bottom"/>
            <w:gridSpan w:val="4"/>
          </w:tcPr>
          <w:p>
            <w:pPr>
              <w:ind w:left="20"/>
              <w:spacing w:after="0"/>
              <w:rPr>
                <w:sz w:val="20"/>
                <w:szCs w:val="20"/>
                <w:color w:val="auto"/>
              </w:rPr>
            </w:pPr>
            <w:r>
              <w:rPr>
                <w:rFonts w:ascii="Arial" w:cs="Arial" w:eastAsia="Arial" w:hAnsi="Arial"/>
                <w:sz w:val="17"/>
                <w:szCs w:val="17"/>
                <w:color w:val="auto"/>
              </w:rPr>
              <w:t>Exhibit 101.CAL</w:t>
            </w:r>
          </w:p>
        </w:tc>
        <w:tc>
          <w:tcPr>
            <w:tcW w:w="9240" w:type="dxa"/>
            <w:vAlign w:val="bottom"/>
          </w:tcPr>
          <w:p>
            <w:pPr>
              <w:ind w:left="380"/>
              <w:spacing w:after="0"/>
              <w:rPr>
                <w:sz w:val="20"/>
                <w:szCs w:val="20"/>
                <w:color w:val="auto"/>
              </w:rPr>
            </w:pPr>
            <w:r>
              <w:rPr>
                <w:rFonts w:ascii="Arial" w:cs="Arial" w:eastAsia="Arial" w:hAnsi="Arial"/>
                <w:sz w:val="17"/>
                <w:szCs w:val="17"/>
                <w:color w:val="auto"/>
              </w:rPr>
              <w:t>XBRL Taxonomy Extension Calculation Linkbase Document</w:t>
            </w:r>
          </w:p>
        </w:tc>
      </w:tr>
      <w:tr>
        <w:trPr>
          <w:trHeight w:val="271"/>
        </w:trPr>
        <w:tc>
          <w:tcPr>
            <w:tcW w:w="1580" w:type="dxa"/>
            <w:vAlign w:val="bottom"/>
            <w:gridSpan w:val="4"/>
          </w:tcPr>
          <w:p>
            <w:pPr>
              <w:ind w:left="20"/>
              <w:spacing w:after="0"/>
              <w:rPr>
                <w:sz w:val="20"/>
                <w:szCs w:val="20"/>
                <w:color w:val="auto"/>
              </w:rPr>
            </w:pPr>
            <w:r>
              <w:rPr>
                <w:rFonts w:ascii="Arial" w:cs="Arial" w:eastAsia="Arial" w:hAnsi="Arial"/>
                <w:sz w:val="17"/>
                <w:szCs w:val="17"/>
                <w:color w:val="auto"/>
              </w:rPr>
              <w:t>Exhibit 101.DEF</w:t>
            </w:r>
          </w:p>
        </w:tc>
        <w:tc>
          <w:tcPr>
            <w:tcW w:w="9240" w:type="dxa"/>
            <w:vAlign w:val="bottom"/>
          </w:tcPr>
          <w:p>
            <w:pPr>
              <w:ind w:left="380"/>
              <w:spacing w:after="0"/>
              <w:rPr>
                <w:sz w:val="20"/>
                <w:szCs w:val="20"/>
                <w:color w:val="auto"/>
              </w:rPr>
            </w:pPr>
            <w:r>
              <w:rPr>
                <w:rFonts w:ascii="Arial" w:cs="Arial" w:eastAsia="Arial" w:hAnsi="Arial"/>
                <w:sz w:val="17"/>
                <w:szCs w:val="17"/>
                <w:color w:val="auto"/>
              </w:rPr>
              <w:t>XBRL Taxonomy Extension Definition Linkbase Document</w:t>
            </w:r>
          </w:p>
        </w:tc>
      </w:tr>
      <w:tr>
        <w:trPr>
          <w:trHeight w:val="271"/>
        </w:trPr>
        <w:tc>
          <w:tcPr>
            <w:tcW w:w="1580" w:type="dxa"/>
            <w:vAlign w:val="bottom"/>
            <w:gridSpan w:val="4"/>
          </w:tcPr>
          <w:p>
            <w:pPr>
              <w:ind w:left="20"/>
              <w:spacing w:after="0"/>
              <w:rPr>
                <w:sz w:val="20"/>
                <w:szCs w:val="20"/>
                <w:color w:val="auto"/>
              </w:rPr>
            </w:pPr>
            <w:r>
              <w:rPr>
                <w:rFonts w:ascii="Arial" w:cs="Arial" w:eastAsia="Arial" w:hAnsi="Arial"/>
                <w:sz w:val="17"/>
                <w:szCs w:val="17"/>
                <w:color w:val="auto"/>
              </w:rPr>
              <w:t>Exhibit 101.LAB</w:t>
            </w:r>
          </w:p>
        </w:tc>
        <w:tc>
          <w:tcPr>
            <w:tcW w:w="9240" w:type="dxa"/>
            <w:vAlign w:val="bottom"/>
          </w:tcPr>
          <w:p>
            <w:pPr>
              <w:ind w:left="380"/>
              <w:spacing w:after="0"/>
              <w:rPr>
                <w:sz w:val="20"/>
                <w:szCs w:val="20"/>
                <w:color w:val="auto"/>
              </w:rPr>
            </w:pPr>
            <w:r>
              <w:rPr>
                <w:rFonts w:ascii="Arial" w:cs="Arial" w:eastAsia="Arial" w:hAnsi="Arial"/>
                <w:sz w:val="17"/>
                <w:szCs w:val="17"/>
                <w:color w:val="auto"/>
              </w:rPr>
              <w:t>XBRL Taxonomy Extension Label Linkbase Document</w:t>
            </w:r>
          </w:p>
        </w:tc>
      </w:tr>
      <w:tr>
        <w:trPr>
          <w:trHeight w:val="271"/>
        </w:trPr>
        <w:tc>
          <w:tcPr>
            <w:tcW w:w="1580" w:type="dxa"/>
            <w:vAlign w:val="bottom"/>
            <w:gridSpan w:val="4"/>
          </w:tcPr>
          <w:p>
            <w:pPr>
              <w:ind w:left="20"/>
              <w:spacing w:after="0"/>
              <w:rPr>
                <w:sz w:val="20"/>
                <w:szCs w:val="20"/>
                <w:color w:val="auto"/>
              </w:rPr>
            </w:pPr>
            <w:r>
              <w:rPr>
                <w:rFonts w:ascii="Arial" w:cs="Arial" w:eastAsia="Arial" w:hAnsi="Arial"/>
                <w:sz w:val="17"/>
                <w:szCs w:val="17"/>
                <w:color w:val="auto"/>
              </w:rPr>
              <w:t>Exhibit 101.PRE</w:t>
            </w:r>
          </w:p>
        </w:tc>
        <w:tc>
          <w:tcPr>
            <w:tcW w:w="9240" w:type="dxa"/>
            <w:vAlign w:val="bottom"/>
          </w:tcPr>
          <w:p>
            <w:pPr>
              <w:ind w:left="380"/>
              <w:spacing w:after="0"/>
              <w:rPr>
                <w:sz w:val="20"/>
                <w:szCs w:val="20"/>
                <w:color w:val="auto"/>
              </w:rPr>
            </w:pPr>
            <w:r>
              <w:rPr>
                <w:rFonts w:ascii="Arial" w:cs="Arial" w:eastAsia="Arial" w:hAnsi="Arial"/>
                <w:sz w:val="17"/>
                <w:szCs w:val="17"/>
                <w:color w:val="auto"/>
              </w:rPr>
              <w:t>XBRL Taxonomy Extension Presentation Linkbase Document</w:t>
            </w:r>
          </w:p>
        </w:tc>
      </w:tr>
      <w:tr>
        <w:trPr>
          <w:trHeight w:val="271"/>
        </w:trPr>
        <w:tc>
          <w:tcPr>
            <w:tcW w:w="1580" w:type="dxa"/>
            <w:vAlign w:val="bottom"/>
            <w:gridSpan w:val="4"/>
          </w:tcPr>
          <w:p>
            <w:pPr>
              <w:ind w:left="20"/>
              <w:spacing w:after="0"/>
              <w:rPr>
                <w:sz w:val="20"/>
                <w:szCs w:val="20"/>
                <w:color w:val="auto"/>
              </w:rPr>
            </w:pPr>
            <w:r>
              <w:rPr>
                <w:rFonts w:ascii="Arial" w:cs="Arial" w:eastAsia="Arial" w:hAnsi="Arial"/>
                <w:sz w:val="17"/>
                <w:szCs w:val="17"/>
                <w:color w:val="auto"/>
              </w:rPr>
              <w:t>Exhibit 104</w:t>
            </w:r>
          </w:p>
        </w:tc>
        <w:tc>
          <w:tcPr>
            <w:tcW w:w="9240" w:type="dxa"/>
            <w:vAlign w:val="bottom"/>
          </w:tcPr>
          <w:p>
            <w:pPr>
              <w:ind w:left="380"/>
              <w:spacing w:after="0"/>
              <w:rPr>
                <w:sz w:val="20"/>
                <w:szCs w:val="20"/>
                <w:color w:val="auto"/>
              </w:rPr>
            </w:pPr>
            <w:r>
              <w:rPr>
                <w:rFonts w:ascii="Arial" w:cs="Arial" w:eastAsia="Arial" w:hAnsi="Arial"/>
                <w:sz w:val="17"/>
                <w:szCs w:val="17"/>
                <w:color w:val="auto"/>
              </w:rPr>
              <w:t>Cover Page Interactive Data File (formatted as Inline XBRL and contained in Exhibit 101)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0820"/>
          </w:cols>
          <w:pgMar w:left="320" w:top="846" w:right="759" w:bottom="1440" w:gutter="0" w:footer="0" w:header="0"/>
        </w:sectPr>
      </w:pPr>
    </w:p>
    <w:bookmarkStart w:id="59" w:name="page60"/>
    <w:bookmarkEnd w:id="59"/>
    <w:p>
      <w:pPr>
        <w:jc w:val="right"/>
        <w:spacing w:after="0"/>
        <w:rPr>
          <w:sz w:val="20"/>
          <w:szCs w:val="20"/>
          <w:color w:val="auto"/>
        </w:rPr>
      </w:pPr>
      <w:r>
        <w:rPr>
          <w:rFonts w:ascii="Arial" w:cs="Arial" w:eastAsia="Arial" w:hAnsi="Arial"/>
          <w:sz w:val="17"/>
          <w:szCs w:val="17"/>
          <w:b w:val="1"/>
          <w:bCs w:val="1"/>
          <w:color w:val="auto"/>
        </w:rPr>
        <w:t>Exhibit 31.1</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CERTIFICATION OF CHIEF EXECUTIVE OFFICER PURSUANT TO SECTION 302 OF THE SARBANES-OXLEY ACT OF 2002</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I, Vivek Jain, certify that:</w:t>
      </w:r>
    </w:p>
    <w:p>
      <w:pPr>
        <w:spacing w:after="0" w:line="243" w:lineRule="exact"/>
        <w:rPr>
          <w:sz w:val="20"/>
          <w:szCs w:val="20"/>
          <w:color w:val="auto"/>
        </w:rPr>
      </w:pPr>
    </w:p>
    <w:p>
      <w:pPr>
        <w:ind w:left="1240" w:hanging="618"/>
        <w:spacing w:after="0"/>
        <w:tabs>
          <w:tab w:leader="none" w:pos="12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ICU Medical, Inc.;</w:t>
      </w:r>
    </w:p>
    <w:p>
      <w:pPr>
        <w:spacing w:after="0" w:line="242" w:lineRule="exact"/>
        <w:rPr>
          <w:rFonts w:ascii="Arial" w:cs="Arial" w:eastAsia="Arial" w:hAnsi="Arial"/>
          <w:sz w:val="17"/>
          <w:szCs w:val="17"/>
          <w:color w:val="auto"/>
        </w:rPr>
      </w:pPr>
    </w:p>
    <w:p>
      <w:pPr>
        <w:jc w:val="both"/>
        <w:ind w:left="1240" w:hanging="618"/>
        <w:spacing w:after="0" w:line="266" w:lineRule="auto"/>
        <w:tabs>
          <w:tab w:leader="none" w:pos="12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rFonts w:ascii="Arial" w:cs="Arial" w:eastAsia="Arial" w:hAnsi="Arial"/>
          <w:sz w:val="17"/>
          <w:szCs w:val="17"/>
          <w:color w:val="auto"/>
        </w:rPr>
      </w:pPr>
    </w:p>
    <w:p>
      <w:pPr>
        <w:ind w:left="1240" w:right="220" w:hanging="618"/>
        <w:spacing w:after="0" w:line="312" w:lineRule="auto"/>
        <w:tabs>
          <w:tab w:leader="none" w:pos="12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rFonts w:ascii="Arial" w:cs="Arial" w:eastAsia="Arial" w:hAnsi="Arial"/>
          <w:sz w:val="16"/>
          <w:szCs w:val="16"/>
          <w:color w:val="auto"/>
        </w:rPr>
      </w:pPr>
    </w:p>
    <w:p>
      <w:pPr>
        <w:ind w:left="1240" w:hanging="618"/>
        <w:spacing w:after="0" w:line="266" w:lineRule="auto"/>
        <w:tabs>
          <w:tab w:leader="none" w:pos="12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sz w:val="20"/>
          <w:szCs w:val="20"/>
          <w:color w:val="auto"/>
        </w:rPr>
      </w:pPr>
    </w:p>
    <w:p>
      <w:pPr>
        <w:ind w:left="1240" w:right="260" w:hanging="618"/>
        <w:spacing w:after="0" w:line="266" w:lineRule="auto"/>
        <w:tabs>
          <w:tab w:leader="none" w:pos="1231" w:val="left"/>
        </w:tabs>
        <w:numPr>
          <w:ilvl w:val="0"/>
          <w:numId w:val="4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7"/>
          <w:szCs w:val="17"/>
          <w:color w:val="auto"/>
        </w:rPr>
      </w:pPr>
    </w:p>
    <w:p>
      <w:pPr>
        <w:ind w:left="1240" w:right="560" w:hanging="618"/>
        <w:spacing w:after="0" w:line="266" w:lineRule="auto"/>
        <w:tabs>
          <w:tab w:leader="none" w:pos="1228" w:val="left"/>
        </w:tabs>
        <w:numPr>
          <w:ilvl w:val="0"/>
          <w:numId w:val="4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Arial" w:cs="Arial" w:eastAsia="Arial" w:hAnsi="Arial"/>
          <w:sz w:val="17"/>
          <w:szCs w:val="17"/>
          <w:color w:val="auto"/>
        </w:rPr>
      </w:pPr>
    </w:p>
    <w:p>
      <w:pPr>
        <w:jc w:val="both"/>
        <w:ind w:left="1240" w:right="720" w:hanging="618"/>
        <w:spacing w:after="0" w:line="349" w:lineRule="auto"/>
        <w:tabs>
          <w:tab w:leader="none" w:pos="1231" w:val="left"/>
        </w:tabs>
        <w:numPr>
          <w:ilvl w:val="0"/>
          <w:numId w:val="4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2" w:lineRule="exact"/>
        <w:rPr>
          <w:rFonts w:ascii="Arial" w:cs="Arial" w:eastAsia="Arial" w:hAnsi="Arial"/>
          <w:sz w:val="15"/>
          <w:szCs w:val="15"/>
          <w:color w:val="auto"/>
        </w:rPr>
      </w:pPr>
    </w:p>
    <w:p>
      <w:pPr>
        <w:ind w:left="1240" w:right="260" w:hanging="618"/>
        <w:spacing w:after="0" w:line="266" w:lineRule="auto"/>
        <w:tabs>
          <w:tab w:leader="none" w:pos="1228" w:val="left"/>
        </w:tabs>
        <w:numPr>
          <w:ilvl w:val="0"/>
          <w:numId w:val="4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sz w:val="20"/>
          <w:szCs w:val="20"/>
          <w:color w:val="auto"/>
        </w:rPr>
      </w:pPr>
    </w:p>
    <w:p>
      <w:pPr>
        <w:ind w:left="1240" w:right="140" w:hanging="618"/>
        <w:spacing w:after="0" w:line="312" w:lineRule="auto"/>
        <w:tabs>
          <w:tab w:leader="none" w:pos="12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sz w:val="20"/>
          <w:szCs w:val="20"/>
          <w:color w:val="auto"/>
        </w:rPr>
      </w:pPr>
    </w:p>
    <w:p>
      <w:pPr>
        <w:ind w:left="1240" w:right="160" w:hanging="618"/>
        <w:spacing w:after="0" w:line="279" w:lineRule="auto"/>
        <w:tabs>
          <w:tab w:leader="none" w:pos="1231" w:val="left"/>
        </w:tabs>
        <w:numPr>
          <w:ilvl w:val="0"/>
          <w:numId w:val="4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0" w:lineRule="exact"/>
        <w:rPr>
          <w:rFonts w:ascii="Arial" w:cs="Arial" w:eastAsia="Arial" w:hAnsi="Arial"/>
          <w:sz w:val="17"/>
          <w:szCs w:val="17"/>
          <w:color w:val="auto"/>
        </w:rPr>
      </w:pPr>
    </w:p>
    <w:p>
      <w:pPr>
        <w:ind w:left="1240" w:right="120" w:hanging="618"/>
        <w:spacing w:after="0" w:line="276" w:lineRule="auto"/>
        <w:tabs>
          <w:tab w:leader="none" w:pos="1228" w:val="left"/>
        </w:tabs>
        <w:numPr>
          <w:ilvl w:val="0"/>
          <w:numId w:val="4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p>
      <w:pPr>
        <w:ind w:left="1440"/>
        <w:spacing w:after="0"/>
        <w:tabs>
          <w:tab w:leader="none" w:pos="6340" w:val="left"/>
        </w:tabs>
        <w:rPr>
          <w:sz w:val="20"/>
          <w:szCs w:val="20"/>
          <w:color w:val="auto"/>
        </w:rPr>
      </w:pPr>
      <w:r>
        <w:rPr>
          <w:rFonts w:ascii="Arial" w:cs="Arial" w:eastAsia="Arial" w:hAnsi="Arial"/>
          <w:sz w:val="17"/>
          <w:szCs w:val="17"/>
          <w:color w:val="auto"/>
        </w:rPr>
        <w:t>Date: May 9, 2022</w:t>
      </w:r>
      <w:r>
        <w:rPr>
          <w:sz w:val="20"/>
          <w:szCs w:val="20"/>
          <w:color w:val="auto"/>
        </w:rPr>
        <w:tab/>
      </w:r>
      <w:r>
        <w:rPr>
          <w:rFonts w:ascii="Arial" w:cs="Arial" w:eastAsia="Arial" w:hAnsi="Arial"/>
          <w:sz w:val="15"/>
          <w:szCs w:val="15"/>
          <w:color w:val="auto"/>
        </w:rPr>
        <w:t>/s/ Vivek Jain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4021455</wp:posOffset>
            </wp:positionH>
            <wp:positionV relativeFrom="paragraph">
              <wp:posOffset>14605</wp:posOffset>
            </wp:positionV>
            <wp:extent cx="309435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17" w:lineRule="exact"/>
        <w:rPr>
          <w:sz w:val="20"/>
          <w:szCs w:val="20"/>
          <w:color w:val="auto"/>
        </w:rPr>
      </w:pPr>
    </w:p>
    <w:p>
      <w:pPr>
        <w:ind w:left="6360"/>
        <w:spacing w:after="0"/>
        <w:rPr>
          <w:sz w:val="20"/>
          <w:szCs w:val="20"/>
          <w:color w:val="auto"/>
        </w:rPr>
      </w:pPr>
      <w:r>
        <w:rPr>
          <w:rFonts w:ascii="Arial" w:cs="Arial" w:eastAsia="Arial" w:hAnsi="Arial"/>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113030</wp:posOffset>
            </wp:positionV>
            <wp:extent cx="7122160" cy="165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22160" cy="165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7"/>
          <w:szCs w:val="17"/>
          <w:b w:val="1"/>
          <w:bCs w:val="1"/>
          <w:color w:val="auto"/>
        </w:rPr>
        <w:t>Exhibit 31.2</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CERTIFICATION OF CHIEF FINANCIAL OFFICER PURSUANT TO SECTION 302 OF THE SARBANES-OXLEY ACT OF 2002</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I, Brian M. Bonnell, certify that:</w:t>
      </w:r>
    </w:p>
    <w:p>
      <w:pPr>
        <w:spacing w:after="0" w:line="217" w:lineRule="exact"/>
        <w:rPr>
          <w:sz w:val="20"/>
          <w:szCs w:val="20"/>
          <w:color w:val="auto"/>
        </w:rPr>
      </w:pPr>
    </w:p>
    <w:p>
      <w:pPr>
        <w:ind w:left="1100" w:hanging="555"/>
        <w:spacing w:after="0"/>
        <w:tabs>
          <w:tab w:leader="none" w:pos="11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ICU Medical, Inc.;</w:t>
      </w:r>
    </w:p>
    <w:p>
      <w:pPr>
        <w:spacing w:after="0" w:line="242" w:lineRule="exact"/>
        <w:rPr>
          <w:rFonts w:ascii="Arial" w:cs="Arial" w:eastAsia="Arial" w:hAnsi="Arial"/>
          <w:sz w:val="17"/>
          <w:szCs w:val="17"/>
          <w:color w:val="auto"/>
        </w:rPr>
      </w:pPr>
    </w:p>
    <w:p>
      <w:pPr>
        <w:jc w:val="both"/>
        <w:ind w:left="1080" w:right="160" w:hanging="535"/>
        <w:spacing w:after="0" w:line="266" w:lineRule="auto"/>
        <w:tabs>
          <w:tab w:leader="none" w:pos="10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rFonts w:ascii="Arial" w:cs="Arial" w:eastAsia="Arial" w:hAnsi="Arial"/>
          <w:sz w:val="17"/>
          <w:szCs w:val="17"/>
          <w:color w:val="auto"/>
        </w:rPr>
      </w:pPr>
    </w:p>
    <w:p>
      <w:pPr>
        <w:ind w:left="1080" w:right="80" w:hanging="535"/>
        <w:spacing w:after="0" w:line="312" w:lineRule="auto"/>
        <w:tabs>
          <w:tab w:leader="none" w:pos="1123"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rFonts w:ascii="Arial" w:cs="Arial" w:eastAsia="Arial" w:hAnsi="Arial"/>
          <w:sz w:val="16"/>
          <w:szCs w:val="16"/>
          <w:color w:val="auto"/>
        </w:rPr>
      </w:pPr>
    </w:p>
    <w:p>
      <w:pPr>
        <w:ind w:left="1080" w:right="160" w:hanging="535"/>
        <w:spacing w:after="0" w:line="266" w:lineRule="auto"/>
        <w:tabs>
          <w:tab w:leader="none" w:pos="10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sz w:val="20"/>
          <w:szCs w:val="20"/>
          <w:color w:val="auto"/>
        </w:rPr>
      </w:pPr>
    </w:p>
    <w:p>
      <w:pPr>
        <w:ind w:left="1080" w:right="420" w:hanging="535"/>
        <w:spacing w:after="0" w:line="266" w:lineRule="auto"/>
        <w:tabs>
          <w:tab w:leader="none" w:pos="1072" w:val="left"/>
        </w:tabs>
        <w:numPr>
          <w:ilvl w:val="0"/>
          <w:numId w:val="4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7"/>
          <w:szCs w:val="17"/>
          <w:color w:val="auto"/>
        </w:rPr>
      </w:pPr>
    </w:p>
    <w:p>
      <w:pPr>
        <w:ind w:left="1080" w:right="120" w:hanging="535"/>
        <w:spacing w:after="0" w:line="266" w:lineRule="auto"/>
        <w:tabs>
          <w:tab w:leader="none" w:pos="1068" w:val="left"/>
        </w:tabs>
        <w:numPr>
          <w:ilvl w:val="0"/>
          <w:numId w:val="4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Arial" w:cs="Arial" w:eastAsia="Arial" w:hAnsi="Arial"/>
          <w:sz w:val="17"/>
          <w:szCs w:val="17"/>
          <w:color w:val="auto"/>
        </w:rPr>
      </w:pPr>
    </w:p>
    <w:p>
      <w:pPr>
        <w:jc w:val="both"/>
        <w:ind w:left="1080" w:right="860" w:hanging="535"/>
        <w:spacing w:after="0" w:line="349" w:lineRule="auto"/>
        <w:tabs>
          <w:tab w:leader="none" w:pos="1072" w:val="left"/>
        </w:tabs>
        <w:numPr>
          <w:ilvl w:val="0"/>
          <w:numId w:val="4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2" w:lineRule="exact"/>
        <w:rPr>
          <w:rFonts w:ascii="Arial" w:cs="Arial" w:eastAsia="Arial" w:hAnsi="Arial"/>
          <w:sz w:val="15"/>
          <w:szCs w:val="15"/>
          <w:color w:val="auto"/>
        </w:rPr>
      </w:pPr>
    </w:p>
    <w:p>
      <w:pPr>
        <w:ind w:left="1080" w:right="120" w:hanging="535"/>
        <w:spacing w:after="0" w:line="266" w:lineRule="auto"/>
        <w:tabs>
          <w:tab w:leader="none" w:pos="1068" w:val="left"/>
        </w:tabs>
        <w:numPr>
          <w:ilvl w:val="0"/>
          <w:numId w:val="4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sz w:val="20"/>
          <w:szCs w:val="20"/>
          <w:color w:val="auto"/>
        </w:rPr>
      </w:pPr>
    </w:p>
    <w:p>
      <w:pPr>
        <w:ind w:left="1080" w:hanging="535"/>
        <w:spacing w:after="0" w:line="312" w:lineRule="auto"/>
        <w:tabs>
          <w:tab w:leader="none" w:pos="1123"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sz w:val="20"/>
          <w:szCs w:val="20"/>
          <w:color w:val="auto"/>
        </w:rPr>
      </w:pPr>
    </w:p>
    <w:p>
      <w:pPr>
        <w:ind w:left="1080" w:right="320" w:hanging="535"/>
        <w:spacing w:after="0" w:line="279" w:lineRule="auto"/>
        <w:tabs>
          <w:tab w:leader="none" w:pos="1072" w:val="left"/>
        </w:tabs>
        <w:numPr>
          <w:ilvl w:val="0"/>
          <w:numId w:val="4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0" w:lineRule="exact"/>
        <w:rPr>
          <w:rFonts w:ascii="Arial" w:cs="Arial" w:eastAsia="Arial" w:hAnsi="Arial"/>
          <w:sz w:val="17"/>
          <w:szCs w:val="17"/>
          <w:color w:val="auto"/>
        </w:rPr>
      </w:pPr>
    </w:p>
    <w:p>
      <w:pPr>
        <w:ind w:left="1080" w:right="280" w:hanging="535"/>
        <w:spacing w:after="0" w:line="279" w:lineRule="auto"/>
        <w:tabs>
          <w:tab w:leader="none" w:pos="1068" w:val="left"/>
        </w:tabs>
        <w:numPr>
          <w:ilvl w:val="0"/>
          <w:numId w:val="4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93" w:lineRule="exact"/>
        <w:rPr>
          <w:sz w:val="20"/>
          <w:szCs w:val="20"/>
          <w:color w:val="auto"/>
        </w:rPr>
      </w:pPr>
    </w:p>
    <w:p>
      <w:pPr>
        <w:ind w:left="1260"/>
        <w:spacing w:after="0"/>
        <w:tabs>
          <w:tab w:leader="none" w:pos="2260" w:val="left"/>
          <w:tab w:leader="none" w:pos="674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May 9, 2022</w:t>
      </w:r>
      <w:r>
        <w:rPr>
          <w:sz w:val="20"/>
          <w:szCs w:val="20"/>
          <w:color w:val="auto"/>
        </w:rPr>
        <w:tab/>
      </w:r>
      <w:r>
        <w:rPr>
          <w:rFonts w:ascii="Arial" w:cs="Arial" w:eastAsia="Arial" w:hAnsi="Arial"/>
          <w:sz w:val="16"/>
          <w:szCs w:val="16"/>
          <w:color w:val="auto"/>
        </w:rPr>
        <w:t>/s/ Brian M. Bonnell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3890645</wp:posOffset>
            </wp:positionH>
            <wp:positionV relativeFrom="paragraph">
              <wp:posOffset>14605</wp:posOffset>
            </wp:positionV>
            <wp:extent cx="331025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3310255" cy="8255"/>
                    </a:xfrm>
                    <a:prstGeom prst="rect">
                      <a:avLst/>
                    </a:prstGeom>
                    <a:noFill/>
                  </pic:spPr>
                </pic:pic>
              </a:graphicData>
            </a:graphic>
          </wp:anchor>
        </w:drawing>
      </w:r>
    </w:p>
    <w:p>
      <w:pPr>
        <w:spacing w:after="0" w:line="17"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104775</wp:posOffset>
            </wp:positionV>
            <wp:extent cx="6805930" cy="165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6805930" cy="165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7"/>
          <w:szCs w:val="17"/>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EXECUTIVE OFFICER</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6" w:lineRule="exact"/>
        <w:rPr>
          <w:sz w:val="20"/>
          <w:szCs w:val="20"/>
          <w:color w:val="auto"/>
        </w:rPr>
      </w:pPr>
    </w:p>
    <w:p>
      <w:pPr>
        <w:jc w:val="both"/>
        <w:ind w:right="20"/>
        <w:spacing w:after="0" w:line="266" w:lineRule="auto"/>
        <w:rPr>
          <w:sz w:val="20"/>
          <w:szCs w:val="20"/>
          <w:color w:val="auto"/>
        </w:rPr>
      </w:pPr>
      <w:r>
        <w:rPr>
          <w:rFonts w:ascii="Arial" w:cs="Arial" w:eastAsia="Arial" w:hAnsi="Arial"/>
          <w:sz w:val="17"/>
          <w:szCs w:val="17"/>
          <w:color w:val="auto"/>
        </w:rPr>
        <w:t>In connection with the Quarterly Report of ICU Medical, Inc. (the “Company”) on Form 10-Q for the period ended March 31, 2022 as filed with the Securities and Exchange Commission on the date hereof (the “Report”), I, Vivek Jain, Chief Executive Officer of the Company, certify, pursuant to 18 U.S.C. § 1350, as adopted pursuant to § 906 of the Sarbanes-Oxley Act of 2002, that:</w:t>
      </w:r>
    </w:p>
    <w:p>
      <w:pPr>
        <w:spacing w:after="0" w:line="175" w:lineRule="exact"/>
        <w:rPr>
          <w:sz w:val="20"/>
          <w:szCs w:val="20"/>
          <w:color w:val="auto"/>
        </w:rPr>
      </w:pPr>
    </w:p>
    <w:p>
      <w:pPr>
        <w:ind w:left="300" w:hanging="297"/>
        <w:spacing w:after="0"/>
        <w:tabs>
          <w:tab w:leader="none" w:pos="3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42" w:lineRule="exact"/>
        <w:rPr>
          <w:rFonts w:ascii="Arial" w:cs="Arial" w:eastAsia="Arial" w:hAnsi="Arial"/>
          <w:sz w:val="17"/>
          <w:szCs w:val="17"/>
          <w:color w:val="auto"/>
        </w:rPr>
      </w:pPr>
    </w:p>
    <w:p>
      <w:pPr>
        <w:ind w:left="300" w:hanging="297"/>
        <w:spacing w:after="0"/>
        <w:tabs>
          <w:tab w:leader="none" w:pos="3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49" w:lineRule="exact"/>
        <w:rPr>
          <w:sz w:val="20"/>
          <w:szCs w:val="20"/>
          <w:color w:val="auto"/>
        </w:rPr>
      </w:pPr>
    </w:p>
    <w:p>
      <w:pPr>
        <w:ind w:left="340"/>
        <w:spacing w:after="0"/>
        <w:tabs>
          <w:tab w:leader="none" w:pos="5700" w:val="left"/>
        </w:tabs>
        <w:rPr>
          <w:sz w:val="20"/>
          <w:szCs w:val="20"/>
          <w:color w:val="auto"/>
        </w:rPr>
      </w:pPr>
      <w:r>
        <w:rPr>
          <w:rFonts w:ascii="Arial" w:cs="Arial" w:eastAsia="Arial" w:hAnsi="Arial"/>
          <w:sz w:val="17"/>
          <w:szCs w:val="17"/>
          <w:color w:val="auto"/>
        </w:rPr>
        <w:t>May 9, 2022</w:t>
      </w:r>
      <w:r>
        <w:rPr>
          <w:sz w:val="20"/>
          <w:szCs w:val="20"/>
          <w:color w:val="auto"/>
        </w:rPr>
        <w:tab/>
      </w:r>
      <w:r>
        <w:rPr>
          <w:rFonts w:ascii="Arial" w:cs="Arial" w:eastAsia="Arial" w:hAnsi="Arial"/>
          <w:sz w:val="15"/>
          <w:szCs w:val="15"/>
          <w:color w:val="auto"/>
        </w:rPr>
        <w:t>/s/ Vivek Jain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3620135</wp:posOffset>
            </wp:positionH>
            <wp:positionV relativeFrom="paragraph">
              <wp:posOffset>14605</wp:posOffset>
            </wp:positionV>
            <wp:extent cx="33153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3315335" cy="8255"/>
                    </a:xfrm>
                    <a:prstGeom prst="rect">
                      <a:avLst/>
                    </a:prstGeom>
                    <a:noFill/>
                  </pic:spPr>
                </pic:pic>
              </a:graphicData>
            </a:graphic>
          </wp:anchor>
        </w:drawing>
      </w:r>
    </w:p>
    <w:p>
      <w:pPr>
        <w:spacing w:after="0" w:line="17"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Vivek Jain</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FINANCIAL OFFICER</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6"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In connection with the Quarterly Report of ICU Medical, Inc. (the “Company”) on Form 10-Q for the period ended March 31, 2022 as filed with the Securities and Exchange Commission on the date hereof (the “Report”), I, Brian M. Bonnell, Chief Financial Officer of the Company, certify, pursuant to 18 U.S.C. § 1350, as adopted pursuant to § 906 of the Sarbanes-Oxley Act of 2002, that:</w:t>
      </w:r>
    </w:p>
    <w:p>
      <w:pPr>
        <w:spacing w:after="0" w:line="175" w:lineRule="exact"/>
        <w:rPr>
          <w:sz w:val="20"/>
          <w:szCs w:val="20"/>
          <w:color w:val="auto"/>
        </w:rPr>
      </w:pPr>
    </w:p>
    <w:p>
      <w:pPr>
        <w:ind w:left="300" w:hanging="297"/>
        <w:spacing w:after="0"/>
        <w:tabs>
          <w:tab w:leader="none" w:pos="3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42" w:lineRule="exact"/>
        <w:rPr>
          <w:rFonts w:ascii="Arial" w:cs="Arial" w:eastAsia="Arial" w:hAnsi="Arial"/>
          <w:sz w:val="17"/>
          <w:szCs w:val="17"/>
          <w:color w:val="auto"/>
        </w:rPr>
      </w:pPr>
    </w:p>
    <w:p>
      <w:pPr>
        <w:ind w:left="300" w:hanging="297"/>
        <w:spacing w:after="0"/>
        <w:tabs>
          <w:tab w:leader="none" w:pos="3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7"/>
          <w:szCs w:val="17"/>
          <w:color w:val="auto"/>
        </w:rPr>
        <w:t>May 9, 2022</w:t>
      </w:r>
      <w:r>
        <w:rPr>
          <w:sz w:val="20"/>
          <w:szCs w:val="20"/>
          <w:color w:val="auto"/>
        </w:rPr>
        <w:tab/>
      </w:r>
      <w:r>
        <w:rPr>
          <w:rFonts w:ascii="Arial" w:cs="Arial" w:eastAsia="Arial" w:hAnsi="Arial"/>
          <w:sz w:val="16"/>
          <w:szCs w:val="16"/>
          <w:color w:val="auto"/>
        </w:rPr>
        <w:t>/s/ Brian M. Bonnell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14605</wp:posOffset>
            </wp:positionV>
            <wp:extent cx="350393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3503930" cy="8255"/>
                    </a:xfrm>
                    <a:prstGeom prst="rect">
                      <a:avLst/>
                    </a:prstGeom>
                    <a:noFill/>
                  </pic:spPr>
                </pic:pic>
              </a:graphicData>
            </a:graphic>
          </wp:anchor>
        </w:drawing>
      </w:r>
    </w:p>
    <w:p>
      <w:pPr>
        <w:spacing w:after="0" w:line="17"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Brian M. Bonnell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113030</wp:posOffset>
            </wp:positionV>
            <wp:extent cx="7122160" cy="165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22160" cy="16510"/>
                    </a:xfrm>
                    <a:prstGeom prst="rect">
                      <a:avLst/>
                    </a:prstGeom>
                    <a:noFill/>
                  </pic:spPr>
                </pic:pic>
              </a:graphicData>
            </a:graphic>
          </wp:anchor>
        </w:drawing>
      </w:r>
    </w:p>
    <w:sectPr>
      <w:pgSz w:w="11900" w:h="16838" w:orient="portrait"/>
      <w:cols w:equalWidth="0" w:num="1">
        <w:col w:w="11240"/>
      </w:cols>
      <w:pgMar w:left="320" w:top="85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1)"/>
      <w:numFmt w:val="decimal"/>
      <w:start w:val="1"/>
    </w:lvl>
  </w:abstractNum>
  <w:abstractNum w:abstractNumId="8">
    <w:nsid w:val="8138641"/>
    <w:multiLevelType w:val="hybridMultilevel"/>
    <w:lvl w:ilvl="0">
      <w:lvlJc w:val="left"/>
      <w:lvlText w:val="(%1)"/>
      <w:numFmt w:val="decimal"/>
      <w:start w:val="1"/>
    </w:lvl>
  </w:abstractNum>
  <w:abstractNum w:abstractNumId="9">
    <w:nsid w:val="1E7FF521"/>
    <w:multiLevelType w:val="hybridMultilevel"/>
    <w:lvl w:ilvl="0">
      <w:lvlJc w:val="left"/>
      <w:lvlText w:val="(%1)"/>
      <w:numFmt w:val="decimal"/>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1)"/>
      <w:numFmt w:val="decimal"/>
      <w:start w:val="1"/>
    </w:lvl>
  </w:abstractNum>
  <w:abstractNum w:abstractNumId="12">
    <w:nsid w:val="6CEAF087"/>
    <w:multiLevelType w:val="hybridMultilevel"/>
    <w:lvl w:ilvl="0">
      <w:lvlJc w:val="left"/>
      <w:lvlText w:val="(%1)"/>
      <w:numFmt w:val="decimal"/>
      <w:start w:val="1"/>
    </w:lvl>
  </w:abstractNum>
  <w:abstractNum w:abstractNumId="13">
    <w:nsid w:val="22221A70"/>
    <w:multiLevelType w:val="hybridMultilevel"/>
    <w:lvl w:ilvl="0">
      <w:lvlJc w:val="left"/>
      <w:lvlText w:val="(%1)"/>
      <w:numFmt w:val="decimal"/>
      <w:start w:val="1"/>
    </w:lvl>
  </w:abstractNum>
  <w:abstractNum w:abstractNumId="14">
    <w:nsid w:val="4516DDE9"/>
    <w:multiLevelType w:val="hybridMultilevel"/>
    <w:lvl w:ilvl="0">
      <w:lvlJc w:val="left"/>
      <w:lvlText w:val="(%1)"/>
      <w:numFmt w:val="decimal"/>
      <w:start w:val="2"/>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1)"/>
      <w:numFmt w:val="decimal"/>
      <w:start w:val="1"/>
    </w:lvl>
  </w:abstractNum>
  <w:abstractNum w:abstractNumId="18">
    <w:nsid w:val="5577F8E1"/>
    <w:multiLevelType w:val="hybridMultilevel"/>
    <w:lvl w:ilvl="0">
      <w:lvlJc w:val="left"/>
      <w:lvlText w:val="(%1)"/>
      <w:numFmt w:val="decimal"/>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1)"/>
      <w:numFmt w:val="decimal"/>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1)"/>
      <w:numFmt w:val="decimal"/>
      <w:start w:val="1"/>
    </w:lvl>
  </w:abstractNum>
  <w:abstractNum w:abstractNumId="35">
    <w:nsid w:val="1D4ED43B"/>
    <w:multiLevelType w:val="hybridMultilevel"/>
    <w:lvl w:ilvl="0">
      <w:lvlJc w:val="left"/>
      <w:lvlText w:val="(%1)"/>
      <w:numFmt w:val="decimal"/>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1)"/>
      <w:numFmt w:val="decimal"/>
      <w:start w:val="1"/>
    </w:lvl>
  </w:abstractNum>
  <w:abstractNum w:abstractNumId="41">
    <w:nsid w:val="542289EC"/>
    <w:multiLevelType w:val="hybridMultilevel"/>
    <w:lvl w:ilvl="0">
      <w:lvlJc w:val="left"/>
      <w:lvlText w:val="%1."/>
      <w:numFmt w:val="decimal"/>
      <w:start w:val="1"/>
    </w:lvl>
  </w:abstractNum>
  <w:abstractNum w:abstractNumId="42">
    <w:nsid w:val="6DE91B18"/>
    <w:multiLevelType w:val="hybridMultilevel"/>
    <w:lvl w:ilvl="0">
      <w:lvlJc w:val="left"/>
      <w:lvlText w:val="%1)"/>
      <w:numFmt w:val="lowerLetter"/>
      <w:start w:val="1"/>
    </w:lvl>
  </w:abstractNum>
  <w:abstractNum w:abstractNumId="43">
    <w:nsid w:val="38437FDB"/>
    <w:multiLevelType w:val="hybridMultilevel"/>
    <w:lvl w:ilvl="0">
      <w:lvlJc w:val="left"/>
      <w:lvlText w:val="%1."/>
      <w:numFmt w:val="decimal"/>
      <w:start w:val="5"/>
    </w:lvl>
  </w:abstractNum>
  <w:abstractNum w:abstractNumId="44">
    <w:nsid w:val="7644A45C"/>
    <w:multiLevelType w:val="hybridMultilevel"/>
    <w:lvl w:ilvl="0">
      <w:lvlJc w:val="left"/>
      <w:lvlText w:val="%1)"/>
      <w:numFmt w:val="lowerLetter"/>
      <w:start w:val="1"/>
    </w:lvl>
  </w:abstractNum>
  <w:abstractNum w:abstractNumId="45">
    <w:nsid w:val="32FFF902"/>
    <w:multiLevelType w:val="hybridMultilevel"/>
    <w:lvl w:ilvl="0">
      <w:lvlJc w:val="left"/>
      <w:lvlText w:val="%1."/>
      <w:numFmt w:val="decimal"/>
      <w:start w:val="1"/>
    </w:lvl>
  </w:abstractNum>
  <w:abstractNum w:abstractNumId="46">
    <w:nsid w:val="684A481A"/>
    <w:multiLevelType w:val="hybridMultilevel"/>
    <w:lvl w:ilvl="0">
      <w:lvlJc w:val="left"/>
      <w:lvlText w:val="%1)"/>
      <w:numFmt w:val="lowerLetter"/>
      <w:start w:val="1"/>
    </w:lvl>
  </w:abstractNum>
  <w:abstractNum w:abstractNumId="47">
    <w:nsid w:val="579478FE"/>
    <w:multiLevelType w:val="hybridMultilevel"/>
    <w:lvl w:ilvl="0">
      <w:lvlJc w:val="left"/>
      <w:lvlText w:val="%1."/>
      <w:numFmt w:val="decimal"/>
      <w:start w:val="5"/>
    </w:lvl>
  </w:abstractNum>
  <w:abstractNum w:abstractNumId="48">
    <w:nsid w:val="749ABB43"/>
    <w:multiLevelType w:val="hybridMultilevel"/>
    <w:lvl w:ilvl="0">
      <w:lvlJc w:val="left"/>
      <w:lvlText w:val="%1)"/>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93" Type="http://schemas.openxmlformats.org/officeDocument/2006/relationships/hyperlink" Target="http://www.sec.gov/Archives/edgar/data/883984/000088398422000026/exhibit101_415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2022-05-09T17:20:12Z</dcterms:created>
  <dcterms:modified xsi:type="dcterms:W3CDTF">2022-05-09T17:20:12Z</dcterms:modified>
</cp:coreProperties>
</file>