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86" w:lineRule="exact"/>
        <w:rPr>
          <w:sz w:val="24"/>
          <w:szCs w:val="24"/>
          <w:color w:val="auto"/>
        </w:rPr>
      </w:pPr>
    </w:p>
    <w:p>
      <w:pPr>
        <w:ind w:left="500" w:hanging="307"/>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500" w:hanging="307"/>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2"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600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32"/>
        </w:trPr>
        <w:tc>
          <w:tcPr>
            <w:tcW w:w="6000" w:type="dxa"/>
            <w:vAlign w:val="bottom"/>
          </w:tcPr>
          <w:p>
            <w:pPr>
              <w:jc w:val="center"/>
              <w:ind w:left="3226"/>
              <w:spacing w:after="0"/>
              <w:rPr>
                <w:sz w:val="20"/>
                <w:szCs w:val="20"/>
                <w:color w:val="auto"/>
              </w:rPr>
            </w:pPr>
            <w:r>
              <w:rPr>
                <w:rFonts w:ascii="Times New Roman" w:cs="Times New Roman" w:eastAsia="Times New Roman" w:hAnsi="Times New Roman"/>
                <w:sz w:val="18"/>
                <w:szCs w:val="18"/>
                <w:b w:val="1"/>
                <w:bCs w:val="1"/>
                <w:color w:val="auto"/>
                <w:w w:val="99"/>
              </w:rPr>
              <w:t>Commission File No.: 001-34634</w:t>
            </w:r>
          </w:p>
        </w:tc>
        <w:tc>
          <w:tcPr>
            <w:tcW w:w="2200" w:type="dxa"/>
            <w:vAlign w:val="bottom"/>
          </w:tcPr>
          <w:p>
            <w:pPr>
              <w:spacing w:after="0"/>
              <w:rPr>
                <w:sz w:val="24"/>
                <w:szCs w:val="24"/>
                <w:color w:val="auto"/>
              </w:rPr>
            </w:pPr>
          </w:p>
        </w:tc>
      </w:tr>
      <w:tr>
        <w:trPr>
          <w:trHeight w:val="387"/>
        </w:trPr>
        <w:tc>
          <w:tcPr>
            <w:tcW w:w="6000" w:type="dxa"/>
            <w:vAlign w:val="bottom"/>
          </w:tcPr>
          <w:p>
            <w:pPr>
              <w:ind w:left="3480"/>
              <w:spacing w:after="0"/>
              <w:rPr>
                <w:sz w:val="20"/>
                <w:szCs w:val="20"/>
                <w:color w:val="auto"/>
              </w:rPr>
            </w:pPr>
            <w:r>
              <w:rPr>
                <w:rFonts w:ascii="Times New Roman" w:cs="Times New Roman" w:eastAsia="Times New Roman" w:hAnsi="Times New Roman"/>
                <w:sz w:val="25"/>
                <w:szCs w:val="25"/>
                <w:b w:val="1"/>
                <w:bCs w:val="1"/>
                <w:color w:val="auto"/>
              </w:rPr>
              <w:t>ICU MEDICAL, INC.</w:t>
            </w:r>
          </w:p>
        </w:tc>
        <w:tc>
          <w:tcPr>
            <w:tcW w:w="2200" w:type="dxa"/>
            <w:vAlign w:val="bottom"/>
          </w:tcPr>
          <w:p>
            <w:pPr>
              <w:spacing w:after="0"/>
              <w:rPr>
                <w:sz w:val="24"/>
                <w:szCs w:val="24"/>
                <w:color w:val="auto"/>
              </w:rPr>
            </w:pPr>
          </w:p>
        </w:tc>
      </w:tr>
      <w:tr>
        <w:trPr>
          <w:trHeight w:val="234"/>
        </w:trPr>
        <w:tc>
          <w:tcPr>
            <w:tcW w:w="8200" w:type="dxa"/>
            <w:vAlign w:val="bottom"/>
            <w:gridSpan w:val="2"/>
          </w:tcPr>
          <w:p>
            <w:pPr>
              <w:jc w:val="center"/>
              <w:ind w:left="100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702"/>
        </w:trPr>
        <w:tc>
          <w:tcPr>
            <w:tcW w:w="6000" w:type="dxa"/>
            <w:vAlign w:val="bottom"/>
          </w:tcPr>
          <w:p>
            <w:pPr>
              <w:jc w:val="center"/>
              <w:ind w:right="232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33-0022692</w:t>
            </w:r>
          </w:p>
        </w:tc>
      </w:tr>
      <w:tr>
        <w:trPr>
          <w:trHeight w:val="270"/>
        </w:trPr>
        <w:tc>
          <w:tcPr>
            <w:tcW w:w="6000" w:type="dxa"/>
            <w:vAlign w:val="bottom"/>
          </w:tcPr>
          <w:p>
            <w:pPr>
              <w:jc w:val="center"/>
              <w:ind w:right="2326"/>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20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70"/>
        </w:trPr>
        <w:tc>
          <w:tcPr>
            <w:tcW w:w="6000" w:type="dxa"/>
            <w:vAlign w:val="bottom"/>
          </w:tcPr>
          <w:p>
            <w:pPr>
              <w:jc w:val="center"/>
              <w:ind w:right="2326"/>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2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13"/>
        </w:trPr>
        <w:tc>
          <w:tcPr>
            <w:tcW w:w="6000" w:type="dxa"/>
            <w:vAlign w:val="bottom"/>
          </w:tcPr>
          <w:p>
            <w:pPr>
              <w:jc w:val="center"/>
              <w:ind w:right="2326"/>
              <w:spacing w:after="0"/>
              <w:rPr>
                <w:sz w:val="20"/>
                <w:szCs w:val="20"/>
                <w:color w:val="auto"/>
              </w:rPr>
            </w:pPr>
            <w:r>
              <w:rPr>
                <w:rFonts w:ascii="Times New Roman" w:cs="Times New Roman" w:eastAsia="Times New Roman" w:hAnsi="Times New Roman"/>
                <w:sz w:val="18"/>
                <w:szCs w:val="18"/>
                <w:b w:val="1"/>
                <w:bCs w:val="1"/>
                <w:color w:val="auto"/>
                <w:w w:val="99"/>
              </w:rPr>
              <w:t>951 Calle Amanecer, San Clemente, California</w:t>
            </w:r>
          </w:p>
        </w:tc>
        <w:tc>
          <w:tcPr>
            <w:tcW w:w="2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92673</w:t>
            </w:r>
          </w:p>
        </w:tc>
      </w:tr>
      <w:tr>
        <w:trPr>
          <w:trHeight w:val="270"/>
        </w:trPr>
        <w:tc>
          <w:tcPr>
            <w:tcW w:w="6000" w:type="dxa"/>
            <w:vAlign w:val="bottom"/>
          </w:tcPr>
          <w:p>
            <w:pPr>
              <w:jc w:val="center"/>
              <w:ind w:right="2326"/>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(Zip Code)</w:t>
            </w:r>
          </w:p>
        </w:tc>
      </w:tr>
      <w:tr>
        <w:trPr>
          <w:trHeight w:val="243"/>
        </w:trPr>
        <w:tc>
          <w:tcPr>
            <w:tcW w:w="6000" w:type="dxa"/>
            <w:vAlign w:val="bottom"/>
          </w:tcPr>
          <w:p>
            <w:pPr>
              <w:jc w:val="center"/>
              <w:ind w:left="3266"/>
              <w:spacing w:after="0"/>
              <w:rPr>
                <w:sz w:val="20"/>
                <w:szCs w:val="20"/>
                <w:color w:val="auto"/>
              </w:rPr>
            </w:pPr>
            <w:r>
              <w:rPr>
                <w:rFonts w:ascii="Times New Roman" w:cs="Times New Roman" w:eastAsia="Times New Roman" w:hAnsi="Times New Roman"/>
                <w:sz w:val="18"/>
                <w:szCs w:val="18"/>
                <w:b w:val="1"/>
                <w:bCs w:val="1"/>
                <w:color w:val="auto"/>
                <w:w w:val="99"/>
              </w:rPr>
              <w:t>(949) 366-2183</w:t>
            </w:r>
          </w:p>
        </w:tc>
        <w:tc>
          <w:tcPr>
            <w:tcW w:w="2200" w:type="dxa"/>
            <w:vAlign w:val="bottom"/>
          </w:tcPr>
          <w:p>
            <w:pPr>
              <w:spacing w:after="0"/>
              <w:rPr>
                <w:sz w:val="21"/>
                <w:szCs w:val="21"/>
                <w:color w:val="auto"/>
              </w:rPr>
            </w:pPr>
          </w:p>
        </w:tc>
      </w:tr>
    </w:tbl>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24"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48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Large accelerated filer x</w:t>
            </w:r>
          </w:p>
        </w:tc>
        <w:tc>
          <w:tcPr>
            <w:tcW w:w="36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Accelerated filer o</w:t>
            </w:r>
          </w:p>
        </w:tc>
      </w:tr>
      <w:tr>
        <w:trPr>
          <w:trHeight w:val="392"/>
        </w:trPr>
        <w:tc>
          <w:tcPr>
            <w:tcW w:w="484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rPr>
              <w:t>Non-accelerated filer o</w:t>
            </w:r>
          </w:p>
        </w:tc>
        <w:tc>
          <w:tcPr>
            <w:tcW w:w="36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Smaller reporting company o</w:t>
            </w:r>
          </w:p>
        </w:tc>
      </w:tr>
      <w:tr>
        <w:trPr>
          <w:trHeight w:val="392"/>
        </w:trPr>
        <w:tc>
          <w:tcPr>
            <w:tcW w:w="484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(Do not check if a smaller reporting company)</w:t>
            </w:r>
          </w:p>
        </w:tc>
        <w:tc>
          <w:tcPr>
            <w:tcW w:w="36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Emerging growth company o</w:t>
            </w:r>
          </w:p>
        </w:tc>
      </w:tr>
    </w:tbl>
    <w:p>
      <w:pPr>
        <w:spacing w:after="0" w:line="225" w:lineRule="exact"/>
        <w:rPr>
          <w:sz w:val="24"/>
          <w:szCs w:val="24"/>
          <w:color w:val="auto"/>
        </w:rPr>
      </w:pPr>
    </w:p>
    <w:p>
      <w:pPr>
        <w:ind w:right="240" w:firstLine="369"/>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35" w:lineRule="exact"/>
        <w:rPr>
          <w:sz w:val="24"/>
          <w:szCs w:val="24"/>
          <w:color w:val="auto"/>
        </w:rPr>
      </w:pPr>
    </w:p>
    <w:tbl>
      <w:tblPr>
        <w:tblLayout w:type="fixed"/>
        <w:tblInd w:w="200" w:type="dxa"/>
        <w:tblCellMar>
          <w:top w:w="0" w:type="dxa"/>
          <w:left w:w="0" w:type="dxa"/>
          <w:bottom w:w="0" w:type="dxa"/>
          <w:right w:w="0" w:type="dxa"/>
        </w:tblCellMar>
      </w:tblPr>
      <w:tr>
        <w:trPr>
          <w:trHeight w:val="195"/>
        </w:trPr>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40" w:type="dxa"/>
            <w:vAlign w:val="bottom"/>
          </w:tcPr>
          <w:p>
            <w:pPr>
              <w:spacing w:after="0"/>
              <w:rPr>
                <w:sz w:val="16"/>
                <w:szCs w:val="16"/>
                <w:color w:val="auto"/>
              </w:rPr>
            </w:pP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 July 31, 2017</w:t>
            </w:r>
          </w:p>
        </w:tc>
      </w:tr>
      <w:tr>
        <w:trPr>
          <w:trHeight w:val="242"/>
        </w:trPr>
        <w:tc>
          <w:tcPr>
            <w:tcW w:w="57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Common</w:t>
            </w:r>
          </w:p>
        </w:tc>
        <w:tc>
          <w:tcPr>
            <w:tcW w:w="5300" w:type="dxa"/>
            <w:vAlign w:val="bottom"/>
          </w:tcPr>
          <w:p>
            <w:pPr>
              <w:jc w:val="right"/>
              <w:ind w:right="2179"/>
              <w:spacing w:after="0"/>
              <w:rPr>
                <w:sz w:val="20"/>
                <w:szCs w:val="20"/>
                <w:color w:val="auto"/>
              </w:rPr>
            </w:pPr>
            <w:r>
              <w:rPr>
                <w:rFonts w:ascii="Times New Roman" w:cs="Times New Roman" w:eastAsia="Times New Roman" w:hAnsi="Times New Roman"/>
                <w:sz w:val="18"/>
                <w:szCs w:val="18"/>
                <w:color w:val="auto"/>
              </w:rPr>
              <w:t>19,977,602</w:t>
            </w:r>
          </w:p>
        </w:tc>
      </w:tr>
    </w:tbl>
    <w:p>
      <w:pPr>
        <w:spacing w:after="0" w:line="6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16" w:right="31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8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9"/>
              </w:rPr>
              <w:t>PART I.</w:t>
            </w: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Financial Information</w:t>
            </w:r>
          </w:p>
        </w:tc>
        <w:tc>
          <w:tcPr>
            <w:tcW w:w="6380" w:type="dxa"/>
            <w:vAlign w:val="bottom"/>
          </w:tcPr>
          <w:p>
            <w:pPr>
              <w:spacing w:after="0"/>
              <w:rPr>
                <w:sz w:val="22"/>
                <w:szCs w:val="22"/>
                <w:color w:val="auto"/>
              </w:rPr>
            </w:pP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 Number</w:t>
            </w:r>
          </w:p>
        </w:tc>
        <w:tc>
          <w:tcPr>
            <w:tcW w:w="0" w:type="dxa"/>
            <w:vAlign w:val="bottom"/>
          </w:tcPr>
          <w:p>
            <w:pPr>
              <w:spacing w:after="0"/>
              <w:rPr>
                <w:sz w:val="1"/>
                <w:szCs w:val="1"/>
                <w:color w:val="auto"/>
              </w:rPr>
            </w:pPr>
          </w:p>
        </w:tc>
      </w:tr>
      <w:tr>
        <w:trPr>
          <w:trHeight w:val="48"/>
        </w:trPr>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4"/>
            <w:vMerge w:val="restart"/>
          </w:tcPr>
          <w:p>
            <w:pPr>
              <w:ind w:left="124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7"/>
        </w:trPr>
        <w:tc>
          <w:tcPr>
            <w:tcW w:w="700" w:type="dxa"/>
            <w:vAlign w:val="bottom"/>
            <w:gridSpan w:val="3"/>
            <w:vMerge w:val="continue"/>
          </w:tcPr>
          <w:p>
            <w:pPr>
              <w:spacing w:after="0"/>
              <w:rPr>
                <w:sz w:val="24"/>
                <w:szCs w:val="24"/>
                <w:color w:val="auto"/>
              </w:rPr>
            </w:pPr>
          </w:p>
        </w:tc>
        <w:tc>
          <w:tcPr>
            <w:tcW w:w="9320" w:type="dxa"/>
            <w:vAlign w:val="bottom"/>
            <w:gridSpan w:val="4"/>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Condensed Consolidated Balance Sheet, at June 30, 2017 and December 31, 2016</w:t>
            </w:r>
          </w:p>
        </w:tc>
        <w:tc>
          <w:tcPr>
            <w:tcW w:w="136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Three and Six Months Ended June 30, 2017 and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2016</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36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for the Three and Six Months Ended June</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30, 2017 and 2016</w:t>
            </w:r>
          </w:p>
        </w:tc>
        <w:tc>
          <w:tcPr>
            <w:tcW w:w="136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32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 and Six Months Ended June 30, 2017</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and 2016</w:t>
            </w:r>
          </w:p>
        </w:tc>
        <w:tc>
          <w:tcPr>
            <w:tcW w:w="136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6</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Notes to Condensed Consolidated Financial Statements</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8</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Management’s Discussion and Analysis of Financial Condition and Results of Operations</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24</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Quantitative and Qualitative Disclosures About Market Risk</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38</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Controls and Procedures</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38</w:t>
              </w:r>
            </w:hyperlink>
          </w:p>
        </w:tc>
        <w:tc>
          <w:tcPr>
            <w:tcW w:w="0" w:type="dxa"/>
            <w:vAlign w:val="bottom"/>
          </w:tcPr>
          <w:p>
            <w:pPr>
              <w:spacing w:after="0"/>
              <w:rPr>
                <w:sz w:val="1"/>
                <w:szCs w:val="1"/>
                <w:color w:val="auto"/>
              </w:rPr>
            </w:pPr>
          </w:p>
        </w:tc>
      </w:tr>
      <w:tr>
        <w:trPr>
          <w:trHeight w:val="500"/>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9320" w:type="dxa"/>
            <w:vAlign w:val="bottom"/>
            <w:gridSpan w:val="4"/>
          </w:tcPr>
          <w:p>
            <w:pPr>
              <w:ind w:left="1240"/>
              <w:spacing w:after="0"/>
              <w:rPr>
                <w:rFonts w:ascii="Times New Roman" w:cs="Times New Roman" w:eastAsia="Times New Roman" w:hAnsi="Times New Roman"/>
                <w:sz w:val="18"/>
                <w:szCs w:val="18"/>
                <w:b w:val="1"/>
                <w:bCs w:val="1"/>
                <w:color w:val="auto"/>
              </w:rPr>
            </w:pPr>
            <w:hyperlink w:anchor="page39">
              <w:r>
                <w:rPr>
                  <w:rFonts w:ascii="Times New Roman" w:cs="Times New Roman" w:eastAsia="Times New Roman" w:hAnsi="Times New Roman"/>
                  <w:sz w:val="18"/>
                  <w:szCs w:val="18"/>
                  <w:b w:val="1"/>
                  <w:bCs w:val="1"/>
                  <w:color w:val="auto"/>
                </w:rPr>
                <w:t>Other Information</w:t>
              </w:r>
            </w:hyperlink>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Legal Proceedings</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39</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Item1A.</w:t>
            </w: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Risk Factors</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39</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Unregistered Sales of Equity Securities and Use of Proceeds</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39</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Exhibits</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41</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Signature</w:t>
              </w:r>
            </w:hyperlink>
          </w:p>
        </w:tc>
        <w:tc>
          <w:tcPr>
            <w:tcW w:w="1360" w:type="dxa"/>
            <w:vAlign w:val="bottom"/>
          </w:tcPr>
          <w:p>
            <w:pPr>
              <w:jc w:val="right"/>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42</w:t>
              </w:r>
            </w:hyperlink>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492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49"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u w:val="single" w:color="auto"/>
          <w:color w:val="auto"/>
        </w:rPr>
        <w:t>Item1.</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par value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1"/>
                <w:szCs w:val="21"/>
                <w:color w:val="auto"/>
              </w:rPr>
            </w:pPr>
          </w:p>
        </w:tc>
        <w:tc>
          <w:tcPr>
            <w:tcW w:w="13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384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445,082</w:t>
            </w:r>
          </w:p>
        </w:tc>
        <w:tc>
          <w:tcPr>
            <w:tcW w:w="0" w:type="dxa"/>
            <w:vAlign w:val="bottom"/>
          </w:tcPr>
          <w:p>
            <w:pPr>
              <w:spacing w:after="0"/>
              <w:rPr>
                <w:sz w:val="1"/>
                <w:szCs w:val="1"/>
                <w:color w:val="auto"/>
              </w:rPr>
            </w:pPr>
          </w:p>
        </w:tc>
      </w:tr>
      <w:tr>
        <w:trPr>
          <w:trHeight w:val="22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$3,042 at June 30, 2017 and $1,073 at</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2016</w:t>
            </w:r>
          </w:p>
        </w:tc>
        <w:tc>
          <w:tcPr>
            <w:tcW w:w="2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124,934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56,161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49,264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7,355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held-for-sale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904,433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569,097</w:t>
            </w:r>
          </w:p>
        </w:tc>
        <w:tc>
          <w:tcPr>
            <w:tcW w:w="0" w:type="dxa"/>
            <w:vAlign w:val="bottom"/>
          </w:tcPr>
          <w:p>
            <w:pPr>
              <w:spacing w:after="0"/>
              <w:rPr>
                <w:sz w:val="1"/>
                <w:szCs w:val="1"/>
                <w:color w:val="auto"/>
              </w:rPr>
            </w:pPr>
          </w:p>
        </w:tc>
      </w:tr>
      <w:tr>
        <w:trPr>
          <w:trHeight w:val="277"/>
        </w:trPr>
        <w:tc>
          <w:tcPr>
            <w:tcW w:w="83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85,696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22,383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1,487,297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704,688</w:t>
            </w:r>
          </w:p>
        </w:tc>
        <w:tc>
          <w:tcPr>
            <w:tcW w:w="0" w:type="dxa"/>
            <w:vAlign w:val="bottom"/>
          </w:tcPr>
          <w:p>
            <w:pPr>
              <w:spacing w:after="0"/>
              <w:rPr>
                <w:sz w:val="1"/>
                <w:szCs w:val="1"/>
                <w:color w:val="auto"/>
              </w:rPr>
            </w:pPr>
          </w:p>
        </w:tc>
      </w:tr>
      <w:tr>
        <w:trPr>
          <w:trHeight w:val="271"/>
        </w:trPr>
        <w:tc>
          <w:tcPr>
            <w:tcW w:w="8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40,443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25,896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liability</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189,093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40,537</w:t>
            </w:r>
          </w:p>
        </w:tc>
        <w:tc>
          <w:tcPr>
            <w:tcW w:w="0" w:type="dxa"/>
            <w:vAlign w:val="bottom"/>
          </w:tcPr>
          <w:p>
            <w:pPr>
              <w:spacing w:after="0"/>
              <w:rPr>
                <w:sz w:val="1"/>
                <w:szCs w:val="1"/>
                <w:color w:val="auto"/>
              </w:rPr>
            </w:pPr>
          </w:p>
        </w:tc>
      </w:tr>
      <w:tr>
        <w:trPr>
          <w:trHeight w:val="277"/>
        </w:trPr>
        <w:tc>
          <w:tcPr>
            <w:tcW w:w="83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OBLIGATIONS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$1.00 par value Authorized—500 shares; Issued and outstanding— none</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Common stock, $0.10 par value — Authorized, 80,000 shares; Issued and Outstanding, 19,844 shares at June 30,</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 and 16,338 shares at December 31, 2016</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592,953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162,828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535,783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516,980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1,121,318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660,155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1,487,297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704,688</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(1) December 31, 2016 balances were derived from audited consolidated financial statements.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36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left="260" w:right="2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ICU MEDICAL, INC. AND SUBSIDIARIES CONDENSED CONSOLIDATED STATEMENTS OF OPERATIONS (Unaudited) </w:t>
      </w:r>
      <w:r>
        <w:rPr>
          <w:rFonts w:ascii="Times New Roman" w:cs="Times New Roman" w:eastAsia="Times New Roman" w:hAnsi="Times New Roman"/>
          <w:sz w:val="18"/>
          <w:szCs w:val="18"/>
          <w:color w:val="auto"/>
        </w:rPr>
        <w:t>(In thousands, except per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331,218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96,712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578,461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186,561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331,514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96,721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579,253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186,576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243,452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402,246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87,211</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88,062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50,132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177,007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99,365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85,106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149,992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strategic transaction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123,994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27,362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229,922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52,650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46,715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BARGAIN PURCHASE GAIN</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48,049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18,803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34,766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19,821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20,312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16,964</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16,606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18,803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34,766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 hedge adjustments, net of taxes of $(685) for each of the three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six months ended June 30, 2017</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 of taxes of $8 and $(746) for</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three months ended June 30, 2017 and 2016, respectively, and $56 and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$413 for the six months ended June 30, 2017 and 2016, respectively</w:t>
            </w:r>
          </w:p>
        </w:tc>
        <w:tc>
          <w:tcPr>
            <w:tcW w:w="32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8,888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10,914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1,832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adjustments, net of taxes of $0 for all periods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rPr>
              <w:t>9,856</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color w:val="auto"/>
              </w:rPr>
              <w:t>11,885</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color w:val="auto"/>
              </w:rPr>
              <w:t>1,832</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14,339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30,688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36,598</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ICU MEDICAL, INC. AND SUBSIDIARIES CONDENSED CONSOLIDATED STATEMENTS OF CASH FLOWS (Unaudited) </w:t>
      </w: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353"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18,803</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34,766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9,648</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warranty and returns</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7,674</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Bond premium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Bargain purchase gain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earn-out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66,870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3,752</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liabilities</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66,479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(5,985)</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Income taxes, including excess tax benefits and deferred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4,793</w:t>
            </w:r>
          </w:p>
        </w:tc>
      </w:tr>
      <w:tr>
        <w:trPr>
          <w:trHeight w:val="21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(28,864)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41,775</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(9,112)</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 additions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investment securities</w:t>
            </w:r>
          </w:p>
        </w:tc>
        <w:tc>
          <w:tcPr>
            <w:tcW w:w="3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31,765</w:t>
            </w:r>
          </w:p>
        </w:tc>
      </w:tr>
      <w:tr>
        <w:trPr>
          <w:trHeight w:val="21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(186,299)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1,429</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7,796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1,197</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(16,911)</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(7,918)</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2,473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1,445</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36,731</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445,082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336,164</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240,923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372,895</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ICU MEDICAL, INC.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 - 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371"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33020</wp:posOffset>
            </wp:positionV>
            <wp:extent cx="1792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8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 for property and equipment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6,024</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1,574</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8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8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Detail of acquisitions: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assets acquired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881,732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3,572</w:t>
            </w:r>
          </w:p>
        </w:tc>
      </w:tr>
      <w:tr>
        <w:trPr>
          <w:trHeight w:val="237"/>
        </w:trPr>
        <w:tc>
          <w:tcPr>
            <w:tcW w:w="8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Non-cash seller note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Estimated working capital adjustment</w:t>
            </w:r>
          </w:p>
        </w:tc>
        <w:tc>
          <w:tcPr>
            <w:tcW w:w="3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common stock</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Bargain purchase gain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r>
      <w:tr>
        <w:trPr>
          <w:trHeight w:val="237"/>
        </w:trPr>
        <w:tc>
          <w:tcPr>
            <w:tcW w:w="8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33"/>
        </w:trPr>
        <w:tc>
          <w:tcPr>
            <w:tcW w:w="8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Liabilities assumed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162,786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121" w:right="2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2016.</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engaged in the development, manufacturing and sale of innovative medical devices used in infusion therapy, and critical care markets. We sell the majority of our products through our direct sales force and through independent distributors throughout the U. S. and internationally. Additionally, we sell our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261"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period’s presentation. These reclassifications had no impact on previously reported results of operations.</w:t>
      </w:r>
    </w:p>
    <w:p>
      <w:pPr>
        <w:spacing w:after="0" w:line="23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New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July 2015, the Financial Accounting Standards Board ("FASB") issued Accounting Standard Update ("ASU") No. 2015-11 Inventory (Topic 330): Simplifying the Measurement of Inventory. ASU 2015-11 changes the measurement of inventory within the scope of the ASU (e.g. FIFO or average cost) from lower of cost or market to lower of cost and net realizable value ("NRV"). NRV is defined as estimated selling prices in the ordinary course of business, less reasonably predictable costs of completion, disposal, and transportation. Prior to the ASU, U.S. generally accepted accounting principles required an entity to measure inventory at the lower of cost or market. Market is measured using replacement cost unless it is above NRV (commonly referred to as “ceiling”) or below NRV less an approximately normal profit margin (commonly referred to as “floor”). For inventory within its scope, the ASU eliminates the notions of replacement cost and NRV less a normal profit margin, which is intended to simplify the accounting for inventory. The amendments are effective prospectively for the fiscal years, and interim reporting periods within those years, beginning on or after December 15, 2016. We adopted this ASU on January 1, 2017. This ASU did not have a material impact on our condensed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2017, the FASB issued ASU No. 2017-09, Compensation-Stock Compensation (Topic 718): Scope of Modification Accounting. The amendments in this update provide guidance about which changes to the terms or conditions of a share-based payment award require an entity to apply modification accounting. Under the ASU, an entity will account for the effects of a modification unless (i) the fair value of the modified award is the same as the fair value of the original award immediately before the original award is modified, (ii) the vesting conditions of the modified award are the same vesting conditions as the original award immediately before the original award is modified, and (iii) the classification of the modified award as an equity instrument or a liability instrument is the same as the classification of the original award immediately before the original award is modified. The amendments in this ASU are effective prospectively for annual periods, and interim periods within those annual periods, beginning December 15, 2017. This ASU is not expected to have a material impact on our condensed consolidated financial statements or related footnote disclosures.</w:t>
      </w:r>
    </w:p>
    <w:p>
      <w:pPr>
        <w:spacing w:after="0" w:line="18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No. 2017-04, Intangibles-Goodwill and Other (Topic 350): Simplifying the Test for Goodwill Impairment. The amendments in this update remove the second step of the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amendments in ASU 2017-04 are effective for the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17" w:right="2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annual or interim impairment test in fiscal years beginning after December 15, 2019. Early adoption is permitted for interim or annual goodwill impairment tests performed on testing dates after January 1, 2017. This ASU is not expected to have a material impact on our condensed consolidated financial statements or related footnote disclosures.</w:t>
      </w:r>
    </w:p>
    <w:p>
      <w:pPr>
        <w:spacing w:after="0" w:line="17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No. 2017-01, Business Combinations (Topic 805): Clarifying the Definition of a Business. The amendments in this update clarify the definition of a business with the objective of adding guidance to assist entities with evaluating whether transactions should be accounted for as acquisitions (or disposals) of assets or businesses. The amendments in this update provide a screen to determine when a set (integrated set of assets and activities)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The amendments in ASU 2017-01 are effective for annual periods and interim periods within those annual periods beginning after December 15, 2017. The amendments in this ASU should be applied prospectively on or after the effective date. This ASU is not expected to have a material impact on our condensed consolidated financial statements or related disclosures.</w:t>
      </w:r>
    </w:p>
    <w:p>
      <w:pPr>
        <w:spacing w:after="0" w:line="185"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In October 2016, the FASB issued ASU No. 2016-16, Income Taxes (Topic 740): Intra-Entity Transfers of Assets Other Than Inventory. Current generally accepted accounting principles prohibits the recognition of current and deferred income taxes for an intra-entity asset transfer until after the asset has been sold to an outside party. The amendments in ASU 2016-16 eliminates this prohibition, accordingly an entity should recognize the income tax consequences of an intra-entity transfer of an asset other than inventory when the transfer occurs. Amendments in this update are effective for annual reporting periods beginning after December 15, 2017. Early adoption is permitted in the first interim period of an annual reporting period. The amendments should be applied on a modified retrospective basis through a cumulative-effect adjustment directly to retained earnings as of the beginning of the period of adoption. We are currently evaluating the impact of this ASU on the consolidated financial statements and related disclosures.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(Topic 230): Classification of Certain Cash Receipts and Cash Payments. ASU 2016-15 provides specific guidance on eight cash flow issues where current guidance is unclear or does not include any specifics on classification. The eight specific cash flow issues are: debt prepayment or debt extinguishment costs; settlement of zero-coupon debt instruments or other debt instruments with zero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policies; distributions received from equity method investees; beneficial interests in securitization transactions; and separately identifiable cash flows and application of the predominance principle. The amendments in ASU 2016-15 are effective for annual periods and interim periods within those annual periods beginning after December 15, 2017. Early adoption is permitted. If adopted in an interim period, any adjustments should be reflected as of the beginning of the fiscal year that includes the interim period. Amendments should be applied using a retrospective transition method to each period presented. We are currently evaluating the impact of this ASU on the consolidated financial statements and related disclosures.</w:t>
      </w:r>
    </w:p>
    <w:p>
      <w:pPr>
        <w:spacing w:after="0" w:line="1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available-for-sale debt securities and purchased financial assets with credit deterioration. The amendments in this update will be effective for fiscal years beginning after December 15, 2019. Early adoption is permitted as of the fiscal years beginning after December 15, 2018. The updated guidance requires a modified retrospective adoption. We are currently evaluating the impact of this ASU on the consolidated financial statements and related disclosures.</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The amendments in this update require an entity to recognize a right-of-use asset and lease liability for all leases with terms of more than 12 months. Recognition, measurement and presentation of expenses will depend on classification as finance or operating lease. The amendments also require certain quantitative and qualitative disclosures about leasing arrangements. The amendments in this update will be effective for fiscal years beginning after December 15, 2019. Early adoption is permitted. The updated guidance requires a modified retrospective adoption. We are currently evaluating the impact of this ASU on the consolidated financial statements and related disclosures.</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January 2016, the FASB issued ASU No. 2016-01, Financial Instruments – Overall (Subtopic 825-10): Recognition and Measurement of Financial Assets and Financial Liabilities, which amends certain aspects of recognition, measurement,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presentation and disclosure of financial instruments. This amendment requires all equity investments to be measured at fair value with changes in the fair value recognized through net income (other than those accounted for under the equity method of accounting or those that result in the consolidation of the investee). The amendments in this update will be effective for fiscal years beginning after December 15, 2017. Early adoption of the amendments is not permitted with the exception of the provision requiring the recognition in other comprehensive income the fair value change from instrument-specific credit risk measured using the fair value option for financial instruments. We are currently evaluating the impact of this ASU on the consolidated financial statements and related disclosures.</w:t>
      </w:r>
    </w:p>
    <w:p>
      <w:pPr>
        <w:spacing w:after="0" w:line="18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ASU 2014-09 removes inconsistencies and weaknesses in revenue requirements, provides a more robust framework for addressing revenue issues, improves comparability of revenue recognition practices across entities, industries, jurisdictions and capital markets, provides more useful information to users of financial statements through improved disclosure requirements and simplifies the preparation of financial statements by reducing the number of requirements to which an entity must refer. This guidance requires that an entity depict the consideration by applying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On April 1, 2015, the FASB voted for a one-year deferral of the effective date of the new revenue recognition standard, ASU 2014-09. On July 15, 2015, the FASB affirmed these changes, which requires public entities to apply the amendments in ASU 2014-09 for annual reporting beginning after December 15, 2017. Early adoption is permitted beginning after December 31, 2016, the original effective date in ASU 2014-09. Subsequent to the issuance of this ASU, the FASB issued three amendments: ASU No. 2016-08 which clarifies principal versus agent considerations; ASU 2016-10 which clarifies guidance related to identifying performance obligations and licensing implementation; and ASU 2016-12 which provides narrow-scope improvements and practical expedients. All of the amendments have the same effective dates mentioned above. We previously disclosed that we did not anticipate a material impact on our consolidated financial statements from adoption of any of the above. In light of the Hospira Infusion Systems ("HIS") acquisition we are reevaluating the impact of this ASU on our consolidated financial statements. We expect to have enhanced disclosures upon adoption of this ASU. We now expect to adopt the modified restrospective method when adopting this ASU.</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 and Strategic Transaction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On February 1, 2017, we acquired 100% interest in Fannin (UK) Limited ("Fannin") for total consideration of approximately $1.5 million. Fannin provides infusion therapy consumable products to the healthcare sector in the United Kingdom and Ireland.</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February 3, 2017, we acquired 100% interest in Pfizer Inc.’s (“Pfizer”) HIS business for total cash consideration of approximately $260.0 million (net of estimated working capital adjustments paid at closing), which was financed with existing cash balances and a $75 million three-year interest-only seller note. We also issued 3.2 million shares of our common stock. The fair value of the common shares issued to Pfizer was determined based on the closing price of our common shares on the issuance date, discounted to reflect a contractual lock-up period whereby Pfizer cannot transfer the shares, subject to certain exceptions, until the earlier of (i) the expiration of Pfizer’s services to us in the related transitional services agreement or (ii) eighteen months from the closing date. Additionally, Pfizer also may be entitled up to an additional $225 million in cash contingent consideration based on the achievement of performance targets for the combined company for the three years ending December 31, 2019 ("Earnout Period"). In the event that the sum of our Adjusted EBITDA as defined in the Amended and Restated Stock and Asset Purchase Agreement between us and Pfizer (the “HIS Purchase Agreement”) for the three years in the Earnout Period (the "Cumulative Adjusted EBITDA") is equal to or exceeds approximately $1 billion ("the "Earnout Target"), then Pfizer will be entitled to receive the full amount of the earnout. In the event that the Cumulative Adjusted EBITDA is equal to or greater than 85% of the Earnout Target (but less than the Earnout Target), Pfizer will be entitled to receive the corresponding percentage of the earnout. In the event that the Cumulative Adjusted EBITDA is less than 85% of the Earnout Target, then no earnout amount will be earned by Pfizer.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weighted average cost of capital ("WACC") less the long term risk free rate. We believe that the acquisition of the HIS business, which includes IV pumps, solutions and consumable devices complements our pre-existing business by creating a company that has a complete infusion therapy product portfolio. We believe that the acquisition significantly enhances our global footprint and platform for continued competitiveness and growth.</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7" w:right="2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the acquisition of HIS, pre-existing long-term supply and distribution contracts between ICU and HIS were effectively terminated.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Closings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HIS Purchase Agreement, we agreed with Pfizer to defer the local closing of the HIS business in certain foreign jurisdictions (the “Deferred Closing Businesses”) for periods ranging by jurisdiction from 3 to 12 months after the February 3, 2017 closing date (the "Deferred Closing Period"). The net assets in these jurisdictions represent an immaterial portion of the total HIS business net assets.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February 3, 2017 HIS business transaction closing, we entered into a Net Economic Benefit Agreement with Pfizer under which we agreed that (i) during the Deferred Closing Period, the economic benefits and burdens of the Deferred Closing Businesses are for our account, and we are to be treated as the beneficial owner of the Deferred Closing Businesses and (ii) Pfizer would continue to operate the Deferred Closing Businesses under our direction.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Preliminary Purchase Price</w:t>
      </w:r>
    </w:p>
    <w:p>
      <w:pPr>
        <w:spacing w:after="0" w:line="22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purchase price, subject to working capital adjustments, and the preliminary allocation of the purchase price related to the assets and liabilities purchased (in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cash consideration for acquired assets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177,527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Seller Note</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Preliminary fair value of contingent consideration payable to Pfizer (long-term)</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ICU Medical, Inc. common shares: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Number of shares issued to Pfizer</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Price per share (ICU's trading closing share price on the Closing Date)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Fair value of ICU shares issued to Pfizer</w:t>
            </w: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450,400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Preliminary discount due to lack of marketability of 8.3%</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Equity portion of purchase price</w:t>
            </w: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consideration to be paid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Preliminary Purchase Price Allocation:</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417,317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288,486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Intangible assets</w:t>
            </w:r>
            <w:r>
              <w:rPr>
                <w:rFonts w:ascii="Times New Roman" w:cs="Times New Roman" w:eastAsia="Times New Roman" w:hAnsi="Times New Roman"/>
                <w:sz w:val="25"/>
                <w:szCs w:val="25"/>
                <w:color w:val="auto"/>
                <w:vertAlign w:val="superscript"/>
              </w:rPr>
              <w:t>(1)</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Long-term liabilities</w:t>
            </w:r>
            <w:r>
              <w:rPr>
                <w:rFonts w:ascii="Times New Roman" w:cs="Times New Roman" w:eastAsia="Times New Roman" w:hAnsi="Times New Roman"/>
                <w:sz w:val="25"/>
                <w:szCs w:val="25"/>
                <w:color w:val="auto"/>
                <w:vertAlign w:val="superscript"/>
              </w:rPr>
              <w:t>(2)</w:t>
            </w: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775,004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Estimated Gain on Bargain Purchase</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Purchase Consideration</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684,666</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jc w:val="right"/>
              <w:ind w:right="6910"/>
              <w:spacing w:after="0"/>
              <w:rPr>
                <w:sz w:val="20"/>
                <w:szCs w:val="20"/>
                <w:color w:val="auto"/>
              </w:rPr>
            </w:pPr>
            <w:r>
              <w:rPr>
                <w:rFonts w:ascii="Times New Roman" w:cs="Times New Roman" w:eastAsia="Times New Roman" w:hAnsi="Times New Roman"/>
                <w:sz w:val="18"/>
                <w:szCs w:val="18"/>
                <w:color w:val="auto"/>
                <w:w w:val="99"/>
              </w:rPr>
              <w:t>______________________________</w:t>
            </w:r>
          </w:p>
        </w:tc>
        <w:tc>
          <w:tcPr>
            <w:tcW w:w="12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9700" w:type="dxa"/>
            <w:vAlign w:val="bottom"/>
            <w:gridSpan w:val="2"/>
          </w:tcPr>
          <w:p>
            <w:pPr>
              <w:jc w:val="right"/>
              <w:ind w:right="38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right="100" w:firstLine="8"/>
        <w:spacing w:after="0" w:line="292" w:lineRule="auto"/>
        <w:tabs>
          <w:tab w:leader="none" w:pos="17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Preliminary identifiable intangible assets includes $56 million of customer relationships, $44 million of developed technology - pumps and dedicated sets, $34 million of developed technology - consumables, and $5 million of in-process research and development ("IPR&amp;D"). The weighted amortization period for the total identifiable assets is approximately nine years, for customer relationships the weighted amortization period is eight years, for the developed technology - pumps and dedicated sets the weighted amortization period is ten years and for the developed technology - consumables the weighted amortization period is twelve years. The IPR&amp;D has an indefinite life until the associated research and development efforts are complete.</w:t>
      </w:r>
    </w:p>
    <w:p>
      <w:pPr>
        <w:spacing w:after="0" w:line="144"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Preliminary long-term liabilities primarily consisted of contract liabilities, product liabilities and long-term employee benefits.</w:t>
      </w:r>
    </w:p>
    <w:p>
      <w:pPr>
        <w:spacing w:after="0" w:line="19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assets acquired and liabilities assumed exceeded the fair value of the consideration to be paid resulting in a bargain purchase gain. Before recognizing a gain on a bargain purchase, we reassessed the methods used in the purchase accounting and verified that we had identified all of the assets acquired and all of the liabilities assumed, and that there were no additional assets or liabilities to be considered. We also reevaluated the fair value of the contingent consideration transferred to determine that it was appropriate. We determined that the bargain purchase gain was primarily attributable to potential future restructuring made necessary due to the current level of sales demand which did not qualify to be recorded as a liability in the application of acquisition accounting. Restructuring costs, if incurred, would be expensed in future periods. The bargain purchase gain is separately stated below income from operations in the accompanying condensed consolidated statements of operations for the three and six months ended June 30, 2017.</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above purchase price and purchase price allocation are preliminary and subject to future revision as the acquired assets and liabilities assumed are dependent upon the finalization of the related valuations.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identifiable intangible assets and other long-lived assets acquired have been valued as Level 3 assets at fair market value. The estimated fair value of identifiable intangible assets were developed using the income approach and are based on critical estimates, judgments and assumptions derived from: analysis of market conditions; discount rate; discounted cash flows; royalty rates; customer retention rates; and estimated useful lives. Fixed assets were valued with the consideration of remaining economic lives. The raw materials inventory was valued at historical cost and adjusted for any obsolescence, the work in process was valued at estimated sales proceeds less costs to complete and costs to sell, and finished goods inventory was valued at estimated sales proceeds less costs to sell. The prepaid expenses and other current assets and assumed liabilities were recorded at their carrying values as of the date of the acquisition, as their carrying values approximated their fair values due to their short-term nature.</w:t>
      </w:r>
    </w:p>
    <w:p>
      <w:pPr>
        <w:spacing w:after="0" w:line="187" w:lineRule="exact"/>
        <w:rPr>
          <w:sz w:val="20"/>
          <w:szCs w:val="20"/>
          <w:color w:val="auto"/>
        </w:rPr>
      </w:pPr>
    </w:p>
    <w:p>
      <w:pPr>
        <w:ind w:right="120" w:firstLine="648"/>
        <w:spacing w:after="0" w:line="315" w:lineRule="auto"/>
        <w:rPr>
          <w:sz w:val="20"/>
          <w:szCs w:val="20"/>
          <w:color w:val="auto"/>
        </w:rPr>
      </w:pPr>
      <w:r>
        <w:rPr>
          <w:rFonts w:ascii="Times New Roman" w:cs="Times New Roman" w:eastAsia="Times New Roman" w:hAnsi="Times New Roman"/>
          <w:sz w:val="17"/>
          <w:szCs w:val="17"/>
          <w:color w:val="auto"/>
        </w:rPr>
        <w:t xml:space="preserve">We did not disclose the proforma revenue and earnings information required by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as preparation of the information was not practicable. The HIS business is a carve-out of Pfizer's business and the standalone data for the prior year reporting period was not available.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Transaction and Integration Expenses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incurred and expensed $12.4 million and $33.5 million in transaction and integration costs during the three and six months ended June 30, 2017, respectively primarily related to our acquisition of the HIS business. We incurred $1.1 million in transaction costs during the three and six months ended June 30, 2016 related to the 2015 acquisition of EXC Holding Corp. and to our 2016 acquisition of Tangent Medical Technologies,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Restructuring Charges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2017, we incurred restructuring charges related to the acquisition of the HIS business (see Note 3: Acquisitions and Strategic Transaction Expenses). The restructuring charges were incurred as a result of integrating the acquired operations into our business and include severance costs related to involuntary employee terminations and facility exit costs related to the closure of the Dominican Republic manufacturing facilities acquired from Pfizer. We expect to complete these restructuring activities by the end of 2017. All material charges in regard to these restructuring activities have been incurred as of June 30, 2017.</w:t>
      </w:r>
    </w:p>
    <w:p>
      <w:pPr>
        <w:spacing w:after="0" w:line="184"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is paid in equal monthly installments until December 2020.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17" w:right="2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details of changes in our restructuring-related accrual for the period ending June 30, 2017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Accrued Balance</w:t>
            </w:r>
          </w:p>
        </w:tc>
      </w:tr>
      <w:tr>
        <w:trPr>
          <w:trHeight w:val="203"/>
        </w:trPr>
        <w:tc>
          <w:tcPr>
            <w:tcW w:w="4360" w:type="dxa"/>
            <w:vAlign w:val="bottom"/>
          </w:tcPr>
          <w:p>
            <w:pPr>
              <w:spacing w:after="0"/>
              <w:rPr>
                <w:sz w:val="17"/>
                <w:szCs w:val="17"/>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Accrued Balance</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Charges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7"/>
                <w:szCs w:val="17"/>
                <w:color w:val="auto"/>
              </w:rPr>
            </w:pPr>
          </w:p>
        </w:tc>
        <w:tc>
          <w:tcPr>
            <w:tcW w:w="13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436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Incurred</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4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2017</w:t>
            </w:r>
          </w:p>
        </w:tc>
      </w:tr>
      <w:tr>
        <w:trPr>
          <w:trHeight w:val="33"/>
        </w:trPr>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4,530</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Employment agreement buyout</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1,294</w:t>
            </w:r>
          </w:p>
        </w:tc>
      </w:tr>
      <w:tr>
        <w:trPr>
          <w:trHeight w:val="27"/>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Facility closure expenses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60" w:type="dxa"/>
            <w:vAlign w:val="bottom"/>
          </w:tcPr>
          <w:p>
            <w:pPr>
              <w:spacing w:after="0"/>
              <w:rPr>
                <w:sz w:val="20"/>
                <w:szCs w:val="20"/>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15,826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5,824</w:t>
            </w:r>
          </w:p>
        </w:tc>
      </w:tr>
      <w:tr>
        <w:trPr>
          <w:trHeight w:val="27"/>
        </w:trPr>
        <w:tc>
          <w:tcPr>
            <w:tcW w:w="4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5:</w:t>
        <w:tab/>
        <w:t>Net Income Per Share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There were no and 61 anti-dilutive securities for the three and six months ended June 30, 2017, respectively. There were no and 4,300 anti-dilutive securities for the three and six months ended June 30, 2016,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of net earnings per common share (“EPS”) — basic and diluted (in thousands, except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7"/>
                <w:szCs w:val="17"/>
                <w:color w:val="auto"/>
              </w:rPr>
            </w:pPr>
          </w:p>
        </w:tc>
        <w:tc>
          <w:tcPr>
            <w:tcW w:w="2540" w:type="dxa"/>
            <w:vAlign w:val="bottom"/>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18,803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w:t>
            </w:r>
          </w:p>
        </w:tc>
        <w:tc>
          <w:tcPr>
            <w:tcW w:w="0" w:type="dxa"/>
            <w:vAlign w:val="bottom"/>
          </w:tcPr>
          <w:p>
            <w:pPr>
              <w:spacing w:after="0"/>
              <w:rPr>
                <w:sz w:val="1"/>
                <w:szCs w:val="1"/>
                <w:color w:val="auto"/>
              </w:rPr>
            </w:pPr>
          </w:p>
        </w:tc>
      </w:tr>
      <w:tr>
        <w:trPr>
          <w:trHeight w:val="225"/>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basic calculation)</w:t>
            </w:r>
          </w:p>
        </w:tc>
        <w:tc>
          <w:tcPr>
            <w:tcW w:w="32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19,821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19,153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05"/>
        </w:trPr>
        <w:tc>
          <w:tcPr>
            <w:tcW w:w="47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19,821</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20,312</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16,964</w:t>
            </w:r>
          </w:p>
        </w:tc>
        <w:tc>
          <w:tcPr>
            <w:tcW w:w="0" w:type="dxa"/>
            <w:vAlign w:val="bottom"/>
          </w:tcPr>
          <w:p>
            <w:pPr>
              <w:spacing w:after="0"/>
              <w:rPr>
                <w:sz w:val="1"/>
                <w:szCs w:val="1"/>
                <w:color w:val="auto"/>
              </w:rPr>
            </w:pPr>
          </w:p>
        </w:tc>
      </w:tr>
      <w:tr>
        <w:trPr>
          <w:trHeight w:val="281"/>
        </w:trPr>
        <w:tc>
          <w:tcPr>
            <w:tcW w:w="4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outstanding (for diluted calculation)</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EPS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0.98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EPS — 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Derivatives And Hedging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Hedge Accounting and Hedging Program</w:t>
      </w:r>
    </w:p>
    <w:p>
      <w:pPr>
        <w:spacing w:after="0" w:line="22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of 2017, we implemented a cash flow hedging program. 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May 2017, we entered into a two-year cross-currency par forward contract to hedge a portion of our Mexico forecasted expenses denominated in Pesos ("MXN"). 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 is recorded at fair value on the Condensed Consolidated Balance Sheets and is classified based on the instrument's maturity date. We record changes in the intrinsic value of the effective portion of the gain or loss on the derivative instrument as a component of Other Comprehensive (Loss) Income and we reclassify that gain or loss into earnings in the same line item</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associated with the forecasted transaction and in the same period during which the hedged transaction affects earnings. Any gain or loss on the derivative instrument due to ineffectiveness of the hedge will be recognized in the Condensed Consolidated Statements of Operations during the current period. The total notional amount of our outstanding derivative as of June 30, 2017 was approximately 690.3 million MXN. The term of our currency forward contract is May 1, 2017 to May 1, 2019. The derivative instrument matures in equal monthly amounts at a fixed forward rate of 20.01MXN/USD over the term of the two-year contract.</w:t>
      </w:r>
    </w:p>
    <w:p>
      <w:pPr>
        <w:spacing w:after="0" w:line="184"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of our derivative instrument included within the Condensed Consolidated Balance Sheet as of June 30, 2017 and December 31, 2016 (in thousands):</w:t>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4240" w:type="dxa"/>
            <w:vAlign w:val="bottom"/>
            <w:gridSpan w:val="2"/>
          </w:tcPr>
          <w:p>
            <w:pPr>
              <w:ind w:left="2820"/>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4560" w:type="dxa"/>
            <w:vAlign w:val="bottom"/>
          </w:tcPr>
          <w:p>
            <w:pPr>
              <w:spacing w:after="0"/>
              <w:rPr>
                <w:sz w:val="2"/>
                <w:szCs w:val="2"/>
                <w:color w:val="auto"/>
              </w:rPr>
            </w:pPr>
          </w:p>
        </w:tc>
        <w:tc>
          <w:tcPr>
            <w:tcW w:w="42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7"/>
        </w:trPr>
        <w:tc>
          <w:tcPr>
            <w:tcW w:w="4560" w:type="dxa"/>
            <w:vAlign w:val="bottom"/>
          </w:tcPr>
          <w:p>
            <w:pPr>
              <w:spacing w:after="0"/>
              <w:rPr>
                <w:sz w:val="18"/>
                <w:szCs w:val="18"/>
                <w:color w:val="auto"/>
              </w:rPr>
            </w:pPr>
          </w:p>
        </w:tc>
        <w:tc>
          <w:tcPr>
            <w:tcW w:w="4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560" w:type="dxa"/>
            <w:vAlign w:val="bottom"/>
          </w:tcPr>
          <w:p>
            <w:pPr>
              <w:spacing w:after="0"/>
              <w:rPr>
                <w:sz w:val="18"/>
                <w:szCs w:val="18"/>
                <w:color w:val="auto"/>
              </w:rPr>
            </w:pPr>
          </w:p>
        </w:tc>
        <w:tc>
          <w:tcPr>
            <w:tcW w:w="4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2017</w:t>
            </w:r>
          </w:p>
        </w:tc>
        <w:tc>
          <w:tcPr>
            <w:tcW w:w="16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4560" w:type="dxa"/>
            <w:vAlign w:val="bottom"/>
            <w:tcBorders>
              <w:bottom w:val="single" w:sz="8" w:color="CCEEFF"/>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4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 exchange forward contract:</w:t>
            </w:r>
          </w:p>
        </w:tc>
        <w:tc>
          <w:tcPr>
            <w:tcW w:w="4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5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4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5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amounts affecting the Condensed Consolidated Statements of Operations for the three and six months ended June 30, 2017 and 2016 (in thousands):</w:t>
      </w:r>
    </w:p>
    <w:p>
      <w:pPr>
        <w:sectPr>
          <w:pgSz w:w="11900" w:h="16838" w:orient="portrait"/>
          <w:cols w:equalWidth="0" w:num="1">
            <w:col w:w="11400"/>
          </w:cols>
          <w:pgMar w:left="240" w:top="117" w:right="259" w:bottom="1440" w:gutter="0" w:footer="0" w:header="0"/>
        </w:sectPr>
      </w:pPr>
    </w:p>
    <w:p>
      <w:pPr>
        <w:spacing w:after="0" w:line="326" w:lineRule="exact"/>
        <w:rPr>
          <w:sz w:val="20"/>
          <w:szCs w:val="20"/>
          <w:color w:val="auto"/>
        </w:rPr>
      </w:pPr>
    </w:p>
    <w:p>
      <w:pPr>
        <w:jc w:val="center"/>
        <w:ind w:left="3580"/>
        <w:spacing w:after="0"/>
        <w:rPr>
          <w:sz w:val="20"/>
          <w:szCs w:val="20"/>
          <w:color w:val="auto"/>
        </w:rPr>
      </w:pPr>
      <w:r>
        <w:rPr>
          <w:rFonts w:ascii="Times New Roman" w:cs="Times New Roman" w:eastAsia="Times New Roman" w:hAnsi="Times New Roman"/>
          <w:sz w:val="16"/>
          <w:szCs w:val="16"/>
          <w:b w:val="1"/>
          <w:bCs w:val="1"/>
          <w:color w:val="auto"/>
        </w:rPr>
        <w:t>Line Item in the</w:t>
      </w:r>
    </w:p>
    <w:p>
      <w:pPr>
        <w:spacing w:after="0" w:line="28" w:lineRule="exact"/>
        <w:rPr>
          <w:sz w:val="20"/>
          <w:szCs w:val="20"/>
          <w:color w:val="auto"/>
        </w:rPr>
      </w:pPr>
    </w:p>
    <w:p>
      <w:pPr>
        <w:jc w:val="center"/>
        <w:ind w:left="3580"/>
        <w:spacing w:after="0"/>
        <w:rPr>
          <w:sz w:val="20"/>
          <w:szCs w:val="20"/>
          <w:color w:val="auto"/>
        </w:rPr>
      </w:pPr>
      <w:r>
        <w:rPr>
          <w:rFonts w:ascii="Times New Roman" w:cs="Times New Roman" w:eastAsia="Times New Roman" w:hAnsi="Times New Roman"/>
          <w:sz w:val="16"/>
          <w:szCs w:val="16"/>
          <w:b w:val="1"/>
          <w:bCs w:val="1"/>
          <w:color w:val="auto"/>
        </w:rPr>
        <w:t>Condensed Consolidated</w:t>
      </w:r>
    </w:p>
    <w:p>
      <w:pPr>
        <w:spacing w:after="0" w:line="19" w:lineRule="exact"/>
        <w:rPr>
          <w:sz w:val="20"/>
          <w:szCs w:val="20"/>
          <w:color w:val="auto"/>
        </w:rPr>
      </w:pPr>
    </w:p>
    <w:p>
      <w:pPr>
        <w:jc w:val="center"/>
        <w:ind w:left="3580"/>
        <w:spacing w:after="0"/>
        <w:rPr>
          <w:sz w:val="20"/>
          <w:szCs w:val="20"/>
          <w:color w:val="auto"/>
        </w:rPr>
      </w:pPr>
      <w:r>
        <w:rPr>
          <w:rFonts w:ascii="Times New Roman" w:cs="Times New Roman" w:eastAsia="Times New Roman" w:hAnsi="Times New Roman"/>
          <w:sz w:val="16"/>
          <w:szCs w:val="16"/>
          <w:b w:val="1"/>
          <w:bCs w:val="1"/>
          <w:color w:val="auto"/>
        </w:rPr>
        <w:t>Statements of Operations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instruments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98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5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8"/>
        </w:trPr>
        <w:tc>
          <w:tcPr>
            <w:tcW w:w="14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4"/>
                <w:szCs w:val="24"/>
                <w:color w:val="auto"/>
              </w:rPr>
            </w:pPr>
          </w:p>
        </w:tc>
        <w:tc>
          <w:tcPr>
            <w:tcW w:w="13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4"/>
                <w:szCs w:val="24"/>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4"/>
                <w:szCs w:val="24"/>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-8255</wp:posOffset>
            </wp:positionV>
            <wp:extent cx="72294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472" w:lineRule="exact"/>
        <w:rPr>
          <w:sz w:val="20"/>
          <w:szCs w:val="20"/>
          <w:color w:val="auto"/>
        </w:rPr>
      </w:pPr>
    </w:p>
    <w:p>
      <w:pPr>
        <w:sectPr>
          <w:pgSz w:w="11900" w:h="16838" w:orient="portrait"/>
          <w:cols w:equalWidth="0" w:num="2">
            <w:col w:w="5340" w:space="500"/>
            <w:col w:w="5560"/>
          </w:cols>
          <w:pgMar w:left="240" w:top="117" w:right="259" w:bottom="1440" w:gutter="0" w:footer="0" w:header="0"/>
          <w:type w:val="continuous"/>
        </w:sectPr>
      </w:pPr>
    </w:p>
    <w:p>
      <w:pPr>
        <w:ind w:left="180"/>
        <w:spacing w:after="0"/>
        <w:tabs>
          <w:tab w:leader="none" w:pos="4460" w:val="left"/>
          <w:tab w:leader="none" w:pos="5840" w:val="left"/>
          <w:tab w:leader="none" w:pos="6920" w:val="left"/>
          <w:tab w:leader="none" w:pos="8420" w:val="left"/>
          <w:tab w:leader="none" w:pos="8820" w:val="left"/>
          <w:tab w:leader="none" w:pos="9760" w:val="left"/>
          <w:tab w:leader="none" w:pos="11100" w:val="left"/>
        </w:tabs>
        <w:rPr>
          <w:sz w:val="20"/>
          <w:szCs w:val="20"/>
          <w:color w:val="auto"/>
        </w:rPr>
      </w:pPr>
      <w:r>
        <w:rPr>
          <w:rFonts w:ascii="Times New Roman" w:cs="Times New Roman" w:eastAsia="Times New Roman" w:hAnsi="Times New Roman"/>
          <w:sz w:val="16"/>
          <w:szCs w:val="16"/>
          <w:color w:val="auto"/>
        </w:rPr>
        <w:t>Foreign exchange forward contracts</w:t>
      </w:r>
      <w:r>
        <w:rPr>
          <w:sz w:val="20"/>
          <w:szCs w:val="20"/>
          <w:color w:val="auto"/>
        </w:rPr>
        <w:tab/>
      </w:r>
      <w:r>
        <w:rPr>
          <w:rFonts w:ascii="Times New Roman" w:cs="Times New Roman" w:eastAsia="Times New Roman" w:hAnsi="Times New Roman"/>
          <w:sz w:val="16"/>
          <w:szCs w:val="16"/>
          <w:color w:val="auto"/>
        </w:rPr>
        <w:t>Cost of goods sold</w:t>
        <w:tab/>
        <w:t>$</w:t>
      </w:r>
      <w:r>
        <w:rPr>
          <w:sz w:val="20"/>
          <w:szCs w:val="20"/>
          <w:color w:val="auto"/>
        </w:rPr>
        <w:tab/>
      </w:r>
      <w:r>
        <w:rPr>
          <w:rFonts w:ascii="Times New Roman" w:cs="Times New Roman" w:eastAsia="Times New Roman" w:hAnsi="Times New Roman"/>
          <w:sz w:val="16"/>
          <w:szCs w:val="16"/>
          <w:color w:val="auto"/>
        </w:rPr>
        <w:t>22</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22</w:t>
      </w:r>
      <w:r>
        <w:rPr>
          <w:sz w:val="20"/>
          <w:szCs w:val="20"/>
          <w:color w:val="auto"/>
        </w:rPr>
        <w:tab/>
      </w:r>
      <w:r>
        <w:rPr>
          <w:rFonts w:ascii="Times New Roman" w:cs="Times New Roman" w:eastAsia="Times New Roman" w:hAnsi="Times New Roman"/>
          <w:sz w:val="16"/>
          <w:szCs w:val="16"/>
          <w:color w:val="auto"/>
        </w:rPr>
        <w:t>—</w:t>
      </w: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recognized the following gains on our foreign exchange contract designated as a cash flow hedge (in thousands):</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 of Gain Recognized in</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 Comprehensive Income on</w:t>
            </w:r>
          </w:p>
        </w:tc>
        <w:tc>
          <w:tcPr>
            <w:tcW w:w="100" w:type="dxa"/>
            <w:vAlign w:val="bottom"/>
          </w:tcPr>
          <w:p>
            <w:pPr>
              <w:spacing w:after="0"/>
              <w:rPr>
                <w:sz w:val="17"/>
                <w:szCs w:val="17"/>
                <w:color w:val="auto"/>
              </w:rPr>
            </w:pPr>
          </w:p>
        </w:tc>
        <w:tc>
          <w:tcPr>
            <w:tcW w:w="518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Amount of Gain Reclassified From Accumulated Other Comprehensive</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900"/>
              <w:spacing w:after="0"/>
              <w:rPr>
                <w:sz w:val="20"/>
                <w:szCs w:val="20"/>
                <w:color w:val="auto"/>
              </w:rPr>
            </w:pPr>
            <w:r>
              <w:rPr>
                <w:rFonts w:ascii="Times New Roman" w:cs="Times New Roman" w:eastAsia="Times New Roman" w:hAnsi="Times New Roman"/>
                <w:sz w:val="16"/>
                <w:szCs w:val="16"/>
                <w:b w:val="1"/>
                <w:bCs w:val="1"/>
                <w:color w:val="auto"/>
              </w:rPr>
              <w:t>Income into Income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Location of Gain Reclassified From</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 Other Comprehensive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3080" w:type="dxa"/>
            <w:vAlign w:val="bottom"/>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Income into Income</w:t>
            </w: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Derivatives designated as cash flow hedges:</w:t>
            </w: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Foreign exchange forward contract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Cost of goods sold  $</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940" w:type="dxa"/>
            <w:vAlign w:val="bottom"/>
            <w:gridSpan w:val="3"/>
            <w:vMerge w:val="restart"/>
          </w:tcPr>
          <w:p>
            <w:pPr>
              <w:spacing w:after="0"/>
              <w:rPr>
                <w:sz w:val="17"/>
                <w:szCs w:val="17"/>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1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940" w:type="dxa"/>
            <w:vAlign w:val="bottom"/>
            <w:gridSpan w:val="3"/>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June 30, 2017, we expect approximately $1.0 million of the deferred gains on the outstanding derivatives in accumulated other comprehensive income to be reclassified to net income during the next 12 months concurrent with the underlying hedged transactions also being reported in net income.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17" w:right="25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 of Gain Recognized in</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 Comprehensive Income on</w:t>
            </w:r>
          </w:p>
        </w:tc>
        <w:tc>
          <w:tcPr>
            <w:tcW w:w="100" w:type="dxa"/>
            <w:vAlign w:val="bottom"/>
          </w:tcPr>
          <w:p>
            <w:pPr>
              <w:spacing w:after="0"/>
              <w:rPr>
                <w:sz w:val="17"/>
                <w:szCs w:val="17"/>
                <w:color w:val="auto"/>
              </w:rPr>
            </w:pPr>
          </w:p>
        </w:tc>
        <w:tc>
          <w:tcPr>
            <w:tcW w:w="518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Amount of Gain Reclassified From Accumulated Other Comprehensive</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900"/>
              <w:spacing w:after="0"/>
              <w:rPr>
                <w:sz w:val="20"/>
                <w:szCs w:val="20"/>
                <w:color w:val="auto"/>
              </w:rPr>
            </w:pPr>
            <w:r>
              <w:rPr>
                <w:rFonts w:ascii="Times New Roman" w:cs="Times New Roman" w:eastAsia="Times New Roman" w:hAnsi="Times New Roman"/>
                <w:sz w:val="16"/>
                <w:szCs w:val="16"/>
                <w:b w:val="1"/>
                <w:bCs w:val="1"/>
                <w:color w:val="auto"/>
              </w:rPr>
              <w:t>Income into Income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Location of Gain Reclassified From</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 Other Comprehensive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3080" w:type="dxa"/>
            <w:vAlign w:val="bottom"/>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Income into Income</w:t>
            </w: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Derivatives designated as cash flow hedges:</w:t>
            </w: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Foreign exchange forward contract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Cost of goods sold  $</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940" w:type="dxa"/>
            <w:vAlign w:val="bottom"/>
            <w:gridSpan w:val="3"/>
            <w:vMerge w:val="restart"/>
          </w:tcPr>
          <w:p>
            <w:pPr>
              <w:spacing w:after="0"/>
              <w:rPr>
                <w:sz w:val="17"/>
                <w:szCs w:val="17"/>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1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940" w:type="dxa"/>
            <w:vAlign w:val="bottom"/>
            <w:gridSpan w:val="3"/>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Fair Value Measurement</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values of the assets or liabilities.</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forward currency contract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During the first quarter of 2017, we recognized an earn-out liability upon the acquisition of HIS from Pfizer. Pfizer may be entitled up to $225 million in cash if certain performance targets for the combined company for the three years ending December 31, 2019 are achieved.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weighted average cost of capital ("WACC") less the long term risk free rate. At each reporting date subsequent to the acquisition we will remeasure the earn-out using the same methodology above and recognize any changes in value. If the probability of achieving the performance target significantly changes from what we initially anticipated, the change could have a significant impact on our financial statements in the period recognized. Our contingent earn-out liability is separately stated in our condensed consolidated balance sheets.</w:t>
      </w:r>
    </w:p>
    <w:p>
      <w:pPr>
        <w:spacing w:after="0" w:line="18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Level 3 earn-out liability measured at estimated fair value based on an initial valuation and updated quarterly for the six months ended June 30, 2017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Earn-out Liability</w:t>
            </w:r>
          </w:p>
        </w:tc>
        <w:tc>
          <w:tcPr>
            <w:tcW w:w="0" w:type="dxa"/>
            <w:vAlign w:val="bottom"/>
          </w:tcPr>
          <w:p>
            <w:pPr>
              <w:spacing w:after="0"/>
              <w:rPr>
                <w:sz w:val="1"/>
                <w:szCs w:val="1"/>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Accrued balance, December 31, 2016</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date fair value estimate of earn-out</w:t>
            </w:r>
          </w:p>
        </w:tc>
        <w:tc>
          <w:tcPr>
            <w:tcW w:w="320" w:type="dxa"/>
            <w:vAlign w:val="bottom"/>
          </w:tcPr>
          <w:p>
            <w:pPr>
              <w:spacing w:after="0"/>
              <w:rPr>
                <w:sz w:val="21"/>
                <w:szCs w:val="21"/>
                <w:color w:val="auto"/>
              </w:rPr>
            </w:pPr>
          </w:p>
        </w:tc>
        <w:tc>
          <w:tcPr>
            <w:tcW w:w="1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earn-out (included in (loss) income from operations as a separate line item)</w:t>
            </w: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57"/>
        </w:trPr>
        <w:tc>
          <w:tcPr>
            <w:tcW w:w="9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Accrued balance, June 30, 2017</w:t>
            </w: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0"/>
        </w:trPr>
        <w:tc>
          <w:tcPr>
            <w:tcW w:w="914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9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about Level 3 inputs for fair value measurement of our earn-out liability as of the acquisition date and June 30, 2017. Significant increases or decreases in these inputs in isolation could result in a significant impact on our fair value measurement: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Simulation Input</w:t>
            </w:r>
          </w:p>
        </w:tc>
        <w:tc>
          <w:tcPr>
            <w:tcW w:w="2320" w:type="dxa"/>
            <w:vAlign w:val="bottom"/>
          </w:tcPr>
          <w:p>
            <w:pPr>
              <w:spacing w:after="0"/>
              <w:rPr>
                <w:sz w:val="18"/>
                <w:szCs w:val="18"/>
                <w:color w:val="auto"/>
              </w:rPr>
            </w:pPr>
          </w:p>
        </w:tc>
      </w:tr>
      <w:tr>
        <w:trPr>
          <w:trHeight w:val="33"/>
        </w:trPr>
        <w:tc>
          <w:tcPr>
            <w:tcW w:w="9100" w:type="dxa"/>
            <w:vAlign w:val="bottom"/>
            <w:tcBorders>
              <w:bottom w:val="single" w:sz="8" w:color="auto"/>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r>
      <w:tr>
        <w:trPr>
          <w:trHeight w:val="230"/>
        </w:trPr>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EBITDA Volatility</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w:t>
            </w:r>
          </w:p>
        </w:tc>
      </w:tr>
      <w:tr>
        <w:trPr>
          <w:trHeight w:val="237"/>
        </w:trPr>
        <w:tc>
          <w:tcPr>
            <w:tcW w:w="9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WACC</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91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20-year risk free rate</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37"/>
        </w:trPr>
        <w:tc>
          <w:tcPr>
            <w:tcW w:w="9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Market price of risk</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33"/>
        </w:trPr>
        <w:tc>
          <w:tcPr>
            <w:tcW w:w="91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7"/>
        </w:trPr>
        <w:tc>
          <w:tcPr>
            <w:tcW w:w="9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debt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33"/>
        </w:trPr>
        <w:tc>
          <w:tcPr>
            <w:tcW w:w="910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is estimated using discounted cash flows based on our incremental borrowing rate based on the London Interbank Offered Rate ("LIBOR"), which is a Level 2 input.</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assets related to our Dominican Republic manufacturing facilities are classified as assets held-for-sale. These assets are separately stated in our condensed consolidated balance sheet. The fair value of these assets was determined as part of the HIS business valuation and was based on estimated sales price less costs to sell.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Levels during the three and six months ended June 30, 2017.</w:t>
      </w:r>
    </w:p>
    <w:p>
      <w:pPr>
        <w:spacing w:after="0" w:line="225"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Our assets and liabilities measured at fair value on a recurring basis consisted of the following (Level 1, 2 and 3 inputs as defined above) (in thousands):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2017 using</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 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80" w:type="dxa"/>
            <w:vAlign w:val="bottom"/>
          </w:tcPr>
          <w:p>
            <w:pPr>
              <w:spacing w:after="0"/>
              <w:rPr>
                <w:sz w:val="16"/>
                <w:szCs w:val="16"/>
                <w:color w:val="auto"/>
              </w:rPr>
            </w:pPr>
          </w:p>
        </w:tc>
        <w:tc>
          <w:tcPr>
            <w:tcW w:w="11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49"/>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exchange forwards: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Earn-out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note</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assets measured at fair value on a nonrecurring basis consisted of the following (Level 1, 2 and 3 inputs as defined above) (in thousands):</w:t>
      </w:r>
    </w:p>
    <w:p>
      <w:pPr>
        <w:spacing w:after="0" w:line="165"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2017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24765</wp:posOffset>
            </wp:positionV>
            <wp:extent cx="3679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3"/>
                <w:szCs w:val="13"/>
                <w:color w:val="auto"/>
              </w:rPr>
            </w:pPr>
          </w:p>
        </w:tc>
        <w:tc>
          <w:tcPr>
            <w:tcW w:w="14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18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carrying</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4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2"/>
                <w:szCs w:val="12"/>
                <w:color w:val="auto"/>
              </w:rPr>
            </w:pPr>
          </w:p>
        </w:tc>
        <w:tc>
          <w:tcPr>
            <w:tcW w:w="14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8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6"/>
                <w:szCs w:val="16"/>
                <w:color w:val="auto"/>
              </w:rPr>
            </w:pPr>
          </w:p>
        </w:tc>
        <w:tc>
          <w:tcPr>
            <w:tcW w:w="14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1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49"/>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 held-for-sale</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Prepaid Expenses and Other Current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7"/>
                <w:szCs w:val="17"/>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Third-party receivables due from Pfizer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71,046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and other expenses - HIS business acquisition related</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31,084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 other</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2,948</w:t>
            </w: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insurance and property taxes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1,649</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VAT/GST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1,018</w:t>
            </w: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1,740</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5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121,358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7,355</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Third-party receivables due from Pfizer relates to trade accounts receivable that has already been collected from customers by Pfizer on our behalf.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Inventories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2017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2016</w:t>
            </w:r>
          </w:p>
        </w:tc>
      </w:tr>
      <w:tr>
        <w:trPr>
          <w:trHeight w:val="33"/>
        </w:trPr>
        <w:tc>
          <w:tcPr>
            <w:tcW w:w="8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83,440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28,435</w:t>
            </w: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64,452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4,415</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253,420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16,414</w:t>
            </w:r>
          </w:p>
        </w:tc>
      </w:tr>
      <w:tr>
        <w:trPr>
          <w:trHeight w:val="257"/>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401,312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49,264</w:t>
            </w: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2017, we adopted ASU No. 2015-11, accordingly inventories are stated at lower of cost or net realizable value (see Note 2: New Accounting Pronouncements).</w:t>
      </w:r>
    </w:p>
    <w:p>
      <w:pPr>
        <w:spacing w:after="0" w:line="15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2017</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4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222,658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96,536</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building and building improvements</w:t>
            </w:r>
          </w:p>
        </w:tc>
        <w:tc>
          <w:tcPr>
            <w:tcW w:w="4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202,634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63,524</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Molds</w:t>
            </w:r>
          </w:p>
        </w:tc>
        <w:tc>
          <w:tcPr>
            <w:tcW w:w="4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51,214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39,014</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39,568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26,458</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4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3,243</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15,180</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cost</w:t>
            </w:r>
          </w:p>
        </w:tc>
        <w:tc>
          <w:tcPr>
            <w:tcW w:w="4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556,956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243,955</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(158,259)</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374,590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85,696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8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Goodwill and Intangible Assets, Net</w:t>
            </w: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our goodwill for 2017 (in thousands):</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0" w:type="dxa"/>
            <w:vAlign w:val="bottom"/>
          </w:tcPr>
          <w:p>
            <w:pPr>
              <w:spacing w:after="0"/>
              <w:rPr>
                <w:sz w:val="2"/>
                <w:szCs w:val="2"/>
                <w:color w:val="auto"/>
              </w:rPr>
            </w:pPr>
          </w:p>
        </w:tc>
        <w:tc>
          <w:tcPr>
            <w:tcW w:w="9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5,577</w:t>
            </w:r>
          </w:p>
        </w:tc>
      </w:tr>
      <w:tr>
        <w:trPr>
          <w:trHeight w:val="243"/>
        </w:trPr>
        <w:tc>
          <w:tcPr>
            <w:tcW w:w="20" w:type="dxa"/>
            <w:vAlign w:val="bottom"/>
          </w:tcPr>
          <w:p>
            <w:pPr>
              <w:spacing w:after="0"/>
              <w:rPr>
                <w:sz w:val="21"/>
                <w:szCs w:val="21"/>
                <w:color w:val="auto"/>
              </w:rPr>
            </w:pP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acquired</w:t>
            </w:r>
          </w:p>
        </w:tc>
        <w:tc>
          <w:tcPr>
            <w:tcW w:w="5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w:t>
            </w: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Currency translation</w:t>
            </w:r>
          </w:p>
        </w:tc>
        <w:tc>
          <w:tcPr>
            <w:tcW w:w="5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20" w:type="dxa"/>
            <w:vAlign w:val="bottom"/>
          </w:tcPr>
          <w:p>
            <w:pPr>
              <w:spacing w:after="0"/>
              <w:rPr>
                <w:sz w:val="2"/>
                <w:szCs w:val="2"/>
                <w:color w:val="auto"/>
              </w:rPr>
            </w:pPr>
          </w:p>
        </w:tc>
        <w:tc>
          <w:tcPr>
            <w:tcW w:w="9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2017</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6,652</w:t>
            </w: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acquired goodwill relates to our February 1, 2017 acquisition of Fannin (see Note 3: Acquisitions and Strategic Transaction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carried at cost less accumulated amortization and amortized on a straight-lined basis,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600" w:type="dxa"/>
            <w:vAlign w:val="bottom"/>
          </w:tcPr>
          <w:p>
            <w:pPr>
              <w:spacing w:after="0"/>
              <w:rPr>
                <w:sz w:val="13"/>
                <w:szCs w:val="13"/>
                <w:color w:val="auto"/>
              </w:rPr>
            </w:pPr>
          </w:p>
        </w:tc>
        <w:tc>
          <w:tcPr>
            <w:tcW w:w="148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5,473</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4,831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63,080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59,337</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81,797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78,059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177,461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154,157</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IPR&amp;D</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6,189</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183,650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23,304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160,346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60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600" w:type="dxa"/>
            <w:vAlign w:val="bottom"/>
          </w:tcPr>
          <w:p>
            <w:pPr>
              <w:spacing w:after="0"/>
              <w:rPr>
                <w:sz w:val="13"/>
                <w:szCs w:val="13"/>
                <w:color w:val="auto"/>
              </w:rPr>
            </w:pPr>
          </w:p>
        </w:tc>
        <w:tc>
          <w:tcPr>
            <w:tcW w:w="148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5,097</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MCDA contract *</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contracts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Non-contractual customer relationships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6,490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6,701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3,288</w:t>
            </w:r>
          </w:p>
        </w:tc>
        <w:tc>
          <w:tcPr>
            <w:tcW w:w="0" w:type="dxa"/>
            <w:vAlign w:val="bottom"/>
          </w:tcPr>
          <w:p>
            <w:pPr>
              <w:spacing w:after="0"/>
              <w:rPr>
                <w:sz w:val="1"/>
                <w:szCs w:val="1"/>
                <w:color w:val="auto"/>
              </w:rPr>
            </w:pPr>
          </w:p>
        </w:tc>
      </w:tr>
      <w:tr>
        <w:trPr>
          <w:trHeight w:val="257"/>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46,925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24,542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22,383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*MCDA contract: Manufacturing, Commercialization and Development Agreement with Hospira, Inc., dated May 1, 2005 (the "MCDA”). The MCDA was terminated in connection with the acquisition of the HIS business on February 3, 2017.</w:t>
      </w:r>
    </w:p>
    <w:p>
      <w:pPr>
        <w:sectPr>
          <w:pgSz w:w="11900" w:h="16838" w:orient="portrait"/>
          <w:cols w:equalWidth="0" w:num="1">
            <w:col w:w="11400"/>
          </w:cols>
          <w:pgMar w:left="240" w:top="117" w:right="2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17" w:right="25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Intangible assets with definite lives are amortized on a straight-line basis over their estimated useful lives. During the three and six months ended June 30, 2017, intangible asset amortization expense was $3.9 million and $7.3 million, respectively, as compared to $0.7 million and $1.4 million during the three and six months ended June 30, 2016,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2017 estimated annual amortization for our intangible assets for each of the next five years is approximately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2017</w:t>
            </w:r>
          </w:p>
        </w:tc>
        <w:tc>
          <w:tcPr>
            <w:tcW w:w="3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gridSpan w:val="2"/>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3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gridSpan w:val="2"/>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78,493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154,157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Accrued Liabilities and Other Long-term Liabilities</w:t>
            </w:r>
          </w:p>
        </w:tc>
        <w:tc>
          <w:tcPr>
            <w:tcW w:w="3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520" w:type="dxa"/>
            <w:vAlign w:val="bottom"/>
            <w:gridSpan w:val="2"/>
            <w:vMerge w:val="continue"/>
          </w:tcPr>
          <w:p>
            <w:pPr>
              <w:spacing w:after="0"/>
              <w:rPr>
                <w:sz w:val="24"/>
                <w:szCs w:val="24"/>
                <w:color w:val="auto"/>
              </w:rPr>
            </w:pPr>
          </w:p>
        </w:tc>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24"/>
                <w:szCs w:val="24"/>
                <w:color w:val="auto"/>
              </w:rPr>
            </w:pPr>
          </w:p>
        </w:tc>
        <w:tc>
          <w:tcPr>
            <w:tcW w:w="118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33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compensation</w:t>
            </w:r>
          </w:p>
        </w:tc>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17,487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product field action</w:t>
            </w:r>
          </w:p>
        </w:tc>
        <w:tc>
          <w:tcPr>
            <w:tcW w:w="3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inventory</w:t>
            </w:r>
          </w:p>
        </w:tc>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13,078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taxes</w:t>
            </w:r>
          </w:p>
        </w:tc>
        <w:tc>
          <w:tcPr>
            <w:tcW w:w="3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accrual</w:t>
            </w:r>
          </w:p>
        </w:tc>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insurance</w:t>
            </w:r>
          </w:p>
        </w:tc>
        <w:tc>
          <w:tcPr>
            <w:tcW w:w="3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accrual</w:t>
            </w:r>
          </w:p>
        </w:tc>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3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commissions</w:t>
            </w:r>
          </w:p>
        </w:tc>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and returns</w:t>
            </w:r>
          </w:p>
        </w:tc>
        <w:tc>
          <w:tcPr>
            <w:tcW w:w="3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accrual</w:t>
            </w:r>
          </w:p>
        </w:tc>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146,317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25,896</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tc>
        <w:tc>
          <w:tcPr>
            <w:tcW w:w="3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continu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24"/>
                <w:szCs w:val="24"/>
                <w:color w:val="auto"/>
              </w:rPr>
            </w:pPr>
          </w:p>
        </w:tc>
        <w:tc>
          <w:tcPr>
            <w:tcW w:w="118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3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5,678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3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liability</w:t>
            </w:r>
          </w:p>
        </w:tc>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70,939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6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taxes were accrued at an estimated effective tax rate of (182)% and 28% for the six months ended June 30, 2017 and 2016,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rates differ from that computed at the federal statutory rate of 35%.</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six months ended June 30, 2017 differs from the federal statutory rate of 35% principally because of the effect the mix of U.S. and foreign incomes, state income taxes, tax credits and the impact of the gain on bargain purchase. The effective tax rate during the six months ended June 30, 2017 also included a material tax benefit of $9.9 million related to the excess tax benefits recognized on stock option exercises and the vesting of restricted stock units during the period. The income tax benefit was treated as a discrete item when determining the annual estimated effective tax rate.</w:t>
      </w:r>
    </w:p>
    <w:p>
      <w:pPr>
        <w:spacing w:after="0" w:line="14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six months ended June 30, 2016 differs from the federal statutory rate of 35% principally because of the effect of foreign and state income taxes, tax credits and deductions for domestic production activities. The effective tax rate during the six months ended June 30, 2016 also included a material tax benefit of $3.1 million related to the excess tax benefits recognized on stock option exercises and the vesting of restricted stock units during the period. The income tax benefit was treated as a discrete item when determining the annual estimated effective tax rate.</w:t>
      </w:r>
    </w:p>
    <w:p>
      <w:pPr>
        <w:spacing w:after="0" w:line="13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Long-Term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3-Year Interest-Only Senior Note</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February 3, 2017, we partially funded the acquisition of the HIS business from Pfizer with a $75 million Seller Note issued by Pfizer (the "Senior Note") contemporaneous with the acquisition. The Senior Note will mature on February 3, 2020.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obligations consisted of the following at June 30, 2017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June 30, 2017</w:t>
            </w:r>
          </w:p>
        </w:tc>
      </w:tr>
      <w:tr>
        <w:trPr>
          <w:trHeight w:val="27"/>
        </w:trPr>
        <w:tc>
          <w:tcPr>
            <w:tcW w:w="10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Note matures in 2020, variable interest 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75,000</w:t>
            </w:r>
          </w:p>
        </w:tc>
      </w:tr>
      <w:tr>
        <w:trPr>
          <w:trHeight w:val="224"/>
        </w:trPr>
        <w:tc>
          <w:tcPr>
            <w:tcW w:w="10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current portion of long-term obligations</w:t>
            </w:r>
          </w:p>
        </w:tc>
        <w:tc>
          <w:tcPr>
            <w:tcW w:w="1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0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obligations,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75,000</w:t>
            </w:r>
          </w:p>
        </w:tc>
      </w:tr>
      <w:tr>
        <w:trPr>
          <w:trHeight w:val="20"/>
        </w:trPr>
        <w:tc>
          <w:tcPr>
            <w:tcW w:w="10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payments</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June 30, 2017, aggregate future principal payments for long-term obligations (including any current portion of long-term debt) were as follows (in thousands):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75,000</w:t>
            </w:r>
          </w:p>
        </w:tc>
      </w:tr>
      <w:tr>
        <w:trPr>
          <w:trHeight w:val="27"/>
        </w:trPr>
        <w:tc>
          <w:tcPr>
            <w:tcW w:w="9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9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75,000</w:t>
            </w:r>
          </w:p>
        </w:tc>
      </w:tr>
      <w:tr>
        <w:trPr>
          <w:trHeight w:val="20"/>
        </w:trPr>
        <w:tc>
          <w:tcPr>
            <w:tcW w:w="9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Senior Note is not subject to any required principal payments prior to the maturity date. We may, at our option, upon notice prepay without penalty at any time all, or from time to time any part of, this senior note at 100% of the principal amount, plus accrued but unpaid interest through the repayment date.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Interest on the Senior Note is variable and will accrue at LIBOR plus (i) 2.25% per year for the first 12 months, and (ii) 2.50% per annum thereafter.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is to be paid every three months following the February 3, 2017 effective date of the Senior Note.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Guarantors</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Our obligations under the Senior Note are unconditionally guaranteed by each of our existing and subsequently acquired or formed wholly-owned domestic subsidiaries, subject to certain exclusions.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27"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The Senior Note has restrictions, beginning on the effective date and thereafter, pertaining to limitations on debt, liens, loans, advances, acquisitions, other investments, dividends, redemptions, repurchases of equity interests, fundamental changes in the line of business, dispositions, transactions with affiliates, dividend and payment restrictions affecting subsidiaries, changes in line of business and accounting changes or change in fiscal year.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117" w:right="29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On February 3, 2017, we acquired the HIS business from Pfizer and as partial consideration, we issued 3.2 million unregistered shares of our common stock to Pfizer. The fair value of the common stock was determined based on the closing price of our common shares on the issuance date, discounted to reflect a contractual lock-up period, whereby Pfizer is prohibited from the transfer of the shares, subject to certain exceptions, until the earlier of</w:t>
      </w:r>
    </w:p>
    <w:p>
      <w:pPr>
        <w:spacing w:after="0" w:line="2" w:lineRule="exact"/>
        <w:rPr>
          <w:sz w:val="20"/>
          <w:szCs w:val="20"/>
          <w:color w:val="auto"/>
        </w:rPr>
      </w:pPr>
    </w:p>
    <w:p>
      <w:pPr>
        <w:ind w:right="80" w:firstLine="8"/>
        <w:spacing w:after="0" w:line="261"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Pfizer’s services to us in the related transitional services agreement (see Note 17: Collaborative and Other Arrangements) or (ii) eighteen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July 2010, our Board of Directors approved a common stock purchase plan to purchase up to $40.0 million of our common stock. This plan has no expiration date. During the three and six months ended June 30, 2017, we did not purchase any shares of our common stock under the stock purchase plan. As of June 30, 2017, the remaining authorized amount under this purchase plan is approximately $7.2 million. We are currently limited on share purchases in accordance with the terms and conditions of our Senior Note with Pfizer, (see Note 14: Long-Term Obligations).</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2017, we withheld 25,864 shares of our common stock from employee vested restricted stock units in consideration for $3.7 million in payments made on the employee's behalf for their minimum statutory income tax withholding obligations. Treasury stock is used to issue shares for stock option exercises, restricted stock grants and employee stock purchase plan stock 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color w:val="auto"/>
        </w:rPr>
        <w:t>Beginning in November 2016, purported class actions were filed in the U.S. District Court for the Northern District of Illinois against Pfizer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the defendants’ conduct restricts output and artificially fixes, raises, maintains and/or stabilizes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February 3, 2017, we completed the acquisition of the HIS business from Pfizer. This litigation is the subject of a claim for indemnification against us by Pfizer and a cross-claim for indemnification against Pfizer by us under the HIS Purchase Agreement.</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 calls for production of documents related to the manufacturing, selling, pricing and shortages of intravenous solutions, including saline, as well as communications among market participants regarding these issues. The Department of Justice investigation is the subject of cross-claims for indemnification by both us and Pfizer under the HIS Purchase Agreement. We will coordinate with Pfizer to produce records to the New York Attorney General and the Department of Justice.</w:t>
      </w:r>
    </w:p>
    <w:p>
      <w:pPr>
        <w:spacing w:after="0" w:line="18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17" w:right="2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we can provide no assurances, we have never incurred, nor do we expect to incur, any material liability for indemnification.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We have a contractual earn-out arrangement in connection with our acquisition of the HIS business, whereby Pfizer may be entitled up to an additional $225 million in cash upon achievement of performance targets for the company for the three years ending December 31, 2019, see (Note 3: Acquisitions and Strategic Transaction Expenses). The amount to be paid cannot be determined until the earn-out period has expired.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part of the HIS business acquisition, we assumed a number of non-cancellable operating office and industrial leases. Rental expense under operating lease agreements was $1.8 million and $3.0 million for the three and six months ended June 30, 2017, respectively, as compared to $0.1 million and $0.3 million for the three and six months ended June 30, 2016.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entered into the Senior Note with Pfizer to partially fund the HIS business acquisition (see Note 14: Long-Term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principal contractual commitments, excluding open orders for purchases that support normal operations,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2017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Remainder of 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payments on long-term debt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8,181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297</w:t>
            </w:r>
          </w:p>
        </w:tc>
        <w:tc>
          <w:tcPr>
            <w:tcW w:w="3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34,258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3,316</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3,216</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9,551</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101,854</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9,397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14,005</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34,757</w:t>
            </w: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39,218</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219,293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15,937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22,789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113,370</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42,434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9,551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80" w:firstLine="8"/>
        <w:spacing w:after="0" w:line="286" w:lineRule="auto"/>
        <w:tabs>
          <w:tab w:leader="none" w:pos="17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Purchase obligations includes agreements to purchase goods that are enforceable and legally binding. These amounts are not accrued as of June 30, 2017. We are committed to make potential future milestone payments to third parties under distribution agreements. Payments under these agreements are contingent upon achievement of certain developmental, regulatory and/or commercial milestones and are not included in the table above.</w:t>
      </w:r>
    </w:p>
    <w:p>
      <w:pPr>
        <w:spacing w:after="0" w:line="16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Collaborative and Other Arrangements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February 3, 2017, we entered into two Manufacturing and Supply Agreements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18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February 3, 2017, as part of the HIS business acquisition, we entered into an agreement with Pfizer, whereby Pfizer will provide certain transitional services to us for finance, business technology, regulatory, human resources, global operations, procurement, quality and global commercial operation services ("Enabling Function Services"). We pay a monthly service fee for each service provided, and share equally with Pfizer in certain set-up costs and, as applicable, service exit costs. Our share of the set-up costs and service exit costs, in the aggregate, are not to exceed $22.0 million. The service fees are subject to a fee cap of (i) $62.5 million during the initial twelve month period and (ii) $31.3 million during the subsequent six month period. Only the Enabling Function Services are subject to the fee cap, any services provided after expiration of the agreement or services that are not Enabling Function Services may result in service fees outside the fee cap. The service fees are intended to reasonably approximate Pfizer’s cost of providing the Enabling Function Services. We may terminate, in whole only, any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3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particular service and the fee cap would be reduced proportionate to the services terminated. Partial reduction in the provision of any specific service may be made but only with the prior written consent of Pfizer.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3, 2017, as part of the HIS business acquisition, we also entered into a reverse transitional services agreement, where we will provide to Pfizer certain transitional services ranging in term from three to eighteen months. Services include support for real estate, research and development, infrastructure, logistics, quality, site operations, safety, commercial and finance, and regulatory support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2016 included in our Annual Report on Form 10-K.</w:t>
      </w:r>
    </w:p>
    <w:p>
      <w:pPr>
        <w:spacing w:after="0" w:line="176"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When used in this report, the terms “we,” “us,” and “our” refer to ICU Medical, Inc ("ICU") and its subsidiaries included in our condensed consolidated financial statements unless context requires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After the Hospira Infusion Systems Acquisition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February 3, 2017, we completed the acquisition of Pfizer Inc.'s ("Pfizer") Hospira Infusion Systems ("HIS") business. See "Acquisitions" below for additional detail regarding the acquisition. HIS was a leading global provider of intravenous ("IV") infusion therapy products to hospitals and alternate site providers, such as clinics, home health care providers and long-term care facilities. Our acquisition of the HIS business was strategic and provides us with an increase in scale and product portfolio that we believe will result in a stronger competitive position within the industry. We believe the HIS business acquisition was the natural evolution for us based on a long-term successful and productive partnership with HIS for over 20 years.</w:t>
      </w:r>
    </w:p>
    <w:p>
      <w:pPr>
        <w:spacing w:after="0" w:line="184"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Following the HIS business acquisition, 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18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information is additional to and not a substitute for the Business section under Part 1, Item 1 of our Annual Report on Form 10-K for the year ended December 31, 2016 and should be read in conjunction with that filing.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Changes</w:t>
      </w:r>
    </w:p>
    <w:p>
      <w:pPr>
        <w:spacing w:after="0" w:line="227" w:lineRule="exact"/>
        <w:rPr>
          <w:sz w:val="20"/>
          <w:szCs w:val="20"/>
          <w:color w:val="auto"/>
        </w:rPr>
      </w:pPr>
    </w:p>
    <w:p>
      <w:pPr>
        <w:ind w:right="240" w:firstLine="648"/>
        <w:spacing w:after="0" w:line="277" w:lineRule="auto"/>
        <w:rPr>
          <w:sz w:val="20"/>
          <w:szCs w:val="20"/>
          <w:color w:val="auto"/>
        </w:rPr>
      </w:pPr>
      <w:r>
        <w:rPr>
          <w:rFonts w:ascii="Times New Roman" w:cs="Times New Roman" w:eastAsia="Times New Roman" w:hAnsi="Times New Roman"/>
          <w:sz w:val="17"/>
          <w:szCs w:val="17"/>
          <w:color w:val="auto"/>
        </w:rPr>
        <w:t>With the acquisition of the HIS business, we now operate an infusion pump and dedicated set manufacturing plant in La Aurora de Heredia, Costa Rica, which manufactures key products that include large volume pumps ("LVP"), patient-controlled analgesia ("PCA") pumps (among others, the Plum™ and LifeCare PCA™), and consumable infusion products. The Sapphire™ family of pumps are manufactured by Q Core Medical, Ltd. We also operate manufacturing facilities in San Cristobal, Dominican Republic, which has key products that include consumable infusion sets and other IV accessories. We are in the process of closing the Dominican Republic facilities and transferring assets and production to Costa Rica and to our plant in Ensenada, Mexico.</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manufacture infusion therapy solutions products in Austin, Texas.</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four main regional device service centers in San Jose, California; Sligo, Ireland; San Laurent, Quebec, Canada; and Botany, Australia.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7"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February 3, 2017, as part of our HIS business acquisition, we also entered into two Manufacturing and Supply Agreements ("MSAs") under which, (i) Pfizer manufactures and supplies us with certain agreed upon products for an initial five-year term with a one-time two-year option to extend and</w:t>
      </w:r>
    </w:p>
    <w:p>
      <w:pPr>
        <w:ind w:right="220" w:firstLine="8"/>
        <w:spacing w:after="0" w:line="255"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whereby we manufacture and supply Pfizer certain agreed upon products for a term of five or ten years depending on the product, with a one-time two-year option to extend. The initial supply price will be annually updated and is in full consideration for all costs associated with the manufacture, documentation, packaging and certification of the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Changes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U.S. distribution of solutions, IV sets and accessories is supported by a network of three owned distribution centers acquired in the HIS business acquisition, which include King of Prussia, Pennsylvania; Los Angeles, California; and Dallas, Texas. We also acquired a number of public warehouses.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also acquired as part of the HIS business a private fleet of tractors and trailers operated by contracted drivers that provide both over the road and local route needs.</w:t>
      </w:r>
    </w:p>
    <w:p>
      <w:pPr>
        <w:spacing w:after="0" w:line="16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Internationally, we manage our operations through the Netherlands, which utilizes international regional hubs and we also manage operations through independent distributors.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Regulation Changes</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acquisition of our solutions product-line and the entry into new global markets subjects us to additional government regulation across multiple jurisdictions.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Drug Regulation in the U.S.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IV solutions are considered pharmaceutical products and subject to extensive pre- and post-market regulations by the Food and Drug Administration ("FDA"), including the research, development, testing, manufacturing, approval, labeling, storage, record keeping, advertising, promotion and marketing, distribution, post approval monitoring and reporting and import and export of drugs to assure the safety and effectiveness of medical products for their intended use.</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pre-market approval process is a time-intensive multi-phased process. When successfully completed an application may be submitted to the FDA that includes detailed information relating to the product’s chemistry, manufacture, controls and proposed labeling, among other things. This application process may be subject to substantial fees.</w:t>
      </w:r>
    </w:p>
    <w:p>
      <w:pPr>
        <w:spacing w:after="0" w:line="190" w:lineRule="exact"/>
        <w:rPr>
          <w:sz w:val="20"/>
          <w:szCs w:val="20"/>
          <w:color w:val="auto"/>
        </w:rPr>
      </w:pPr>
    </w:p>
    <w:p>
      <w:pPr>
        <w:ind w:right="640" w:firstLine="648"/>
        <w:spacing w:after="0" w:line="298" w:lineRule="auto"/>
        <w:rPr>
          <w:sz w:val="20"/>
          <w:szCs w:val="20"/>
          <w:color w:val="auto"/>
        </w:rPr>
      </w:pPr>
      <w:r>
        <w:rPr>
          <w:rFonts w:ascii="Times New Roman" w:cs="Times New Roman" w:eastAsia="Times New Roman" w:hAnsi="Times New Roman"/>
          <w:sz w:val="18"/>
          <w:szCs w:val="18"/>
          <w:color w:val="auto"/>
        </w:rPr>
        <w:t>FDA approval is typically required before any new drug can be marketed. A New Drug Application ("NDA"), or an Abbreviated New Drug Application ("ANDA"), is typically required to be submitted to the FDA to obtain approval of pharmaceutical products.</w:t>
      </w:r>
    </w:p>
    <w:p>
      <w:pPr>
        <w:spacing w:after="0" w:line="1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Before approval,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the FDA may inspect one or more clinical trial sites to assure compliance with good clinical practice, or GCP, requirements.</w:t>
      </w:r>
    </w:p>
    <w:p>
      <w:pPr>
        <w:spacing w:after="0" w:line="140" w:lineRule="exact"/>
        <w:rPr>
          <w:sz w:val="20"/>
          <w:szCs w:val="20"/>
          <w:color w:val="auto"/>
        </w:rPr>
      </w:pPr>
    </w:p>
    <w:p>
      <w:pPr>
        <w:ind w:firstLine="693"/>
        <w:spacing w:after="0" w:line="258" w:lineRule="auto"/>
        <w:rPr>
          <w:sz w:val="20"/>
          <w:szCs w:val="20"/>
          <w:color w:val="auto"/>
        </w:rPr>
      </w:pPr>
      <w:r>
        <w:rPr>
          <w:rFonts w:ascii="Times New Roman" w:cs="Times New Roman" w:eastAsia="Times New Roman" w:hAnsi="Times New Roman"/>
          <w:sz w:val="18"/>
          <w:szCs w:val="18"/>
          <w:color w:val="auto"/>
        </w:rPr>
        <w:t>Even after a drug or device has been approved by the FDA for sale, the FDA may require that certain post-approval requirements be satisfied, including the conduct of additional clinical studies. If such post-approval conditions are not satisfied, the FDA may withdraw its approval of the drug. After the FDA permits a drug to enter commercial distribution, numerous regulatory requirements continue to apply. The production, distribution, and post market activities are subject to the FDA current Good Manufacturing Practices ("cGMP") requirements. FDA will typically conduct inspections of the manufacturing facilities.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Device Regulations in various markets.</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United States, unless an exemption applies, each new or significantly modified medical device we seek to commercially distribute will require either a premarket notification to the FDA requesting permission for commercial distribution under Section 510(k) of the Federal Food, Drug and Cosmetic Act ("FDC Act") also referred to as a 510(k)</w:t>
      </w: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clearance, or approval from the FDA of a pre-market approval ("PMA") application. Both the 510(k) clearance and PMA processes can be expensive, and lengthy, and require payment of significant user fees, unless an exemption is available.</w:t>
      </w:r>
    </w:p>
    <w:p>
      <w:pPr>
        <w:spacing w:after="0" w:line="1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FDA device regulations include device design, production, distribution and post market activities. To market the devices in Canada, Australia, the European Union, and other regions, devices typically are subject to the product registrations, licenses and certification requirements.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Device facilities are typically inspected by the FDA and other international regulatory agencies and notified bodies.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 Changes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With the acquisition of the HIS business we have entered into the infusion pump and solutions market. The market for infusion therapy products in general is intensely competitive. The competitive environment for IV smart pumps is no different with market share measured based on installed base. We will be able to leverage the HIS business' existing installed base; however we face strong competitors in the U.S. including Becton Dickinson ("BD"), Baxter International, Inc. ("Baxter") and B. Braun Medical, Inc. ("B. Braun"). Internationally, we face equally strong competitors in the pump market including Fresenius Kabi a division of Fresenius Group ("Fresenius"), B. Braun Melsungen AG ("B. Braun AG") and Smiths Medical. These competitors benefit from a wider breadth and depth of their product offerings and greater financial, research and development and marketing resources than we have. The smart pump market in recent years has been troubled with security concerns, and product recalls. We believe our ability to effectively compete in this market will be determined by our ability to build our brand strength using the development of technological advancements aimed at increasing the quality, reliability and safety of our pumps while at the same time focusing on manufacturing efficiency and cost-effectiveness, which are operationally challenging with evolving product lines.</w:t>
      </w:r>
    </w:p>
    <w:p>
      <w:pPr>
        <w:spacing w:after="0" w:line="186"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The solutions market is also competitive, although we believe it is more difficult for new competitors to enter because it is a highly regulated business requiring expertise and stable manufacturing capabilities. Our competitors include Baxter, B. Braun and Fresenius. Demand for IV solutions is typically high and raw materials required to produce IV solutions are readily available. Our ability to compete will depend on our ability to maximize production, develop innovations in our product line, focus on cost-effectiveness and our ability to maintain the appropriate quality infrastructure.</w:t>
      </w:r>
    </w:p>
    <w:p>
      <w:pPr>
        <w:spacing w:after="0" w:line="180"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believe the breadth of the HIS business product portfolio has increased our competitiveness as we can now provide a one-stop shop for customers and offer more flexible competitive pricing using contract bundling. We believe the infusion pump will also enable us to pull through a larger volume of higher margin consumables, such as IV sets, accessories and solutions. In addition, we are now a vertically integrated supplier, which allows us greater access to a unified distribution channel.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Changes</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As part of the HIS business acquisition, we acquired rights, title and interest to a substantial number of patents and patent applications and related provisionals, divisionals, continuations, continuations-in-part, reissues, reexaminations, extensions, and substitutions of any of the foregoing (“Patent Rights”), that were primarily used or held for use by Pfizer in the HIS business. There is however, no single patent or group of patents that we acquired that we believe is material in relation to our business as a whole.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Changes</w:t>
      </w:r>
    </w:p>
    <w:p>
      <w:pPr>
        <w:spacing w:after="0" w:line="22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HIS business acquisition had a significant impact on our number of employees. At June 30, 2017, we employed approximately 7,100 people across our global operations, with approximately 2,700 employed in the United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Segments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restructured our market segments to integrate the HIS business product portfolio and have presented our financial results in accordance with the following four market segments with our primary products listed: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Infusion Systems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Infusion Pump Hardware - </w:t>
      </w:r>
      <w:r>
        <w:rPr>
          <w:rFonts w:ascii="Times New Roman" w:cs="Times New Roman" w:eastAsia="Times New Roman" w:hAnsi="Times New Roman"/>
          <w:sz w:val="18"/>
          <w:szCs w:val="18"/>
          <w:color w:val="auto"/>
        </w:rPr>
        <w:t>Our current pump platform includes four infusion pumps: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1960" w:right="260" w:hanging="331"/>
        <w:spacing w:after="0" w:line="284"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Plum 360™</w:t>
      </w:r>
      <w:r>
        <w:rPr>
          <w:rFonts w:ascii="Times New Roman" w:cs="Times New Roman" w:eastAsia="Times New Roman" w:hAnsi="Times New Roman"/>
          <w:sz w:val="18"/>
          <w:szCs w:val="18"/>
          <w:color w:val="auto"/>
        </w:rPr>
        <w:t>: The Plum 360™ infusion pump is a ICU Medical MedNet™ ready large volume infusion pump with an extensive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drug library and wireless capability.</w:t>
      </w:r>
    </w:p>
    <w:p>
      <w:pPr>
        <w:spacing w:after="0" w:line="158"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LifeCare PCA™</w:t>
      </w:r>
      <w:r>
        <w:rPr>
          <w:rFonts w:ascii="Times New Roman" w:cs="Times New Roman" w:eastAsia="Times New Roman" w:hAnsi="Times New Roman"/>
          <w:sz w:val="18"/>
          <w:szCs w:val="18"/>
          <w:color w:val="auto"/>
        </w:rPr>
        <w:t>: The LifeCare PCA™ infusion pump is a ICU Medical MedNet™ ready patient-controlled analgesia pump.</w:t>
      </w:r>
    </w:p>
    <w:p>
      <w:pPr>
        <w:spacing w:after="0" w:line="225" w:lineRule="exact"/>
        <w:rPr>
          <w:rFonts w:ascii="Times New Roman" w:cs="Times New Roman" w:eastAsia="Times New Roman" w:hAnsi="Times New Roman"/>
          <w:sz w:val="18"/>
          <w:szCs w:val="18"/>
          <w:color w:val="auto"/>
        </w:rPr>
      </w:pPr>
    </w:p>
    <w:p>
      <w:pPr>
        <w:ind w:left="1960" w:right="460" w:hanging="331"/>
        <w:spacing w:after="0" w:line="284"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SapphirePlus™</w:t>
      </w:r>
      <w:r>
        <w:rPr>
          <w:rFonts w:ascii="Times New Roman" w:cs="Times New Roman" w:eastAsia="Times New Roman" w:hAnsi="Times New Roman"/>
          <w:sz w:val="18"/>
          <w:szCs w:val="18"/>
          <w:color w:val="auto"/>
        </w:rPr>
        <w:t>: The SapphirePlus™ infusion pump is a ICU Medical MedNet™ ready large volume infusion pump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drug library and wireless capability.</w:t>
      </w:r>
    </w:p>
    <w:p>
      <w:pPr>
        <w:spacing w:after="0" w:line="158" w:lineRule="exact"/>
        <w:rPr>
          <w:rFonts w:ascii="Times New Roman" w:cs="Times New Roman" w:eastAsia="Times New Roman" w:hAnsi="Times New Roman"/>
          <w:sz w:val="18"/>
          <w:szCs w:val="18"/>
          <w:color w:val="auto"/>
        </w:rPr>
      </w:pPr>
    </w:p>
    <w:p>
      <w:pPr>
        <w:ind w:left="1960" w:right="520" w:hanging="331"/>
        <w:spacing w:after="0" w:line="284" w:lineRule="auto"/>
        <w:tabs>
          <w:tab w:leader="none" w:pos="19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SapphirePlus™</w:t>
      </w:r>
      <w:r>
        <w:rPr>
          <w:rFonts w:ascii="Times New Roman" w:cs="Times New Roman" w:eastAsia="Times New Roman" w:hAnsi="Times New Roman"/>
          <w:sz w:val="18"/>
          <w:szCs w:val="18"/>
          <w:color w:val="auto"/>
        </w:rPr>
        <w:t>: The Sapphire™ infusion pump is a compact infusion system used in ambulatory and hospital settings.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Sapphire™ infusion pump comes in multi-therapy and epidural-only configurations.</w:t>
      </w:r>
    </w:p>
    <w:p>
      <w:pPr>
        <w:spacing w:after="0" w:line="16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offer the ICU Medical MedNet™ safety software system, which is designed for hospitals to customize intravenous drug dosage limits and track drug delivery to help prevent medication errors.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Infusion Consumables</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Infusion Therapy</w:t>
      </w:r>
    </w:p>
    <w:p>
      <w:pPr>
        <w:spacing w:after="0" w:line="227" w:lineRule="exact"/>
        <w:rPr>
          <w:sz w:val="20"/>
          <w:szCs w:val="20"/>
          <w:color w:val="auto"/>
        </w:rPr>
      </w:pPr>
    </w:p>
    <w:p>
      <w:pPr>
        <w:ind w:left="1960" w:hanging="331"/>
        <w:spacing w:after="0" w:line="266"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Clave® needlefree products, including the MicroClave, MicroClave Clear, and NanoClave brand of connectors, accessories, extension and administration sets used for the administration of IV fluids and medications. Custom infusion sets are a subset of the Clave product category, and designed to meet specialized infusion therapy practice in areas such as anesthesia and pediatrics.</w:t>
      </w:r>
    </w:p>
    <w:p>
      <w:pPr>
        <w:spacing w:after="0" w:line="176"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Neutron® Catheter Patency Connector, used to help maintain patency of central venous catheters.</w:t>
      </w:r>
    </w:p>
    <w:p>
      <w:pPr>
        <w:spacing w:after="0" w:line="225" w:lineRule="exact"/>
        <w:rPr>
          <w:rFonts w:ascii="Times New Roman" w:cs="Times New Roman" w:eastAsia="Times New Roman" w:hAnsi="Times New Roman"/>
          <w:sz w:val="18"/>
          <w:szCs w:val="18"/>
          <w:color w:val="auto"/>
        </w:rPr>
      </w:pPr>
    </w:p>
    <w:p>
      <w:pPr>
        <w:ind w:left="1960" w:right="240" w:hanging="331"/>
        <w:spacing w:after="0" w:line="282"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SwabCap® Disinfecting Cap, used to protect and disinfect any needlefree connector including, including competitive brands of connectors.</w:t>
      </w:r>
    </w:p>
    <w:p>
      <w:pPr>
        <w:spacing w:after="0" w:line="161"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infusion sets</w:t>
      </w:r>
    </w:p>
    <w:p>
      <w:pPr>
        <w:spacing w:after="0" w:line="225"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Tego® Hemodialysis Connector</w:t>
      </w:r>
    </w:p>
    <w:p>
      <w:pPr>
        <w:spacing w:after="0" w:line="225"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NovaCath® and SuperCath® Peripheral IV Catheters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Oncology Pharmacy Devices and Consumables</w:t>
      </w:r>
    </w:p>
    <w:p>
      <w:pPr>
        <w:spacing w:after="0" w:line="227" w:lineRule="exact"/>
        <w:rPr>
          <w:sz w:val="20"/>
          <w:szCs w:val="20"/>
          <w:color w:val="auto"/>
        </w:rPr>
      </w:pPr>
    </w:p>
    <w:p>
      <w:pPr>
        <w:ind w:left="1960" w:hanging="331"/>
        <w:spacing w:after="0" w:line="282" w:lineRule="auto"/>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ChemoLock® Closed System Transfer Device (CSTD), is a Pharmacy preferred CSTD used for the preparation and administration of hazardous drugs.</w:t>
      </w:r>
    </w:p>
    <w:p>
      <w:pPr>
        <w:spacing w:after="0" w:line="161" w:lineRule="exact"/>
        <w:rPr>
          <w:rFonts w:ascii="Times New Roman" w:cs="Times New Roman" w:eastAsia="Times New Roman" w:hAnsi="Times New Roman"/>
          <w:sz w:val="18"/>
          <w:szCs w:val="18"/>
          <w:color w:val="auto"/>
        </w:rPr>
      </w:pPr>
    </w:p>
    <w:p>
      <w:pPr>
        <w:ind w:left="1960" w:right="600" w:hanging="331"/>
        <w:spacing w:after="0" w:line="282" w:lineRule="auto"/>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ChemoClave® Closed System Transfer Device (CSTD), is an ISO standard and universally compatible CSTD used for the preparation and administration of hazardous drugs.</w:t>
      </w:r>
    </w:p>
    <w:p>
      <w:pPr>
        <w:spacing w:after="0" w:line="161"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Diana™ hazardous drug compounding system, used for the preparation of hazardous drugs.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IV Solutions</w:t>
      </w:r>
    </w:p>
    <w:p>
      <w:pPr>
        <w:spacing w:after="0" w:line="225"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Sterile Solutions - </w:t>
      </w:r>
      <w:r>
        <w:rPr>
          <w:rFonts w:ascii="Times New Roman" w:cs="Times New Roman" w:eastAsia="Times New Roman" w:hAnsi="Times New Roman"/>
          <w:sz w:val="18"/>
          <w:szCs w:val="18"/>
          <w:color w:val="auto"/>
        </w:rPr>
        <w:t>IV solutions, normal saline, Ringers etc., used to replenish fluids and electrolytes by IV infusion.</w:t>
      </w:r>
    </w:p>
    <w:p>
      <w:pPr>
        <w:spacing w:after="0" w:line="225" w:lineRule="exact"/>
        <w:rPr>
          <w:rFonts w:ascii="Times New Roman" w:cs="Times New Roman" w:eastAsia="Times New Roman" w:hAnsi="Times New Roman"/>
          <w:sz w:val="18"/>
          <w:szCs w:val="18"/>
          <w:i w:val="1"/>
          <w:iCs w:val="1"/>
          <w:color w:val="auto"/>
        </w:rPr>
      </w:pPr>
    </w:p>
    <w:p>
      <w:pPr>
        <w:ind w:left="1300" w:hanging="320"/>
        <w:spacing w:after="0" w:line="284" w:lineRule="auto"/>
        <w:tabs>
          <w:tab w:leader="none" w:pos="130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Irrigation Solutions - </w:t>
      </w:r>
      <w:r>
        <w:rPr>
          <w:rFonts w:ascii="Times New Roman" w:cs="Times New Roman" w:eastAsia="Times New Roman" w:hAnsi="Times New Roman"/>
          <w:sz w:val="18"/>
          <w:szCs w:val="18"/>
          <w:color w:val="auto"/>
        </w:rPr>
        <w:t>Used externally on open wounds to hydrate the wound, remove deep debris, assist with visual examination, to prevent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infection and improve healing.</w:t>
      </w:r>
    </w:p>
    <w:p>
      <w:pPr>
        <w:spacing w:after="0" w:line="158" w:lineRule="exact"/>
        <w:rPr>
          <w:rFonts w:ascii="Times New Roman" w:cs="Times New Roman" w:eastAsia="Times New Roman" w:hAnsi="Times New Roman"/>
          <w:sz w:val="18"/>
          <w:szCs w:val="18"/>
          <w:i w:val="1"/>
          <w:iCs w:val="1"/>
          <w:color w:val="auto"/>
        </w:rPr>
      </w:pPr>
    </w:p>
    <w:p>
      <w:pPr>
        <w:ind w:left="1300" w:right="400" w:hanging="320"/>
        <w:spacing w:after="0" w:line="267" w:lineRule="auto"/>
        <w:tabs>
          <w:tab w:leader="none" w:pos="130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Nutritionals - </w:t>
      </w:r>
      <w:r>
        <w:rPr>
          <w:rFonts w:ascii="Times New Roman" w:cs="Times New Roman" w:eastAsia="Times New Roman" w:hAnsi="Times New Roman"/>
          <w:sz w:val="18"/>
          <w:szCs w:val="18"/>
          <w:color w:val="auto"/>
        </w:rPr>
        <w:t>Solutions that feed vitamins, minerals and other natural therapeutic substances directly into the blood stream.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committed to helping our customers deliver more comprehensive patient-care therapies, delivering an extensive source of nutrients for patients who cannot consume a normal diet.</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Critical Care</w:t>
      </w:r>
    </w:p>
    <w:p>
      <w:pPr>
        <w:spacing w:after="0" w:line="227"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Hemodynamic Monitoring Systems</w:t>
      </w:r>
    </w:p>
    <w:p>
      <w:pPr>
        <w:spacing w:after="0" w:line="173"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Cogent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2-in-1 Hemodynamic Monitoring System</w:t>
      </w:r>
    </w:p>
    <w:p>
      <w:pPr>
        <w:ind w:left="1960" w:hanging="331"/>
        <w:spacing w:after="0" w:line="180"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LiDCO LX1</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Noninvasive Hemodynamic Monitoring System</w:t>
      </w:r>
    </w:p>
    <w:p>
      <w:pPr>
        <w:ind w:left="1960" w:hanging="331"/>
        <w:spacing w:after="0" w:line="180"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CardioFlo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Hemodynamic Monitoring Sensor</w:t>
      </w:r>
    </w:p>
    <w:p>
      <w:pPr>
        <w:ind w:left="1960" w:hanging="331"/>
        <w:spacing w:after="0"/>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TriOx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PICC Minimally Invasive Venous Oximetry Sensor</w:t>
      </w:r>
    </w:p>
    <w:p>
      <w:pPr>
        <w:spacing w:after="0" w:line="12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SafeSet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Closed Blood Sampling and Conservation System</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Consumable Blood Pressure Transducers</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Critical Care Products and Accessories</w:t>
      </w:r>
    </w:p>
    <w:p>
      <w:pPr>
        <w:spacing w:after="0" w:line="225"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Our primary customers are acute care hospitals, wholesalers, ambulatory clinics and alternate site facilities, such as clinics, home health care providers and long-term care facilities.</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total worldwide revenue by domestic and international markets by amount and as a percentage of total revenue (in millions, except percentages):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2"/>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gridSpan w:val="3"/>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gridSpan w:val="3"/>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2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360" w:type="dxa"/>
            <w:vAlign w:val="bottom"/>
          </w:tcPr>
          <w:p>
            <w:pPr>
              <w:spacing w:after="0"/>
              <w:rPr>
                <w:sz w:val="20"/>
                <w:szCs w:val="20"/>
                <w:color w:val="auto"/>
              </w:rPr>
            </w:pPr>
          </w:p>
        </w:tc>
        <w:tc>
          <w:tcPr>
            <w:tcW w:w="5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300" w:type="dxa"/>
            <w:vAlign w:val="bottom"/>
          </w:tcPr>
          <w:p>
            <w:pPr>
              <w:spacing w:after="0"/>
              <w:rPr>
                <w:sz w:val="20"/>
                <w:szCs w:val="20"/>
                <w:color w:val="auto"/>
              </w:rPr>
            </w:pPr>
          </w:p>
        </w:tc>
        <w:tc>
          <w:tcPr>
            <w:tcW w:w="6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360" w:type="dxa"/>
            <w:vAlign w:val="bottom"/>
          </w:tcPr>
          <w:p>
            <w:pPr>
              <w:spacing w:after="0"/>
              <w:rPr>
                <w:sz w:val="20"/>
                <w:szCs w:val="20"/>
                <w:color w:val="auto"/>
              </w:rPr>
            </w:pPr>
          </w:p>
        </w:tc>
        <w:tc>
          <w:tcPr>
            <w:tcW w:w="5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of Revenue</w:t>
            </w:r>
          </w:p>
        </w:tc>
      </w:tr>
      <w:tr>
        <w:trPr>
          <w:trHeight w:val="33"/>
        </w:trPr>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total revenue by market segment as a percentage of total revenue: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9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left="9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jc w:val="center"/>
              <w:ind w:left="953"/>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Product line</w:t>
            </w: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60" w:type="dxa"/>
            <w:vAlign w:val="bottom"/>
            <w:gridSpan w:val="2"/>
            <w:vMerge w:val="continue"/>
          </w:tcPr>
          <w:p>
            <w:pPr>
              <w:spacing w:after="0"/>
              <w:rPr>
                <w:sz w:val="20"/>
                <w:szCs w:val="20"/>
                <w:color w:val="auto"/>
              </w:rPr>
            </w:pPr>
          </w:p>
        </w:tc>
        <w:tc>
          <w:tcPr>
            <w:tcW w:w="14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42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5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Infusion Systems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Infusion Consumables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IV Solutions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Critical Care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manage our product distribution in the U.S. through a network of three owned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our operations through the Netherlands, which utilizes international regional hubs and we also manage our operations through independent distributors.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substantial amount of our products are sold to group purchasing organization ("GPO")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As a result of this marketing and distribution strategy we derive most of our revenue from a relatively small number of distributors and manufacturers. Although we believe that we are not dependent on any single distributor for distribution of our products, the loss of a strategic relationship with a</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or a decline in demand for manufacturing customers' products could have a material adverse effect on our operating results.</w:t>
      </w:r>
    </w:p>
    <w:p>
      <w:pPr>
        <w:spacing w:after="0" w:line="225" w:lineRule="exact"/>
        <w:rPr>
          <w:sz w:val="20"/>
          <w:szCs w:val="20"/>
          <w:color w:val="auto"/>
        </w:rPr>
      </w:pPr>
    </w:p>
    <w:p>
      <w:pPr>
        <w:jc w:val="both"/>
        <w:ind w:right="120" w:firstLine="648"/>
        <w:spacing w:after="0" w:line="272" w:lineRule="auto"/>
        <w:rPr>
          <w:sz w:val="20"/>
          <w:szCs w:val="20"/>
          <w:color w:val="auto"/>
        </w:rPr>
      </w:pPr>
      <w:r>
        <w:rPr>
          <w:rFonts w:ascii="Times New Roman" w:cs="Times New Roman" w:eastAsia="Times New Roman" w:hAnsi="Times New Roman"/>
          <w:sz w:val="17"/>
          <w:szCs w:val="17"/>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w:t>
      </w:r>
    </w:p>
    <w:p>
      <w:pPr>
        <w:spacing w:after="0" w:line="2"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0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On February 1, 2017, we acquired 100% interest in Fannin (UK) Limited ("Fannin") for total consideration of approximately $1.5 million. Fannin provides infusion therapy consumable products to the healthcare sector in the United Kingdom and Ireland.</w:t>
      </w:r>
    </w:p>
    <w:p>
      <w:pPr>
        <w:spacing w:after="0" w:line="162"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On February 3, 2017, we acquired 100% interest in Pfizer's HIS business for total consideration of approximately $260.0 million in cash (net of estimated working capital adjustments paid at closing) and the issuance of 3.2 million shares of our common stock. We partially funded the cash portion of the consideration paid with a $75 million three-year interest-only seller note. The fair value of the common shares issued to Pfizer was determined based on the closing price of our common shares on the issuance date, discounted to reflect a contractual lock-up period whereby Pfizer cannot transfer the shares, subject to certain exceptions, until the earlier of (i) the expiration of Pfizer’s services to us in the related transitional services agreement or (ii) eighteen months.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present income statement data in Part I, Item 1 - Financial Statements. The following table shows, for the three months ended June 30, 2017 and 2016, respectively, the percentages of each income statement caption in relation to total revenue: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4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260" w:type="dxa"/>
            <w:vAlign w:val="bottom"/>
            <w:gridSpan w:val="2"/>
          </w:tcPr>
          <w:p>
            <w:pPr>
              <w:ind w:left="588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5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7"/>
        </w:trPr>
        <w:tc>
          <w:tcPr>
            <w:tcW w:w="5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
        </w:trPr>
        <w:tc>
          <w:tcPr>
            <w:tcW w:w="5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strategic transaction</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7"/>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7"/>
        </w:trPr>
        <w:tc>
          <w:tcPr>
            <w:tcW w:w="5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Bargain purchase gain</w:t>
            </w:r>
          </w:p>
        </w:tc>
        <w:tc>
          <w:tcPr>
            <w:tcW w:w="15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
        </w:trPr>
        <w:tc>
          <w:tcPr>
            <w:tcW w:w="5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57"/>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9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5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Infusion Systems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Infusion Systems revenue (in millions):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60" w:type="dxa"/>
            <w:vAlign w:val="bottom"/>
          </w:tcPr>
          <w:p>
            <w:pPr>
              <w:spacing w:after="0"/>
              <w:rPr>
                <w:sz w:val="17"/>
                <w:szCs w:val="17"/>
                <w:color w:val="auto"/>
              </w:rPr>
            </w:pPr>
          </w:p>
        </w:tc>
      </w:tr>
      <w:tr>
        <w:trPr>
          <w:trHeight w:val="212"/>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Infusion Systems</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73.1</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100.0%  $</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3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Infusion Systems revenue is a result of the acquisition of the HIS business. The year-to-date revenue represents approximately five months of revenue from the point of closing of the transaction to the end of the current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Infusion Consumables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Infusion Consumables revenue (in millions):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20" w:type="dxa"/>
            <w:vAlign w:val="bottom"/>
          </w:tcPr>
          <w:p>
            <w:pPr>
              <w:spacing w:after="0"/>
              <w:rPr>
                <w:sz w:val="17"/>
                <w:szCs w:val="17"/>
                <w:color w:val="auto"/>
              </w:rPr>
            </w:pPr>
          </w:p>
        </w:tc>
      </w:tr>
      <w:tr>
        <w:trPr>
          <w:trHeight w:val="212"/>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Infusion Consumables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  $</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Infusion Consumables revenue included our acquired revenue from the HIS business, which year-to-date includes approximately five months of revenue from the point of closing of the transaction to the end of the current quarter. Additionally, the Infusion Consumables market segment includes our legacy Infusion Therapy and Oncology businesses. The decrease in infusion consumables sales is mainly due to the timing of the recognition of HIS sales, which pre-close were recognized upon sale to HIS and are now recognized as sold to end customers post-close.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IV 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IV Solutions revenue (in millions):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60" w:type="dxa"/>
            <w:vAlign w:val="bottom"/>
          </w:tcPr>
          <w:p>
            <w:pPr>
              <w:spacing w:after="0"/>
              <w:rPr>
                <w:sz w:val="17"/>
                <w:szCs w:val="17"/>
                <w:color w:val="auto"/>
              </w:rPr>
            </w:pPr>
          </w:p>
        </w:tc>
      </w:tr>
      <w:tr>
        <w:trPr>
          <w:trHeight w:val="212"/>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IV Solutions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134.4</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100.0%  $</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231.8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3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IV Solutions revenue is a result of the acquisition of the HIS business and also includes contract manufacturing to Pfizer at cost. The year-to-date revenue represents approximately five months of revenue from the point of closing of the transaction to the end of the current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Care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Critical Care revenue (in millions):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20" w:type="dxa"/>
            <w:vAlign w:val="bottom"/>
          </w:tcPr>
          <w:p>
            <w:pPr>
              <w:spacing w:after="0"/>
              <w:rPr>
                <w:sz w:val="17"/>
                <w:szCs w:val="17"/>
                <w:color w:val="auto"/>
              </w:rPr>
            </w:pPr>
          </w:p>
        </w:tc>
      </w:tr>
      <w:tr>
        <w:trPr>
          <w:trHeight w:val="212"/>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Critical Care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  $</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Critical care revenue was essentially flat as compared to the same periods in the prior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2017, other revenue was $0.3 million and $0.8 million, respectively. As part of the HIS business acquisition, the closing of certain foreign jurisdictions were deferred, as such, we entered into a Net Economic Benefit agreement with Pfizer (see Note 3: Acquisitions and Strategic Transaction Expenses in our accompanying condensed consolidated financial statements for additional information). The revenue data related to these deferred closing entities is not available by market segment, therefore our other revenue below includes $32.7 million and $43.9 million related to these entities for the three and six months ending June 30, 2017, respectively, and differs from the amounts reported as other revenue on our condensed consolidated statements of operations.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Other Revenue (in millions):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60" w:type="dxa"/>
            <w:vAlign w:val="bottom"/>
          </w:tcPr>
          <w:p>
            <w:pPr>
              <w:spacing w:after="0"/>
              <w:rPr>
                <w:sz w:val="17"/>
                <w:szCs w:val="17"/>
                <w:color w:val="auto"/>
              </w:rPr>
            </w:pPr>
          </w:p>
        </w:tc>
      </w:tr>
      <w:tr>
        <w:trPr>
          <w:trHeight w:val="212"/>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6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0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17,200.0%  $</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12,425.0%</w:t>
            </w:r>
          </w:p>
        </w:tc>
      </w:tr>
      <w:tr>
        <w:trPr>
          <w:trHeight w:val="33"/>
        </w:trPr>
        <w:tc>
          <w:tcPr>
            <w:tcW w:w="2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2017, gross margins were 26.6% and 30.6%, respectively, as compared to 51.8% and 53.3% for the three and six months ended June 30, 2016, respectively. The decrease in gross margin for the three and six months ended June 30, 2017, as compared to the same periods in the prior year is due to the integration of HIS, which has historically lower gross margins than our legacy business, an impact of approximately ten percentage points on each of the three and six months ended June 30, 2017 related to the step-up of inventory from our purchase accounting and also a temporary negative impact on absorption due to our planned inventory reduction.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SG&amp;A Expenses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100" w:type="dxa"/>
            <w:vAlign w:val="bottom"/>
          </w:tcPr>
          <w:p>
            <w:pPr>
              <w:spacing w:after="0"/>
              <w:rPr>
                <w:sz w:val="17"/>
                <w:szCs w:val="17"/>
                <w:color w:val="auto"/>
              </w:rPr>
            </w:pPr>
          </w:p>
        </w:tc>
      </w:tr>
      <w:tr>
        <w:trPr>
          <w:trHeight w:val="212"/>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center"/>
              <w:ind w:left="75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tcPr>
          <w:p>
            <w:pPr>
              <w:spacing w:after="0"/>
              <w:rPr>
                <w:sz w:val="18"/>
                <w:szCs w:val="18"/>
                <w:color w:val="auto"/>
              </w:rPr>
            </w:pPr>
          </w:p>
        </w:tc>
      </w:tr>
      <w:tr>
        <w:trPr>
          <w:trHeight w:val="33"/>
        </w:trPr>
        <w:tc>
          <w:tcPr>
            <w:tcW w:w="1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76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1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278.2%  $</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7"/>
        </w:trPr>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SG&amp;A expenses increased for the three months ended June 30, 2017, as compared to the same period in the prior year, primarily due to the impact of the HIS acquisition. Salaries and benefits increased $19.6 million, accounting and information technology fees increased $19.5 million, depreciation expense increased $2.8 million, incentive compensation increased $2.6 million and commissions increased $2.4 million. Operating expenses related to delayed close entities were $8.4 million. Salaries and benefits increased from the increase in headcount due to the HIS acquisition. Accounting and information technology fees increased due to the expenses incurred under the transition services agreement with Pfizer. Incentive compensation increased as a result of an increase in the number of employees assumed in the acquisition of HIS, as well as new employees hired to support the company post-acquisition. Commissions increased due to the increase in revenue.</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SG&amp;A expenses increased for the six months ended June 30, 2017, as compared to the same period in the prior year, primarily due to the impact of the HIS acquisition. Salaries and benefits increased $37.6 million, accounting and information technology fees increased $34.1 million, depreciation expense increased $5.8 million, incentive compensation increased $3.9 million, commissions increased $3.0 million and travel and related expenses increased $2.1 million. Operating expenses related to delayed close entities were $8.4 million. See above SG&amp;A variance explanations related to the three months ended June 30, 2017, as compared to the same period in the prior year, as they are also relevant explanations for the above SG&amp;A variances for the six months ended June 30, 2017, as compared to the same period in the prior year. Travel and related expenses increased primarily due to the integration of the HIS acquisition and the post-acquisition operational activity.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R&amp;D Expenses (in millions):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20" w:type="dxa"/>
            <w:vAlign w:val="bottom"/>
          </w:tcPr>
          <w:p>
            <w:pPr>
              <w:spacing w:after="0"/>
              <w:rPr>
                <w:sz w:val="17"/>
                <w:szCs w:val="17"/>
                <w:color w:val="auto"/>
              </w:rPr>
            </w:pPr>
          </w:p>
        </w:tc>
      </w:tr>
      <w:tr>
        <w:trPr>
          <w:trHeight w:val="212"/>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center"/>
              <w:ind w:left="737"/>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20" w:type="dxa"/>
            <w:vAlign w:val="bottom"/>
          </w:tcPr>
          <w:p>
            <w:pPr>
              <w:spacing w:after="0"/>
              <w:rPr>
                <w:sz w:val="18"/>
                <w:szCs w:val="18"/>
                <w:color w:val="auto"/>
              </w:rPr>
            </w:pPr>
          </w:p>
        </w:tc>
      </w:tr>
      <w:tr>
        <w:trPr>
          <w:trHeight w:val="33"/>
        </w:trPr>
        <w:tc>
          <w:tcPr>
            <w:tcW w:w="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0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R&amp;D  $</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20"/>
                <w:szCs w:val="20"/>
                <w:color w:val="auto"/>
              </w:rPr>
            </w:pPr>
          </w:p>
        </w:tc>
        <w:tc>
          <w:tcPr>
            <w:tcW w:w="1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293.9%  $</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7"/>
        </w:trPr>
        <w:tc>
          <w:tcPr>
            <w:tcW w:w="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R&amp;D expenses increased for the three and six months ended June 30, 2017, as compared to the same periods in the prior year due to the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HIS.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Strategic Transaction and Integration Expenses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Restructuring and strategic transaction and integration expenses were $19.9 million and $49.3 million for the three and six months ended June 30, 2017, respectively, as compared to $1.5 million for the each of the three and six months ended June 30,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Restructuring charges were $7.5 million and $15.8 million for the three and six months ended June 30, 2017, respectively. These charges were related to (i) severance costs from the reduction in our workforce needed to eliminate duplicative positions created as a result of the HIS acquisition and (ii) we are also in the process of closing our Dominican Republic manufacturing facilities and have incurred expenses associated with the closure and transfer of assets and production to our Costa Rica and Mexico manufacturing facilities. We expect to pay unpaid restructuring charges as of June 30, 2017, by the end of the end of 2017.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transaction and integration expenses</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Strategic transaction and integration expenses were $12.4 million and $33.5 million for the three and six months ended June 30, 2017, respectively, primarily related to our acquisition of the HIS business.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Strategic transaction expenses were $1.1 million for each of the three and six months ended June 30, 2016, primarily related to our 2015 acquisition of EXC Holding Corp. and to our second quarter 2016 acquisition of Tangent Medical Technologies,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Earn-out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second quarter fair value revaluation of our earn-out resulted in a loss of $6.0 million for the three and six months ended June 30,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Bargain Purchase Gain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HIS acquisition, we recognized a preliminary bargain purchase of $63.2 million for the three and six months ended June 30, 2017, respectively. The preliminary bargain purchase gain represented the excess of the estimated fair market value of the identifiable tangible and intangible assets acquired and liabilities assumed, net of deferred tax liabilities over the total purchase consideration. The final bargain purchase gain is subject to adjustment upon the finalization of the valuations of acquired assets and liabilities associated with the HIS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was $0.5 million and $1.0 million for the three and six months ended June 30, 2017, respectively. The interest expense is related to the $75 million seller note from Pfizer as part of the HIS business acquisition. This three-year interest only seller note bears interest at based on the London Interbank Offered Rate ("LIBOR") plus (i) 2.25% per year for the first 12 months, and (ii) 2.50% per annum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Other (expense) income was $(2.7) million and $(2.6) million for the three and six months ended June 30, 2017, respectively. Other (expense) income was $0.1 million and $0.3 million for the three and six months ended June 30, 2016,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taxes were accrued at an estimated effective tax rate of (182)% and 28% for the six months ended June 30, 2017, and 2016, respectively.</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six months ended June 30, 2017 differs from the federal statutory rate of 35% principally because of the effect of the mix of U.S. and foreign incomes, state income taxes, tax credits and the impact of the gain on bargain purchase. The effective tax rate during the six months ended June 30, 2017 also included a material tax benefit of $9.9 million related to the excess tax benefits recognized on stock option exercises and the vesting of restricted stock units during the period. The income tax benefit was treated as a discrete item when determining the annual estimated effective tax rate.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six months ended June 30, 2016 differs from the federal statutory rate of 35% principally because of the effect of foreign and state income taxes, tax credits and deductions for domestic production activities. The effective tax rate during the six months ended June 30, 2016 also included a material tax benefit of $3.1 million related to the excess tax benefits recognized on stock option exercises and the vesting of restricted stock units during the period. The income tax benefit was treated as a discrete item when determining the annual estimated effective tax rate.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2017, our cash and cash equivalents decreased by $204.2 million from $445.1 million at December 31, 2016 to $240.9 million at June 30,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cash used by operations for the six months ended June 30, 2017 was $28.9 million. Net income plus adjustments for non-cash net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contributed $9.0 million to cash provided by operations, and cash used by changes in operating assets and liabilities was $37.9 million. The changes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assets and liabilities included a $95.3 million increase in prepaid expenses and other assets, a $70.6 million increase in accounts receivable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$14.2 million in net changes in income taxes, including excess tax benefits and deferred income taxes. Offsetting these amounts was a $66.9 million decrease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inventories, a $66.5 million increase in accrued liabilities and an $8.8 million increase in accounts payable. The increase in prepaid expenses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was primarily due to amounts paid for transitional service arrangement fees, working capital adjustments and other HIS-related amounts. The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accounts receivable is due to the increase in revenue. The net changes in income taxes was a result of the timing of payments. The increase in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was primarily a result of increased salary and benefits due to a larger workforce. The decrease in inventory was due to a planned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 of our acquired inventory to manage working capital needs. The increase in accounts payable was due to the increase in expenses related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post-acquisition operations.</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net cash provided by operations for the six months ended June 30, 2016 was $41.8 million. Net income plus adjustments for non-cash net expenses contributed $51.0 million to cash provided by operations, and cash used by changes in operating assets and liabilities was $9.2 million. The changes in operating assets and liabilities included a $6.0 million decrease in accrued liabilities, a $5.5 million increase in inventories, a $3.8 million increase in prepaid expenses and other assets, and a $2.5 million increase in accounts receivable, partially offset by $4.8 million in net changes to income taxes and deferred income taxes and a $3.8 million increase in accounts payable. The decrease in accrued liabilities was primarily due to the pay-out of fiscal year 2015 accrued bonuses in February of 2016, the payment of accrued restructuring charges related to the closure of our Slovakian manufacturing facility and the payment of acquisition-related accruals from our 2015 EXC acquisition. The increase in inventories was primarily due to building finished good safety stock, to support better customer deliveries, raw materials related to our Slovakia plant closure, and related transfer to our Mexico plant, and inventory associated with the acquired SwabCap product-line. The increase in prepaid expenses and other assets was primarily due to amounts owed by employees for the exercise of their stock options partially offset by a decrease in prepaid insurance due to amortization. The increase in accounts receivable was due to an increase in revenue. The net changes in income taxes was a result of the timing of payments for cash tax purposes, which includes true-ups for 2015 overpayment and 2016 estimated taxes. The increase in accounts payable was a result of timing.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our investing cash flows (in thousands):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121" w:right="2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9"/>
        </w:trPr>
        <w:tc>
          <w:tcPr>
            <w:tcW w:w="1280" w:type="dxa"/>
            <w:vAlign w:val="bottom"/>
            <w:tcBorders>
              <w:top w:val="single" w:sz="8" w:color="0000EE"/>
            </w:tcBorders>
          </w:tcPr>
          <w:p>
            <w:pPr>
              <w:spacing w:after="0"/>
              <w:rPr>
                <w:sz w:val="24"/>
                <w:szCs w:val="24"/>
                <w:color w:val="auto"/>
              </w:rPr>
            </w:pPr>
          </w:p>
        </w:tc>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4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(154,491)</w:t>
            </w:r>
          </w:p>
        </w:tc>
        <w:tc>
          <w:tcPr>
            <w:tcW w:w="4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 additions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18,106</w:t>
            </w:r>
          </w:p>
        </w:tc>
        <w:tc>
          <w:tcPr>
            <w:tcW w:w="4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2"/>
              </w:rPr>
              <w:t>(3)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investment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(31,765)</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2"/>
              </w:rPr>
              <w:t>(4)</w:t>
            </w:r>
          </w:p>
        </w:tc>
        <w:tc>
          <w:tcPr>
            <w:tcW w:w="0" w:type="dxa"/>
            <w:vAlign w:val="bottom"/>
          </w:tcPr>
          <w:p>
            <w:pPr>
              <w:spacing w:after="0"/>
              <w:rPr>
                <w:sz w:val="1"/>
                <w:szCs w:val="1"/>
                <w:color w:val="auto"/>
              </w:rPr>
            </w:pPr>
          </w:p>
        </w:tc>
      </w:tr>
      <w:tr>
        <w:trPr>
          <w:trHeight w:val="257"/>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(186,299)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(187,728)</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40" w:hanging="332"/>
        <w:spacing w:after="0" w:line="218" w:lineRule="auto"/>
        <w:tabs>
          <w:tab w:leader="none" w:pos="208"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Our purchases of property and equipment will vary from period to period based on additional investments needed to support new and existing products and expansion of our manufacturing facilities. The purchases for the three and six months ended June 30, 2107 primarily related to HIS entities.</w:t>
      </w:r>
    </w:p>
    <w:p>
      <w:pPr>
        <w:spacing w:after="0" w:line="1" w:lineRule="exact"/>
        <w:rPr>
          <w:rFonts w:ascii="Times New Roman" w:cs="Times New Roman" w:eastAsia="Times New Roman" w:hAnsi="Times New Roman"/>
          <w:sz w:val="25"/>
          <w:szCs w:val="25"/>
          <w:color w:val="auto"/>
          <w:vertAlign w:val="superscript"/>
        </w:rPr>
      </w:pPr>
    </w:p>
    <w:p>
      <w:pPr>
        <w:ind w:left="340" w:right="300" w:hanging="332"/>
        <w:spacing w:after="0" w:line="221" w:lineRule="auto"/>
        <w:tabs>
          <w:tab w:leader="none" w:pos="34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Our business acquisitions will vary from period to period based upon our current growth strategy and our ability to execute on desirable target companies. On February 3, 2017, we acquired HIS for $260 million in cash consideration (net of working capital adjustments), financed with existing cash balances and a three-year interest-only seller note of $75 million and we delivered 3.2 million shares of our common stock to Pfizer.</w:t>
      </w:r>
    </w:p>
    <w:p>
      <w:pPr>
        <w:spacing w:after="0" w:line="2" w:lineRule="exact"/>
        <w:rPr>
          <w:rFonts w:ascii="Times New Roman" w:cs="Times New Roman" w:eastAsia="Times New Roman" w:hAnsi="Times New Roman"/>
          <w:sz w:val="25"/>
          <w:szCs w:val="25"/>
          <w:color w:val="auto"/>
          <w:vertAlign w:val="superscript"/>
        </w:rPr>
      </w:pPr>
    </w:p>
    <w:p>
      <w:pPr>
        <w:ind w:left="340" w:right="180" w:hanging="332"/>
        <w:spacing w:after="0" w:line="221" w:lineRule="auto"/>
        <w:tabs>
          <w:tab w:leader="none" w:pos="34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Our purchases of investment securities will vary from period to period based on current cash needs, planning for known future transactions and due to changes in our investment strategy. In December 2016, we liquidated all of our investment securities to use the proceeds to fund the acquisition of HIS. We have not purchased any investment securities during 2017.</w:t>
      </w:r>
    </w:p>
    <w:p>
      <w:pPr>
        <w:spacing w:after="0" w:line="2" w:lineRule="exact"/>
        <w:rPr>
          <w:rFonts w:ascii="Times New Roman" w:cs="Times New Roman" w:eastAsia="Times New Roman" w:hAnsi="Times New Roman"/>
          <w:sz w:val="25"/>
          <w:szCs w:val="25"/>
          <w:color w:val="auto"/>
          <w:vertAlign w:val="superscript"/>
        </w:rPr>
      </w:pPr>
    </w:p>
    <w:p>
      <w:pPr>
        <w:ind w:left="200" w:hanging="192"/>
        <w:spacing w:after="0" w:line="187" w:lineRule="auto"/>
        <w:tabs>
          <w:tab w:leader="none" w:pos="20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 December 2016, we liquidated all of our investment securities.</w:t>
      </w:r>
    </w:p>
    <w:p>
      <w:pPr>
        <w:spacing w:after="0" w:line="2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While we can provide no assurances, we estimate that our capital expenditures in 2017 will approximate $80 million. In January 2017, we completed an expansion of our Mexico manufacturing plant. We anticipate making additional investments in molds, machinery and equipment in our manufacturing operations in the United States and Mexico to support new and existing products and in IT to benefit world-wide operations. We expect to use our cash to fund our capital purchases. Amounts of spending are estimates and actual spending may substantially differ from those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our financing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3,148</w:t>
            </w:r>
          </w:p>
        </w:tc>
        <w:tc>
          <w:tcPr>
            <w:tcW w:w="4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13,172</w:t>
            </w:r>
          </w:p>
        </w:tc>
        <w:tc>
          <w:tcPr>
            <w:tcW w:w="4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16,449</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120" w:hanging="332"/>
        <w:spacing w:after="0" w:line="235" w:lineRule="auto"/>
        <w:tabs>
          <w:tab w:leader="none" w:pos="194"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Proceeds from the exercise of stock options will vary from period to period based on the volume of options exercised and the exercise price of the specific options exercised.</w:t>
      </w:r>
    </w:p>
    <w:p>
      <w:pPr>
        <w:ind w:left="340" w:right="660" w:hanging="332"/>
        <w:spacing w:after="0" w:line="225" w:lineRule="auto"/>
        <w:tabs>
          <w:tab w:leader="none" w:pos="194"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During the six months ended June 30, 2017, our employees surrendered 25,864 shares of our common stock from vested restricted stock awards as consideration for approximately $3.7 million in minimum statutory withholding obligations paid on their behalf.</w:t>
      </w:r>
    </w:p>
    <w:p>
      <w:pPr>
        <w:spacing w:after="0" w:line="19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July 2010, our Board of Directors approved a share purchase plan to purchase up to $40.0 million of our common stock. As of June 30, 2017, we had purchased $32.8 million of our common stock pursuant to this plan, leaving a balance of $7.2 million available for future purchases. This plan has no expiration date. We are currently limited on share purchases in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08"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accordance with the terms and conditions of our senior note with Pfizer (see Note 14: Long-Term Obligations in our accompanying condensed consolidated financial statements).</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After our acquisition of the HIS business, we continue to maintain a substantial cash position. Cash generated includes stock sales, principally from the exercise of employee stock options. We maintain this position to fund our growth, meet increasing working capital requirements, and fund capital expenditures and to take advantage of acquisition opportunities that may arise.</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2017, we had $61.3 million of cash and cash equivalents held in local currency by our foreign subsidiaries. If these funds were needed for our operations in the U.S., we would be required to accrue and pay U.S. taxes for a portion of any repatriated funds. However, we expect to permanently reinvest these funds outside of the U.S. and, based on our current plans, we do not presently anticipate a need to repatriate them to fund our U.S. operations.</w:t>
      </w:r>
    </w:p>
    <w:p>
      <w:pPr>
        <w:spacing w:after="0" w:line="17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along with funds expected to be generated from future operations will provide us with sufficient funds to finance our current operations for the next twelve months. In the event that we experience downturns or cyclical fluctuations in our business that are more severe or longer than anticipated or if we fail to achieve anticipated revenue and expense levels, we may need to obtain or seek alternative sources of capital or financing, and we can provide no assurances that the terms of such capital or financing will be available to us on favorable terms, if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Our contractual obligations increased significantly due to the acquisition of HIS. The following table summarizes our contractual obligations, excluding open orders for purchases that support normal operations, as of June 30, 2017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Remainder of 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49"/>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payments on long-term debt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obligations</w:t>
            </w:r>
          </w:p>
        </w:tc>
        <w:tc>
          <w:tcPr>
            <w:tcW w:w="24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297</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34,258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3,316</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3,216</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9,551</w:t>
            </w: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101,854</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9,397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14,005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34,757</w:t>
            </w: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39,218</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219,293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15,937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113,370</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42,434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9,551</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 w:firstLine="8"/>
        <w:spacing w:after="0" w:line="290" w:lineRule="auto"/>
        <w:tabs>
          <w:tab w:leader="none" w:pos="17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Purchase obligations includes agreements to purchase goods that are enforceable and legally binding. These amounts are not accrued as of June 30, 2017. It does not include milestone payments where payments may be refundable unless regulatory approval is obtained.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Indebtedness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entered into a senior note with Pfizer on February 3, 2017 to partially finance the HIS business acquisition and pay interest on that note based on LIBOR plus (i) 2.25% per year for the first 12 months, and (ii) 2.50% per annum thereafter.</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At June 30, 2017, we had $75.0 million in principal outstanding under the senior note. The senior note is a three-year interest-only note and matures on February 3, 2020.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2016, we identified the critical accounting policies which affect our more significant estimates and assumptions used in preparing our consolidated financial statements. Other than the addition of the business combination critical accounting policy below we have not changed our policies from those previously disclosed in our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for acquisitions requires extensive use of accounting estimates and judgments to allocate the purchase price to the identifiable tangible and intangible assets acquired, including in-process research and development, and liabilities assumed based on their respective fair values.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 to Part I, Item 1.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89" w:lineRule="exact"/>
        <w:rPr>
          <w:sz w:val="20"/>
          <w:szCs w:val="20"/>
          <w:color w:val="auto"/>
        </w:rPr>
      </w:pPr>
    </w:p>
    <w:p>
      <w:pPr>
        <w:ind w:left="1300" w:right="80" w:hanging="320"/>
        <w:spacing w:after="0" w:line="25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87" w:lineRule="exact"/>
        <w:rPr>
          <w:rFonts w:ascii="Times New Roman" w:cs="Times New Roman" w:eastAsia="Times New Roman" w:hAnsi="Times New Roman"/>
          <w:sz w:val="18"/>
          <w:szCs w:val="18"/>
          <w:color w:val="auto"/>
        </w:rPr>
      </w:pPr>
    </w:p>
    <w:p>
      <w:pPr>
        <w:ind w:left="1300" w:hanging="320"/>
        <w:spacing w:after="0" w:line="25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including the HIS business, SwabCap (EXC) and Tangent;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98" w:lineRule="exact"/>
        <w:rPr>
          <w:rFonts w:ascii="Times New Roman" w:cs="Times New Roman" w:eastAsia="Times New Roman" w:hAnsi="Times New Roman"/>
          <w:sz w:val="18"/>
          <w:szCs w:val="18"/>
          <w:color w:val="auto"/>
        </w:rPr>
      </w:pPr>
    </w:p>
    <w:p>
      <w:pPr>
        <w:ind w:left="1300" w:right="580" w:hanging="320"/>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extended contracts with manufacturers and buying organizations; dependence on a small number of customers; loss of larger distributors and the ability to locate other distributors; the impact of our acquisition</w:t>
      </w:r>
    </w:p>
    <w:p>
      <w:pPr>
        <w:sectPr>
          <w:pgSz w:w="11900" w:h="16838" w:orient="portrait"/>
          <w:cols w:equalWidth="0" w:num="1">
            <w:col w:w="11400"/>
          </w:cols>
          <w:pgMar w:left="240" w:top="360"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ind w:left="1300"/>
        <w:spacing w:after="0" w:line="301" w:lineRule="auto"/>
        <w:rPr>
          <w:sz w:val="20"/>
          <w:szCs w:val="20"/>
          <w:color w:val="auto"/>
        </w:rPr>
      </w:pPr>
      <w:r>
        <w:rPr>
          <w:rFonts w:ascii="Times New Roman" w:cs="Times New Roman" w:eastAsia="Times New Roman" w:hAnsi="Times New Roman"/>
          <w:sz w:val="18"/>
          <w:szCs w:val="18"/>
          <w:color w:val="auto"/>
        </w:rPr>
        <w:t>of the HIS business;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62" w:lineRule="exact"/>
        <w:rPr>
          <w:sz w:val="20"/>
          <w:szCs w:val="20"/>
          <w:color w:val="auto"/>
        </w:rPr>
      </w:pPr>
    </w:p>
    <w:p>
      <w:pPr>
        <w:ind w:right="60" w:firstLine="693"/>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Second, investors should read the forward looking statements in conjunction with the Risk Factors discussed in Part I, Item 1A of our Annual Report on Form 10-K with the SEC for the year ended December 31, 2016, Part II, Item 1A of this Quarterly Report on Form 10-Q and our other reports filed with the SEC. Also, actual future operating results are subject to other important factors and risks that we cannot predict or control, including without limitation, the following:</w:t>
      </w:r>
    </w:p>
    <w:p>
      <w:pPr>
        <w:spacing w:after="0" w:line="180" w:lineRule="exact"/>
        <w:rPr>
          <w:sz w:val="20"/>
          <w:szCs w:val="20"/>
          <w:color w:val="auto"/>
        </w:rPr>
      </w:pPr>
    </w:p>
    <w:p>
      <w:pPr>
        <w:ind w:left="340" w:right="5100"/>
        <w:spacing w:after="0" w:line="391" w:lineRule="auto"/>
        <w:rPr>
          <w:sz w:val="20"/>
          <w:szCs w:val="20"/>
          <w:color w:val="auto"/>
        </w:rPr>
      </w:pPr>
      <w:r>
        <w:rPr>
          <w:rFonts w:ascii="Times New Roman" w:cs="Times New Roman" w:eastAsia="Times New Roman" w:hAnsi="Times New Roman"/>
          <w:sz w:val="18"/>
          <w:szCs w:val="18"/>
          <w:color w:val="auto"/>
        </w:rPr>
        <w:t>•general economic and business conditions, both in the U.S. and internationally; •unexpected changes in our arrangements with Pfizer or our other large customers;</w:t>
      </w:r>
    </w:p>
    <w:p>
      <w:pPr>
        <w:spacing w:after="0" w:line="1" w:lineRule="exact"/>
        <w:rPr>
          <w:sz w:val="20"/>
          <w:szCs w:val="20"/>
          <w:color w:val="auto"/>
        </w:rPr>
      </w:pPr>
    </w:p>
    <w:p>
      <w:pPr>
        <w:ind w:left="480" w:hanging="148"/>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 of litigation;</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 and other risks of doing business internationally;</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labor costs or competition for skilled workers;</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or availability of the raw materials need to manufacture our products;</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price and safety considerations on the healthcare industry;</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such as product innovation, new technologies, marketing and distribution strength and price erosion;</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development and marketing of new products;</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market shifts and trends;</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legislation affecting government reimbursement of healthcare costs;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by our major customers and independent distributors in their strategies that might affect their efforts to market our products;</w:t>
      </w:r>
    </w:p>
    <w:p>
      <w:pPr>
        <w:spacing w:after="0" w:line="144" w:lineRule="exact"/>
        <w:rPr>
          <w:sz w:val="20"/>
          <w:szCs w:val="20"/>
          <w:color w:val="auto"/>
        </w:rPr>
      </w:pPr>
    </w:p>
    <w:p>
      <w:pPr>
        <w:ind w:left="480" w:hanging="148"/>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additional governmental regulations;</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production problems; and</w:t>
      </w:r>
    </w:p>
    <w:p>
      <w:pPr>
        <w:spacing w:after="0" w:line="15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patent protection and the cost of enforcing and of defending patent claims.</w:t>
      </w:r>
    </w:p>
    <w:p>
      <w:pPr>
        <w:spacing w:after="0" w:line="23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market risk stemming from changes in interest rates and foreign currency exchange rates.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market risk on interest rates relates to a $75 million senior note with Pfizer that we entered in to on February 3, 2017 to partially fund the HIS business acquisition. We pay interest on that note based on LIBOR plus (i) 2.25% per year for the first 12 months, and (ii) 2.50% per annum thereafter. We are exposed to interest rate risk from changes in interest rates. We use a sensitivity analyses to measure our interest rate risk exposure.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LIBOR rate increases or decreases 1% from June 30, 2017, the additional annual interest expense or savings would amount to $0.8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foreign currency exchange risk related to foreign-denominated cash, accounts receivable and accounts payable and accrued liabilities. In our European operations, our net Euro asset position at June 30, 2017 was approximately €46.4 million. A 10% change in the conversion of the Euro to the U.S. dollar for our cash, accounts receivable, accounts payable and accrued liabilities from the June 30, 2017 spot rate would impact our consolidated amounts on these balance sheet items by approximately $5.3 million, or 3.0% of these consolidated net assets. We expect that in the future, with the growth of our European distribution operations, net Euro denominated instruments will continue to increase. We currently do not hedge our Euro foreign currency exposures.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February 3, 2017, we completed our acquisition of HIS. As the acquisition occurred in the first quarter of 2017, the scope of our evaluation of the effectiveness of internal control over financial reporting does not include HIS. This exclusion is in accordance with the SEC's general guidance that an assessment of a recently acquired business may be omitted from our scope for a period not to exceed one year from the date of the acquisition.</w:t>
      </w:r>
    </w:p>
    <w:p>
      <w:pPr>
        <w:spacing w:after="0" w:line="17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quarter ended June 30, 2017 that has materially affected or is reasonably likely to materially affect our internal control over financial reporting, except as mentioned above.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29"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color w:val="auto"/>
        </w:rPr>
        <w:t>Beginning in November 2016, purported class actions were filed in the U.S. District Court for the Northern District of Illinois against Pfizer, Inc.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the defendants’ conduct restricts output and artificially fixes, raises, maintains and/or stabilizes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February 3, 2017, we completed the acquisition of the HIS business from Pfizer. This litigation is the subject of a claim for indemnification against us by Pfizer and a cross-claim for indemnification against Pfizer by us under the HIS stock and asset purchase agreement (“SAPA”).</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 calls for production of documents related to the manufacturing, selling, pricing and shortages of intravenous solutions, including saline, as well as communications among market participants regarding these issues. The Department of Justice investigation is the subject of cross-claims for indemnification by both us and Pfizer under the SAPA. We will coordinate with Pfizer to produce records to the New York Attorney General and the Department of Justice.</w:t>
      </w:r>
    </w:p>
    <w:p>
      <w:pPr>
        <w:spacing w:after="0" w:line="189" w:lineRule="exact"/>
        <w:rPr>
          <w:sz w:val="20"/>
          <w:szCs w:val="20"/>
          <w:color w:val="auto"/>
        </w:rPr>
      </w:pPr>
    </w:p>
    <w:p>
      <w:pPr>
        <w:jc w:val="both"/>
        <w:ind w:right="60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legal matter described above, we are from time to time involved in various other legal proceedings, either as a defendant or plaintiff, most of which are routine litigation in the normal course of business. We believe that the resolution of the legal proceedings in which we are involved will not have a material adverse effect on our financial position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 evaluating an investment in our common stock, investors should consider carefully, among other things, the risk factors previously disclosed in Part I, Item 1A of our Annual Report on Form 10-K filed with the SEC for the year ended December 31, 2016, as well as the information contained in this Quarterly Report and our other reports and registration statements filed with the SEC.</w:t>
      </w:r>
    </w:p>
    <w:p>
      <w:pPr>
        <w:spacing w:after="0" w:line="174" w:lineRule="exact"/>
        <w:rPr>
          <w:sz w:val="20"/>
          <w:szCs w:val="20"/>
          <w:color w:val="auto"/>
        </w:rPr>
      </w:pPr>
    </w:p>
    <w:p>
      <w:pPr>
        <w:ind w:right="420" w:firstLine="608"/>
        <w:spacing w:after="0" w:line="267" w:lineRule="auto"/>
        <w:rPr>
          <w:sz w:val="20"/>
          <w:szCs w:val="20"/>
          <w:color w:val="auto"/>
        </w:rPr>
      </w:pPr>
      <w:r>
        <w:rPr>
          <w:rFonts w:ascii="Times New Roman" w:cs="Times New Roman" w:eastAsia="Times New Roman" w:hAnsi="Times New Roman"/>
          <w:sz w:val="18"/>
          <w:szCs w:val="18"/>
          <w:i w:val="1"/>
          <w:iCs w:val="1"/>
          <w:color w:val="auto"/>
        </w:rPr>
        <w:t>The HIS business acquisition has resulted in organizational change and significant growth to our business. If we fail to effectively manage this growth and change to our business in a manner that preserves our reputation with customers and the key aspects of our corporate culture, our business, financial condition and results of operations could be harmed.</w:t>
      </w:r>
    </w:p>
    <w:p>
      <w:pPr>
        <w:spacing w:after="0" w:line="176" w:lineRule="exact"/>
        <w:rPr>
          <w:sz w:val="20"/>
          <w:szCs w:val="20"/>
          <w:color w:val="auto"/>
        </w:rPr>
      </w:pPr>
    </w:p>
    <w:p>
      <w:pPr>
        <w:ind w:right="220" w:firstLine="608"/>
        <w:spacing w:after="0" w:line="255" w:lineRule="auto"/>
        <w:rPr>
          <w:sz w:val="20"/>
          <w:szCs w:val="20"/>
          <w:color w:val="auto"/>
        </w:rPr>
      </w:pPr>
      <w:r>
        <w:rPr>
          <w:rFonts w:ascii="Times New Roman" w:cs="Times New Roman" w:eastAsia="Times New Roman" w:hAnsi="Times New Roman"/>
          <w:sz w:val="18"/>
          <w:szCs w:val="18"/>
          <w:color w:val="auto"/>
        </w:rPr>
        <w:t>The HIS business has resulted in significant growth in our personnel and operations, adding approximately 4,400 employees to our headcount, bringing our total headcount as of June 30, 2017 to approximately 7,100 employees. In addition, the acquisition process and other events prior to our acquisition put a significant strain on certain HIS business customer relationships. We will continue to incur significant expenditures and the allocation of management time to assimilate the HIS business employees in a manner that preserves the key aspects of our corporate culture, including a focus on strong customer satisfaction, but there can be no assurance that we will be successful in our efforts. If we do not effectively integrate, train and manage our combined employee base and maintain strong customer relationships, our corporate culture could be undermined, the quality of our products and customer service could suffer, and our reputation could be harmed, each of which could adversely impact our business, financial condition and results of operations.</w:t>
      </w:r>
    </w:p>
    <w:p>
      <w:pPr>
        <w:spacing w:after="0" w:line="18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in the risk factors other than those mentioned above from those previously disclosed under “Risk Factors” in Part I, Item 1A of our Annual Report on Form 10-K with the SEC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Equity Securities</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stock repurchasing activity during the second quarter of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that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the program</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04/01/2017 — 04/30/2017</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7,169,000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05/01/2017 — 05/31/2017</w:t>
            </w:r>
          </w:p>
        </w:tc>
        <w:tc>
          <w:tcPr>
            <w:tcW w:w="15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7,169,000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06/01/2017 — 06/30/2017</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7,169,000</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Second quarter of 2017 total</w:t>
            </w:r>
          </w:p>
        </w:tc>
        <w:tc>
          <w:tcPr>
            <w:tcW w:w="150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7,169,000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____________________________</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40" w:right="100" w:hanging="332"/>
        <w:spacing w:after="0" w:line="251" w:lineRule="auto"/>
        <w:tabs>
          <w:tab w:leader="none" w:pos="34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6"/>
          <w:szCs w:val="16"/>
          <w:color w:val="auto"/>
        </w:rPr>
        <w:t>common stock purchase plan, which authorized the repurchase of up to $40.0 million of our common stock, was authorized by our Board of Directors and publicly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announced on July 19, 2010.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80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500" w:type="dxa"/>
            <w:vAlign w:val="bottom"/>
          </w:tcPr>
          <w:p>
            <w:pPr>
              <w:spacing w:after="0"/>
              <w:rPr>
                <w:sz w:val="17"/>
                <w:szCs w:val="17"/>
                <w:color w:val="auto"/>
              </w:rPr>
            </w:pPr>
          </w:p>
        </w:tc>
      </w:tr>
      <w:tr>
        <w:trPr>
          <w:trHeight w:val="439"/>
        </w:trPr>
        <w:tc>
          <w:tcPr>
            <w:tcW w:w="1240" w:type="dxa"/>
            <w:vAlign w:val="bottom"/>
            <w:tcBorders>
              <w:top w:val="single" w:sz="8" w:color="0000EE"/>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9500" w:type="dxa"/>
            <w:vAlign w:val="bottom"/>
          </w:tcPr>
          <w:p>
            <w:pPr>
              <w:spacing w:after="0"/>
              <w:rPr>
                <w:sz w:val="24"/>
                <w:szCs w:val="24"/>
                <w:color w:val="auto"/>
              </w:rPr>
            </w:pPr>
          </w:p>
        </w:tc>
      </w:tr>
      <w:tr>
        <w:trPr>
          <w:trHeight w:val="502"/>
        </w:trPr>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10.1</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Amended and Restated Executive Employment Agreement, dated as of May 8, 2017, by and between ICU Medical, Inc. and</w:t>
            </w:r>
          </w:p>
        </w:tc>
      </w:tr>
      <w:tr>
        <w:trPr>
          <w:trHeight w:val="216"/>
        </w:trPr>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Vivek Jain. Filed as Exhibit 10.1 to Registrant's Current Report on Form 8-K filed on May 8, 2017, and incorporated herein</w:t>
            </w:r>
          </w:p>
        </w:tc>
      </w:tr>
      <w:tr>
        <w:trPr>
          <w:trHeight w:val="234"/>
        </w:trPr>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 reference.</w:t>
            </w:r>
          </w:p>
        </w:tc>
      </w:tr>
      <w:tr>
        <w:trPr>
          <w:trHeight w:val="373"/>
        </w:trPr>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10.2</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Amended and Restated ICU Medical, Inc. 2011 Stock Incentive Plan. Filed as Exhibit 10.1 to Registrant's Current Report on</w:t>
            </w:r>
          </w:p>
        </w:tc>
      </w:tr>
      <w:tr>
        <w:trPr>
          <w:trHeight w:val="234"/>
        </w:trPr>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8-K filed on May 12, 2017, and incorporated herein by reference.</w:t>
            </w:r>
          </w:p>
        </w:tc>
      </w:tr>
      <w:tr>
        <w:trPr>
          <w:trHeight w:val="392"/>
        </w:trPr>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31.1</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392"/>
        </w:trPr>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31.2</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373"/>
        </w:trPr>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32.1</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Certifications of Chief Executive Officer and Chief Financial Officer pursuant to Section 906 of the Sarbanes-Oxley Act of</w:t>
            </w:r>
          </w:p>
        </w:tc>
      </w:tr>
      <w:tr>
        <w:trPr>
          <w:trHeight w:val="234"/>
        </w:trPr>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2002</w:t>
            </w:r>
          </w:p>
        </w:tc>
      </w:tr>
      <w:tr>
        <w:trPr>
          <w:trHeight w:val="392"/>
        </w:trPr>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101.INS</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101.SCH</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101.CAL</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101.DEF</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101.LAB</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101.PRE</w:t>
            </w:r>
          </w:p>
        </w:tc>
        <w:tc>
          <w:tcPr>
            <w:tcW w:w="9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00"/>
          </w:cols>
          <w:pgMar w:left="240" w:top="108" w:right="3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ICU Medical, Inc.</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p>
      <w:pPr>
        <w:ind w:left="40"/>
        <w:spacing w:after="0"/>
        <w:tabs>
          <w:tab w:leader="none" w:pos="5920" w:val="left"/>
        </w:tabs>
        <w:rPr>
          <w:sz w:val="20"/>
          <w:szCs w:val="20"/>
          <w:color w:val="auto"/>
        </w:rPr>
      </w:pPr>
      <w:r>
        <w:rPr>
          <w:rFonts w:ascii="Times New Roman" w:cs="Times New Roman" w:eastAsia="Times New Roman" w:hAnsi="Times New Roman"/>
          <w:sz w:val="18"/>
          <w:szCs w:val="18"/>
          <w:color w:val="auto"/>
        </w:rPr>
        <w:t>/s/ Scott E. Lamb</w:t>
      </w:r>
      <w:r>
        <w:rPr>
          <w:sz w:val="20"/>
          <w:szCs w:val="20"/>
          <w:color w:val="auto"/>
        </w:rPr>
        <w:tab/>
      </w:r>
      <w:r>
        <w:rPr>
          <w:rFonts w:ascii="Times New Roman" w:cs="Times New Roman" w:eastAsia="Times New Roman" w:hAnsi="Times New Roman"/>
          <w:sz w:val="17"/>
          <w:szCs w:val="17"/>
          <w:color w:val="auto"/>
        </w:rPr>
        <w:t>Date: August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01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Scott E. Lamb</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240" w:top="121" w:right="6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9460" w:type="dxa"/>
            <w:vAlign w:val="bottom"/>
          </w:tcPr>
          <w:p>
            <w:pPr>
              <w:spacing w:after="0"/>
              <w:rPr>
                <w:sz w:val="17"/>
                <w:szCs w:val="17"/>
                <w:color w:val="auto"/>
              </w:rPr>
            </w:pPr>
          </w:p>
        </w:tc>
      </w:tr>
      <w:tr>
        <w:trPr>
          <w:trHeight w:val="718"/>
        </w:trPr>
        <w:tc>
          <w:tcPr>
            <w:tcW w:w="10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Exhibit 10.1</w:t>
            </w:r>
          </w:p>
        </w:tc>
        <w:tc>
          <w:tcPr>
            <w:tcW w:w="560" w:type="dxa"/>
            <w:vAlign w:val="bottom"/>
          </w:tcPr>
          <w:p>
            <w:pPr>
              <w:spacing w:after="0"/>
              <w:rPr>
                <w:sz w:val="24"/>
                <w:szCs w:val="24"/>
                <w:color w:val="auto"/>
              </w:rPr>
            </w:pP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Amended and Restated Executive Employment Agreement, dated as of May 8, 2017, by and between ICU Medical, Inc. and</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Vivek Jain. Filed as Exhibit 10.1 to Registrant's Current Report on Form 8-K filed on May 8, 2017, and incorporated herein by</w:t>
            </w:r>
          </w:p>
        </w:tc>
      </w:tr>
      <w:tr>
        <w:trPr>
          <w:trHeight w:val="234"/>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10.2</w:t>
            </w: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Amended and Restated ICU Medical, Inc. 2011 Stock Incentive Plan. Filed as Exhibit 10.1 to Registrant's Current Report on</w:t>
            </w:r>
          </w:p>
        </w:tc>
      </w:tr>
      <w:tr>
        <w:trPr>
          <w:trHeight w:val="234"/>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8-K filed on May 12, 2017, and incorporated herein by reference.</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31.1</w:t>
            </w: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31.2</w:t>
            </w: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373"/>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32.1</w:t>
            </w: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Certifications of Chief Executive Officer and Chief Financial Officer pursuant to Section 906 of the Sarbanes-Oxley Act of</w:t>
            </w:r>
          </w:p>
        </w:tc>
      </w:tr>
      <w:tr>
        <w:trPr>
          <w:trHeight w:val="234"/>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2002</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101.INS</w:t>
            </w: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101.SCH</w:t>
            </w: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101.CAL</w:t>
            </w: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101.DEF</w:t>
            </w: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101.LAB</w:t>
            </w: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101.PRE</w:t>
            </w:r>
          </w:p>
        </w:tc>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240" w:top="351" w:right="5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Vivek Jain, certify that:</w:t>
      </w:r>
    </w:p>
    <w:p>
      <w:pPr>
        <w:spacing w:after="0" w:line="225"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ICU Medical, Inc.;</w:t>
      </w:r>
    </w:p>
    <w:p>
      <w:pPr>
        <w:spacing w:after="0" w:line="22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1300" w:right="8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1300" w:right="32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ind w:left="1300" w:right="62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80"/>
        <w:spacing w:after="0"/>
        <w:tabs>
          <w:tab w:leader="none" w:pos="584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7"/>
          <w:szCs w:val="17"/>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E. Lamb, certify that:</w:t>
      </w:r>
    </w:p>
    <w:p>
      <w:pPr>
        <w:spacing w:after="0" w:line="225" w:lineRule="exact"/>
        <w:rPr>
          <w:sz w:val="20"/>
          <w:szCs w:val="20"/>
          <w:color w:val="auto"/>
        </w:rPr>
      </w:pPr>
    </w:p>
    <w:p>
      <w:pPr>
        <w:ind w:left="1160" w:hanging="585"/>
        <w:spacing w:after="0"/>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ICU Medical, Inc.;</w:t>
      </w:r>
    </w:p>
    <w:p>
      <w:pPr>
        <w:spacing w:after="0" w:line="265" w:lineRule="exact"/>
        <w:rPr>
          <w:rFonts w:ascii="Times New Roman" w:cs="Times New Roman" w:eastAsia="Times New Roman" w:hAnsi="Times New Roman"/>
          <w:sz w:val="18"/>
          <w:szCs w:val="18"/>
          <w:color w:val="auto"/>
        </w:rPr>
      </w:pPr>
    </w:p>
    <w:p>
      <w:pPr>
        <w:jc w:val="both"/>
        <w:ind w:left="1140" w:right="80" w:hanging="565"/>
        <w:spacing w:after="0" w:line="266"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140" w:right="40" w:hanging="565"/>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140" w:right="180" w:hanging="565"/>
        <w:spacing w:after="0" w:line="266"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1140" w:right="60" w:hanging="565"/>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565"/>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565"/>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565"/>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1140" w:right="140" w:hanging="565"/>
        <w:spacing w:after="0" w:line="313"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sz w:val="20"/>
          <w:szCs w:val="20"/>
          <w:color w:val="auto"/>
        </w:rPr>
      </w:pPr>
    </w:p>
    <w:p>
      <w:pPr>
        <w:ind w:left="1140" w:right="800" w:hanging="565"/>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565"/>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60"/>
        <w:spacing w:after="0"/>
        <w:tabs>
          <w:tab w:leader="none" w:pos="538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7"/>
          <w:szCs w:val="17"/>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679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ICU Medical, Inc. (the “Company”) on Form 10-Q for the period ended June 30, 2017 as filed with the Securities and Exchange Commission on the date hereof (the “Report”), I, Vivek Jain, Chief Executive Officer of the Company,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8"/>
          <w:szCs w:val="18"/>
          <w:color w:val="auto"/>
        </w:rPr>
        <w:t>August 9, 2017</w:t>
      </w:r>
      <w:r>
        <w:rPr>
          <w:sz w:val="20"/>
          <w:szCs w:val="20"/>
          <w:color w:val="auto"/>
        </w:rPr>
        <w:tab/>
      </w:r>
      <w:r>
        <w:rPr>
          <w:rFonts w:ascii="Times New Roman" w:cs="Times New Roman" w:eastAsia="Times New Roman" w:hAnsi="Times New Roman"/>
          <w:sz w:val="17"/>
          <w:szCs w:val="17"/>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Vivek Jain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ICU Medical, Inc. (the “Company”) on Form 10-Q for the period ended June 30, 2017 as filed with the Securities and Exchange Commission on the date hereof (the “Report”), I, Scott E. Lamb, Chief Financial Officer of the Company,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8"/>
          <w:szCs w:val="18"/>
          <w:color w:val="auto"/>
        </w:rPr>
        <w:t>August 9, 2017</w:t>
      </w:r>
      <w:r>
        <w:rPr>
          <w:sz w:val="20"/>
          <w:szCs w:val="20"/>
          <w:color w:val="auto"/>
        </w:rPr>
        <w:tab/>
      </w:r>
      <w:r>
        <w:rPr>
          <w:rFonts w:ascii="Times New Roman" w:cs="Times New Roman" w:eastAsia="Times New Roman" w:hAnsi="Times New Roman"/>
          <w:sz w:val="17"/>
          <w:szCs w:val="17"/>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Roman"/>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lowerRoman"/>
      <w:start w:val="2"/>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lvl w:ilvl="1">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2019-12-29T05:00:02Z</dcterms:created>
  <dcterms:modified xsi:type="dcterms:W3CDTF">2019-12-29T05:00:02Z</dcterms:modified>
</cp:coreProperties>
</file>