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67"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25"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7" w:lineRule="exact"/>
        <w:rPr>
          <w:sz w:val="24"/>
          <w:szCs w:val="24"/>
          <w:color w:val="auto"/>
        </w:rPr>
      </w:pPr>
    </w:p>
    <w:p>
      <w:pPr>
        <w:ind w:left="4200"/>
        <w:spacing w:after="0"/>
        <w:tabs>
          <w:tab w:leader="none" w:pos="6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9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Commission File No.: 001-34634</w:t>
      </w:r>
    </w:p>
    <w:p>
      <w:pPr>
        <w:spacing w:after="0" w:line="113"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ICU MEDICAL,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88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33-0022692</w:t>
      </w:r>
    </w:p>
    <w:p>
      <w:pPr>
        <w:spacing w:after="0" w:line="34" w:lineRule="exact"/>
        <w:rPr>
          <w:sz w:val="24"/>
          <w:szCs w:val="24"/>
          <w:color w:val="auto"/>
        </w:rPr>
      </w:pPr>
    </w:p>
    <w:p>
      <w:pPr>
        <w:sectPr>
          <w:pgSz w:w="11900" w:h="16838" w:orient="portrait"/>
          <w:cols w:equalWidth="0" w:num="2">
            <w:col w:w="7340" w:space="720"/>
            <w:col w:w="3180"/>
          </w:cols>
          <w:pgMar w:left="320" w:top="880" w:right="33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32" w:lineRule="exact"/>
        <w:rPr>
          <w:sz w:val="24"/>
          <w:szCs w:val="24"/>
          <w:color w:val="auto"/>
        </w:rPr>
      </w:pPr>
    </w:p>
    <w:p>
      <w:pPr>
        <w:sectPr>
          <w:pgSz w:w="11900" w:h="16838" w:orient="portrait"/>
          <w:cols w:equalWidth="0" w:num="2">
            <w:col w:w="7180" w:space="720"/>
            <w:col w:w="3340"/>
          </w:cols>
          <w:pgMar w:left="320" w:top="880" w:right="33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2">
            <w:col w:w="7120" w:space="720"/>
            <w:col w:w="3400"/>
          </w:cols>
          <w:pgMar w:left="320" w:top="880" w:right="339" w:bottom="1440" w:gutter="0" w:footer="0" w:header="0"/>
          <w:type w:val="continuous"/>
        </w:sectPr>
      </w:pPr>
    </w:p>
    <w:p>
      <w:pPr>
        <w:spacing w:after="0" w:line="60"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951 Calle Amanecer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San Clemente</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92673</w:t>
      </w:r>
    </w:p>
    <w:p>
      <w:pPr>
        <w:spacing w:after="0" w:line="34" w:lineRule="exact"/>
        <w:rPr>
          <w:sz w:val="24"/>
          <w:szCs w:val="24"/>
          <w:color w:val="auto"/>
        </w:rPr>
      </w:pPr>
    </w:p>
    <w:p>
      <w:pPr>
        <w:sectPr>
          <w:pgSz w:w="11900" w:h="16838" w:orient="portrait"/>
          <w:cols w:equalWidth="0" w:num="6">
            <w:col w:w="2720" w:space="340"/>
            <w:col w:w="40" w:space="200"/>
            <w:col w:w="960" w:space="180"/>
            <w:col w:w="60" w:space="360"/>
            <w:col w:w="2400" w:space="720"/>
            <w:col w:w="3260"/>
          </w:cols>
          <w:pgMar w:left="320" w:top="880" w:right="339" w:bottom="1440" w:gutter="0" w:footer="0" w:header="0"/>
          <w:type w:val="continuous"/>
        </w:sectPr>
      </w:pPr>
    </w:p>
    <w:p>
      <w:pPr>
        <w:ind w:left="21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98" w:lineRule="exact"/>
        <w:rPr>
          <w:sz w:val="24"/>
          <w:szCs w:val="24"/>
          <w:color w:val="auto"/>
        </w:rPr>
      </w:pPr>
    </w:p>
    <w:p>
      <w:pPr>
        <w:sectPr>
          <w:pgSz w:w="11900" w:h="16838" w:orient="portrait"/>
          <w:cols w:equalWidth="0" w:num="2">
            <w:col w:w="7100" w:space="720"/>
            <w:col w:w="3420"/>
          </w:cols>
          <w:pgMar w:left="320" w:top="880" w:right="3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(949) 366-2183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240"/>
          </w:cols>
          <w:pgMar w:left="320" w:top="880" w:right="339" w:bottom="1440" w:gutter="0" w:footer="0" w:header="0"/>
          <w:type w:val="continuous"/>
        </w:sectPr>
      </w:pPr>
    </w:p>
    <w:p>
      <w:pPr>
        <w:spacing w:after="0" w:line="176" w:lineRule="exact"/>
        <w:rPr>
          <w:sz w:val="24"/>
          <w:szCs w:val="24"/>
          <w:color w:val="auto"/>
        </w:rPr>
      </w:pPr>
    </w:p>
    <w:p>
      <w:pPr>
        <w:jc w:val="both"/>
        <w:ind w:right="360" w:firstLine="324"/>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w:t>
      </w:r>
    </w:p>
    <w:p>
      <w:pPr>
        <w:spacing w:after="0" w:line="146" w:lineRule="exact"/>
        <w:rPr>
          <w:sz w:val="24"/>
          <w:szCs w:val="24"/>
          <w:color w:val="auto"/>
        </w:rPr>
      </w:pPr>
    </w:p>
    <w:p>
      <w:pPr>
        <w:ind w:right="80" w:firstLine="324"/>
        <w:spacing w:after="0" w:line="28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w:t>
      </w:r>
    </w:p>
    <w:p>
      <w:pPr>
        <w:spacing w:after="0" w:line="129"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0" w:right="339" w:bottom="1440" w:gutter="0" w:footer="0" w:header="0"/>
          <w:type w:val="continuous"/>
        </w:sectPr>
      </w:pPr>
    </w:p>
    <w:p>
      <w:pPr>
        <w:spacing w:after="0" w:line="286"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53" w:lineRule="exact"/>
        <w:rPr>
          <w:sz w:val="24"/>
          <w:szCs w:val="24"/>
          <w:color w:val="auto"/>
        </w:rPr>
      </w:pPr>
    </w:p>
    <w:p>
      <w:pPr>
        <w:sectPr>
          <w:pgSz w:w="11900" w:h="16838" w:orient="portrait"/>
          <w:cols w:equalWidth="0" w:num="3">
            <w:col w:w="2800" w:space="720"/>
            <w:col w:w="3740" w:space="720"/>
            <w:col w:w="3260"/>
          </w:cols>
          <w:pgMar w:left="320" w:top="880" w:right="339" w:bottom="1440" w:gutter="0" w:footer="0" w:header="0"/>
          <w:type w:val="continuous"/>
        </w:sectPr>
      </w:pPr>
    </w:p>
    <w:p>
      <w:pPr>
        <w:spacing w:after="0" w:line="4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6780" w:space="720"/>
            <w:col w:w="2480" w:space="720"/>
            <w:col w:w="540"/>
          </w:cols>
          <w:pgMar w:left="320" w:top="880" w:right="339" w:bottom="1440" w:gutter="0" w:footer="0" w:header="0"/>
          <w:type w:val="continuous"/>
        </w:sectPr>
      </w:pPr>
    </w:p>
    <w:p>
      <w:pPr>
        <w:spacing w:after="0" w:line="47" w:lineRule="exact"/>
        <w:rPr>
          <w:sz w:val="24"/>
          <w:szCs w:val="24"/>
          <w:color w:val="auto"/>
        </w:rPr>
      </w:pPr>
    </w:p>
    <w:p>
      <w:pPr>
        <w:ind w:left="750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sectPr>
          <w:pgSz w:w="11900" w:h="16838" w:orient="portrait"/>
          <w:cols w:equalWidth="0" w:num="2">
            <w:col w:w="9980" w:space="720"/>
            <w:col w:w="540"/>
          </w:cols>
          <w:pgMar w:left="320" w:top="880" w:right="339" w:bottom="1440" w:gutter="0" w:footer="0" w:header="0"/>
          <w:type w:val="continuous"/>
        </w:sectPr>
      </w:pPr>
    </w:p>
    <w:p>
      <w:pPr>
        <w:ind w:right="220" w:firstLine="364"/>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9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5" w:lineRule="exact"/>
        <w:rPr>
          <w:sz w:val="24"/>
          <w:szCs w:val="24"/>
          <w:color w:val="auto"/>
        </w:rPr>
      </w:pPr>
    </w:p>
    <w:tbl>
      <w:tblPr>
        <w:tblLayout w:type="fixed"/>
        <w:tblInd w:w="200" w:type="dxa"/>
        <w:tblCellMar>
          <w:top w:w="0" w:type="dxa"/>
          <w:left w:w="0" w:type="dxa"/>
          <w:bottom w:w="0" w:type="dxa"/>
          <w:right w:w="0" w:type="dxa"/>
        </w:tblCellMar>
      </w:tblPr>
      <w:tr>
        <w:trPr>
          <w:trHeight w:val="2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7"/>
        </w:trPr>
        <w:tc>
          <w:tcPr>
            <w:tcW w:w="3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3"/>
        </w:trPr>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$0.10 per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ICUI</w:t>
            </w:r>
          </w:p>
        </w:tc>
        <w:tc>
          <w:tcPr>
            <w:tcW w:w="5440" w:type="dxa"/>
            <w:vAlign w:val="bottom"/>
          </w:tcPr>
          <w:p>
            <w:pPr>
              <w:ind w:left="3920"/>
              <w:spacing w:after="0"/>
              <w:rPr>
                <w:sz w:val="20"/>
                <w:szCs w:val="20"/>
                <w:color w:val="auto"/>
              </w:rPr>
            </w:pPr>
            <w:r>
              <w:rPr>
                <w:rFonts w:ascii="Times New Roman" w:cs="Times New Roman" w:eastAsia="Times New Roman" w:hAnsi="Times New Roman"/>
                <w:sz w:val="16"/>
                <w:szCs w:val="16"/>
                <w:color w:val="auto"/>
              </w:rPr>
              <w:t>(Global Select Market)</w:t>
            </w:r>
          </w:p>
        </w:tc>
      </w:tr>
    </w:tbl>
    <w:p>
      <w:pPr>
        <w:spacing w:after="0" w:line="8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5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5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Outstanding at October 31, 2020</w:t>
            </w:r>
          </w:p>
        </w:tc>
      </w:tr>
      <w:tr>
        <w:trPr>
          <w:trHeight w:val="207"/>
        </w:trPr>
        <w:tc>
          <w:tcPr>
            <w:tcW w:w="180" w:type="dxa"/>
            <w:vAlign w:val="bottom"/>
          </w:tcPr>
          <w:p>
            <w:pPr>
              <w:spacing w:after="0"/>
              <w:rPr>
                <w:sz w:val="17"/>
                <w:szCs w:val="17"/>
                <w:color w:val="auto"/>
              </w:rPr>
            </w:pPr>
          </w:p>
        </w:tc>
        <w:tc>
          <w:tcPr>
            <w:tcW w:w="5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420" w:type="dxa"/>
            <w:vAlign w:val="bottom"/>
          </w:tcPr>
          <w:p>
            <w:pPr>
              <w:spacing w:after="0"/>
              <w:rPr>
                <w:sz w:val="17"/>
                <w:szCs w:val="17"/>
                <w:color w:val="auto"/>
              </w:rPr>
            </w:pPr>
          </w:p>
        </w:tc>
        <w:tc>
          <w:tcPr>
            <w:tcW w:w="5240" w:type="dxa"/>
            <w:vAlign w:val="bottom"/>
            <w:tcBorders>
              <w:top w:val="single" w:sz="8" w:color="auto"/>
            </w:tcBorders>
          </w:tcPr>
          <w:p>
            <w:pPr>
              <w:jc w:val="right"/>
              <w:ind w:right="2159"/>
              <w:spacing w:after="0"/>
              <w:rPr>
                <w:sz w:val="20"/>
                <w:szCs w:val="20"/>
                <w:color w:val="auto"/>
              </w:rPr>
            </w:pPr>
            <w:r>
              <w:rPr>
                <w:rFonts w:ascii="Times New Roman" w:cs="Times New Roman" w:eastAsia="Times New Roman" w:hAnsi="Times New Roman"/>
                <w:sz w:val="16"/>
                <w:szCs w:val="16"/>
                <w:color w:val="auto"/>
              </w:rPr>
              <w:t>20,981,128</w:t>
            </w:r>
          </w:p>
        </w:tc>
        <w:tc>
          <w:tcPr>
            <w:tcW w:w="180" w:type="dxa"/>
            <w:vAlign w:val="bottom"/>
          </w:tcPr>
          <w:p>
            <w:pPr>
              <w:spacing w:after="0"/>
              <w:rPr>
                <w:sz w:val="17"/>
                <w:szCs w:val="17"/>
                <w:color w:val="auto"/>
              </w:rPr>
            </w:pPr>
          </w:p>
        </w:tc>
      </w:tr>
      <w:tr>
        <w:trPr>
          <w:trHeight w:val="904"/>
        </w:trPr>
        <w:tc>
          <w:tcPr>
            <w:tcW w:w="1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8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gridSpan w:val="2"/>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80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Condensed Consolidated Balance Sheets, at September 30, 2020 and December 31, 2019</w:t>
            </w:r>
          </w:p>
        </w:tc>
        <w:tc>
          <w:tcPr>
            <w:tcW w:w="1380" w:type="dxa"/>
            <w:vAlign w:val="bottom"/>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and Nine Months Ended September 30,</w:t>
            </w:r>
          </w:p>
        </w:tc>
        <w:tc>
          <w:tcPr>
            <w:tcW w:w="1380" w:type="dxa"/>
            <w:vAlign w:val="bottom"/>
            <w:vMerge w:val="restart"/>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2020 and 2019</w:t>
            </w:r>
          </w:p>
        </w:tc>
        <w:tc>
          <w:tcPr>
            <w:tcW w:w="13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 and Nine Months Ended</w:t>
            </w:r>
          </w:p>
        </w:tc>
        <w:tc>
          <w:tcPr>
            <w:tcW w:w="1380" w:type="dxa"/>
            <w:vAlign w:val="bottom"/>
            <w:vMerge w:val="restart"/>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September 30, 2020 and 2019</w:t>
            </w:r>
          </w:p>
        </w:tc>
        <w:tc>
          <w:tcPr>
            <w:tcW w:w="13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Three and Nine Months Ended</w:t>
            </w:r>
          </w:p>
        </w:tc>
        <w:tc>
          <w:tcPr>
            <w:tcW w:w="1380" w:type="dxa"/>
            <w:vAlign w:val="bottom"/>
            <w:vMerge w:val="restart"/>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September 30, 2020 and 2019</w:t>
            </w:r>
          </w:p>
        </w:tc>
        <w:tc>
          <w:tcPr>
            <w:tcW w:w="13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2020 and</w:t>
            </w:r>
          </w:p>
        </w:tc>
        <w:tc>
          <w:tcPr>
            <w:tcW w:w="1380" w:type="dxa"/>
            <w:vAlign w:val="bottom"/>
            <w:vMerge w:val="restart"/>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2019</w:t>
            </w:r>
          </w:p>
        </w:tc>
        <w:tc>
          <w:tcPr>
            <w:tcW w:w="628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Notes to Condensed Consolidated Financial Statements</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Quantitative and Qualitative Disclosures About Market Risk</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Controls and Procedures</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560" w:type="dxa"/>
            <w:vAlign w:val="bottom"/>
          </w:tcPr>
          <w:p>
            <w:pPr>
              <w:spacing w:after="0"/>
              <w:rPr>
                <w:sz w:val="24"/>
                <w:szCs w:val="24"/>
                <w:color w:val="auto"/>
              </w:rPr>
            </w:pPr>
          </w:p>
        </w:tc>
        <w:tc>
          <w:tcPr>
            <w:tcW w:w="8540" w:type="dxa"/>
            <w:vAlign w:val="bottom"/>
            <w:gridSpan w:val="3"/>
          </w:tcPr>
          <w:p>
            <w:pPr>
              <w:ind w:left="540"/>
              <w:spacing w:after="0"/>
              <w:rPr>
                <w:rFonts w:ascii="Times New Roman" w:cs="Times New Roman" w:eastAsia="Times New Roman" w:hAnsi="Times New Roman"/>
                <w:sz w:val="18"/>
                <w:szCs w:val="18"/>
                <w:b w:val="1"/>
                <w:bCs w:val="1"/>
                <w:u w:val="single" w:color="auto"/>
                <w:color w:val="0000FF"/>
              </w:rPr>
            </w:pPr>
            <w:hyperlink w:anchor="page43">
              <w:r>
                <w:rPr>
                  <w:rFonts w:ascii="Times New Roman" w:cs="Times New Roman" w:eastAsia="Times New Roman" w:hAnsi="Times New Roman"/>
                  <w:sz w:val="18"/>
                  <w:szCs w:val="18"/>
                  <w:b w:val="1"/>
                  <w:bCs w:val="1"/>
                  <w:u w:val="single" w:color="auto"/>
                  <w:color w:val="0000FF"/>
                </w:rPr>
                <w:t>Other Information</w:t>
              </w:r>
            </w:hyperlink>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Legal Proceedings</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Item1A.</w:t>
            </w: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Risk Factors</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Unregistered Sales of Equity Securities and Use of Proceeds</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Exhibits</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gridSpan w:val="3"/>
          </w:tcPr>
          <w:p>
            <w:pPr>
              <w:ind w:left="540"/>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Signature</w:t>
              </w:r>
            </w:hyperlink>
          </w:p>
        </w:tc>
        <w:tc>
          <w:tcPr>
            <w:tcW w:w="1380" w:type="dxa"/>
            <w:vAlign w:val="bottom"/>
          </w:tcPr>
          <w:p>
            <w:pPr>
              <w:jc w:val="right"/>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gridSpan w:val="3"/>
          </w:tcPr>
          <w:p>
            <w:pPr>
              <w:jc w:val="right"/>
              <w:ind w:right="409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Item1.  Financial Statements (Unaudited)</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ICU MEDICAL,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par value data)</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268,670</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Short-term investment securities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23,967</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CASH, CASH EQUIVALENTS AND INVESTMENT SECURITIES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363,537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292,637</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$22,299 at September 30, 2020 and $20,219 at December 31, 2019</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202,219</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337,640</w:t>
            </w:r>
          </w:p>
        </w:tc>
        <w:tc>
          <w:tcPr>
            <w:tcW w:w="0" w:type="dxa"/>
            <w:vAlign w:val="bottom"/>
          </w:tcPr>
          <w:p>
            <w:pPr>
              <w:spacing w:after="0"/>
              <w:rPr>
                <w:sz w:val="1"/>
                <w:szCs w:val="1"/>
                <w:color w:val="auto"/>
              </w:rPr>
            </w:pP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income tax</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33,981</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900,139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882,197</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456,085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34,465</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211,408</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48,984</w:t>
            </w:r>
          </w:p>
        </w:tc>
        <w:tc>
          <w:tcPr>
            <w:tcW w:w="0" w:type="dxa"/>
            <w:vAlign w:val="bottom"/>
          </w:tcPr>
          <w:p>
            <w:pPr>
              <w:spacing w:after="0"/>
              <w:rPr>
                <w:sz w:val="1"/>
                <w:szCs w:val="1"/>
                <w:color w:val="auto"/>
              </w:rPr>
            </w:pPr>
          </w:p>
        </w:tc>
      </w:tr>
      <w:tr>
        <w:trPr>
          <w:trHeight w:val="183"/>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1,729,536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1,692,382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128,629</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117,776</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liability</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185,359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248,468</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14,459</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preferred stock, $1.00 par value Authorized—500 shares; Issued and outstanding — none</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82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stock, $0.10 par value — Authorized, 80,000 shares; Issued — 20,969 shares at September 30, 2020 and 20,743 shares at</w:t>
            </w: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31, 2019 and outstanding — 20,968 shares at September 30, 2020 and 20,742 shares at December 31, 2019</w:t>
            </w: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668,947</w:t>
            </w:r>
          </w:p>
        </w:tc>
        <w:tc>
          <w:tcPr>
            <w:tcW w:w="0" w:type="dxa"/>
            <w:vAlign w:val="bottom"/>
          </w:tcPr>
          <w:p>
            <w:pPr>
              <w:spacing w:after="0"/>
              <w:rPr>
                <w:sz w:val="1"/>
                <w:szCs w:val="1"/>
                <w:color w:val="auto"/>
              </w:rPr>
            </w:pP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at cost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782,510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721,782</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(15,402)</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1,452,220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1,377,244</w:t>
            </w:r>
          </w:p>
        </w:tc>
        <w:tc>
          <w:tcPr>
            <w:tcW w:w="0" w:type="dxa"/>
            <w:vAlign w:val="bottom"/>
          </w:tcPr>
          <w:p>
            <w:pPr>
              <w:spacing w:after="0"/>
              <w:rPr>
                <w:sz w:val="1"/>
                <w:szCs w:val="1"/>
                <w:color w:val="auto"/>
              </w:rPr>
            </w:pPr>
          </w:p>
        </w:tc>
      </w:tr>
      <w:tr>
        <w:trPr>
          <w:trHeight w:val="18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1,729,536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1,692,382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December 31, 2019 balances were derived from audited consolidated financial statements.</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747"/>
        </w:trPr>
        <w:tc>
          <w:tcPr>
            <w:tcW w:w="3840" w:type="dxa"/>
            <w:vAlign w:val="bottom"/>
          </w:tcPr>
          <w:p>
            <w:pPr>
              <w:spacing w:after="0"/>
              <w:rPr>
                <w:sz w:val="24"/>
                <w:szCs w:val="24"/>
                <w:color w:val="auto"/>
              </w:rPr>
            </w:pPr>
          </w:p>
        </w:tc>
        <w:tc>
          <w:tcPr>
            <w:tcW w:w="36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ICU MEDICAL,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8860" w:type="dxa"/>
            <w:vAlign w:val="bottom"/>
            <w:gridSpan w:val="9"/>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3840" w:type="dxa"/>
            <w:vAlign w:val="bottom"/>
          </w:tcPr>
          <w:p>
            <w:pPr>
              <w:spacing w:after="0"/>
              <w:rPr>
                <w:sz w:val="20"/>
                <w:szCs w:val="20"/>
                <w:color w:val="auto"/>
              </w:rPr>
            </w:pPr>
          </w:p>
        </w:tc>
        <w:tc>
          <w:tcPr>
            <w:tcW w:w="310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13"/>
        </w:trPr>
        <w:tc>
          <w:tcPr>
            <w:tcW w:w="3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4"/>
                <w:szCs w:val="24"/>
                <w:color w:val="auto"/>
              </w:rPr>
            </w:pPr>
          </w:p>
        </w:tc>
        <w:tc>
          <w:tcPr>
            <w:tcW w:w="23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3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2019</w:t>
            </w: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950,685</w:t>
            </w: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204,643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608,930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592,961</w:t>
            </w:r>
          </w:p>
        </w:tc>
      </w:tr>
      <w:tr>
        <w:trPr>
          <w:trHeight w:val="22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341,623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357,724</w:t>
            </w: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206,333</w:t>
            </w:r>
          </w:p>
        </w:tc>
      </w:tr>
      <w:tr>
        <w:trPr>
          <w:trHeight w:val="22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36,024</w:t>
            </w:r>
          </w:p>
        </w:tc>
      </w:tr>
      <w:tr>
        <w:trPr>
          <w:trHeight w:val="23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strategic transaction and integration</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69,408</w:t>
            </w:r>
          </w:p>
        </w:tc>
      </w:tr>
      <w:tr>
        <w:trPr>
          <w:trHeight w:val="22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earn-out</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w:t>
            </w:r>
          </w:p>
        </w:tc>
      </w:tr>
      <w:tr>
        <w:trPr>
          <w:trHeight w:val="23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settlement</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2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88,394</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270,480</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268,187</w:t>
            </w: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89,537</w:t>
            </w: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93,786</w:t>
            </w: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80,394</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r>
      <w:tr>
        <w:trPr>
          <w:trHeight w:val="234"/>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20" w:type="dxa"/>
            <w:vAlign w:val="bottom"/>
            <w:gridSpan w:val="4"/>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80,394</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left="120"/>
        <w:spacing w:after="0" w:line="215" w:lineRule="auto"/>
        <w:rPr>
          <w:sz w:val="20"/>
          <w:szCs w:val="20"/>
          <w:color w:val="auto"/>
        </w:rPr>
      </w:pPr>
      <w:r>
        <w:rPr>
          <w:rFonts w:ascii="Times New Roman" w:cs="Times New Roman" w:eastAsia="Times New Roman" w:hAnsi="Times New Roman"/>
          <w:sz w:val="18"/>
          <w:szCs w:val="18"/>
          <w:color w:val="auto"/>
        </w:rPr>
        <w:t>Cash flow hedge adjustments, net of taxes of ($321) and $118 for the</w:t>
      </w:r>
    </w:p>
    <w:p>
      <w:pPr>
        <w:ind w:left="120"/>
        <w:spacing w:after="0" w:line="203" w:lineRule="auto"/>
        <w:rPr>
          <w:sz w:val="20"/>
          <w:szCs w:val="20"/>
          <w:color w:val="auto"/>
        </w:rPr>
      </w:pPr>
      <w:r>
        <w:rPr>
          <w:rFonts w:ascii="Times New Roman" w:cs="Times New Roman" w:eastAsia="Times New Roman" w:hAnsi="Times New Roman"/>
          <w:sz w:val="18"/>
          <w:szCs w:val="18"/>
          <w:color w:val="auto"/>
        </w:rPr>
        <w:t>three months ended September 30, 2020 and 2019, respectively, and $256</w:t>
      </w:r>
    </w:p>
    <w:p>
      <w:pPr>
        <w:ind w:left="120"/>
        <w:spacing w:after="0" w:line="204" w:lineRule="auto"/>
        <w:rPr>
          <w:sz w:val="20"/>
          <w:szCs w:val="20"/>
          <w:color w:val="auto"/>
        </w:rPr>
      </w:pPr>
      <w:r>
        <w:rPr>
          <w:rFonts w:ascii="Times New Roman" w:cs="Times New Roman" w:eastAsia="Times New Roman" w:hAnsi="Times New Roman"/>
          <w:sz w:val="18"/>
          <w:szCs w:val="18"/>
          <w:color w:val="auto"/>
        </w:rPr>
        <w:t>and ($204) for the nine months ended September 30, 2020 and 2019,</w:t>
      </w:r>
    </w:p>
    <w:tbl>
      <w:tblPr>
        <w:tblLayout w:type="fixed"/>
        <w:tblInd w:w="0" w:type="dxa"/>
        <w:tblCellMar>
          <w:top w:w="0" w:type="dxa"/>
          <w:left w:w="0" w:type="dxa"/>
          <w:bottom w:w="0" w:type="dxa"/>
          <w:right w:w="0" w:type="dxa"/>
        </w:tblCellMar>
      </w:tblPr>
      <w:tr>
        <w:trPr>
          <w:trHeight w:val="20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34"/>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taxes of $0 for all periods</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net of taxes of $0 for all periods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7,645</w:t>
            </w: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(5,637)</w:t>
            </w:r>
          </w:p>
        </w:tc>
      </w:tr>
      <w:tr>
        <w:trPr>
          <w:trHeight w:val="235"/>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ICU MEDICAL, INC. AND SUBSIDIARIES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CONDENSED CONSOLIDATED STATEMENTS OF STOCKHOLDERS’ EQUITY (Unaudited)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420" w:type="dxa"/>
            <w:vAlign w:val="bottom"/>
          </w:tcPr>
          <w:p>
            <w:pPr>
              <w:spacing w:after="0"/>
              <w:rPr>
                <w:sz w:val="16"/>
                <w:szCs w:val="16"/>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42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8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668,947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721,782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(15,402)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1,377,244</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35"/>
        </w:trPr>
        <w:tc>
          <w:tcPr>
            <w:tcW w:w="4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(12,174)</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16,834</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665,679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738,616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1,375,893</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w:t>
            </w:r>
          </w:p>
        </w:tc>
        <w:tc>
          <w:tcPr>
            <w:tcW w:w="0" w:type="dxa"/>
            <w:vAlign w:val="bottom"/>
          </w:tcPr>
          <w:p>
            <w:pPr>
              <w:spacing w:after="0"/>
              <w:rPr>
                <w:sz w:val="1"/>
                <w:szCs w:val="1"/>
                <w:color w:val="auto"/>
              </w:rPr>
            </w:pPr>
          </w:p>
        </w:tc>
      </w:tr>
      <w:tr>
        <w:trPr>
          <w:trHeight w:val="135"/>
        </w:trPr>
        <w:tc>
          <w:tcPr>
            <w:tcW w:w="4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18,908</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June 30,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20,937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675,497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757,524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(23,178)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1,411,797</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135"/>
        </w:trPr>
        <w:tc>
          <w:tcPr>
            <w:tcW w:w="4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24,986</w:t>
            </w:r>
          </w:p>
        </w:tc>
        <w:tc>
          <w:tcPr>
            <w:tcW w:w="0" w:type="dxa"/>
            <w:vAlign w:val="bottom"/>
          </w:tcPr>
          <w:p>
            <w:pPr>
              <w:spacing w:after="0"/>
              <w:rPr>
                <w:sz w:val="1"/>
                <w:szCs w:val="1"/>
                <w:color w:val="auto"/>
              </w:rPr>
            </w:pPr>
          </w:p>
        </w:tc>
      </w:tr>
      <w:tr>
        <w:trPr>
          <w:trHeight w:val="208"/>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683,326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782,510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1,452,220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ICU MEDICAL, INC. AND SUBSIDIARIES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CONDENSED CONSOLIDATED STATEMENTS OF STOCKHOLDERS’ EQUITY (Unaudited) - 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86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657,899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620,747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(16,945)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1,263,655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30,998</w:t>
            </w:r>
          </w:p>
        </w:tc>
        <w:tc>
          <w:tcPr>
            <w:tcW w:w="0" w:type="dxa"/>
            <w:vAlign w:val="bottom"/>
          </w:tcPr>
          <w:p>
            <w:pPr>
              <w:spacing w:after="0"/>
              <w:rPr>
                <w:sz w:val="1"/>
                <w:szCs w:val="1"/>
                <w:color w:val="auto"/>
              </w:rPr>
            </w:pPr>
          </w:p>
        </w:tc>
      </w:tr>
      <w:tr>
        <w:trPr>
          <w:trHeight w:val="208"/>
        </w:trPr>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659,819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651,745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1,282,694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10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Borders>
              <w:top w:val="single" w:sz="8" w:color="CCEEFF"/>
            </w:tcBorders>
            <w:vMerge w:val="continue"/>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payments related to net share settlement of equity</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22,833</w:t>
            </w:r>
          </w:p>
        </w:tc>
        <w:tc>
          <w:tcPr>
            <w:tcW w:w="0" w:type="dxa"/>
            <w:vAlign w:val="bottom"/>
          </w:tcPr>
          <w:p>
            <w:pPr>
              <w:spacing w:after="0"/>
              <w:rPr>
                <w:sz w:val="1"/>
                <w:szCs w:val="1"/>
                <w:color w:val="auto"/>
              </w:rPr>
            </w:pPr>
          </w:p>
        </w:tc>
      </w:tr>
      <w:tr>
        <w:trPr>
          <w:trHeight w:val="208"/>
        </w:trPr>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June 30,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657,543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674,578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1,317,864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00" w:type="dxa"/>
            <w:vAlign w:val="bottom"/>
            <w:tcBorders>
              <w:top w:val="single" w:sz="8" w:color="CCEEFF"/>
            </w:tcBorders>
            <w:vMerge w:val="continue"/>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26,563</w:t>
            </w:r>
          </w:p>
        </w:tc>
        <w:tc>
          <w:tcPr>
            <w:tcW w:w="0" w:type="dxa"/>
            <w:vAlign w:val="bottom"/>
          </w:tcPr>
          <w:p>
            <w:pPr>
              <w:spacing w:after="0"/>
              <w:rPr>
                <w:sz w:val="1"/>
                <w:szCs w:val="1"/>
                <w:color w:val="auto"/>
              </w:rPr>
            </w:pPr>
          </w:p>
        </w:tc>
      </w:tr>
      <w:tr>
        <w:trPr>
          <w:trHeight w:val="208"/>
        </w:trPr>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September 30,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659,709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701,141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1,340,335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360" w:right="24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ICU MEDICAL, INC. AND SUBSIDIARIES CONDENSED CONSOLIDATED STATEMENTS OF CASH FLOWS (Unaudited) </w:t>
      </w:r>
      <w:r>
        <w:rPr>
          <w:rFonts w:ascii="Times New Roman" w:cs="Times New Roman" w:eastAsia="Times New Roman" w:hAnsi="Times New Roman"/>
          <w:sz w:val="18"/>
          <w:szCs w:val="18"/>
          <w:color w:val="auto"/>
        </w:rPr>
        <w:t>(In thousands)</w:t>
      </w:r>
    </w:p>
    <w:p>
      <w:pPr>
        <w:spacing w:after="0" w:line="29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93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80,394</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57,025</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warranty and returns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16,161</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disposal of property and equipment and other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13,350</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Bond premium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issuance costs amortization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(47,400)</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Product-related charges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Usage of spare parts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20,044</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(32,484)</w:t>
            </w:r>
          </w:p>
        </w:tc>
      </w:tr>
      <w:tr>
        <w:trPr>
          <w:trHeight w:val="189"/>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(30,924)</w:t>
            </w:r>
          </w:p>
        </w:tc>
      </w:tr>
      <w:tr>
        <w:trPr>
          <w:trHeight w:val="189"/>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8,815</w:t>
            </w:r>
          </w:p>
        </w:tc>
      </w:tr>
      <w:tr>
        <w:trPr>
          <w:trHeight w:val="189"/>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(29,494)</w:t>
            </w:r>
          </w:p>
        </w:tc>
      </w:tr>
      <w:tr>
        <w:trPr>
          <w:trHeight w:val="189"/>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r>
      <w:tr>
        <w:trPr>
          <w:trHeight w:val="189"/>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(23,214)</w:t>
            </w:r>
          </w:p>
        </w:tc>
      </w:tr>
      <w:tr>
        <w:trPr>
          <w:trHeight w:val="189"/>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w:t>
            </w:r>
          </w:p>
        </w:tc>
      </w:tr>
      <w:tr>
        <w:trPr>
          <w:trHeight w:val="182"/>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144,226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53,054</w:t>
            </w: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(73,253)</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asset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(6,461)</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(17,994)</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investment securities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36,400</w:t>
            </w:r>
          </w:p>
        </w:tc>
      </w:tr>
      <w:tr>
        <w:trPr>
          <w:trHeight w:val="182"/>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(65,889)</w:t>
            </w: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short-term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short-term debt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w:t>
            </w:r>
          </w:p>
        </w:tc>
      </w:tr>
      <w:tr>
        <w:trPr>
          <w:trHeight w:val="18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(18,478)</w:t>
            </w:r>
          </w:p>
        </w:tc>
      </w:tr>
      <w:tr>
        <w:trPr>
          <w:trHeight w:val="18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(14,238)</w:t>
            </w:r>
          </w:p>
        </w:tc>
      </w:tr>
      <w:tr>
        <w:trPr>
          <w:trHeight w:val="18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(1,759)</w:t>
            </w: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CASH AND CASH EQUIVALENTS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(28,832)</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268,670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344,781</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350,993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ICU MEDICAL, INC. AND SUBSIDIARIES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CASH FLOWS (Unaudited)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2320" w:type="dxa"/>
            <w:vAlign w:val="bottom"/>
            <w:gridSpan w:val="4"/>
          </w:tcPr>
          <w:p>
            <w:pPr>
              <w:jc w:val="center"/>
              <w:ind w:left="356"/>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00" w:type="dxa"/>
            <w:vAlign w:val="bottom"/>
          </w:tcPr>
          <w:p>
            <w:pPr>
              <w:spacing w:after="0"/>
              <w:rPr>
                <w:sz w:val="17"/>
                <w:szCs w:val="17"/>
                <w:color w:val="auto"/>
              </w:rPr>
            </w:pPr>
          </w:p>
        </w:tc>
      </w:tr>
      <w:tr>
        <w:trPr>
          <w:trHeight w:val="230"/>
        </w:trPr>
        <w:tc>
          <w:tcPr>
            <w:tcW w:w="83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259"/>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19"/>
                <w:szCs w:val="19"/>
                <w:color w:val="auto"/>
              </w:rPr>
            </w:pPr>
          </w:p>
        </w:tc>
      </w:tr>
      <w:tr>
        <w:trPr>
          <w:trHeight w:val="208"/>
        </w:trPr>
        <w:tc>
          <w:tcPr>
            <w:tcW w:w="83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r>
      <w:tr>
        <w:trPr>
          <w:trHeight w:val="19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ACTIVITIES: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0"/>
        </w:trPr>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 for property and equipment</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11,365</w:t>
            </w:r>
          </w:p>
        </w:tc>
      </w:tr>
    </w:tbl>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2019.</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New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54" w:lineRule="exact"/>
        <w:rPr>
          <w:sz w:val="20"/>
          <w:szCs w:val="20"/>
          <w:color w:val="auto"/>
        </w:rPr>
      </w:pPr>
    </w:p>
    <w:p>
      <w:pPr>
        <w:ind w:right="20" w:firstLine="180"/>
        <w:spacing w:after="0" w:line="269" w:lineRule="auto"/>
        <w:rPr>
          <w:sz w:val="20"/>
          <w:szCs w:val="20"/>
          <w:color w:val="auto"/>
        </w:rPr>
      </w:pPr>
      <w:r>
        <w:rPr>
          <w:rFonts w:ascii="Times New Roman" w:cs="Times New Roman" w:eastAsia="Times New Roman" w:hAnsi="Times New Roman"/>
          <w:sz w:val="17"/>
          <w:szCs w:val="17"/>
          <w:color w:val="auto"/>
        </w:rPr>
        <w:t>In August 2018, the FASB issued ASU No. 2018-15, Intangibles-Goodwill and Other-Internal-Use Software (Topic 350):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adopted this ASU effective January 1, 2020. This ASU did not have a material impact on our condensed consolidated financial statements or related disclosures.</w:t>
      </w:r>
    </w:p>
    <w:p>
      <w:pPr>
        <w:spacing w:after="0" w:line="203" w:lineRule="exact"/>
        <w:rPr>
          <w:sz w:val="20"/>
          <w:szCs w:val="20"/>
          <w:color w:val="auto"/>
        </w:rPr>
      </w:pPr>
    </w:p>
    <w:p>
      <w:pPr>
        <w:ind w:firstLine="180"/>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beginning after December 15, 2019. Early adoption is permitted. We adopted this ASU effective January 1, 2020. This ASU did not have a material impact on our condensed consolidated financial statements or related disclosures.</w:t>
      </w:r>
    </w:p>
    <w:p>
      <w:pPr>
        <w:spacing w:after="0" w:line="189" w:lineRule="exact"/>
        <w:rPr>
          <w:sz w:val="20"/>
          <w:szCs w:val="20"/>
          <w:color w:val="auto"/>
        </w:rPr>
      </w:pPr>
    </w:p>
    <w:p>
      <w:pPr>
        <w:ind w:right="40" w:firstLine="180"/>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In April 2019, the FASB issued ASU No. 2019-04 - Codification Improvements to Topic 326, Financial Instruments - Credit Losses and in May 2019, the FASB issued ASU No. 2019-05, Financial Instruments-Credit Losses to Topic 326, Financial Instruments - Targeted Transition Relief. ASU 2019-04 clarifies and corrects certain areas of the Codification and ASU 2019-05 provides entities with an option to irrevocably elect the fair value option in Subtopic 825-10, Financial Instruments— Overall, applied on an instrument-by-instrument basis for eligible instruments, upon adoption of Topic 326. The amendments in these updates will be effective for fiscal years beginning after December 15, 2019. Early adoption is permitted as of the fiscal years beginning after December 15, 2018. The updated guidance requires a modified retrospective adoption. We adopted this ASU effective January 1, 2020. This ASU did not have a material impact on our condensed consolidated financial statements or related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4" w:lineRule="exact"/>
        <w:rPr>
          <w:sz w:val="20"/>
          <w:szCs w:val="20"/>
          <w:color w:val="auto"/>
        </w:rPr>
      </w:pPr>
    </w:p>
    <w:p>
      <w:pPr>
        <w:ind w:right="80" w:firstLine="180"/>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We are currently reviewing the impact of this ASU on our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Strategic Transaction and Integration</w:t>
      </w:r>
    </w:p>
    <w:p>
      <w:pPr>
        <w:spacing w:after="0" w:line="256" w:lineRule="exact"/>
        <w:rPr>
          <w:sz w:val="20"/>
          <w:szCs w:val="20"/>
          <w:color w:val="auto"/>
        </w:rPr>
      </w:pPr>
    </w:p>
    <w:p>
      <w:pPr>
        <w:ind w:right="360" w:firstLine="180"/>
        <w:spacing w:after="0" w:line="282" w:lineRule="auto"/>
        <w:rPr>
          <w:sz w:val="20"/>
          <w:szCs w:val="20"/>
          <w:color w:val="auto"/>
        </w:rPr>
      </w:pPr>
      <w:r>
        <w:rPr>
          <w:rFonts w:ascii="Times New Roman" w:cs="Times New Roman" w:eastAsia="Times New Roman" w:hAnsi="Times New Roman"/>
          <w:sz w:val="18"/>
          <w:szCs w:val="18"/>
          <w:color w:val="auto"/>
        </w:rPr>
        <w:t>Restructuring, strategic transaction and integration expenses were $4.1 million and $22.9 million for the three and nine months ended September 30, 2020, respectively, as compared to $8.0 million and $69.4 million for the three and nine months ended September 30, 2019,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54"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2020, restructuring charges were $0.0 million and $8.1 million, respectively. During the three and nine months ended September 30, 2019, restructuring charges were $0.8 million and $8.4 million, respectively. Restructuring charges for the nine months ended September 30, 2020 were primarily related to severance and costs related to office and other facility closures. Restructuring charges for the three and nine months ended September 30, 2019 were primarily related to a one-time charge to move our U.S. pump service depot to our existing Salt Lake City facility and other plant restructuring. Restructuring charges are included in the restructuring, strategic transaction and integration line item in our condensed consolidated statement of operations.</w:t>
      </w:r>
    </w:p>
    <w:p>
      <w:pPr>
        <w:spacing w:after="0" w:line="214" w:lineRule="exact"/>
        <w:rPr>
          <w:sz w:val="20"/>
          <w:szCs w:val="20"/>
          <w:color w:val="auto"/>
        </w:rPr>
      </w:pPr>
    </w:p>
    <w:p>
      <w:pPr>
        <w:ind w:right="60" w:firstLine="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details of changes in our restructuring-related accrual for the period ended September 30, 2020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Accrued Balance</w:t>
            </w: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280" w:type="dxa"/>
            <w:vAlign w:val="bottom"/>
          </w:tcPr>
          <w:p>
            <w:pPr>
              <w:spacing w:after="0"/>
              <w:rPr>
                <w:sz w:val="16"/>
                <w:szCs w:val="16"/>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2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Accrued Balance</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January 1, 2020</w:t>
            </w:r>
          </w:p>
        </w:tc>
        <w:tc>
          <w:tcPr>
            <w:tcW w:w="3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Incurred</w:t>
            </w: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56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25"/>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buyout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closure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and integration expenses</w:t>
      </w:r>
    </w:p>
    <w:p>
      <w:pPr>
        <w:spacing w:after="0" w:line="254" w:lineRule="exact"/>
        <w:rPr>
          <w:sz w:val="20"/>
          <w:szCs w:val="20"/>
          <w:color w:val="auto"/>
        </w:rPr>
      </w:pPr>
    </w:p>
    <w:p>
      <w:pPr>
        <w:ind w:right="40" w:firstLine="177"/>
        <w:spacing w:after="0" w:line="254" w:lineRule="auto"/>
        <w:rPr>
          <w:sz w:val="20"/>
          <w:szCs w:val="20"/>
          <w:color w:val="auto"/>
        </w:rPr>
      </w:pPr>
      <w:r>
        <w:rPr>
          <w:rFonts w:ascii="Times New Roman" w:cs="Times New Roman" w:eastAsia="Times New Roman" w:hAnsi="Times New Roman"/>
          <w:sz w:val="18"/>
          <w:szCs w:val="18"/>
          <w:color w:val="auto"/>
        </w:rPr>
        <w:t>We incurred and expensed $4.1 million and $14.8 million in strategic transaction and integration expenses during the three and nine months ended September 30, 2020, respectively, as compared to $7.2 million and $61.0 million during the three and nine months ended September 30, 2019, respectively. The strategic transaction and integration expenses during the three and nine months ended September 30, 2020 and 2019, were primarily related to the integration of the Hospira Infusion Systems ("HIS") business acquired in 2017 from Pfizer, which for the nine months ended September 30, 2020, included expenses for the migration of IT systems at our Austin facility. The strategic transaction and integration expenses during the nine months ended September 30, 2019, included a one-time strategic supply chain restructuring charge of $22.1 million, which reduced our contracted commitments to our third party manufacturer. The nine months ended September 30, 2019 also included a $12.7 million non-cash write-off of assets related to our final Pfizer separation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56" w:lineRule="exact"/>
        <w:rPr>
          <w:sz w:val="20"/>
          <w:szCs w:val="20"/>
          <w:color w:val="auto"/>
        </w:rPr>
      </w:pPr>
    </w:p>
    <w:p>
      <w:pPr>
        <w:ind w:right="20" w:firstLine="180"/>
        <w:spacing w:after="0" w:line="266" w:lineRule="auto"/>
        <w:rPr>
          <w:sz w:val="20"/>
          <w:szCs w:val="20"/>
          <w:color w:val="auto"/>
        </w:rPr>
      </w:pPr>
      <w:r>
        <w:rPr>
          <w:rFonts w:ascii="Times New Roman" w:cs="Times New Roman" w:eastAsia="Times New Roman" w:hAnsi="Times New Roman"/>
          <w:sz w:val="18"/>
          <w:szCs w:val="18"/>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w:t>
      </w:r>
    </w:p>
    <w:p>
      <w:pPr>
        <w:spacing w:after="0" w:line="203" w:lineRule="exact"/>
        <w:rPr>
          <w:sz w:val="20"/>
          <w:szCs w:val="20"/>
          <w:color w:val="auto"/>
        </w:rPr>
      </w:pPr>
    </w:p>
    <w:p>
      <w:pPr>
        <w:ind w:right="40" w:firstLine="180"/>
        <w:spacing w:after="0" w:line="256" w:lineRule="auto"/>
        <w:rPr>
          <w:sz w:val="20"/>
          <w:szCs w:val="20"/>
          <w:color w:val="auto"/>
        </w:rPr>
      </w:pPr>
      <w:r>
        <w:rPr>
          <w:rFonts w:ascii="Times New Roman" w:cs="Times New Roman" w:eastAsia="Times New Roman" w:hAnsi="Times New Roman"/>
          <w:sz w:val="18"/>
          <w:szCs w:val="18"/>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We use information available at the time and our historical experience to estimate and record provisions for chargebacks.</w:t>
      </w:r>
    </w:p>
    <w:p>
      <w:pPr>
        <w:spacing w:after="0" w:line="214" w:lineRule="exact"/>
        <w:rPr>
          <w:sz w:val="20"/>
          <w:szCs w:val="20"/>
          <w:color w:val="auto"/>
        </w:rPr>
      </w:pPr>
    </w:p>
    <w:p>
      <w:pPr>
        <w:ind w:right="40" w:firstLine="177"/>
        <w:spacing w:after="0" w:line="261" w:lineRule="auto"/>
        <w:rPr>
          <w:sz w:val="20"/>
          <w:szCs w:val="20"/>
          <w:color w:val="auto"/>
        </w:rPr>
      </w:pPr>
      <w:r>
        <w:rPr>
          <w:rFonts w:ascii="Times New Roman" w:cs="Times New Roman" w:eastAsia="Times New Roman" w:hAnsi="Times New Roman"/>
          <w:sz w:val="18"/>
          <w:szCs w:val="18"/>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disaggregated</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geography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30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080" w:type="dxa"/>
            <w:vAlign w:val="bottom"/>
          </w:tcPr>
          <w:p>
            <w:pPr>
              <w:spacing w:after="0"/>
              <w:rPr>
                <w:sz w:val="18"/>
                <w:szCs w:val="18"/>
                <w:color w:val="auto"/>
              </w:rPr>
            </w:pPr>
          </w:p>
        </w:tc>
      </w:tr>
      <w:tr>
        <w:trPr>
          <w:trHeight w:val="230"/>
        </w:trPr>
        <w:tc>
          <w:tcPr>
            <w:tcW w:w="3780" w:type="dxa"/>
            <w:vAlign w:val="bottom"/>
          </w:tcPr>
          <w:p>
            <w:pPr>
              <w:spacing w:after="0"/>
              <w:rPr>
                <w:sz w:val="19"/>
                <w:szCs w:val="19"/>
                <w:color w:val="auto"/>
              </w:rPr>
            </w:pPr>
          </w:p>
        </w:tc>
        <w:tc>
          <w:tcPr>
            <w:tcW w:w="30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Geography</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4"/>
              </w:rPr>
              <w:t>2019</w:t>
            </w:r>
          </w:p>
        </w:tc>
      </w:tr>
      <w:tr>
        <w:trPr>
          <w:trHeight w:val="223"/>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96,830</w:t>
            </w:r>
          </w:p>
        </w:tc>
      </w:tr>
      <w:tr>
        <w:trPr>
          <w:trHeight w:val="230"/>
        </w:trPr>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Foreign</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175,618</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156,353</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253,183</w:t>
            </w:r>
          </w:p>
        </w:tc>
      </w:tr>
      <w:tr>
        <w:trPr>
          <w:trHeight w:val="230"/>
        </w:trPr>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237,446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222,599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675,828</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697,502</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307,471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950,553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950,685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product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30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29"/>
        </w:trPr>
        <w:tc>
          <w:tcPr>
            <w:tcW w:w="37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bottom w:val="single" w:sz="8" w:color="auto"/>
            </w:tcBorders>
          </w:tcPr>
          <w:p>
            <w:pPr>
              <w:spacing w:after="0"/>
              <w:rPr>
                <w:sz w:val="19"/>
                <w:szCs w:val="19"/>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Infusion Consumables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119,745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357,994</w:t>
            </w:r>
          </w:p>
        </w:tc>
      </w:tr>
      <w:tr>
        <w:trPr>
          <w:trHeight w:val="229"/>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Infusion Systems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244,523</w:t>
            </w:r>
          </w:p>
        </w:tc>
      </w:tr>
      <w:tr>
        <w:trPr>
          <w:trHeight w:val="229"/>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IV Solutions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295,369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313,976</w:t>
            </w:r>
          </w:p>
        </w:tc>
      </w:tr>
      <w:tr>
        <w:trPr>
          <w:trHeight w:val="230"/>
        </w:trPr>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Critical Care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34,192</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307,471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950,685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our changes in the contract balances for the nine months ended September 30, 2020 and 2019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January 1, 2020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29"/>
        </w:trPr>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w:t>
            </w:r>
          </w:p>
        </w:tc>
      </w:tr>
      <w:tr>
        <w:trPr>
          <w:trHeight w:val="229"/>
        </w:trPr>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w:t>
            </w:r>
          </w:p>
        </w:tc>
      </w:tr>
      <w:tr>
        <w:trPr>
          <w:trHeight w:val="230"/>
        </w:trPr>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29"/>
        </w:trPr>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 revenue deferred due to implementation</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September 30, 2020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January 1, 2019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30"/>
        </w:trPr>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29"/>
        </w:trPr>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Equipment revenue deferred due to implementation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30"/>
        </w:trPr>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30"/>
        </w:trPr>
        <w:tc>
          <w:tcPr>
            <w:tcW w:w="9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Software revenue deferred due to implementation</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September 30,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firstLine="170"/>
        <w:spacing w:after="0" w:line="261" w:lineRule="auto"/>
        <w:rPr>
          <w:sz w:val="20"/>
          <w:szCs w:val="20"/>
          <w:color w:val="auto"/>
        </w:rPr>
      </w:pPr>
      <w:r>
        <w:rPr>
          <w:rFonts w:ascii="Times New Roman" w:cs="Times New Roman" w:eastAsia="Times New Roman" w:hAnsi="Times New Roman"/>
          <w:sz w:val="18"/>
          <w:szCs w:val="18"/>
          <w:color w:val="auto"/>
        </w:rPr>
        <w:t>As of September 30, 2020, revenue from remaining performance obligations related to implementation of software and equipment is $7.6 million. We expect to recognize substantially all of this revenue within the next three to six months dependent on implementation restrictions due to the novel coronavirus ("COVID-19"). Revenue from remaining performance obligations related to annual software licenses is $1.3 million. We expect to recognize substantially all of this revenue over the next twelve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20" w:firstLine="180"/>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207" w:lineRule="exact"/>
        <w:rPr>
          <w:sz w:val="20"/>
          <w:szCs w:val="20"/>
          <w:color w:val="auto"/>
        </w:rPr>
      </w:pPr>
    </w:p>
    <w:p>
      <w:pPr>
        <w:ind w:right="180" w:firstLine="180"/>
        <w:spacing w:after="0" w:line="256" w:lineRule="auto"/>
        <w:rPr>
          <w:sz w:val="20"/>
          <w:szCs w:val="20"/>
          <w:color w:val="auto"/>
        </w:rPr>
      </w:pPr>
      <w:r>
        <w:rPr>
          <w:rFonts w:ascii="Times New Roman" w:cs="Times New Roman" w:eastAsia="Times New Roman" w:hAnsi="Times New Roman"/>
          <w:sz w:val="18"/>
          <w:szCs w:val="18"/>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Our leases are for corporate offices,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components of our lease cost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5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520" w:type="dxa"/>
            <w:vAlign w:val="bottom"/>
          </w:tcPr>
          <w:p>
            <w:pPr>
              <w:spacing w:after="0"/>
              <w:rPr>
                <w:sz w:val="17"/>
                <w:szCs w:val="17"/>
                <w:color w:val="auto"/>
              </w:rPr>
            </w:pPr>
          </w:p>
        </w:tc>
      </w:tr>
      <w:tr>
        <w:trPr>
          <w:trHeight w:val="229"/>
        </w:trPr>
        <w:tc>
          <w:tcPr>
            <w:tcW w:w="492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520" w:type="dxa"/>
            <w:vAlign w:val="bottom"/>
            <w:tcBorders>
              <w:bottom w:val="single" w:sz="8" w:color="auto"/>
            </w:tcBorders>
          </w:tcPr>
          <w:p>
            <w:pPr>
              <w:spacing w:after="0"/>
              <w:rPr>
                <w:sz w:val="19"/>
                <w:szCs w:val="19"/>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r>
      <w:tr>
        <w:trPr>
          <w:trHeight w:val="148"/>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 - interest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 - amortization of ROU asset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148"/>
        </w:trPr>
        <w:tc>
          <w:tcPr>
            <w:tcW w:w="49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on our finance leases is included in other income (expense), net in our condensed consolidated statement of operations. The amortization of the operating and finance ROU asset is included in selling, general and administrative expenses in our condensed consolidated statement of operations.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our leases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6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30"/>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30"/>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32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our operating leases (in thousands, except lease term and discount rate):</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300" w:type="dxa"/>
            <w:vAlign w:val="bottom"/>
          </w:tcPr>
          <w:p>
            <w:pPr>
              <w:spacing w:after="0"/>
              <w:rPr>
                <w:sz w:val="16"/>
                <w:szCs w:val="16"/>
                <w:color w:val="auto"/>
              </w:rPr>
            </w:pPr>
          </w:p>
        </w:tc>
        <w:tc>
          <w:tcPr>
            <w:tcW w:w="198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4"/>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300" w:type="dxa"/>
            <w:vAlign w:val="bottom"/>
          </w:tcPr>
          <w:p>
            <w:pPr>
              <w:spacing w:after="0"/>
              <w:rPr>
                <w:sz w:val="18"/>
                <w:szCs w:val="18"/>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1"/>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47,802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34,465</w:t>
            </w:r>
          </w:p>
        </w:tc>
      </w:tr>
      <w:tr>
        <w:trPr>
          <w:trHeight w:val="270"/>
        </w:trPr>
        <w:tc>
          <w:tcPr>
            <w:tcW w:w="6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7,362</w:t>
            </w: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42,512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28,896</w:t>
            </w:r>
          </w:p>
        </w:tc>
      </w:tr>
      <w:tr>
        <w:trPr>
          <w:trHeight w:val="223"/>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50,968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36,258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6.8 years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years</w:t>
            </w:r>
          </w:p>
        </w:tc>
      </w:tr>
      <w:tr>
        <w:trPr>
          <w:trHeight w:val="270"/>
        </w:trPr>
        <w:tc>
          <w:tcPr>
            <w:tcW w:w="6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4"/>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r>
    </w:tbl>
    <w:p>
      <w:pPr>
        <w:spacing w:after="0" w:line="27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our finance leases (in thousands, except lease term and discount rate):</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4"/>
        </w:trPr>
        <w:tc>
          <w:tcPr>
            <w:tcW w:w="8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11"/>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right-of-use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2,729</w:t>
            </w:r>
          </w:p>
        </w:tc>
      </w:tr>
      <w:tr>
        <w:trPr>
          <w:trHeight w:val="270"/>
        </w:trPr>
        <w:tc>
          <w:tcPr>
            <w:tcW w:w="8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r>
      <w:tr>
        <w:trPr>
          <w:trHeight w:val="22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2,274</w:t>
            </w:r>
          </w:p>
        </w:tc>
      </w:tr>
      <w:tr>
        <w:trPr>
          <w:trHeight w:val="223"/>
        </w:trPr>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2,747</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7"/>
        </w:trPr>
        <w:tc>
          <w:tcPr>
            <w:tcW w:w="8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leases</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years</w:t>
            </w:r>
          </w:p>
        </w:tc>
      </w:tr>
      <w:tr>
        <w:trPr>
          <w:trHeight w:val="270"/>
        </w:trPr>
        <w:tc>
          <w:tcPr>
            <w:tcW w:w="8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3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4"/>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leases</w:t>
            </w:r>
          </w:p>
        </w:tc>
        <w:tc>
          <w:tcPr>
            <w:tcW w:w="3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r>
    </w:tbl>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September 30, 2020, the maturities of our operating and financing lease liabilities for each of the next five years is approximately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0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3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0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w:t>
        <w:tab/>
        <w:t>Net Income Per Share</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There were 14,017 and 20,116 anti-dilutive securities for the three months ended September 30, 2020 and 2019, respectively. There were 12,182 and 9,375 anti-dilutive securities for the nine months ended September 30, 2020 and 2019, respectively.</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calculation of net earnings per common share (“EPS”) — basic and diluted (in thousands,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2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80,394</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(for basic</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w:t>
            </w: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and common equivalent shares outstanding</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(for diluted calculation)</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 — 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 —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Derivatives and Hedging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w:t>
      </w:r>
    </w:p>
    <w:p>
      <w:pPr>
        <w:spacing w:after="0" w:line="254"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9" w:lineRule="exact"/>
        <w:rPr>
          <w:sz w:val="20"/>
          <w:szCs w:val="20"/>
          <w:color w:val="auto"/>
        </w:rPr>
      </w:pPr>
    </w:p>
    <w:p>
      <w:pPr>
        <w:ind w:right="160" w:firstLine="177"/>
        <w:spacing w:after="0" w:line="256" w:lineRule="auto"/>
        <w:rPr>
          <w:sz w:val="20"/>
          <w:szCs w:val="20"/>
          <w:color w:val="auto"/>
        </w:rPr>
      </w:pPr>
      <w:r>
        <w:rPr>
          <w:rFonts w:ascii="Times New Roman" w:cs="Times New Roman" w:eastAsia="Times New Roman" w:hAnsi="Times New Roman"/>
          <w:sz w:val="18"/>
          <w:szCs w:val="18"/>
          <w:color w:val="auto"/>
        </w:rPr>
        <w:t>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instruments are recorded at fair value on the condensed consolidated balance sheets and are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w:t>
      </w:r>
    </w:p>
    <w:p>
      <w:pPr>
        <w:spacing w:after="0" w:line="21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In March 2020, we entered into a one-year cross-currency par forward contract that extends our current hedge of a portion of our Mexico forecasted expenses denominated in Pesos ("MXN"). The total notional amount of this outstanding derivative as of September 30, 2020 was approximately 473.2 million MXN. The term of the one-year contract is November 3, 2020 to December 1, 2021. The derivative instrument matures in equal monthly amounts at a fixed forward rate of 24.26 MXN/USD.</w:t>
      </w:r>
    </w:p>
    <w:p>
      <w:pPr>
        <w:spacing w:after="0" w:line="207"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8"/>
          <w:szCs w:val="18"/>
          <w:color w:val="auto"/>
        </w:rPr>
        <w:t>In November 2018, we entered into a one-year cross-currency par forward contract that hedges of a portion of our Mexico forecasted expenses denominated in MXN. The total notional amount of this outstanding derivative as of September 30, 2020 was approximately 66.3 million MXN. The term of the one-year hedge is November 1, 2019 to November 3, 2020. The derivative instrument matures in equal monthly amounts at a fixed forward rate of 22.109 MXN/USD.</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fair values of our derivative instruments included within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December 31, 2019 (in thousands):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920" w:type="dxa"/>
            <w:vAlign w:val="bottom"/>
            <w:tcBorders>
              <w:bottom w:val="single" w:sz="8" w:color="auto"/>
            </w:tcBorders>
            <w:gridSpan w:val="2"/>
          </w:tcPr>
          <w:p>
            <w:pPr>
              <w:ind w:left="30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9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Condensed Consolidated Balance Sheet</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80" w:type="dxa"/>
            <w:vAlign w:val="bottom"/>
          </w:tcPr>
          <w:p>
            <w:pPr>
              <w:spacing w:after="0"/>
              <w:rPr>
                <w:sz w:val="13"/>
                <w:szCs w:val="13"/>
                <w:color w:val="auto"/>
              </w:rPr>
            </w:pPr>
          </w:p>
        </w:tc>
        <w:tc>
          <w:tcPr>
            <w:tcW w:w="122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5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9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3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Other assets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Accrued liabilities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amounts affecting the Condensed Consolidated Statements of Operations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80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Line Item in the</w:t>
            </w: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340" w:type="dxa"/>
            <w:vAlign w:val="bottom"/>
            <w:gridSpan w:val="4"/>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1600" w:type="dxa"/>
            <w:vAlign w:val="bottom"/>
            <w:gridSpan w:val="3"/>
          </w:tcPr>
          <w:p>
            <w:pPr>
              <w:jc w:val="center"/>
              <w:ind w:left="479"/>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center"/>
              <w:ind w:left="439"/>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50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Condensed Consolidated</w:t>
            </w: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25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8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24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i w:val="1"/>
                <w:iCs w:val="1"/>
                <w:color w:val="auto"/>
              </w:rPr>
              <w:t>Derivatives designated as cash flow hedging</w:t>
            </w:r>
          </w:p>
        </w:tc>
        <w:tc>
          <w:tcPr>
            <w:tcW w:w="2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instruments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80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Cost of goods sold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recognized the following gains (losses) on our foreign exchange contracts designated as a cash flow hedge (in thousands):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 of Gain Recognized in</w:t>
            </w:r>
          </w:p>
        </w:tc>
        <w:tc>
          <w:tcPr>
            <w:tcW w:w="120" w:type="dxa"/>
            <w:vAlign w:val="bottom"/>
          </w:tcPr>
          <w:p>
            <w:pPr>
              <w:spacing w:after="0"/>
              <w:rPr>
                <w:sz w:val="16"/>
                <w:szCs w:val="16"/>
                <w:color w:val="auto"/>
              </w:rPr>
            </w:pPr>
          </w:p>
        </w:tc>
        <w:tc>
          <w:tcPr>
            <w:tcW w:w="50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(Loss) Gain Reclassified From Accumulated Other</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42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Other Comprehensive Income on</w:t>
            </w:r>
          </w:p>
        </w:tc>
        <w:tc>
          <w:tcPr>
            <w:tcW w:w="120" w:type="dxa"/>
            <w:vAlign w:val="bottom"/>
          </w:tcPr>
          <w:p>
            <w:pPr>
              <w:spacing w:after="0"/>
              <w:rPr>
                <w:sz w:val="14"/>
                <w:szCs w:val="14"/>
                <w:color w:val="auto"/>
              </w:rPr>
            </w:pPr>
          </w:p>
        </w:tc>
        <w:tc>
          <w:tcPr>
            <w:tcW w:w="50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Borders>
              <w:bottom w:val="single" w:sz="8" w:color="auto"/>
            </w:tcBorders>
            <w:gridSpan w:val="5"/>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Comprehensive Income into Income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(Loss) Gain Reclassified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4"/>
                <w:szCs w:val="14"/>
                <w:color w:val="auto"/>
              </w:rPr>
            </w:pPr>
          </w:p>
        </w:tc>
        <w:tc>
          <w:tcPr>
            <w:tcW w:w="2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From Accumulated Other</w:t>
            </w:r>
          </w:p>
        </w:tc>
        <w:tc>
          <w:tcPr>
            <w:tcW w:w="240" w:type="dxa"/>
            <w:vAlign w:val="bottom"/>
          </w:tcPr>
          <w:p>
            <w:pPr>
              <w:spacing w:after="0"/>
              <w:rPr>
                <w:sz w:val="14"/>
                <w:szCs w:val="14"/>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 Income into Income</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gridSpan w:val="2"/>
          </w:tcPr>
          <w:p>
            <w:pPr>
              <w:ind w:left="14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145"/>
        </w:trPr>
        <w:tc>
          <w:tcPr>
            <w:tcW w:w="3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 of (Loss) Gain</w:t>
            </w: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Other</w:t>
            </w:r>
          </w:p>
        </w:tc>
        <w:tc>
          <w:tcPr>
            <w:tcW w:w="120" w:type="dxa"/>
            <w:vAlign w:val="bottom"/>
          </w:tcPr>
          <w:p>
            <w:pPr>
              <w:spacing w:after="0"/>
              <w:rPr>
                <w:sz w:val="14"/>
                <w:szCs w:val="14"/>
                <w:color w:val="auto"/>
              </w:rPr>
            </w:pPr>
          </w:p>
        </w:tc>
        <w:tc>
          <w:tcPr>
            <w:tcW w:w="50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Reclassified From Accumulated Other Comprehensive</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 on</w:t>
            </w:r>
          </w:p>
        </w:tc>
        <w:tc>
          <w:tcPr>
            <w:tcW w:w="120" w:type="dxa"/>
            <w:vAlign w:val="bottom"/>
          </w:tcPr>
          <w:p>
            <w:pPr>
              <w:spacing w:after="0"/>
              <w:rPr>
                <w:sz w:val="14"/>
                <w:szCs w:val="14"/>
                <w:color w:val="auto"/>
              </w:rPr>
            </w:pPr>
          </w:p>
        </w:tc>
        <w:tc>
          <w:tcPr>
            <w:tcW w:w="50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Borders>
              <w:bottom w:val="single" w:sz="8" w:color="auto"/>
            </w:tcBorders>
            <w:gridSpan w:val="5"/>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Gain Reclassified From</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4"/>
                <w:szCs w:val="14"/>
                <w:color w:val="auto"/>
              </w:rPr>
            </w:pPr>
          </w:p>
        </w:tc>
        <w:tc>
          <w:tcPr>
            <w:tcW w:w="2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Other Comprehensive</w:t>
            </w:r>
          </w:p>
        </w:tc>
        <w:tc>
          <w:tcPr>
            <w:tcW w:w="240" w:type="dxa"/>
            <w:vAlign w:val="bottom"/>
          </w:tcPr>
          <w:p>
            <w:pPr>
              <w:spacing w:after="0"/>
              <w:rPr>
                <w:sz w:val="14"/>
                <w:szCs w:val="14"/>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Income into Income</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gridSpan w:val="2"/>
          </w:tcPr>
          <w:p>
            <w:pPr>
              <w:ind w:left="14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145"/>
        </w:trPr>
        <w:tc>
          <w:tcPr>
            <w:tcW w:w="3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we expect approximately $1.1 million of the deferred gains on the outstanding derivatives in accumulated other comprehensive income to be reclassified to net income during the next twelve months concurrent with the underlying hedged transactions also being reported in net income.</w:t>
      </w:r>
    </w:p>
    <w:p>
      <w:pPr>
        <w:spacing w:after="0" w:line="19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Fair Value Measurement</w:t>
      </w:r>
    </w:p>
    <w:p>
      <w:pPr>
        <w:spacing w:after="0" w:line="229" w:lineRule="exact"/>
        <w:rPr>
          <w:sz w:val="20"/>
          <w:szCs w:val="20"/>
          <w:color w:val="auto"/>
        </w:rPr>
      </w:pPr>
    </w:p>
    <w:p>
      <w:pPr>
        <w:ind w:right="180" w:firstLine="180"/>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values of the assets or liabilities.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Liability</w:t>
      </w:r>
    </w:p>
    <w:p>
      <w:pPr>
        <w:spacing w:after="0" w:line="254" w:lineRule="exact"/>
        <w:rPr>
          <w:sz w:val="20"/>
          <w:szCs w:val="20"/>
          <w:color w:val="auto"/>
        </w:rPr>
      </w:pPr>
    </w:p>
    <w:p>
      <w:pPr>
        <w:ind w:firstLine="180"/>
        <w:spacing w:after="0" w:line="238" w:lineRule="auto"/>
        <w:rPr>
          <w:sz w:val="20"/>
          <w:szCs w:val="20"/>
          <w:color w:val="auto"/>
        </w:rPr>
      </w:pPr>
      <w:r>
        <w:rPr>
          <w:rFonts w:ascii="Times New Roman" w:cs="Times New Roman" w:eastAsia="Times New Roman" w:hAnsi="Times New Roman"/>
          <w:sz w:val="18"/>
          <w:szCs w:val="18"/>
          <w:color w:val="auto"/>
        </w:rPr>
        <w:t>In 2017, we recognized an earn-out liability upon the acquisition of HIS from Pfizer. Pfizer was entitled up to $225 million in cash if certain performance targets for the combined company for the three years ending December 31, 2019 were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included other assumptions including the market price of risk, which was calculated as the weighted average cost of capital ("WACC") less the long term risk free rate. The initial value assigned to the contingent consideration was a result of forecasted product demand of our HIS business. At each reporting date subsequent to the acquisition we remeasured the earn-out using the same methodology above and recognized any changes in value. As of December 31, 2019, we determined that we did not meet the necessary performance targets that would require payout of any of the HIS earn-out liability. As of the date of this filing, Pfizer has disputed our determination that the performance targets requiring payout of the HIS earn-out liability were not met. If we do not reach agreement on this issue with Pfizer, the dispute will be resolved by binding arbitration, that will likely be concluded within the next three to six months.</w:t>
      </w:r>
    </w:p>
    <w:p>
      <w:pPr>
        <w:spacing w:after="0" w:line="21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the fourth quarter of 2019, we recognized an earn-out liability related to the acquisition of Pursuit Vascular, Inc. ("Pursuit"). Pursuit's former equity holders are entitled up to $50.0 million in additional cash consideration contingent upon the achievement of certain sales and gross profit targets for specific customers. The earn-out will be calculated as a percentage of gross profit achieved during the earn-out period against a pre-determined target gross profit, not to exceed $50.0 million. We used a Monte Carlo simulation model to determine the fair value of the earn-out liability. The Monte Carlo simulation model utilizes multiple input variables to determine the value of the earn-out liability including historical volatility, a risk free interest rate, counter party credit risk and projected future gross profit, see below simulation input table related to Pursuit. The historical volatility was based on the median of ICU and a certain peer group. The risk-free interest rate is equal to the yield, as of the valuation date, of the zero-coupon U.S. Treasury bill that is commensurate with the term of the earn-out. The counter party credit risk is based on a synthetic credit rating of B1. If the probabilities in the model significantly change from what we initially and subsequently anticipate, the change could have a significant impact on our financial statements in the period recognized. Our contingent earn-out liability is separately stated in our condensed consolidated balance sheets.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a reconciliation of the Level 3 earn-out liabilities measured at estimated fair value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Pursuit</w:t>
            </w:r>
          </w:p>
        </w:tc>
      </w:tr>
      <w:tr>
        <w:trPr>
          <w:trHeight w:val="219"/>
        </w:trPr>
        <w:tc>
          <w:tcPr>
            <w:tcW w:w="9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Earn-out Liability</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January 1, 2020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(included in income from operations as a separate line item)</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March 31, 2020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(included in income from operations as a separate line item)</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June 30, 2020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(included in income from operations as a separate line item)</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September 30, 2020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629"/>
        </w:trPr>
        <w:tc>
          <w:tcPr>
            <w:tcW w:w="9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HIS</w:t>
            </w:r>
          </w:p>
        </w:tc>
      </w:tr>
      <w:tr>
        <w:trPr>
          <w:trHeight w:val="219"/>
        </w:trPr>
        <w:tc>
          <w:tcPr>
            <w:tcW w:w="9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Earn-out Liability</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January 1, 2019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(included in income from operations as a separate line item)</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March 31, 2019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(included in income from operations as a separate line item)</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June 30, 2019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(included in income from operations as a separate line item)</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September 30, 2019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Pursuit earn-out increased at September 30, 2020 from the fair value calculated at December 31, 2019 primarily due to changes in the probabilities within the valuation model.</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provide quantitative information about Level 3 inputs for fair value measurement of our earn-out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Pursuit Earn-out</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Simulation Input</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At Acquisition November 2,</w:t>
            </w:r>
          </w:p>
        </w:tc>
        <w:tc>
          <w:tcPr>
            <w:tcW w:w="0" w:type="dxa"/>
            <w:vAlign w:val="bottom"/>
          </w:tcPr>
          <w:p>
            <w:pPr>
              <w:spacing w:after="0"/>
              <w:rPr>
                <w:sz w:val="1"/>
                <w:szCs w:val="1"/>
                <w:color w:val="auto"/>
              </w:rPr>
            </w:pPr>
          </w:p>
        </w:tc>
      </w:tr>
      <w:tr>
        <w:trPr>
          <w:trHeight w:val="214"/>
        </w:trPr>
        <w:tc>
          <w:tcPr>
            <w:tcW w:w="6460" w:type="dxa"/>
            <w:vAlign w:val="bottom"/>
            <w:gridSpan w:val="2"/>
            <w:vMerge w:val="continue"/>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32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Revenue/Gross Profit Volatility</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35.00 %</w:t>
            </w: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20.00 %</w:t>
            </w:r>
          </w:p>
        </w:tc>
        <w:tc>
          <w:tcPr>
            <w:tcW w:w="0" w:type="dxa"/>
            <w:vAlign w:val="bottom"/>
          </w:tcPr>
          <w:p>
            <w:pPr>
              <w:spacing w:after="0"/>
              <w:rPr>
                <w:sz w:val="1"/>
                <w:szCs w:val="1"/>
                <w:color w:val="auto"/>
              </w:rPr>
            </w:pPr>
          </w:p>
        </w:tc>
      </w:tr>
      <w:tr>
        <w:trPr>
          <w:trHeight w:val="21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12.50 %</w:t>
            </w:r>
          </w:p>
        </w:tc>
        <w:tc>
          <w:tcPr>
            <w:tcW w:w="1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0" w:type="dxa"/>
            <w:vAlign w:val="bottom"/>
          </w:tcPr>
          <w:p>
            <w:pPr>
              <w:spacing w:after="0"/>
              <w:rPr>
                <w:sz w:val="1"/>
                <w:szCs w:val="1"/>
                <w:color w:val="auto"/>
              </w:rPr>
            </w:pPr>
          </w:p>
        </w:tc>
      </w:tr>
      <w:tr>
        <w:trPr>
          <w:trHeight w:val="219"/>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1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Counter Party Risk</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 Earn-out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Simulation Input</w:t>
            </w:r>
          </w:p>
        </w:tc>
        <w:tc>
          <w:tcPr>
            <w:tcW w:w="236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4"/>
        </w:trPr>
        <w:tc>
          <w:tcPr>
            <w:tcW w:w="8880" w:type="dxa"/>
            <w:vAlign w:val="bottom"/>
            <w:gridSpan w:val="2"/>
            <w:vMerge w:val="continue"/>
          </w:tcPr>
          <w:p>
            <w:pPr>
              <w:spacing w:after="0"/>
              <w:rPr>
                <w:sz w:val="18"/>
                <w:szCs w:val="18"/>
                <w:color w:val="auto"/>
              </w:rPr>
            </w:pPr>
          </w:p>
        </w:tc>
        <w:tc>
          <w:tcPr>
            <w:tcW w:w="23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211"/>
        </w:trPr>
        <w:tc>
          <w:tcPr>
            <w:tcW w:w="8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Volatility</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30.00 %</w:t>
            </w:r>
          </w:p>
        </w:tc>
        <w:tc>
          <w:tcPr>
            <w:tcW w:w="0" w:type="dxa"/>
            <w:vAlign w:val="bottom"/>
          </w:tcPr>
          <w:p>
            <w:pPr>
              <w:spacing w:after="0"/>
              <w:rPr>
                <w:sz w:val="1"/>
                <w:szCs w:val="1"/>
                <w:color w:val="auto"/>
              </w:rPr>
            </w:pP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WACC</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8.25 %</w:t>
            </w:r>
          </w:p>
        </w:tc>
        <w:tc>
          <w:tcPr>
            <w:tcW w:w="0" w:type="dxa"/>
            <w:vAlign w:val="bottom"/>
          </w:tcPr>
          <w:p>
            <w:pPr>
              <w:spacing w:after="0"/>
              <w:rPr>
                <w:sz w:val="1"/>
                <w:szCs w:val="1"/>
                <w:color w:val="auto"/>
              </w:rPr>
            </w:pP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20-year risk free rate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0" w:type="dxa"/>
            <w:vAlign w:val="bottom"/>
          </w:tcPr>
          <w:p>
            <w:pPr>
              <w:spacing w:after="0"/>
              <w:rPr>
                <w:sz w:val="1"/>
                <w:szCs w:val="1"/>
                <w:color w:val="auto"/>
              </w:rPr>
            </w:pP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 price of risk</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0" w:type="dxa"/>
            <w:vAlign w:val="bottom"/>
          </w:tcPr>
          <w:p>
            <w:pPr>
              <w:spacing w:after="0"/>
              <w:rPr>
                <w:sz w:val="1"/>
                <w:szCs w:val="1"/>
                <w:color w:val="auto"/>
              </w:rPr>
            </w:pP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debt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and Foreign Currency Contracts</w:t>
      </w:r>
    </w:p>
    <w:p>
      <w:pPr>
        <w:spacing w:after="0" w:line="254" w:lineRule="exact"/>
        <w:rPr>
          <w:sz w:val="20"/>
          <w:szCs w:val="20"/>
          <w:color w:val="auto"/>
        </w:rPr>
      </w:pPr>
    </w:p>
    <w:p>
      <w:pPr>
        <w:ind w:right="400" w:firstLine="177"/>
        <w:spacing w:after="0" w:line="282" w:lineRule="auto"/>
        <w:rPr>
          <w:sz w:val="20"/>
          <w:szCs w:val="20"/>
          <w:color w:val="auto"/>
        </w:rPr>
      </w:pPr>
      <w:r>
        <w:rPr>
          <w:rFonts w:ascii="Times New Roman" w:cs="Times New Roman" w:eastAsia="Times New Roman" w:hAnsi="Times New Roman"/>
          <w:sz w:val="18"/>
          <w:szCs w:val="18"/>
          <w:color w:val="auto"/>
        </w:rPr>
        <w:t>The fair value of our investments is estimated using observable market-based inputs such as quoted prices, interest rates and yield curves or Level 2 inputs, which consisted of corporate bonds.</w:t>
      </w:r>
    </w:p>
    <w:p>
      <w:pPr>
        <w:spacing w:after="0" w:line="189" w:lineRule="exact"/>
        <w:rPr>
          <w:sz w:val="20"/>
          <w:szCs w:val="20"/>
          <w:color w:val="auto"/>
        </w:rPr>
      </w:pPr>
    </w:p>
    <w:p>
      <w:pPr>
        <w:jc w:val="both"/>
        <w:ind w:right="160" w:firstLine="177"/>
        <w:spacing w:after="0" w:line="282" w:lineRule="auto"/>
        <w:rPr>
          <w:sz w:val="20"/>
          <w:szCs w:val="20"/>
          <w:color w:val="auto"/>
        </w:rPr>
      </w:pPr>
      <w:r>
        <w:rPr>
          <w:rFonts w:ascii="Times New Roman" w:cs="Times New Roman" w:eastAsia="Times New Roman" w:hAnsi="Times New Roman"/>
          <w:sz w:val="18"/>
          <w:szCs w:val="18"/>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consisted of the following (Level 1, 2 and 3 inputs as defined above) (in thousands):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Available for sale securities: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Short-term</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Foreign exchange forwards:</w:t>
      </w:r>
    </w:p>
    <w:p>
      <w:pPr>
        <w:spacing w:after="0" w:line="23" w:lineRule="exact"/>
        <w:rPr>
          <w:sz w:val="20"/>
          <w:szCs w:val="20"/>
          <w:color w:val="auto"/>
        </w:rPr>
      </w:pPr>
    </w:p>
    <w:p>
      <w:pPr>
        <w:ind w:left="220" w:right="1520"/>
        <w:spacing w:after="0" w:line="286" w:lineRule="auto"/>
        <w:rPr>
          <w:sz w:val="20"/>
          <w:szCs w:val="20"/>
          <w:color w:val="auto"/>
        </w:rPr>
      </w:pPr>
      <w:r>
        <w:rPr>
          <w:rFonts w:ascii="Times New Roman" w:cs="Times New Roman" w:eastAsia="Times New Roman" w:hAnsi="Times New Roman"/>
          <w:sz w:val="18"/>
          <w:szCs w:val="18"/>
          <w:color w:val="auto"/>
        </w:rPr>
        <w:t>Prepaid expenses and other current assets Other assets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Assets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Earn-out liability</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exchange forwards: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Available for sale securities: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Short-term</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Foreign exchange forwards:</w:t>
      </w:r>
    </w:p>
    <w:p>
      <w:pPr>
        <w:spacing w:after="0" w:line="23" w:lineRule="exact"/>
        <w:rPr>
          <w:sz w:val="20"/>
          <w:szCs w:val="20"/>
          <w:color w:val="auto"/>
        </w:rPr>
      </w:pPr>
    </w:p>
    <w:p>
      <w:pPr>
        <w:ind w:left="40" w:right="1520" w:firstLine="185"/>
        <w:spacing w:after="0" w:line="339" w:lineRule="auto"/>
        <w:rPr>
          <w:sz w:val="20"/>
          <w:szCs w:val="20"/>
          <w:color w:val="auto"/>
        </w:rPr>
      </w:pPr>
      <w:r>
        <w:rPr>
          <w:rFonts w:ascii="Times New Roman" w:cs="Times New Roman" w:eastAsia="Times New Roman" w:hAnsi="Times New Roman"/>
          <w:sz w:val="18"/>
          <w:szCs w:val="18"/>
          <w:color w:val="auto"/>
        </w:rPr>
        <w:t>Prepaid expenses and other current assets Total Assets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Earn-out liability</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2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Total 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180" w:type="dxa"/>
            <w:vAlign w:val="bottom"/>
          </w:tcPr>
          <w:p>
            <w:pPr>
              <w:jc w:val="center"/>
              <w:ind w:right="76"/>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66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4"/>
        </w:trPr>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2019</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2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Total 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180" w:type="dxa"/>
            <w:vAlign w:val="bottom"/>
          </w:tcPr>
          <w:p>
            <w:pPr>
              <w:jc w:val="center"/>
              <w:ind w:right="76"/>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66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-4097020</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-3805555</wp:posOffset>
            </wp:positionV>
            <wp:extent cx="711517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-3514090</wp:posOffset>
            </wp:positionV>
            <wp:extent cx="711517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-3222625</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-2982595</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-2691130</wp:posOffset>
            </wp:positionV>
            <wp:extent cx="711517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-2399665</wp:posOffset>
            </wp:positionV>
            <wp:extent cx="71151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-1550670</wp:posOffset>
            </wp:positionV>
            <wp:extent cx="711517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-1259205</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-967740</wp:posOffset>
            </wp:positionV>
            <wp:extent cx="71151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-650875</wp:posOffset>
            </wp:positionV>
            <wp:extent cx="71151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-333375</wp:posOffset>
            </wp:positionV>
            <wp:extent cx="711517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780"/>
          </w:cols>
          <w:pgMar w:left="320" w:top="117" w:right="3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Investment Securities</w:t>
      </w:r>
    </w:p>
    <w:p>
      <w:pPr>
        <w:spacing w:after="0" w:line="256"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8"/>
          <w:szCs w:val="18"/>
          <w:color w:val="auto"/>
        </w:rPr>
        <w:t>Our investment securities currently consist of short-term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Unrealized losses on available-for-sale securities are charged against net earnings when a decline in fair value is determined to</w:t>
      </w:r>
    </w:p>
    <w:p>
      <w:pPr>
        <w:sectPr>
          <w:pgSz w:w="11900" w:h="16838" w:orient="portrait"/>
          <w:cols w:equalWidth="0" w:num="1">
            <w:col w:w="11220"/>
          </w:cols>
          <w:pgMar w:left="320" w:top="117" w:right="35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(expense), net on our condensed consolidated statements of operations. There have been no realized gains or losses on their disposal. Realized gains and losses are accounted for on the specific identification method. The scheduled maturities of the debt securities are between 2020 and 2021. All short-term investment securities are callable within one year.</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short investment securities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16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Unrealized Holding Gains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3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corporate bonds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4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0" w:type="dxa"/>
            <w:vAlign w:val="bottom"/>
          </w:tcPr>
          <w:p>
            <w:pPr>
              <w:spacing w:after="0"/>
              <w:rPr>
                <w:sz w:val="1"/>
                <w:szCs w:val="1"/>
                <w:color w:val="auto"/>
              </w:rPr>
            </w:pPr>
          </w:p>
        </w:tc>
      </w:tr>
      <w:tr>
        <w:trPr>
          <w:trHeight w:val="483"/>
        </w:trPr>
        <w:tc>
          <w:tcPr>
            <w:tcW w:w="5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16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Unrealized Holding Gains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3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corporate bonds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4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0" w:type="dxa"/>
            <w:vAlign w:val="bottom"/>
          </w:tcPr>
          <w:p>
            <w:pPr>
              <w:spacing w:after="0"/>
              <w:rPr>
                <w:sz w:val="1"/>
                <w:szCs w:val="1"/>
                <w:color w:val="auto"/>
              </w:rPr>
            </w:pPr>
          </w:p>
        </w:tc>
      </w:tr>
      <w:tr>
        <w:trPr>
          <w:trHeight w:val="51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Prepaid Expenses and Other Current Assets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2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 and receivables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 and property taxes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VAT/GST receivable</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charge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Inventories</w:t>
      </w:r>
    </w:p>
    <w:p>
      <w:pPr>
        <w:spacing w:after="0" w:line="229"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method. Inventory costs consist of those costs directly attributable to products prior to sale including among other things raw material, labor and overhead. Inventories consisted of the following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178,416</w:t>
            </w:r>
          </w:p>
        </w:tc>
      </w:tr>
      <w:tr>
        <w:trPr>
          <w:trHeight w:val="223"/>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337,640</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219,057</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building and building improvements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230,454</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Molds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60,155</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83,217</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29"/>
        </w:trPr>
        <w:tc>
          <w:tcPr>
            <w:tcW w:w="7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Instruments placed with customers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74,434</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101,425</w:t>
            </w:r>
          </w:p>
        </w:tc>
      </w:tr>
      <w:tr>
        <w:trPr>
          <w:trHeight w:val="223"/>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776,240</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(320,155)</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456,085</w:t>
            </w: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8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Instruments placed with customers consist of drug-delivery and monitoring systems placed with customers under operating leases.</w:t>
      </w:r>
    </w:p>
    <w:p>
      <w:pPr>
        <w:spacing w:after="0" w:line="225" w:lineRule="exact"/>
        <w:rPr>
          <w:sz w:val="20"/>
          <w:szCs w:val="20"/>
          <w:color w:val="auto"/>
        </w:rPr>
      </w:pPr>
    </w:p>
    <w:p>
      <w:pPr>
        <w:ind w:right="600" w:firstLine="180"/>
        <w:spacing w:after="0" w:line="282" w:lineRule="auto"/>
        <w:rPr>
          <w:sz w:val="20"/>
          <w:szCs w:val="20"/>
          <w:color w:val="auto"/>
        </w:rPr>
      </w:pPr>
      <w:r>
        <w:rPr>
          <w:rFonts w:ascii="Times New Roman" w:cs="Times New Roman" w:eastAsia="Times New Roman" w:hAnsi="Times New Roman"/>
          <w:sz w:val="18"/>
          <w:szCs w:val="18"/>
          <w:color w:val="auto"/>
        </w:rPr>
        <w:t>Depreciation expense was $15.6 million and $46.7 million for the three and nine months ended September 30, 2020, respectively, as compared to $14.8 million and $44.6 million for the three and nine months ended September 30, 2019,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Goodwill and Intangible Assets, Net</w:t>
            </w: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our goodwill (in thousands):</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90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w:t>
            </w:r>
          </w:p>
        </w:tc>
      </w:tr>
      <w:tr>
        <w:trPr>
          <w:trHeight w:val="230"/>
        </w:trPr>
        <w:tc>
          <w:tcPr>
            <w:tcW w:w="20" w:type="dxa"/>
            <w:vAlign w:val="bottom"/>
          </w:tcPr>
          <w:p>
            <w:pPr>
              <w:spacing w:after="0"/>
              <w:rPr>
                <w:sz w:val="19"/>
                <w:szCs w:val="19"/>
                <w:color w:val="auto"/>
              </w:rPr>
            </w:pPr>
          </w:p>
        </w:tc>
        <w:tc>
          <w:tcPr>
            <w:tcW w:w="90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30"/>
        </w:trPr>
        <w:tc>
          <w:tcPr>
            <w:tcW w:w="20" w:type="dxa"/>
            <w:vAlign w:val="bottom"/>
          </w:tcPr>
          <w:p>
            <w:pPr>
              <w:spacing w:after="0"/>
              <w:rPr>
                <w:sz w:val="19"/>
                <w:szCs w:val="19"/>
                <w:color w:val="auto"/>
              </w:rPr>
            </w:pPr>
          </w:p>
        </w:tc>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w:t>
            </w: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20" w:type="dxa"/>
            <w:vAlign w:val="bottom"/>
          </w:tcPr>
          <w:p>
            <w:pPr>
              <w:spacing w:after="0"/>
              <w:rPr>
                <w:sz w:val="19"/>
                <w:szCs w:val="19"/>
                <w:color w:val="auto"/>
              </w:rPr>
            </w:pP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32,651</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_______________________________________________</w:t>
      </w:r>
    </w:p>
    <w:p>
      <w:pPr>
        <w:spacing w:after="0" w:line="24"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relates to a measurement period adjustment to deferred taxes related to our 2019 acquisition of Pursuit.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44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Life in Years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9,606</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15,075</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119,141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07"/>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265,848</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83,258</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182,590</w:t>
            </w:r>
          </w:p>
        </w:tc>
        <w:tc>
          <w:tcPr>
            <w:tcW w:w="0" w:type="dxa"/>
            <w:vAlign w:val="bottom"/>
          </w:tcPr>
          <w:p>
            <w:pPr>
              <w:spacing w:after="0"/>
              <w:rPr>
                <w:sz w:val="1"/>
                <w:szCs w:val="1"/>
                <w:color w:val="auto"/>
              </w:rPr>
            </w:pPr>
          </w:p>
        </w:tc>
      </w:tr>
      <w:tr>
        <w:trPr>
          <w:trHeight w:val="259"/>
        </w:trPr>
        <w:tc>
          <w:tcPr>
            <w:tcW w:w="5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0" w:type="dxa"/>
            <w:vAlign w:val="bottom"/>
          </w:tcPr>
          <w:p>
            <w:pPr>
              <w:spacing w:after="0"/>
              <w:rPr>
                <w:sz w:val="1"/>
                <w:szCs w:val="1"/>
                <w:color w:val="auto"/>
              </w:rPr>
            </w:pPr>
          </w:p>
        </w:tc>
      </w:tr>
      <w:tr>
        <w:trPr>
          <w:trHeight w:val="259"/>
        </w:trPr>
        <w:tc>
          <w:tcPr>
            <w:tcW w:w="5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283,686</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200,428</w:t>
            </w:r>
          </w:p>
        </w:tc>
        <w:tc>
          <w:tcPr>
            <w:tcW w:w="0" w:type="dxa"/>
            <w:vAlign w:val="bottom"/>
          </w:tcPr>
          <w:p>
            <w:pPr>
              <w:spacing w:after="0"/>
              <w:rPr>
                <w:sz w:val="1"/>
                <w:szCs w:val="1"/>
                <w:color w:val="auto"/>
              </w:rPr>
            </w:pPr>
          </w:p>
        </w:tc>
      </w:tr>
      <w:tr>
        <w:trPr>
          <w:trHeight w:val="21"/>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Internally developed software will be amortized when the projects are complete and the assets are ready for their intended use.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44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Life in Years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16,002</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197,417</w:t>
            </w: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13,991</w:t>
            </w:r>
          </w:p>
        </w:tc>
        <w:tc>
          <w:tcPr>
            <w:tcW w:w="0" w:type="dxa"/>
            <w:vAlign w:val="bottom"/>
          </w:tcPr>
          <w:p>
            <w:pPr>
              <w:spacing w:after="0"/>
              <w:rPr>
                <w:sz w:val="1"/>
                <w:szCs w:val="1"/>
                <w:color w:val="auto"/>
              </w:rPr>
            </w:pPr>
          </w:p>
        </w:tc>
      </w:tr>
      <w:tr>
        <w:trPr>
          <w:trHeight w:val="256"/>
        </w:trPr>
        <w:tc>
          <w:tcPr>
            <w:tcW w:w="544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277,266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211,408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Internally developed software will be amortized when the projects are complete and the assets are ready for their intended use.</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over their estimated useful lives. During the three and nine months ended September 30, 2020, intangible asset amortization expense was $5.8 million and $17.4 million, respectively, as compared to $4.4 million and $12.4 million for the three and nine months ended September 30, 2019,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2020 estimated annual amortization for our intangible assets for each of the next five years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8800" w:type="dxa"/>
            <w:vAlign w:val="bottom"/>
            <w:gridSpan w:val="5"/>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ICU MEDICAL, INC. AND SUBSIDIARIES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40" w:type="dxa"/>
            <w:vAlign w:val="bottom"/>
            <w:gridSpan w:val="7"/>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(Continued)</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2020</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  Accrued Liabilities and Other Long-Term Liabilities</w:t>
            </w: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4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26"/>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8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supply chain restructuring costs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liability-ST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field action</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taxes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accrual</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taxes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accrual</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fees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and returns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liabilities-ST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settlement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4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26"/>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liability-LT</w:t>
            </w:r>
          </w:p>
        </w:tc>
        <w:tc>
          <w:tcPr>
            <w:tcW w:w="8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rent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liabilities-LT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liability-LT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24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Income taxes were accrued at an estimated effective tax rate of 5% and 10% for the three and nine months ended September 30, 2020, respectively, as compared to 19% and 14% for the three and nine months ended September 30, 2019, respectively.</w:t>
      </w:r>
    </w:p>
    <w:p>
      <w:pPr>
        <w:spacing w:after="0" w:line="189" w:lineRule="exact"/>
        <w:rPr>
          <w:sz w:val="20"/>
          <w:szCs w:val="20"/>
          <w:color w:val="auto"/>
        </w:rPr>
      </w:pPr>
    </w:p>
    <w:p>
      <w:pPr>
        <w:ind w:right="200" w:firstLine="177"/>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2020 differs from the federal statutory rate of 21% principally because of the effect of the mix of U.S. and foreign incomes, state income taxes, global intangible low-taxed income ("GILTI"), foreign-derived intangible income ("FDII"), tax credits and the following discrete tax items recognized during the interim periods:</w:t>
      </w:r>
    </w:p>
    <w:p>
      <w:pPr>
        <w:spacing w:after="0" w:line="203" w:lineRule="exact"/>
        <w:rPr>
          <w:sz w:val="20"/>
          <w:szCs w:val="20"/>
          <w:color w:val="auto"/>
        </w:rPr>
      </w:pPr>
    </w:p>
    <w:p>
      <w:pPr>
        <w:ind w:left="660" w:right="72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tax benefits recognized on stock option exercises and the vesting of restricted stock units during the three and nine months ended September 30, 2020 of $0.1 million and $3.6 million, respectively.</w:t>
      </w:r>
    </w:p>
    <w:p>
      <w:pPr>
        <w:ind w:left="660" w:right="3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revaluation of the contingent consideration during the three and nine months ended September 30, 2020, which resulted in a tax benefit of $0.7 million and $1.1 million, respectively.</w:t>
      </w:r>
    </w:p>
    <w:p>
      <w:pPr>
        <w:ind w:left="660" w:right="50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and state return-to-provision adjustments net of related reserve changes for the year ended December 31, 2019 resulted in a tax benefit of $3.8 million primarily due to changes in estimates for GILTI, FDII, and related foreign tax credits.</w:t>
      </w:r>
    </w:p>
    <w:p>
      <w:pPr>
        <w:spacing w:after="0" w:line="208" w:lineRule="exact"/>
        <w:rPr>
          <w:sz w:val="20"/>
          <w:szCs w:val="20"/>
          <w:color w:val="auto"/>
        </w:rPr>
      </w:pPr>
    </w:p>
    <w:p>
      <w:pPr>
        <w:ind w:right="80" w:firstLine="177"/>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2019 differs from the federal statutory rate of 21% principally because of the effect of the mix of U.S. and foreign incomes, state income taxes, GILTI and tax credits and the following discrete tax items recognized during the interim periods:</w:t>
      </w:r>
    </w:p>
    <w:p>
      <w:pPr>
        <w:spacing w:after="0" w:line="203" w:lineRule="exact"/>
        <w:rPr>
          <w:sz w:val="20"/>
          <w:szCs w:val="20"/>
          <w:color w:val="auto"/>
        </w:rPr>
      </w:pPr>
    </w:p>
    <w:p>
      <w:pPr>
        <w:ind w:left="660" w:right="72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tax benefits recognized on stock option exercises and the vesting of restricted stock units during the three and nine months ended September 30, 2019 of $0.3 million and $7.7 million, respectively.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revaluation of the contingent consideration during the nine months ended September 30, 2019 resulted in a tax expense of $11.4 million.</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certain intellectual property and assets from one of our foreign subsidiaries to the U.S. parent resulted in a net tax benefit of $3.8 million.</w:t>
      </w:r>
    </w:p>
    <w:p>
      <w:pPr>
        <w:ind w:left="660" w:right="5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return-to-provision adjustment for the year ended December 31, 2018 included a tax expense of $2.2 million primarily due to changes in estimates for GILTI.</w:t>
      </w:r>
    </w:p>
    <w:p>
      <w:pPr>
        <w:spacing w:after="0" w:line="20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Long-Term Obligations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Five-year Senior Secured Revolving Credit Facility ("Credit Facility")</w:t>
      </w:r>
    </w:p>
    <w:p>
      <w:pPr>
        <w:spacing w:after="0" w:line="254"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On November 8, 2017, we entered into a Credit Facility with various lenders for $150.0 million, with Wells Fargo Bank, N.A. as the administrative agent, swingline lender and issuing lender. During March 2020, as a result of market uncertainty caused by COVID-19, we preemptively borrowed $150.0 million on our Credit Facility as a conservative measure to manage any potential short-term liquidity risk. In September 2020, we fully repaid the borrowings under our Credit Facility.</w:t>
      </w:r>
    </w:p>
    <w:p>
      <w:pPr>
        <w:spacing w:after="0" w:line="207" w:lineRule="exact"/>
        <w:rPr>
          <w:sz w:val="20"/>
          <w:szCs w:val="20"/>
          <w:color w:val="auto"/>
        </w:rPr>
      </w:pPr>
    </w:p>
    <w:p>
      <w:pPr>
        <w:ind w:firstLine="170"/>
        <w:spacing w:after="0" w:line="261" w:lineRule="auto"/>
        <w:rPr>
          <w:sz w:val="20"/>
          <w:szCs w:val="20"/>
          <w:color w:val="auto"/>
        </w:rPr>
      </w:pPr>
      <w:r>
        <w:rPr>
          <w:rFonts w:ascii="Times New Roman" w:cs="Times New Roman" w:eastAsia="Times New Roman" w:hAnsi="Times New Roman"/>
          <w:sz w:val="18"/>
          <w:szCs w:val="18"/>
          <w:color w:val="auto"/>
        </w:rPr>
        <w:t>As of September 30, 2020, we had no borrowings and $150.0 million of availability under the Credit Facility. Principal payments on the revolving Credit Facility are made at our discretion with the unpaid amount due at maturity. The Credit Facility matures on November 8, 2022. Interest on borrowings under the Credit Facility, at our option, is based on the Base Rate plus applicable margin or the London Interbank Offered Rate ("LIBOR") plus applicable margin, see further details in Part II, Item 8, of our 2019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54" w:lineRule="exact"/>
        <w:rPr>
          <w:sz w:val="20"/>
          <w:szCs w:val="20"/>
          <w:color w:val="auto"/>
        </w:rPr>
      </w:pPr>
    </w:p>
    <w:p>
      <w:pPr>
        <w:ind w:right="40" w:firstLine="177"/>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ind w:right="60" w:firstLine="177"/>
        <w:spacing w:after="0" w:line="266" w:lineRule="auto"/>
        <w:rPr>
          <w:sz w:val="20"/>
          <w:szCs w:val="20"/>
          <w:color w:val="auto"/>
        </w:rPr>
      </w:pPr>
      <w:r>
        <w:rPr>
          <w:rFonts w:ascii="Times New Roman" w:cs="Times New Roman" w:eastAsia="Times New Roman" w:hAnsi="Times New Roman"/>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Consolidated Fixed Charge Coverage Ratio is defined as the ratio of: (a) Consolidated Adjusted EBITDA less the sum of (i) capital expenditures,</w:t>
      </w:r>
    </w:p>
    <w:p>
      <w:pPr>
        <w:spacing w:after="0" w:line="27" w:lineRule="exact"/>
        <w:rPr>
          <w:sz w:val="20"/>
          <w:szCs w:val="20"/>
          <w:color w:val="auto"/>
        </w:rPr>
      </w:pPr>
    </w:p>
    <w:p>
      <w:pPr>
        <w:ind w:right="120"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were in compliance with all financial covenants as of September 30,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54"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8"/>
          <w:szCs w:val="18"/>
          <w:color w:val="auto"/>
        </w:rPr>
        <w:t>In August 2019, our Board of Directors approved a new share purchase plan to purchase up to $100.0 million of our common stock. This plan replaced our existing plan and has no expiration date. During the nine months ended September 30, 2020, we did not purchase any shares of our common stock under our stock purchase plans. As of September 30, 2020, all of the $100.0 million available for purchase was remaining under the plan. We are currently limited on share purchases in accordance with the terms and conditions of our Credit Facility (see Note 16: Long-Term Obligations).</w:t>
      </w:r>
    </w:p>
    <w:p>
      <w:pPr>
        <w:spacing w:after="0" w:line="207" w:lineRule="exact"/>
        <w:rPr>
          <w:sz w:val="20"/>
          <w:szCs w:val="20"/>
          <w:color w:val="auto"/>
        </w:rPr>
      </w:pPr>
    </w:p>
    <w:p>
      <w:pPr>
        <w:ind w:right="60" w:firstLine="18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2020, we withheld 66,749 shares of our common stock from employee vested restricted stock units in consideration for $12.8 million in payments made on the employee's behalf for their minimum statutory income tax withholding obligations. For the nine months ended September 30, 2019, we withheld 79,313 shares of our common stock from employee vested restricted stock units in consideration for $18.5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Income</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income ("AOCI"), net of tax, were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on Cash Flow</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360" w:type="dxa"/>
            <w:vAlign w:val="bottom"/>
          </w:tcPr>
          <w:p>
            <w:pPr>
              <w:spacing w:after="0"/>
              <w:rPr>
                <w:sz w:val="15"/>
                <w:szCs w:val="15"/>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(17,310)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 before</w:t>
            </w:r>
          </w:p>
        </w:tc>
        <w:tc>
          <w:tcPr>
            <w:tcW w:w="200" w:type="dxa"/>
            <w:vAlign w:val="bottom"/>
          </w:tcPr>
          <w:p>
            <w:pPr>
              <w:spacing w:after="0"/>
              <w:rPr>
                <w:sz w:val="15"/>
                <w:szCs w:val="15"/>
                <w:color w:val="auto"/>
              </w:rPr>
            </w:pPr>
          </w:p>
        </w:tc>
        <w:tc>
          <w:tcPr>
            <w:tcW w:w="13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(27,787)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(23,183)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(16,557)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on Cash Flow</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360" w:type="dxa"/>
            <w:vAlign w:val="bottom"/>
          </w:tcPr>
          <w:p>
            <w:pPr>
              <w:spacing w:after="0"/>
              <w:rPr>
                <w:sz w:val="15"/>
                <w:szCs w:val="15"/>
                <w:color w:val="auto"/>
              </w:rPr>
            </w:pPr>
          </w:p>
        </w:tc>
        <w:tc>
          <w:tcPr>
            <w:tcW w:w="1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54" w:lineRule="exact"/>
        <w:rPr>
          <w:sz w:val="20"/>
          <w:szCs w:val="20"/>
          <w:color w:val="auto"/>
        </w:rPr>
      </w:pPr>
    </w:p>
    <w:p>
      <w:pPr>
        <w:ind w:right="60" w:firstLine="180"/>
        <w:spacing w:after="0" w:line="266" w:lineRule="auto"/>
        <w:rPr>
          <w:sz w:val="20"/>
          <w:szCs w:val="20"/>
          <w:color w:val="auto"/>
        </w:rPr>
      </w:pPr>
      <w:r>
        <w:rPr>
          <w:rFonts w:ascii="Times New Roman" w:cs="Times New Roman" w:eastAsia="Times New Roman" w:hAnsi="Times New Roman"/>
          <w:sz w:val="18"/>
          <w:szCs w:val="18"/>
          <w:color w:val="auto"/>
        </w:rPr>
        <w:t>During November 2019, we acquired Pursuit. Total consideration for the acquisition includes a potential contractual earn-out of up to $50.0 million, to be paid to former Pursuit equity holders, calculated based upon the achievement of certain performance targets during the earn-out period (see Note 8: Fair Value Measurement).</w:t>
      </w:r>
    </w:p>
    <w:p>
      <w:pPr>
        <w:spacing w:after="0" w:line="20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We had a contractual obligation in connection with our 2017 acquisition of HIS, which as of December 31, 2019 we determined did not meet the necessary performance targets that would require payout of any of the HIS earn-out liability. As of the date of this filing, Pfizer has disputed our determination that the performance targets requiring payout of the HIS earn-out liability were not met. If we do not reach agreement on this issue with Pfizer, the dispute will be resolved by binding arbitration (see Note 8, Fair Value Measurements).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non-cancellable operating lease agreements where we are contractually obligated to pay certain lease payment amounts (see Note 5: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Collaborative and Other Arrangements</w:t>
      </w:r>
    </w:p>
    <w:p>
      <w:pPr>
        <w:spacing w:after="0" w:line="229" w:lineRule="exact"/>
        <w:rPr>
          <w:sz w:val="20"/>
          <w:szCs w:val="20"/>
          <w:color w:val="auto"/>
        </w:rPr>
      </w:pPr>
    </w:p>
    <w:p>
      <w:pPr>
        <w:ind w:right="20" w:firstLine="180"/>
        <w:spacing w:after="0" w:line="277" w:lineRule="auto"/>
        <w:rPr>
          <w:sz w:val="20"/>
          <w:szCs w:val="20"/>
          <w:color w:val="auto"/>
        </w:rPr>
      </w:pPr>
      <w:r>
        <w:rPr>
          <w:rFonts w:ascii="Times New Roman" w:cs="Times New Roman" w:eastAsia="Times New Roman" w:hAnsi="Times New Roman"/>
          <w:sz w:val="17"/>
          <w:szCs w:val="17"/>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7"/>
          <w:szCs w:val="17"/>
          <w:b w:val="1"/>
          <w:bCs w:val="1"/>
          <w:color w:val="auto"/>
        </w:rPr>
        <w:t>COVID-19 Pandemic</w:t>
      </w:r>
    </w:p>
    <w:p>
      <w:pPr>
        <w:spacing w:after="0" w:line="256" w:lineRule="exact"/>
        <w:rPr>
          <w:sz w:val="20"/>
          <w:szCs w:val="20"/>
          <w:color w:val="auto"/>
        </w:rPr>
      </w:pPr>
    </w:p>
    <w:p>
      <w:pPr>
        <w:ind w:firstLine="180"/>
        <w:spacing w:after="0" w:line="237" w:lineRule="auto"/>
        <w:rPr>
          <w:sz w:val="20"/>
          <w:szCs w:val="20"/>
          <w:color w:val="auto"/>
        </w:rPr>
      </w:pPr>
      <w:r>
        <w:rPr>
          <w:rFonts w:ascii="Times New Roman" w:cs="Times New Roman" w:eastAsia="Times New Roman" w:hAnsi="Times New Roman"/>
          <w:sz w:val="18"/>
          <w:szCs w:val="18"/>
          <w:color w:val="auto"/>
        </w:rPr>
        <w:t>In late 2019, a novel coronavirus (“COVID-19”) was first reported in Wuhan, China, and on March 11, 2020, the World Health Organization characterized COVID -19 as a global pandemic. The spread of COVID-19 around the world in 2020 has caused significant volatility in U.S. and international markets. During the first nine months of 2020, our operations have been impacted globally by lower admission rates and procedural volumes at our hospital customers. Specifically, since the beginning of the second quarter we have generally seen decreased demand for products within our Infusion Consumables and IV Solutions businesses along with the dedicated infusion sets within Infusion Systems. This decline has been partially offset by increased demand for infusion pump hardware within Infusion Systems. We have also incurred increased expenses as a result of COVID-19 for additional compensation paid to our manufacturing and distribution facility workers along with personal protection equipment and other items. At the same time, we have seen some expense decreases due to reductions in travel and other discretionary spending. We have also incurred foreign exchange losses related to fluctuations in certain foreign currencies as a result of deteriorating economic conditions. However, the impacts of COVID-19 and the measures taken to limit its spread may increase in severity and may result in a material adverse impact on our financial position, results of operations and cash flows in the future. In addition to the effects discussed above, possible impact may include, but is not limited to: lost revenue or additional costs associated with a disruption to our production or distribution facilities; customers may experience financial difficulties and may be unable to pay within payment terms for the products they purchased; reduced revenue due to restricted access to healthcare customers; lower revenue and income due to foreign currency fluctuations; lower travel and entertainment costs due to travel restrictions; and lower income due to a delay in cost savings projects. While our operations have been designated as essential activities by certain state and city jurisdictions, COVID-19 is likely to negatively impact our operating results and financial position, the extent and duration cannot be reasonably estimated at this time.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right="60" w:firstLine="177"/>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2019 included in our Annual Report on Form 10-K.</w:t>
      </w:r>
    </w:p>
    <w:p>
      <w:pPr>
        <w:spacing w:after="0" w:line="176" w:lineRule="exact"/>
        <w:rPr>
          <w:sz w:val="20"/>
          <w:szCs w:val="20"/>
          <w:color w:val="auto"/>
        </w:rPr>
      </w:pPr>
    </w:p>
    <w:p>
      <w:pPr>
        <w:ind w:right="100" w:firstLine="177"/>
        <w:spacing w:after="0" w:line="282" w:lineRule="auto"/>
        <w:rPr>
          <w:sz w:val="20"/>
          <w:szCs w:val="20"/>
          <w:color w:val="auto"/>
        </w:rPr>
      </w:pPr>
      <w:r>
        <w:rPr>
          <w:rFonts w:ascii="Times New Roman" w:cs="Times New Roman" w:eastAsia="Times New Roman" w:hAnsi="Times New Roman"/>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60" w:firstLine="177"/>
        <w:spacing w:after="0" w:line="261" w:lineRule="auto"/>
        <w:rPr>
          <w:sz w:val="20"/>
          <w:szCs w:val="20"/>
          <w:color w:val="auto"/>
        </w:rPr>
      </w:pPr>
      <w:r>
        <w:rPr>
          <w:rFonts w:ascii="Times New Roman" w:cs="Times New Roman" w:eastAsia="Times New Roman" w:hAnsi="Times New Roman"/>
          <w:sz w:val="18"/>
          <w:szCs w:val="18"/>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20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89" w:lineRule="exact"/>
        <w:rPr>
          <w:sz w:val="20"/>
          <w:szCs w:val="20"/>
          <w:color w:val="auto"/>
        </w:rPr>
      </w:pPr>
    </w:p>
    <w:p>
      <w:pPr>
        <w:ind w:right="260" w:firstLine="177"/>
        <w:spacing w:after="0" w:line="282" w:lineRule="auto"/>
        <w:rPr>
          <w:sz w:val="20"/>
          <w:szCs w:val="20"/>
          <w:color w:val="auto"/>
        </w:rPr>
      </w:pPr>
      <w:r>
        <w:rPr>
          <w:rFonts w:ascii="Times New Roman" w:cs="Times New Roman" w:eastAsia="Times New Roman" w:hAnsi="Times New Roman"/>
          <w:sz w:val="18"/>
          <w:szCs w:val="18"/>
          <w:color w:val="auto"/>
        </w:rPr>
        <w:t>We categorize our products into four main product lines: Infusion Consumables, Infusion Systems, IV Solutions and Critical Care. We have presented our financial results in accordance with these product lines, with our primary products in each line listed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Update</w:t>
      </w:r>
    </w:p>
    <w:p>
      <w:pPr>
        <w:spacing w:after="0" w:line="256"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In late 2019, a novel coronavirus (“COVID-19”) was first reported in Wuhan, China, and on March 11, 2020, the World Health Organization characterized COVID-19 as a global pandemic. The outbreak has spread globally and has led governments and other authorities around the world, including federal, state and local authorities in the United States and elsewhere, to impose measures intended to control its spread, including restrictions on freedom of movement and business operations such as travel restrictions, border closings, business closures, quarantines and shelter-in-place orders. Additionally, the COVID-19 pandemic and the measures taken to limit its spread have negatively impacted the economy across many industries. As such, COVID-19 pandemic may pose significant risks to our business. We operate globally and the COVID-19 pandemic and its adverse effects have impacted most of the locations where we, our customers and our suppliers conduct business.</w:t>
      </w:r>
    </w:p>
    <w:p>
      <w:pPr>
        <w:spacing w:after="0" w:line="216" w:lineRule="exact"/>
        <w:rPr>
          <w:sz w:val="20"/>
          <w:szCs w:val="20"/>
          <w:color w:val="auto"/>
        </w:rPr>
      </w:pPr>
    </w:p>
    <w:p>
      <w:pPr>
        <w:ind w:right="260" w:firstLine="170"/>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our non-essential offices and facilities, including our corporate headquarters remain closed to non-essential employees. With a large number of employees now working remotely there is a potential loss of productivity, which could negatively impact our future results.</w:t>
      </w:r>
    </w:p>
    <w:p>
      <w:pPr>
        <w:spacing w:after="0" w:line="203" w:lineRule="exact"/>
        <w:rPr>
          <w:sz w:val="20"/>
          <w:szCs w:val="20"/>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physical distancing measures;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hygiene protocols and increased frequency of cleaning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additional personal protective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contingency plans and protocols to assess employee illness;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helped employees with childcare issues due to school and daycare closures;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COVID-19 temperature screening for employees entering our manufacturing and distribution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visitor pre-entry questionnaire to limit potential exposure in our facilities.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March 2020, as a precautionary measure in response to market uncertainty driven by COVID-19, we preemptively increased our liquidity by borrowing $150.0 million under our Credit Facility. As we now have a greater insight into how we are able to operate during COVID-19, we decided to fully repay the $150.0 million borrowed during the first quarter under our Credit Facility.</w:t>
      </w:r>
    </w:p>
    <w:p>
      <w:pPr>
        <w:spacing w:after="0" w:line="20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third quarter ended September 30, 2020, our results of operations were impacted by an increase in the demand for our infusion pump hardware that was partially offset by a decline in the demand for certain products in our Infusion Consumables product portfolio.</w:t>
      </w:r>
    </w:p>
    <w:p>
      <w:pPr>
        <w:spacing w:after="0" w:line="189" w:lineRule="exact"/>
        <w:rPr>
          <w:sz w:val="20"/>
          <w:szCs w:val="20"/>
          <w:color w:val="auto"/>
        </w:rPr>
      </w:pPr>
    </w:p>
    <w:p>
      <w:pPr>
        <w:ind w:right="60" w:firstLine="177"/>
        <w:spacing w:after="0" w:line="261" w:lineRule="auto"/>
        <w:rPr>
          <w:sz w:val="20"/>
          <w:szCs w:val="20"/>
          <w:color w:val="auto"/>
        </w:rPr>
      </w:pPr>
      <w:r>
        <w:rPr>
          <w:rFonts w:ascii="Times New Roman" w:cs="Times New Roman" w:eastAsia="Times New Roman" w:hAnsi="Times New Roman"/>
          <w:sz w:val="18"/>
          <w:szCs w:val="18"/>
          <w:color w:val="auto"/>
        </w:rPr>
        <w:t>The effect of the COVID-19 pandemic will not be fully reflected in our results of operations and overall financial performance until future periods. The duration and extent of the impact from the COVID-19 pandemic depends on future developments that cannot be fully predicted at this time, as such, the impact of the pandemic on our future results of operations and overall financial performance remain uncertain and cannot as yet be quantified. However, our future results could be impacted by the following:</w:t>
      </w:r>
    </w:p>
    <w:p>
      <w:pPr>
        <w:spacing w:after="0" w:line="20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revenue or additional costs associated with either disruptions at our production and distribution facilities or interruptions in our supply chain;</w:t>
      </w:r>
    </w:p>
    <w:p>
      <w:pPr>
        <w:spacing w:after="0" w:line="27"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from customers as a result of an increase in COVID-19 patient admissions in hospitals offset by the decline in non-COVID-19 patient admissions;</w:t>
      </w:r>
    </w:p>
    <w:p>
      <w:pPr>
        <w:ind w:left="660" w:right="34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lower demand in future periods due to over-purchasing of our products due to the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 due to delays in implementation of our infusion systems and oncology products at hospital locations due to restricted access;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operating costs related to additional compensation paid to our manufacturing and distribution facility workers;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revenue and income due to 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travel and entertainment costs due to global travel restrictions;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due to a delay in cost savings projects as a result of the travel and social distancing requirements of COVID-19; and</w:t>
      </w:r>
    </w:p>
    <w:p>
      <w:pPr>
        <w:spacing w:after="0" w:line="27" w:lineRule="exact"/>
        <w:rPr>
          <w:rFonts w:ascii="Times New Roman" w:cs="Times New Roman" w:eastAsia="Times New Roman" w:hAnsi="Times New Roman"/>
          <w:sz w:val="18"/>
          <w:szCs w:val="18"/>
          <w:color w:val="auto"/>
        </w:rPr>
      </w:pPr>
    </w:p>
    <w:p>
      <w:pPr>
        <w:ind w:left="660" w:right="3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income on cash balances due to recent reductions in interest rates along with higher interest expense from borrowings under our $150.0 million Credit Facility if necessary to maintain adequate liquidity.</w:t>
      </w:r>
    </w:p>
    <w:p>
      <w:pPr>
        <w:spacing w:after="0" w:line="208" w:lineRule="exact"/>
        <w:rPr>
          <w:sz w:val="20"/>
          <w:szCs w:val="20"/>
          <w:color w:val="auto"/>
        </w:rPr>
      </w:pPr>
    </w:p>
    <w:p>
      <w:pPr>
        <w:ind w:right="420" w:firstLine="180"/>
        <w:spacing w:after="0" w:line="282" w:lineRule="auto"/>
        <w:rPr>
          <w:sz w:val="20"/>
          <w:szCs w:val="20"/>
          <w:color w:val="auto"/>
        </w:rPr>
      </w:pPr>
      <w:r>
        <w:rPr>
          <w:rFonts w:ascii="Times New Roman" w:cs="Times New Roman" w:eastAsia="Times New Roman" w:hAnsi="Times New Roman"/>
          <w:sz w:val="18"/>
          <w:szCs w:val="18"/>
          <w:color w:val="auto"/>
        </w:rPr>
        <w:t>See Risk Factors for further information regarding the actual and potential future impacts of the COVID-19 pandemic on us, our operations 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Consumables</w:t>
      </w:r>
    </w:p>
    <w:p>
      <w:pPr>
        <w:spacing w:after="0" w:line="25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87" w:lineRule="exact"/>
        <w:rPr>
          <w:sz w:val="20"/>
          <w:szCs w:val="20"/>
          <w:color w:val="auto"/>
        </w:rPr>
      </w:pPr>
    </w:p>
    <w:p>
      <w:pPr>
        <w:ind w:left="1300" w:right="40" w:hanging="320"/>
        <w:spacing w:after="0" w:line="267" w:lineRule="auto"/>
        <w:tabs>
          <w:tab w:leader="none" w:pos="129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Clave™ needlefree products</w:t>
      </w:r>
      <w:r>
        <w:rPr>
          <w:rFonts w:ascii="Times New Roman" w:cs="Times New Roman" w:eastAsia="Times New Roman" w:hAnsi="Times New Roman"/>
          <w:sz w:val="18"/>
          <w:szCs w:val="18"/>
          <w:color w:val="auto"/>
        </w:rPr>
        <w:t>, including the MicroClave, MicroClave Clear, and NanoClave™ brand of connectors, accessories, extension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administration sets used for the administration of IV fluids and medications and the Neutron catheter patency device, used to help maintain patency of central venous catheters;</w:t>
      </w:r>
    </w:p>
    <w:p>
      <w:pPr>
        <w:spacing w:after="0" w:line="200"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SwabCap </w:t>
      </w:r>
      <w:r>
        <w:rPr>
          <w:rFonts w:ascii="Times New Roman" w:cs="Times New Roman" w:eastAsia="Times New Roman" w:hAnsi="Times New Roman"/>
          <w:sz w:val="18"/>
          <w:szCs w:val="18"/>
          <w:color w:val="auto"/>
        </w:rPr>
        <w:t>disinfecting cap, used to protect and disinfect any needlefree connector, including competitive brands of connectors;</w:t>
      </w:r>
    </w:p>
    <w:p>
      <w:pPr>
        <w:spacing w:after="0" w:line="24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Tego</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hemodialysis connector used to cap and protect hemodialysis central venous catheter hubs;</w:t>
      </w:r>
    </w:p>
    <w:p>
      <w:pPr>
        <w:spacing w:after="0" w:line="19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NovaCath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SuperCath</w:t>
      </w:r>
      <w:r>
        <w:rPr>
          <w:rFonts w:ascii="Times New Roman" w:cs="Times New Roman" w:eastAsia="Times New Roman" w:hAnsi="Times New Roman"/>
          <w:sz w:val="18"/>
          <w:szCs w:val="18"/>
          <w:color w:val="auto"/>
        </w:rPr>
        <w:t>™ peripheral IV catheters (PIV);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ClearGuard HD </w:t>
      </w:r>
      <w:r>
        <w:rPr>
          <w:rFonts w:ascii="Times New Roman" w:cs="Times New Roman" w:eastAsia="Times New Roman" w:hAnsi="Times New Roman"/>
          <w:sz w:val="18"/>
          <w:szCs w:val="18"/>
          <w:color w:val="auto"/>
        </w:rPr>
        <w:t>antimicrobial barrier caps for hemodialysis catheters.</w:t>
      </w:r>
    </w:p>
    <w:p>
      <w:pPr>
        <w:spacing w:after="0" w:line="252" w:lineRule="exact"/>
        <w:rPr>
          <w:sz w:val="20"/>
          <w:szCs w:val="20"/>
          <w:color w:val="auto"/>
        </w:rPr>
      </w:pPr>
    </w:p>
    <w:p>
      <w:pPr>
        <w:ind w:right="12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Closed System Transfer Devices ("CSTD") and hazardous drug compounding systems </w:t>
      </w:r>
      <w:r>
        <w:rPr>
          <w:rFonts w:ascii="Times New Roman" w:cs="Times New Roman" w:eastAsia="Times New Roman" w:hAnsi="Times New Roman"/>
          <w:sz w:val="18"/>
          <w:szCs w:val="18"/>
          <w:color w:val="auto"/>
        </w:rPr>
        <w:t>are used to prepare and deliver hazardous IV medications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used in chemotherapy, which, if released, can have harmful effects on the healthcare worker and environment. Our products are:</w:t>
      </w:r>
    </w:p>
    <w:p>
      <w:pPr>
        <w:spacing w:after="0" w:line="182" w:lineRule="exact"/>
        <w:rPr>
          <w:sz w:val="20"/>
          <w:szCs w:val="20"/>
          <w:color w:val="auto"/>
        </w:rPr>
      </w:pPr>
    </w:p>
    <w:p>
      <w:pPr>
        <w:ind w:left="1300" w:right="160" w:hanging="320"/>
        <w:spacing w:after="0" w:line="237"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ChemoLock</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CSTD which utilizes a proprietary needlefree connection method, is used for the preparation and administration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drugs. ChemoLock is used to limit the escape of hazardous drug or vapor concentrations, block the transfer of environmental contaminants into the system, and eliminates the risk of needlestick injury;</w:t>
      </w:r>
    </w:p>
    <w:p>
      <w:pPr>
        <w:spacing w:after="0" w:line="221" w:lineRule="exact"/>
        <w:rPr>
          <w:rFonts w:ascii="Times New Roman" w:cs="Times New Roman" w:eastAsia="Times New Roman" w:hAnsi="Times New Roman"/>
          <w:sz w:val="18"/>
          <w:szCs w:val="18"/>
          <w:color w:val="auto"/>
        </w:rPr>
      </w:pPr>
    </w:p>
    <w:p>
      <w:pPr>
        <w:ind w:left="1300" w:right="100" w:hanging="320"/>
        <w:spacing w:after="0"/>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ChemoClave</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color w:val="auto"/>
        </w:rPr>
        <w:t>, an ISO Connection standard and universally compatible CSTD used for the preparation and administration of hazardous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21" w:lineRule="exact"/>
        <w:rPr>
          <w:rFonts w:ascii="Times New Roman" w:cs="Times New Roman" w:eastAsia="Times New Roman" w:hAnsi="Times New Roman"/>
          <w:sz w:val="18"/>
          <w:szCs w:val="18"/>
          <w:color w:val="auto"/>
        </w:rPr>
      </w:pPr>
    </w:p>
    <w:p>
      <w:pPr>
        <w:ind w:left="1300" w:hanging="320"/>
        <w:spacing w:after="0"/>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Diana</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drug compounding system, an automated sterile compounding system that incorporates ChemoClave and ChemoLock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offer a wide range of infusion pumps, dedicated IV sets and software. Our primary Infusion System products are dedicated IV sets and the following:</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Infusion Pump Hardware:</w:t>
      </w:r>
    </w:p>
    <w:p>
      <w:pPr>
        <w:spacing w:after="0" w:line="252" w:lineRule="exact"/>
        <w:rPr>
          <w:sz w:val="20"/>
          <w:szCs w:val="20"/>
          <w:color w:val="auto"/>
        </w:rPr>
      </w:pPr>
    </w:p>
    <w:p>
      <w:pPr>
        <w:ind w:left="1300" w:right="200" w:hanging="320"/>
        <w:spacing w:after="0" w:line="267"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Plum 360™</w:t>
      </w:r>
      <w:r>
        <w:rPr>
          <w:rFonts w:ascii="Times New Roman" w:cs="Times New Roman" w:eastAsia="Times New Roman" w:hAnsi="Times New Roman"/>
          <w:sz w:val="18"/>
          <w:szCs w:val="18"/>
          <w:color w:val="auto"/>
        </w:rPr>
        <w:t>: The Plum 360™ infusion pump is an ICU Medical MedNet™ ready large volume infusion pump with an extensive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library and wireless capability. Plum 360 was named the 2018, 2019 and 2020 Best in KLAS winner as top-performing IV smart pump and is the first medical device to be awarded UL Cybersecurity Assurance Program Certification; and</w:t>
      </w:r>
    </w:p>
    <w:p>
      <w:pPr>
        <w:spacing w:after="0" w:line="200" w:lineRule="exact"/>
        <w:rPr>
          <w:rFonts w:ascii="Times New Roman" w:cs="Times New Roman" w:eastAsia="Times New Roman" w:hAnsi="Times New Roman"/>
          <w:sz w:val="18"/>
          <w:szCs w:val="18"/>
          <w:color w:val="auto"/>
        </w:rPr>
      </w:pPr>
    </w:p>
    <w:p>
      <w:pPr>
        <w:ind w:left="1300" w:right="360" w:hanging="320"/>
        <w:spacing w:after="0" w:line="284"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LifeCare PCA™</w:t>
      </w:r>
      <w:r>
        <w:rPr>
          <w:rFonts w:ascii="Times New Roman" w:cs="Times New Roman" w:eastAsia="Times New Roman" w:hAnsi="Times New Roman"/>
          <w:sz w:val="18"/>
          <w:szCs w:val="18"/>
          <w:color w:val="auto"/>
        </w:rPr>
        <w:t>: The LifeCare PCA infusion pump is an ICU Medical MedNet™ ready patient-controlled analgesia pump ("PCA"),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complete IV-EHR interoperability since 2016.</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IV Mediation Safety Software:</w:t>
      </w:r>
    </w:p>
    <w:p>
      <w:pPr>
        <w:spacing w:after="0" w:line="252" w:lineRule="exact"/>
        <w:rPr>
          <w:sz w:val="20"/>
          <w:szCs w:val="20"/>
          <w:color w:val="auto"/>
        </w:rPr>
      </w:pPr>
    </w:p>
    <w:p>
      <w:pPr>
        <w:ind w:left="1300" w:right="20" w:hanging="320"/>
        <w:spacing w:after="0" w:line="26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ICU Medical MedNet</w:t>
      </w:r>
      <w:r>
        <w:rPr>
          <w:rFonts w:ascii="Times New Roman" w:cs="Times New Roman" w:eastAsia="Times New Roman" w:hAnsi="Times New Roman"/>
          <w:sz w:val="18"/>
          <w:szCs w:val="18"/>
          <w:color w:val="auto"/>
        </w:rPr>
        <w:t>™: ICU Medical MedNet is an enterprise-class medication management platform for any sized healthcare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54" w:lineRule="exact"/>
        <w:rPr>
          <w:sz w:val="20"/>
          <w:szCs w:val="20"/>
          <w:color w:val="auto"/>
        </w:rPr>
      </w:pPr>
    </w:p>
    <w:p>
      <w:pPr>
        <w:ind w:left="1300" w:hanging="320"/>
        <w:spacing w:after="0" w:line="266"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Solutions</w:t>
      </w:r>
    </w:p>
    <w:p>
      <w:pPr>
        <w:spacing w:after="0" w:line="256" w:lineRule="exact"/>
        <w:rPr>
          <w:sz w:val="20"/>
          <w:szCs w:val="20"/>
          <w:color w:val="auto"/>
        </w:rPr>
      </w:pPr>
    </w:p>
    <w:p>
      <w:pPr>
        <w:ind w:right="660" w:firstLine="177"/>
        <w:spacing w:after="0" w:line="282" w:lineRule="auto"/>
        <w:rPr>
          <w:sz w:val="20"/>
          <w:szCs w:val="20"/>
          <w:color w:val="auto"/>
        </w:rPr>
      </w:pPr>
      <w:r>
        <w:rPr>
          <w:rFonts w:ascii="Times New Roman" w:cs="Times New Roman" w:eastAsia="Times New Roman" w:hAnsi="Times New Roman"/>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IV Therapy and Diluents:</w:t>
      </w:r>
    </w:p>
    <w:p>
      <w:pPr>
        <w:spacing w:after="0" w:line="254" w:lineRule="exact"/>
        <w:rPr>
          <w:sz w:val="20"/>
          <w:szCs w:val="20"/>
          <w:color w:val="auto"/>
        </w:rPr>
      </w:pPr>
    </w:p>
    <w:p>
      <w:pPr>
        <w:ind w:left="1300" w:right="100" w:hanging="320"/>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Sodium Chloride, Dextrose, Balanced Electrolyte Solutions, Lactated Ringer's, Ringer's, Mannitol, Sodium Chloride/Dextrose and Sterile Water.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Irrigation:</w:t>
      </w:r>
    </w:p>
    <w:p>
      <w:pPr>
        <w:spacing w:after="0" w:line="254" w:lineRule="exact"/>
        <w:rPr>
          <w:sz w:val="20"/>
          <w:szCs w:val="20"/>
          <w:color w:val="auto"/>
        </w:rPr>
      </w:pPr>
    </w:p>
    <w:p>
      <w:pPr>
        <w:ind w:left="1300" w:right="60" w:hanging="320"/>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Care</w:t>
      </w:r>
    </w:p>
    <w:p>
      <w:pPr>
        <w:spacing w:after="0" w:line="256" w:lineRule="exact"/>
        <w:rPr>
          <w:sz w:val="20"/>
          <w:szCs w:val="20"/>
          <w:color w:val="auto"/>
        </w:rPr>
      </w:pPr>
    </w:p>
    <w:p>
      <w:pPr>
        <w:ind w:right="240" w:firstLine="180"/>
        <w:spacing w:after="0" w:line="266" w:lineRule="auto"/>
        <w:rPr>
          <w:sz w:val="20"/>
          <w:szCs w:val="20"/>
          <w:color w:val="auto"/>
        </w:rPr>
      </w:pPr>
      <w:r>
        <w:rPr>
          <w:rFonts w:ascii="Times New Roman" w:cs="Times New Roman" w:eastAsia="Times New Roman" w:hAnsi="Times New Roman"/>
          <w:sz w:val="18"/>
          <w:szCs w:val="18"/>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203"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Cogent™ 2-in-1 hemodynamic monitoring system;</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CardioFlo™ hemodynamic monitoring system;</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TDQ™ and OptiQ™ cardiac output monitoring catheters;</w:t>
      </w:r>
    </w:p>
    <w:p>
      <w:pPr>
        <w:spacing w:after="0" w:line="9" w:lineRule="exact"/>
        <w:rPr>
          <w:rFonts w:ascii="Times New Roman" w:cs="Times New Roman" w:eastAsia="Times New Roman" w:hAnsi="Times New Roman"/>
          <w:sz w:val="18"/>
          <w:szCs w:val="18"/>
          <w:color w:val="auto"/>
        </w:rPr>
      </w:pPr>
    </w:p>
    <w:p>
      <w:pPr>
        <w:ind w:left="1300" w:hanging="320"/>
        <w:spacing w:after="0" w:line="197"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TriOx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venous oximetry catheters;</w:t>
      </w: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Transpac™ blood pressure transducers; and</w:t>
      </w:r>
    </w:p>
    <w:p>
      <w:pPr>
        <w:spacing w:after="0" w:line="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SafeSet™ closed blood sampling and conservation system.</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total worldwide revenue by domestic and international markets by amount and as a percentage of total revenue (in millions, except percentages):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4"/>
        </w:trPr>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210"/>
        </w:trPr>
        <w:tc>
          <w:tcPr>
            <w:tcW w:w="1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 of Revenue</w:t>
            </w:r>
          </w:p>
        </w:tc>
      </w:tr>
      <w:tr>
        <w:trPr>
          <w:trHeight w:val="22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8"/>
        </w:trPr>
        <w:tc>
          <w:tcPr>
            <w:tcW w:w="1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total revenue by product line as a percentage of total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310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4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8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8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1"/>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line</w:t>
            </w:r>
          </w:p>
        </w:tc>
        <w:tc>
          <w:tcPr>
            <w:tcW w:w="14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Infusion Consumables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Infusion Systems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IV Solutions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Critical Care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8"/>
        </w:trPr>
        <w:tc>
          <w:tcPr>
            <w:tcW w:w="5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manage our product distribution in the U.S. through a network of three owned and one leased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distribution utilizing international regional hubs and through independent distributors.</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Seasonality/Quarterly Results</w:t>
      </w:r>
    </w:p>
    <w:p>
      <w:pPr>
        <w:spacing w:after="0" w:line="256" w:lineRule="exact"/>
        <w:rPr>
          <w:sz w:val="20"/>
          <w:szCs w:val="20"/>
          <w:color w:val="auto"/>
        </w:rPr>
      </w:pPr>
    </w:p>
    <w:p>
      <w:pPr>
        <w:ind w:right="20" w:firstLine="177"/>
        <w:spacing w:after="0" w:line="266" w:lineRule="auto"/>
        <w:rPr>
          <w:sz w:val="20"/>
          <w:szCs w:val="20"/>
          <w:color w:val="auto"/>
        </w:rPr>
      </w:pPr>
      <w:r>
        <w:rPr>
          <w:rFonts w:ascii="Times New Roman" w:cs="Times New Roman" w:eastAsia="Times New Roman" w:hAnsi="Times New Roman"/>
          <w:sz w:val="18"/>
          <w:szCs w:val="18"/>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We present income statement data in Part I, Item 1 - Financial Statements. The following table shows, for the three and nine months ended September 30, 2020 and 2019, the percentages of each income statement caption in relation to total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46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0"/>
        </w:trPr>
        <w:tc>
          <w:tcPr>
            <w:tcW w:w="5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strategic transaction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earn-out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settlement</w:t>
            </w:r>
          </w:p>
        </w:tc>
        <w:tc>
          <w:tcPr>
            <w:tcW w:w="156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6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
        </w:trPr>
        <w:tc>
          <w:tcPr>
            <w:tcW w:w="5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Consumables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total Infusion Consumables revenue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80" w:type="dxa"/>
            <w:vAlign w:val="bottom"/>
          </w:tcPr>
          <w:p>
            <w:pPr>
              <w:spacing w:after="0"/>
              <w:rPr>
                <w:sz w:val="16"/>
                <w:szCs w:val="16"/>
                <w:color w:val="auto"/>
              </w:rPr>
            </w:pPr>
          </w:p>
        </w:tc>
      </w:tr>
      <w:tr>
        <w:trPr>
          <w:trHeight w:val="214"/>
        </w:trPr>
        <w:tc>
          <w:tcPr>
            <w:tcW w:w="1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tcBorders>
              <w:bottom w:val="single" w:sz="8" w:color="auto"/>
            </w:tcBorders>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Consumables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292"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Infusion Consumables revenue decreased for the three and nine months ended September 30, 2020, as compared to the same periods in the prior year. For the three months ended September 30, 2020, the revenue decrease was driven primarily by the impact of lower demand from hospital customers due to COVID-19, particularly in international markets, offset partially by sales of our ClearGuard HD product, which we acquired in our fourth quarter 2019 acquisition of Pursuit Vascular, Inc ("Pursuit"). For the nine months ended September 30, 2020, the revenue decrease was driven primarily by the impact of lower demand from hospital customers globally due to COVID-19, offset by Oncology growth internationally and sales of our ClearGuard HD product. On a constant currency basis, Infusion Consumables revenue would have been $115.3 million for the three months ended September 30, 2020, a decrease of $4.5 million or 3.8%, as compared to the same period in the prior year. On a constant currency basis, Infusion Consumables revenue would have been $352.5 million for the nine months ended September 30, 2020, a decrease of $5.5 million or 1.5%, as compared to the same period in the prior 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Systems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total Infusion Systems revenue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0" w:type="dxa"/>
            <w:vAlign w:val="bottom"/>
          </w:tcPr>
          <w:p>
            <w:pPr>
              <w:spacing w:after="0"/>
              <w:rPr>
                <w:sz w:val="16"/>
                <w:szCs w:val="16"/>
                <w:color w:val="auto"/>
              </w:rPr>
            </w:pPr>
          </w:p>
        </w:tc>
      </w:tr>
      <w:tr>
        <w:trPr>
          <w:trHeight w:val="214"/>
        </w:trPr>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Systems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r>
    </w:tbl>
    <w:p>
      <w:pPr>
        <w:spacing w:after="0" w:line="27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Infusion Systems revenue increased for the three and nine months ended September 30, 2020, as compared to the same periods in the prior year due to higher demand for our infusion pump hardware, offset somewhat by lower demand for our dedicated infusion sets during the global COVID-19 pandemic. On a constant currency basis Infusion Systems revenue would have been $88.9 million for the three months ended September 30, 2020, an increase of $10.0 million or 12.7%, as compared to the same period in the prior year. On a constant currency basis Infusion Systems revenue would have been $273.0 million for the nine months ended September 30, 2020, an increase of $28.5 million or 11.7%, as compared to the same period in the prior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Solutions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total IV Solutions revenue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0" w:type="dxa"/>
            <w:vAlign w:val="bottom"/>
          </w:tcPr>
          <w:p>
            <w:pPr>
              <w:spacing w:after="0"/>
              <w:rPr>
                <w:sz w:val="16"/>
                <w:szCs w:val="16"/>
                <w:color w:val="auto"/>
              </w:rPr>
            </w:pPr>
          </w:p>
        </w:tc>
      </w:tr>
      <w:tr>
        <w:trPr>
          <w:trHeight w:val="214"/>
        </w:trPr>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IV Solutions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bl>
    <w:p>
      <w:pPr>
        <w:spacing w:after="0" w:line="2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IV Solutions sales increased for the three months ended September 30, 2020, as compared to the same period in the prior year, primarily due to an increase in sales to new customers. IV Solutions sales decreased for the nine months ended September 30, 2020, as compared to the same period in the prior year, primarily due to lower contract manufacturing sales to Pfizer, lower demand from hospital customers due to the COVID-19 pandemic and higher sales in the first quarter of 2019 to non-contracted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Care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total Critical Care revenue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20" w:type="dxa"/>
            <w:vAlign w:val="bottom"/>
          </w:tcPr>
          <w:p>
            <w:pPr>
              <w:spacing w:after="0"/>
              <w:rPr>
                <w:sz w:val="16"/>
                <w:szCs w:val="16"/>
                <w:color w:val="auto"/>
              </w:rPr>
            </w:pPr>
          </w:p>
        </w:tc>
      </w:tr>
      <w:tr>
        <w:trPr>
          <w:trHeight w:val="214"/>
        </w:trPr>
        <w:tc>
          <w:tcPr>
            <w:tcW w:w="1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tcBorders>
              <w:bottom w:val="single" w:sz="8" w:color="auto"/>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Critical Care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bl>
    <w:p>
      <w:pPr>
        <w:spacing w:after="0" w:line="29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Critical Care revenue increased for the three and nine months ended September 30, 2020, as compared to the same periods in the prior year, primarily as a result of growth in the Asia region.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Margins</w:t>
      </w:r>
    </w:p>
    <w:p>
      <w:pPr>
        <w:spacing w:after="0" w:line="256"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gross margins were 35.8% and 35.9%, respectively. For the three and nine months ended September 30, 2019, gross margins were 38.6% and 37.6%, respectively. The decrease in gross margin for the three and nine months ended September 30, 2020, as compared to the same periods in the prior year was primarily due to lower IV Solutions manufacturing volumes, unfavorable product mix, and increased product quality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total SG&amp;A Expenses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0" w:type="dxa"/>
            <w:vAlign w:val="bottom"/>
          </w:tcPr>
          <w:p>
            <w:pPr>
              <w:spacing w:after="0"/>
              <w:rPr>
                <w:sz w:val="16"/>
                <w:szCs w:val="16"/>
                <w:color w:val="auto"/>
              </w:rPr>
            </w:pPr>
          </w:p>
        </w:tc>
      </w:tr>
      <w:tr>
        <w:trPr>
          <w:trHeight w:val="214"/>
        </w:trPr>
        <w:tc>
          <w:tcPr>
            <w:tcW w:w="1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27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SG&amp;A expenses in total increased for the three and nine months ended September 30, 2020, as compared to the same periods in the prior year. For the three months ended September 30, 2020 as compared to the same period in the prior year, dealer fees increased $4.3 million, stock compensation increased $2.7 million, and depreciation and amortization expense increased $1.9 million. Offsetting these expense increases was a decrease of $1.7 million in travel expenses, and a decrease of $1.2 million in consulting expenses. Dealer fees increased due to an increase in revenue from distributors. Stock compensation increased in the current period due to a change in the number of performance shares estimated to vest on one of our non-executive performance awards. Depreciation and amortization expense increased primarily as a result of the increase in amortization base due to the November 2019 acquisition of Pursuit. Travel expenses decreased in the current period, as compared to the same prior year period, due to travel restrictions in response to COVID-19. Consulting expense was higher in the prior year due to charges incurred related to tax compliance and IT infrastructure expenses.</w:t>
      </w:r>
    </w:p>
    <w:p>
      <w:pPr>
        <w:spacing w:after="0" w:line="2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as compared to the same period in the prior year, dealer fees increased $8.7 million, depreciation and amortization expense increased $6.0 million, compensation expense increased $2.7 million, and stock compensation increased $2.4 million. Offsetting these expense increases was a $5.2 decrease in bad debt expense, a $4.6 million decrease in travel expenses, a $3.9 million decrease in consulting expenses, and a $2.6 million decrease in sales and marketing expenses. See the above explanations for the three months ended September 30, 2020, which also apply to the nine months ended September 30, 2020. Compensation expense increased as a result of lower incentive compensation recognized in the prior year due to forecasted results trending below performance targets. Bad debt expense is estimated based on an analysis of the expected losses on the accounts receivables at the reporting date, which varies from period-to-period due to the quality of those receivables. Sales and marketing expenses decreased due to the impact of COVID-19 on trade shows, conferences, and related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total R&amp;D Expenses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4"/>
        </w:trPr>
        <w:tc>
          <w:tcPr>
            <w:tcW w:w="1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R&amp;D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bl>
    <w:p>
      <w:pPr>
        <w:spacing w:after="0" w:line="29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R&amp;D expenses decreased for the three and nine months ended September 30, 2020, as compared to the same periods in the prior year. R&amp;D expense primarily relates to compensation and related benefit expenses on current R&amp;D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Strategic Transaction and Integration Expenses</w:t>
      </w:r>
    </w:p>
    <w:p>
      <w:pPr>
        <w:spacing w:after="0" w:line="256" w:lineRule="exact"/>
        <w:rPr>
          <w:sz w:val="20"/>
          <w:szCs w:val="20"/>
          <w:color w:val="auto"/>
        </w:rPr>
      </w:pPr>
    </w:p>
    <w:p>
      <w:pPr>
        <w:ind w:right="100" w:firstLine="180"/>
        <w:spacing w:after="0" w:line="282" w:lineRule="auto"/>
        <w:rPr>
          <w:sz w:val="20"/>
          <w:szCs w:val="20"/>
          <w:color w:val="auto"/>
        </w:rPr>
      </w:pPr>
      <w:r>
        <w:rPr>
          <w:rFonts w:ascii="Times New Roman" w:cs="Times New Roman" w:eastAsia="Times New Roman" w:hAnsi="Times New Roman"/>
          <w:sz w:val="18"/>
          <w:szCs w:val="18"/>
          <w:color w:val="auto"/>
        </w:rPr>
        <w:t>Restructuring and strategic transaction and integration expenses were $4.1 million and $22.9 million for the three and nine months ended September 30, 2020, respectively, as compared to $8.0 million and $69.4 million for the three and nine months ended September 30, 2019,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4" w:lineRule="exact"/>
        <w:rPr>
          <w:sz w:val="20"/>
          <w:szCs w:val="20"/>
          <w:color w:val="auto"/>
        </w:rPr>
      </w:pPr>
    </w:p>
    <w:p>
      <w:pPr>
        <w:ind w:right="20" w:firstLine="180"/>
        <w:spacing w:after="0" w:line="258" w:lineRule="auto"/>
        <w:rPr>
          <w:sz w:val="20"/>
          <w:szCs w:val="20"/>
          <w:color w:val="auto"/>
        </w:rPr>
      </w:pPr>
      <w:r>
        <w:rPr>
          <w:rFonts w:ascii="Times New Roman" w:cs="Times New Roman" w:eastAsia="Times New Roman" w:hAnsi="Times New Roman"/>
          <w:sz w:val="18"/>
          <w:szCs w:val="18"/>
          <w:color w:val="auto"/>
        </w:rPr>
        <w:t>Restructuring charges were $0.0 million and $8.1 million for the three and nine months ended September 30, 2020, respectively, as compared to $0.8 million and $8.4 million for the three and nine months ended September 30, 2019, respectively. Restructuring charges for the nine months ended September 30, 2020, were primarily related to severance and other costs related to office and facility closures. For the three and nine months ended September 30, 2019, the restructuring charges were primarily related to a one-time charge to move our U.S. pump service depot to our existing Salt Lake City facility and other plant restructuring. We expect to pay our unpaid restructuring charges as of September 30, 2020 by the end of the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and integration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Strategic transaction and integration expenses were $4.1 million and $14.8 million for the three and nine months ended September 30, 2020, respectively, as compared to $7.2 million and $61.0 million for the three and nine months ended September 30, 2019, respectively. The strategic transaction and integration expenses during the three and nine months ended September 30, 2020 were primarily related to the integration of HIS, which for the nine months ended September 30, 2020 included the migration of IT systems at our Austin facility. The strategic transaction and integration expenses during the nine months ended September 30, 2019 included a one-time strategic supply chain restructuring charge of $22.1 million, which reduced our contracted commitments to our third party manufacturer. The nine months ended September 30, 2019, also included charges related to our final Pfizer separation costs, which included a $12.7 million non-cash write-off of related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w:t>
      </w:r>
    </w:p>
    <w:p>
      <w:pPr>
        <w:spacing w:after="0" w:line="256" w:lineRule="exact"/>
        <w:rPr>
          <w:sz w:val="20"/>
          <w:szCs w:val="20"/>
          <w:color w:val="auto"/>
        </w:rPr>
      </w:pPr>
    </w:p>
    <w:p>
      <w:pPr>
        <w:ind w:right="40" w:firstLine="18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the fair value revaluation of our Pursuit earn-out liability resulted in an increase in value of $4.3 million and $7.0 million, respectively. For the three and nine months ended September 30, 2019, the fair value revaluation of our HIS contingent earn-out liability resulted in a decrease of value of $0.2 million and $47.4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Settlement</w:t>
      </w:r>
    </w:p>
    <w:p>
      <w:pPr>
        <w:spacing w:after="0" w:line="256" w:lineRule="exact"/>
        <w:rPr>
          <w:sz w:val="20"/>
          <w:szCs w:val="20"/>
          <w:color w:val="auto"/>
        </w:rPr>
      </w:pPr>
    </w:p>
    <w:p>
      <w:pPr>
        <w:ind w:right="240" w:firstLine="18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we recorded $1.0 million in contract settlement income related to the resolution of a dispute with one of our suppliers. For the nine months ended September 30, 2019, we incurred a contract settlement expense of $3.8 million, related to the resolution of a dispute with a product partner, which resulted in a redefinition of our contractual arrangement and in the rights and remedies determined under such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180" w:firstLine="180"/>
        <w:spacing w:after="0" w:line="256" w:lineRule="auto"/>
        <w:rPr>
          <w:sz w:val="20"/>
          <w:szCs w:val="20"/>
          <w:color w:val="auto"/>
        </w:rPr>
      </w:pPr>
      <w:r>
        <w:rPr>
          <w:rFonts w:ascii="Times New Roman" w:cs="Times New Roman" w:eastAsia="Times New Roman" w:hAnsi="Times New Roman"/>
          <w:sz w:val="18"/>
          <w:szCs w:val="18"/>
          <w:color w:val="auto"/>
        </w:rPr>
        <w:t>Interest expense was $0.6 million and $1.6 million for the three and nine months ended September 30, 2020, respectively, and $0.1 million and $0.4 million for the three and nine months ended September 30, 2019, respectively. The three and nine months ended September 30, 2020 primarily includes interest expense incurred on borrowings under the Credit Facility and the amortization of financing costs that were incurred in 2017 in connection with entering into the Credit Facility. The three and nine months ended September 30, 2019 includes the amortization of financing costs and interest expense related to the per annum commitment fee charged on the unused portion of the revolver under our Credit Facility (see Note 16: Long-Term Obligations in our accompanying condensed consolidated financial statements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6"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color w:val="auto"/>
        </w:rPr>
        <w:t>Other income (expense) netted to $1.3 million and ($2.2) million for the three and nine months ended September 30, 2020, respectively, as compared to $0.0 million and $4.7 million for the three and nine months ended September 30, 2019, respectively. For the three months ended September 30, 2020, the other income, net was related to $2.5 million of miscellaneous income and $0.8 million of interest income, partially offset by $1.4 million in foreign exchange losses and $0.6 million of loss from disposed assets. For the nine months ended September 30, 2020, the other expense, net was primarily related to $6.0 million in foreign exchange losses and $1.7 million of loss from disposed assets, partially offset by $2.5 million in miscellaneous income and $3.0 million in interest income. The foreign exchange losses are primarily as a result of the strengthening of the U.S. dollar from the impact of COVID-19. For the three months ended September 30, 2019, the other income, netted out as interest income was mostly offset by foreign exchange losses For the nine months ended September 30, 2020, the other income, net was primarily related to interest income, partially offset by foreign exchange losses.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180" w:firstLine="1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income taxes were accrued at an estimated effective tax rate of 5% and 10%, respectively, as compared to 19% and 14%, for the three and nine months ended September 30, 2019, respectively.</w:t>
      </w:r>
    </w:p>
    <w:p>
      <w:pPr>
        <w:spacing w:after="0" w:line="175" w:lineRule="exact"/>
        <w:rPr>
          <w:sz w:val="20"/>
          <w:szCs w:val="20"/>
          <w:color w:val="auto"/>
        </w:rPr>
      </w:pPr>
    </w:p>
    <w:p>
      <w:pPr>
        <w:ind w:right="60" w:firstLine="177"/>
        <w:spacing w:after="0" w:line="217"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2020 differs from the federal statutory rate of 21% principally because of the effect of the mix of U.S. and foreign incomes, state income taxes, global intangible low-taxed income ("GILTI"), foreign-derived intangible income ("FDII") and tax credits. The effective tax rate during the three and nine months ended September 30, 2020 included a tax benefit of $0.1 million and $3.6 million, respectively, related to the excess tax benefits recognized on stock option exercises and the vesting of restricted stock units during the periods. The effective tax rate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for the three and nine months ended September 30, 2020 also included U.S. federal and state return-to-provision adjustments net of related reserve changes for the year ended December 31, 2019 of $3.8 million tax benefit primarily due to changes in estimates for GILTI, FDII, and related foreign tax credits.</w:t>
      </w:r>
    </w:p>
    <w:p>
      <w:pPr>
        <w:spacing w:after="0" w:line="199" w:lineRule="exact"/>
        <w:rPr>
          <w:sz w:val="20"/>
          <w:szCs w:val="20"/>
          <w:color w:val="auto"/>
        </w:rPr>
      </w:pPr>
    </w:p>
    <w:p>
      <w:pPr>
        <w:ind w:right="200" w:firstLine="177"/>
        <w:spacing w:after="0" w:line="272"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2019 differs from the federal statutory rate of 21% principally because of the effect of the mix of U.S. and foreign incomes, state income taxes, GILTI and tax credits. The effective tax rate during the three and nine months ended September 30, 2019 included a tax benefit of $0.3 million and $7.7 million, respectively, related to the excess tax benefits recognized on stock option exercises and the vesting of restricted stock units during the periods. The effective tax rate for the three and nine months ended September 30, 2019 was also impacted by the repatriation of certain intellectual property and assets from a liquidation of one of our foreign subsidiaries to the U.S. parent. In accordance with the changes to the accounting for income tax effects of such intra-entity transfers of assets, we recorded a net tax benefit of $3.8 million related to the liquidation. Lastly, the effective tax rate during the three and nine months ended September 30, 2019 included a tax expense of $2.2 million related to return-to-provision adjustments for the year ended December 31, 2018 primarily due to changes in estimates for our U.S. GILTI inclusion.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2020, our cash, cash equivalents and short-term investments increased by $70.9 million from $292.6 million at December 31, 2019 to $363.5 million at September 30, 2020.</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are continuously assessing our liquidity and anticipated capital requirements due to the uncertainty created by COVID-19. We are currently closely monitoring and managing our receivable and payable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net cash provided by operations for the nine months ended September 30, 2020 was $144.2 million. Net income plus adjustments for non-cash net expenses contributed $174.3 million. Net cash used in operations as a result of changes in operating assets and liabilities was $30.1 million. The changes in operating assets and liabilities included a $38.0 million decrease in accounts payable, a $20.4 million decrease in accrued liabilities, a $12.1 million increase in other assets, a $6.5 million increase in prepaid expenses, and $0.7 million in net changes in income taxes, including excess tax benefits and deferred income taxes. Offsetting these amounts was a $38.9 million decrease in accounts receivables, and a $8.9 million decrease in inventories. The decrease in accounts payable was due to the timing of payments. The decrease in accrued liabilities was due to the payment of accrued supply chain reorganization costs. The increase in other assets was due to the purchase of spare parts. The increase in prepaid expenses and other current assets was primarily due to an increase in deferred costs. The net changes in income taxes was a result of the timing of payments. The decrease in inventory was primarily due to improved inventory management and increased demand for certain products driven by the global COVID-19 pandemic. The decrease in accounts receivable is primarily due to collection efforts. The net changes in income taxes was a result of the timing of payments.</w:t>
      </w:r>
    </w:p>
    <w:p>
      <w:pPr>
        <w:spacing w:after="0" w:line="2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net cash provided by operations for the nine months ended September 30, 2019 was $53.1 million. Net income plus adjustments for non-cash net expenses contributed $156.9 million. Net cash used in operations as a result of changes in operating assets and liabilities was $103.9 million. The changes in operating assets and liabilities included a $30.9 million increase in inventories, a $29.5 million increase in other assets, a $32.5 million increase in accounts receivable, a $23.2 million decrease in accrued liabilities, and a $3.0 million decrease in accounts payable. Offsetting these amounts was a $8.8 million decrease in prepaid expenses and other current assets and $6.5 million in net changes in income taxes, including excess tax benefits and deferred income taxes. The increase in inventory was primarily due to an increase in our finished goods safety stock. The increase in other assets was primarily related to the purchase of spare parts. The increase in accounts receivable is mainly due to the current year reclassification of receivables from Pfizer and the timing of revenue and collections. In the current year, receivables from Pfizer are included in accounts receivable and not in a separate related-party receivable line item as in the prior year. As of December 31, 2018, Pfizer had sold all of its shares of our common stock thereby ending its related-party relationship with us. The decrease in accrued liabilities was primarily a result of the payout of accrued compensation, partially offset by an increase in certain accruals including $22.1 million in accrued costs related to the initial ramp down of IV Solution production. The decrease in accounts payable was due to the timing of payments. The decrease in prepaid expenses and other current assets was primarily due to the collection of receivable amounts owed from Pfizer. The net changes in income taxes was a result of the timing of payments.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our investing cash flows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0"/>
        </w:trPr>
        <w:tc>
          <w:tcPr>
            <w:tcW w:w="6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3"/>
        </w:trPr>
        <w:tc>
          <w:tcPr>
            <w:tcW w:w="6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shd w:val="clear" w:color="auto" w:fill="CCEEFF"/>
          </w:tcPr>
          <w:p>
            <w:pPr>
              <w:spacing w:after="0"/>
              <w:rPr>
                <w:sz w:val="19"/>
                <w:szCs w:val="19"/>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additions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shd w:val="clear" w:color="auto" w:fill="CCEEFF"/>
          </w:tcPr>
          <w:p>
            <w:pPr>
              <w:spacing w:after="0"/>
              <w:rPr>
                <w:sz w:val="19"/>
                <w:szCs w:val="19"/>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(15,500) (4)</w:t>
            </w:r>
          </w:p>
        </w:tc>
      </w:tr>
      <w:tr>
        <w:trPr>
          <w:trHeight w:val="223"/>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(57,236)</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420" w:type="dxa"/>
            <w:vAlign w:val="bottom"/>
          </w:tcPr>
          <w:p>
            <w:pPr>
              <w:spacing w:after="0"/>
              <w:rPr>
                <w:sz w:val="19"/>
                <w:szCs w:val="19"/>
                <w:color w:val="auto"/>
              </w:rPr>
            </w:pPr>
          </w:p>
        </w:tc>
      </w:tr>
      <w:tr>
        <w:trPr>
          <w:trHeight w:val="21"/>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7" w:lineRule="exact"/>
        <w:rPr>
          <w:sz w:val="20"/>
          <w:szCs w:val="20"/>
          <w:color w:val="auto"/>
        </w:rPr>
      </w:pPr>
    </w:p>
    <w:p>
      <w:pPr>
        <w:ind w:left="340" w:right="160" w:hanging="332"/>
        <w:spacing w:after="0" w:line="229" w:lineRule="auto"/>
        <w:tabs>
          <w:tab w:leader="none" w:pos="197"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purchases of property and equipment will vary from period to period based on additional investments needed to support new and existing products and expansion of our manufacturing facilities.</w:t>
      </w:r>
    </w:p>
    <w:p>
      <w:pPr>
        <w:ind w:left="340" w:right="820" w:hanging="332"/>
        <w:spacing w:after="0" w:line="231" w:lineRule="auto"/>
        <w:tabs>
          <w:tab w:leader="none" w:pos="181"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business acquisitions will vary from period to period based upon our current growth strategy and our ability to execute on desirable target companies.</w:t>
      </w:r>
    </w:p>
    <w:p>
      <w:pPr>
        <w:ind w:left="340" w:right="160" w:hanging="332"/>
        <w:spacing w:after="0" w:line="219" w:lineRule="auto"/>
        <w:tabs>
          <w:tab w:leader="none" w:pos="269"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Times New Roman" w:cs="Times New Roman" w:eastAsia="Times New Roman" w:hAnsi="Times New Roman"/>
          <w:sz w:val="23"/>
          <w:szCs w:val="23"/>
          <w:color w:val="auto"/>
          <w:vertAlign w:val="superscript"/>
        </w:rPr>
      </w:pPr>
    </w:p>
    <w:p>
      <w:pPr>
        <w:ind w:left="340" w:right="600" w:hanging="332"/>
        <w:spacing w:after="0" w:line="219" w:lineRule="auto"/>
        <w:tabs>
          <w:tab w:leader="none" w:pos="197"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Proceeds from the sale or maturity of our investment securities will vary from period to period based on the maturity dates of the investments we currently hold.</w:t>
      </w:r>
    </w:p>
    <w:p>
      <w:pPr>
        <w:spacing w:after="0" w:line="226" w:lineRule="exact"/>
        <w:rPr>
          <w:sz w:val="20"/>
          <w:szCs w:val="20"/>
          <w:color w:val="auto"/>
        </w:rPr>
      </w:pPr>
    </w:p>
    <w:p>
      <w:pPr>
        <w:ind w:firstLine="177"/>
        <w:spacing w:after="0" w:line="261" w:lineRule="auto"/>
        <w:rPr>
          <w:sz w:val="20"/>
          <w:szCs w:val="20"/>
          <w:color w:val="auto"/>
        </w:rPr>
      </w:pPr>
      <w:r>
        <w:rPr>
          <w:rFonts w:ascii="Times New Roman" w:cs="Times New Roman" w:eastAsia="Times New Roman" w:hAnsi="Times New Roman"/>
          <w:sz w:val="18"/>
          <w:szCs w:val="18"/>
          <w:color w:val="auto"/>
        </w:rPr>
        <w:t>While we can provide no assurances, we estimate that our capital expenditures in 2020 will be approximately $85.0 million to $90.0 million. We anticipate making additional investments in machinery and equipment in our manufacturing operations in Costa Rica, the U.S. and Mexico to support new and existing products, in infusion devices that are placed with customers outside the U.S., and in IT to benefit world-wide operations. Amounts of spending are estimates and actual spending may substantially differ from those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our financing cash flows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6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3"/>
        </w:trPr>
        <w:tc>
          <w:tcPr>
            <w:tcW w:w="6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short-term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(150,000) (1)</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shd w:val="clear" w:color="auto" w:fill="CCEEFF"/>
          </w:tcPr>
          <w:p>
            <w:pPr>
              <w:spacing w:after="0"/>
              <w:rPr>
                <w:sz w:val="19"/>
                <w:szCs w:val="19"/>
                <w:color w:val="auto"/>
              </w:rPr>
            </w:pP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withholding payments related to net share settlement of equity awards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4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420" w:type="dxa"/>
            <w:vAlign w:val="bottom"/>
            <w:tcBorders>
              <w:bottom w:val="single" w:sz="8" w:color="CCEEFF"/>
            </w:tcBorders>
            <w:shd w:val="clear" w:color="auto" w:fill="CCEEFF"/>
          </w:tcPr>
          <w:p>
            <w:pPr>
              <w:spacing w:after="0"/>
              <w:rPr>
                <w:sz w:val="21"/>
                <w:szCs w:val="2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7" w:lineRule="exact"/>
        <w:rPr>
          <w:sz w:val="20"/>
          <w:szCs w:val="20"/>
          <w:color w:val="auto"/>
        </w:rPr>
      </w:pPr>
    </w:p>
    <w:p>
      <w:pPr>
        <w:ind w:left="340" w:right="200" w:hanging="332"/>
        <w:spacing w:after="0" w:line="241" w:lineRule="auto"/>
        <w:tabs>
          <w:tab w:leader="none" w:pos="181"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March 2020, as a result of market uncertainty caused by COVID-19, we borrowed $150.0 million under our revolving Credit Facility. We fully repaid the amounts borrowed under our revolving Credit Facility in September 2020.</w:t>
      </w:r>
    </w:p>
    <w:p>
      <w:pPr>
        <w:ind w:left="340" w:right="380" w:hanging="332"/>
        <w:spacing w:after="0" w:line="219" w:lineRule="auto"/>
        <w:tabs>
          <w:tab w:leader="none" w:pos="33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Proceeds from the exercise of stock options will vary from period to period based on the volume of options exercised and the exercise price of the specific options exercised.</w:t>
      </w:r>
    </w:p>
    <w:p>
      <w:pPr>
        <w:spacing w:after="0" w:line="1" w:lineRule="exact"/>
        <w:rPr>
          <w:rFonts w:ascii="Times New Roman" w:cs="Times New Roman" w:eastAsia="Times New Roman" w:hAnsi="Times New Roman"/>
          <w:sz w:val="23"/>
          <w:szCs w:val="23"/>
          <w:color w:val="auto"/>
          <w:vertAlign w:val="superscript"/>
        </w:rPr>
      </w:pPr>
    </w:p>
    <w:p>
      <w:pPr>
        <w:ind w:left="340" w:right="140" w:hanging="332"/>
        <w:spacing w:after="0" w:line="242" w:lineRule="auto"/>
        <w:tabs>
          <w:tab w:leader="none" w:pos="181"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nine months ended September 30, 2020, our employees surrendered 66,749 shares of our common stock from vested restricted stock awards as consideration for approximately $12.8 million in minimum statutory withholding obligations paid on their behalf. During the nine months ended September 30, 2019, our employees surrendered 79,313</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shares of our common stock from vested restricted stock awards as consideration for approximately $18.5 million in minimum statutory withholding obligations paid on their behalf.</w:t>
      </w:r>
    </w:p>
    <w:p>
      <w:pPr>
        <w:spacing w:after="0" w:line="189"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In August 2019, our Board of Directors approved a share purchase plan to purchase up to $100.0 million of our common stock. This plan replaced our existing plan and has no expiration date. As of September 30, 2020, all of the $100 million available for purchase was remaining under the plan.</w:t>
      </w:r>
    </w:p>
    <w:p>
      <w:pPr>
        <w:spacing w:after="0" w:line="167"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We have a substantial cash and investment security position generated from operations. We maintain this position to address any operational challenges related to COVID-19, fund our growth, meet increasing working capital requirements, fund capital expenditures and to take advantage of acquisition opportunities that may arise. Our primary investment goal is capital preservation.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Capital</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54" w:lineRule="exact"/>
        <w:rPr>
          <w:sz w:val="20"/>
          <w:szCs w:val="20"/>
          <w:color w:val="auto"/>
        </w:rPr>
      </w:pPr>
    </w:p>
    <w:p>
      <w:pPr>
        <w:ind w:firstLine="177"/>
        <w:spacing w:after="0" w:line="254" w:lineRule="auto"/>
        <w:rPr>
          <w:sz w:val="20"/>
          <w:szCs w:val="20"/>
          <w:color w:val="auto"/>
        </w:rPr>
      </w:pPr>
      <w:r>
        <w:rPr>
          <w:rFonts w:ascii="Times New Roman" w:cs="Times New Roman" w:eastAsia="Times New Roman" w:hAnsi="Times New Roman"/>
          <w:sz w:val="18"/>
          <w:szCs w:val="18"/>
          <w:color w:val="auto"/>
        </w:rPr>
        <w:t>We have a five-year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Any unused portion of the Credit Facility will be subject to a per annum commitment fee which is also calculated using the leverage ratio in effect. The Credit Facility matures in 2022. During March 2020, as a precautionary measure in response to market uncertainty driven by the COVID-19 pandemic, we preemptively increased our liquidity by borrowing $150.0 million under our Credit Facility. In September 2020, we fully repaid the borrowings under our Credit Facility.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9" w:lineRule="exact"/>
        <w:rPr>
          <w:sz w:val="20"/>
          <w:szCs w:val="20"/>
          <w:color w:val="auto"/>
        </w:rPr>
      </w:pPr>
    </w:p>
    <w:p>
      <w:pPr>
        <w:ind w:right="400" w:firstLine="177"/>
        <w:spacing w:after="0" w:line="260" w:lineRule="auto"/>
        <w:rPr>
          <w:sz w:val="20"/>
          <w:szCs w:val="20"/>
          <w:color w:val="auto"/>
        </w:rPr>
      </w:pPr>
      <w:r>
        <w:rPr>
          <w:rFonts w:ascii="Times New Roman" w:cs="Times New Roman" w:eastAsia="Times New Roman" w:hAnsi="Times New Roman"/>
          <w:sz w:val="18"/>
          <w:szCs w:val="18"/>
          <w:color w:val="auto"/>
        </w:rPr>
        <w:t>The Credit Facility contains certain negative financial covenants, including, Consolidated Total Leverage and Consolidated Fixed Charge Coverage Ratios.</w:t>
      </w:r>
    </w:p>
    <w:p>
      <w:pPr>
        <w:spacing w:after="0" w:line="181" w:lineRule="exact"/>
        <w:rPr>
          <w:sz w:val="20"/>
          <w:szCs w:val="20"/>
          <w:color w:val="auto"/>
        </w:rPr>
      </w:pPr>
    </w:p>
    <w:p>
      <w:pPr>
        <w:jc w:val="both"/>
        <w:ind w:right="40" w:firstLine="177"/>
        <w:spacing w:after="0" w:line="266" w:lineRule="auto"/>
        <w:rPr>
          <w:sz w:val="20"/>
          <w:szCs w:val="20"/>
          <w:color w:val="auto"/>
        </w:rPr>
      </w:pPr>
      <w:r>
        <w:rPr>
          <w:rFonts w:ascii="Times New Roman" w:cs="Times New Roman" w:eastAsia="Times New Roman" w:hAnsi="Times New Roman"/>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Consolidated Fixed Charge Coverage Ratio is defined as the ratio of: (a) Consolidated Adjusted EBITDA less the sum of (i) capital expenditures,</w:t>
      </w:r>
    </w:p>
    <w:p>
      <w:pPr>
        <w:spacing w:after="0" w:line="27" w:lineRule="exact"/>
        <w:rPr>
          <w:sz w:val="20"/>
          <w:szCs w:val="20"/>
          <w:color w:val="auto"/>
        </w:rPr>
      </w:pPr>
    </w:p>
    <w:p>
      <w:pPr>
        <w:ind w:right="100" w:firstLine="8"/>
        <w:spacing w:after="0" w:line="255"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were in compliance with all financial covenants as of September 30,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products. There is no maximum limit on the indemnification that may be required under these agreements. Although we can provide no assurances, we have never incurred, nor do we expect to incur, any material liability for indemnification.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jc w:val="both"/>
        <w:ind w:right="40" w:firstLine="180"/>
        <w:spacing w:after="0" w:line="266" w:lineRule="auto"/>
        <w:rPr>
          <w:sz w:val="20"/>
          <w:szCs w:val="20"/>
          <w:color w:val="auto"/>
        </w:rPr>
      </w:pPr>
      <w:r>
        <w:rPr>
          <w:rFonts w:ascii="Times New Roman" w:cs="Times New Roman" w:eastAsia="Times New Roman" w:hAnsi="Times New Roman"/>
          <w:sz w:val="18"/>
          <w:szCs w:val="18"/>
          <w:color w:val="auto"/>
        </w:rPr>
        <w:t>During 2019, we signed ten-year lease for a 610,806 square foot warehouse, which commenced during the first quarter of 2020. Over the ten-year lease term, lease payment will be approximately $21.9 million. There have been no other material changes to our contractual obligations disclosed in our Annual Report on Form 10-K for the fiscal year ended December 31, 2019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216" w:lineRule="exact"/>
        <w:rPr>
          <w:sz w:val="20"/>
          <w:szCs w:val="20"/>
          <w:color w:val="auto"/>
        </w:rPr>
      </w:pPr>
    </w:p>
    <w:p>
      <w:pPr>
        <w:ind w:left="1300" w:right="60" w:hanging="320"/>
        <w:spacing w:after="0" w:line="25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214" w:lineRule="exact"/>
        <w:rPr>
          <w:rFonts w:ascii="Times New Roman" w:cs="Times New Roman" w:eastAsia="Times New Roman" w:hAnsi="Times New Roman"/>
          <w:sz w:val="18"/>
          <w:szCs w:val="18"/>
          <w:color w:val="auto"/>
        </w:rPr>
      </w:pPr>
    </w:p>
    <w:p>
      <w:pPr>
        <w:ind w:left="1300" w:hanging="320"/>
        <w:spacing w:after="0" w:line="25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224" w:lineRule="exact"/>
        <w:rPr>
          <w:rFonts w:ascii="Times New Roman" w:cs="Times New Roman" w:eastAsia="Times New Roman" w:hAnsi="Times New Roman"/>
          <w:sz w:val="18"/>
          <w:szCs w:val="18"/>
          <w:color w:val="auto"/>
        </w:rPr>
      </w:pPr>
    </w:p>
    <w:p>
      <w:pPr>
        <w:ind w:left="1300" w:right="80" w:hanging="320"/>
        <w:spacing w:after="0" w:line="253"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219" w:lineRule="exact"/>
        <w:rPr>
          <w:sz w:val="20"/>
          <w:szCs w:val="20"/>
          <w:color w:val="auto"/>
        </w:rPr>
      </w:pPr>
    </w:p>
    <w:p>
      <w:pPr>
        <w:ind w:right="240" w:firstLine="693"/>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Second, investors should read the forward looking statements in conjunction with the Risk Factors discussed in Part I, Item 1A of our Annual Report on Form 10-K with the SEC for the year ended December 31, 2019,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20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us, our business and on domestic and global economies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both in the U.S. and internationally;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our arrangements with Pfizer or our other large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and other risks of doing business internationally;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or competition for skilled workers;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or availability of the raw materials need to manufacture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price and safety considerations on the healthcare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such as product innovation, new technologies, marketing and distribution strength and price erosion;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and marketing of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market shifts and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affecting government reimbursement of healthcare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by our major customers and independent distributors in their strategies that might affect their efforts to market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additional governmental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production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patent protection and the cost of enforcing and of defending patent claims;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outbreak of disease or illness.</w:t>
      </w:r>
    </w:p>
    <w:p>
      <w:pPr>
        <w:spacing w:after="0" w:line="11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If we were to incur borrowings under our Credit Facility, we would face market risk stemming from changes in interest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foreign currency exchange risk related to foreign-denominated cash, accounts receivable and accounts payable and accrued liabilities.</w:t>
      </w:r>
    </w:p>
    <w:p>
      <w:pPr>
        <w:spacing w:after="0" w:line="252" w:lineRule="exact"/>
        <w:rPr>
          <w:sz w:val="20"/>
          <w:szCs w:val="20"/>
          <w:color w:val="auto"/>
        </w:rPr>
      </w:pPr>
    </w:p>
    <w:p>
      <w:pPr>
        <w:ind w:right="60" w:firstLine="180"/>
        <w:spacing w:after="0" w:line="258" w:lineRule="auto"/>
        <w:rPr>
          <w:sz w:val="20"/>
          <w:szCs w:val="20"/>
          <w:color w:val="auto"/>
        </w:rPr>
      </w:pPr>
      <w:r>
        <w:rPr>
          <w:rFonts w:ascii="Times New Roman" w:cs="Times New Roman" w:eastAsia="Times New Roman" w:hAnsi="Times New Roman"/>
          <w:sz w:val="18"/>
          <w:szCs w:val="18"/>
          <w:color w:val="auto"/>
        </w:rPr>
        <w:t>In our European operations, our net Euro asset position at September 30, 2020 was approximately €51.2 million. A 10% change in the conversion of the Euro to the U.S. dollar for our cash, accounts receivable, accounts payable and accrued liabilities from the September 30, 2020 spot rate would impact our consolidated amounts on these balance sheet items by approximately $6.0 million, or 0.8% of these consolidated net assets. We expect that in the future, with the growth of our European distribution operations, net Euro denominated instruments will continue to increase. We currently do not hedge our Euro foreign currency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177"/>
        <w:spacing w:after="0" w:line="266" w:lineRule="auto"/>
        <w:rPr>
          <w:sz w:val="20"/>
          <w:szCs w:val="20"/>
          <w:color w:val="auto"/>
        </w:rPr>
      </w:pPr>
      <w:r>
        <w:rPr>
          <w:rFonts w:ascii="Times New Roman" w:cs="Times New Roman" w:eastAsia="Times New Roman" w:hAnsi="Times New Roman"/>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21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September 30, 2020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9" w:lineRule="exact"/>
        <w:rPr>
          <w:sz w:val="20"/>
          <w:szCs w:val="20"/>
          <w:color w:val="auto"/>
        </w:rPr>
      </w:pPr>
    </w:p>
    <w:p>
      <w:pPr>
        <w:ind w:right="140" w:firstLine="180"/>
        <w:spacing w:after="0" w:line="282" w:lineRule="auto"/>
        <w:rPr>
          <w:sz w:val="20"/>
          <w:szCs w:val="20"/>
          <w:color w:val="auto"/>
        </w:rPr>
      </w:pPr>
      <w:r>
        <w:rPr>
          <w:rFonts w:ascii="Times New Roman" w:cs="Times New Roman" w:eastAsia="Times New Roman" w:hAnsi="Times New Roman"/>
          <w:sz w:val="18"/>
          <w:szCs w:val="18"/>
          <w:color w:val="auto"/>
        </w:rPr>
        <w:t>Certain legal proceedings in which we are involved are discussed in Part I, Item 1. "Financial Statements" of this Form 10-Q in Note 18. Commitments and Contingencies to the Condensed Consolidated Financial Statements,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5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disrupted how we, our suppliers and our customers operate and the duration and extent to which this will impact our business, future results of operations, liquidity and overall financial performance remains uncertain.</w:t>
      </w:r>
    </w:p>
    <w:p>
      <w:pPr>
        <w:spacing w:after="0" w:line="186"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color w:val="auto"/>
        </w:rPr>
        <w:t>In late 2019, a novel coronavirus (“COVID-19”) was first reported in Wuhan, China, and on March 11, 2020, the World Health Organization characterized COVID-19 as a global pandemic. The outbreak has spread globally and has led governments and other authorities around the world, including federal, state and local authorities in the United States and elsewhere, to impose measures intended to control its spread, including restrictions on freedom of movement and business operations such as travel restrictions, border closings, business closures, quarantines and shelter-in-place orders. Additionally, the COVID-19 pandemic and the measures taken to limit its spread have negatively impacted the economy across many industries. As such, COVID-19 pandemic may pose significant risks to our business. We operate globally and the COVID-19 pandemic and its adverse effects have impacted most of the locations where we, our customers and our suppliers conduct business and as a result, during the second and third quarter of 2020, we have experienced some disruption to our operations, most notably due to reduced demand for our disposable product portfolio.</w:t>
      </w:r>
    </w:p>
    <w:p>
      <w:pPr>
        <w:spacing w:after="0" w:line="219" w:lineRule="exact"/>
        <w:rPr>
          <w:sz w:val="20"/>
          <w:szCs w:val="20"/>
          <w:color w:val="auto"/>
        </w:rPr>
      </w:pPr>
    </w:p>
    <w:p>
      <w:pPr>
        <w:ind w:right="320" w:firstLine="170"/>
        <w:spacing w:after="0" w:line="250" w:lineRule="auto"/>
        <w:rPr>
          <w:sz w:val="20"/>
          <w:szCs w:val="20"/>
          <w:color w:val="auto"/>
        </w:rPr>
      </w:pPr>
      <w:r>
        <w:rPr>
          <w:rFonts w:ascii="Times New Roman" w:cs="Times New Roman" w:eastAsia="Times New Roman" w:hAnsi="Times New Roman"/>
          <w:sz w:val="18"/>
          <w:szCs w:val="18"/>
          <w:color w:val="auto"/>
        </w:rPr>
        <w:t>As a result of the COVID-19 pandemic, our non-essential offices and facilities, including our corporate headquarters remain closed to non-essential employees. With a large number of employees now working remotely there is a potential loss of productivity, which could negatively impact our future results.</w:t>
      </w:r>
    </w:p>
    <w:p>
      <w:pPr>
        <w:spacing w:after="0" w:line="204" w:lineRule="exact"/>
        <w:rPr>
          <w:sz w:val="20"/>
          <w:szCs w:val="20"/>
          <w:color w:val="auto"/>
        </w:rPr>
      </w:pPr>
    </w:p>
    <w:p>
      <w:pPr>
        <w:ind w:right="200" w:firstLine="180"/>
        <w:spacing w:after="0" w:line="266" w:lineRule="auto"/>
        <w:rPr>
          <w:sz w:val="20"/>
          <w:szCs w:val="20"/>
          <w:color w:val="auto"/>
        </w:rPr>
      </w:pPr>
      <w:r>
        <w:rPr>
          <w:rFonts w:ascii="Times New Roman" w:cs="Times New Roman" w:eastAsia="Times New Roman" w:hAnsi="Times New Roman"/>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20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physical distancing measures;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hygiene protocols and increased frequency of cleaning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additional personal protective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contingency plans and protocols to assess employee illness;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helped employees with childcare issues due to school and daycare closures;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COVID-19 temperature screening for employees and visitors entering our manufacturing and distribution facilities;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visitor pre-entry questionnaire to limit potential exposure in our facilities.</w:t>
      </w:r>
    </w:p>
    <w:p>
      <w:pPr>
        <w:spacing w:after="0" w:line="234" w:lineRule="exact"/>
        <w:rPr>
          <w:sz w:val="20"/>
          <w:szCs w:val="20"/>
          <w:color w:val="auto"/>
        </w:rPr>
      </w:pPr>
    </w:p>
    <w:p>
      <w:pPr>
        <w:ind w:right="60" w:firstLine="177"/>
        <w:spacing w:after="0" w:line="266" w:lineRule="auto"/>
        <w:rPr>
          <w:sz w:val="20"/>
          <w:szCs w:val="20"/>
          <w:color w:val="auto"/>
        </w:rPr>
      </w:pPr>
      <w:r>
        <w:rPr>
          <w:rFonts w:ascii="Times New Roman" w:cs="Times New Roman" w:eastAsia="Times New Roman" w:hAnsi="Times New Roman"/>
          <w:sz w:val="18"/>
          <w:szCs w:val="18"/>
          <w:color w:val="auto"/>
        </w:rPr>
        <w:t>While we anticipate that the foregoing measures are temporary, we cannot predict the specific duration for which these precautionary measures will stay in effect, and we may elect to take additional measures as the information available to us continues to develop. These actions, and any future actions we may take in response to the COVID-19 pandemic, could negatively impact our business, financial condition and results of operations.</w:t>
      </w:r>
    </w:p>
    <w:p>
      <w:pPr>
        <w:spacing w:after="0" w:line="203" w:lineRule="exact"/>
        <w:rPr>
          <w:sz w:val="20"/>
          <w:szCs w:val="20"/>
          <w:color w:val="auto"/>
        </w:rPr>
      </w:pPr>
    </w:p>
    <w:p>
      <w:pPr>
        <w:ind w:right="40" w:firstLine="225"/>
        <w:spacing w:after="0" w:line="238" w:lineRule="auto"/>
        <w:rPr>
          <w:sz w:val="20"/>
          <w:szCs w:val="20"/>
          <w:color w:val="auto"/>
        </w:rPr>
      </w:pPr>
      <w:r>
        <w:rPr>
          <w:rFonts w:ascii="Times New Roman" w:cs="Times New Roman" w:eastAsia="Times New Roman" w:hAnsi="Times New Roman"/>
          <w:sz w:val="18"/>
          <w:szCs w:val="18"/>
          <w:color w:val="auto"/>
        </w:rPr>
        <w:t>During the first nine months of 2020, our operations have been impacted globally by lower admission rates and procedural volumes at our hospital customers. We have also incurred increased expenses as a result of COVID -19 for additional compensation paid to our manufacturing and distribution facility workers along with personal protection equipment and other items. At the same time, we have seen some expense decreases due to reductions in travel and other discretionary spending. The total impact of the COVID-19 pandemic on our business will not be fully reflected in our results of operations and overall financial performance until future periods. The duration and extent of the impact on our business from the COVID-19 pandemic depends on future developments that cannot be fully predicted at this time, as such, the impact of the COVID-19 pandemic on our future results of operations and overall financial performance remain uncertain and cannot as yet be quantified. A continued decline in the global economy could delay or significantly decrease purchases of our products in the future. Adverse economic and market conditions could also harm the parties with whom we do business, including our customers, distributors and suppliers. Additional factors that have contributed or may contribute to the adverse impact of the COVID-19 pandemic, on our business, results of operations, financial condition and liquidity include, without limitation, the following:</w:t>
      </w:r>
    </w:p>
    <w:p>
      <w:pPr>
        <w:spacing w:after="0" w:line="21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revenue or additional costs associated with either disruptions at our production and distribution facilities or interruptions in our supply chain;</w:t>
      </w:r>
    </w:p>
    <w:p>
      <w:pPr>
        <w:spacing w:after="0" w:line="27"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from customers as a result of an increase in COVID-19 patient admissions in hospitals offset by the decline in non-COVID-19 patient admissions;</w:t>
      </w:r>
    </w:p>
    <w:p>
      <w:pPr>
        <w:ind w:left="660" w:right="38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lower demand in future periods due to over-purchasing of our products due to the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 due to delays in implementation of our infusion systems and oncology products at hospital locations due to restricted access;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operating costs related to additional compensation paid to our manufacturing and distribution facility workers;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revenue and income due to 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travel and entertainment costs due to global travel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due to a delay in cost savings projects as a result of the travel and social distancing requirements of COVID-19; and</w:t>
      </w:r>
    </w:p>
    <w:p>
      <w:pPr>
        <w:spacing w:after="0" w:line="9"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income on cash balances due to recent reductions in interest rates along with higher interest expense from borrowing under our Credit Facility if necessary to maintain adequate liquidity.</w:t>
      </w:r>
    </w:p>
    <w:p>
      <w:pPr>
        <w:spacing w:after="0" w:line="208" w:lineRule="exact"/>
        <w:rPr>
          <w:sz w:val="20"/>
          <w:szCs w:val="20"/>
          <w:color w:val="auto"/>
        </w:rPr>
      </w:pPr>
    </w:p>
    <w:p>
      <w:pPr>
        <w:ind w:right="40" w:firstLine="180"/>
        <w:spacing w:after="0" w:line="254" w:lineRule="auto"/>
        <w:rPr>
          <w:sz w:val="20"/>
          <w:szCs w:val="20"/>
          <w:color w:val="auto"/>
        </w:rPr>
      </w:pPr>
      <w:r>
        <w:rPr>
          <w:rFonts w:ascii="Times New Roman" w:cs="Times New Roman" w:eastAsia="Times New Roman" w:hAnsi="Times New Roman"/>
          <w:sz w:val="18"/>
          <w:szCs w:val="18"/>
          <w:color w:val="231F20"/>
        </w:rPr>
        <w:t>To the extent the COVID-19 pandemic and related containment measures continue to adversely affect regional, national and global economic conditions and financial markets, as well as the business, results of operations, financial conditions and liquidity of us, our suppliers and our customers, it may also have the effect of heightening many of the risks described in this ‘‘Risk Factors’’ section and elsewhere in this Quarterly Report on Form 10-Q for the quarter ended September 30, 2020 and many of the risks described under the caption ‘‘Risk Factors’’ and elsewhere in our Annual Report on Form 10-K for the year ended December 31, 2019, including the risks resulting from our dependency on key personnel; impairment of our supply chain or manufacturing facilities; and the impact of negative economic conditions. In addition, in light of the COVID-19 pandemic and the measures taken to limit its spread, our historical information regarding our business, results of operations, financial condition or liquidity may not be representative of the future results of operations, financial condition, liquidity or other financial or operating results of us or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materially adversely impacted by COVID-19.</w:t>
      </w:r>
    </w:p>
    <w:p>
      <w:pPr>
        <w:spacing w:after="0" w:line="256" w:lineRule="exact"/>
        <w:rPr>
          <w:sz w:val="20"/>
          <w:szCs w:val="20"/>
          <w:color w:val="auto"/>
        </w:rPr>
      </w:pPr>
    </w:p>
    <w:p>
      <w:pPr>
        <w:ind w:firstLine="177"/>
        <w:spacing w:after="0" w:line="261" w:lineRule="auto"/>
        <w:rPr>
          <w:sz w:val="20"/>
          <w:szCs w:val="20"/>
          <w:color w:val="auto"/>
        </w:rPr>
      </w:pPr>
      <w:r>
        <w:rPr>
          <w:rFonts w:ascii="Times New Roman" w:cs="Times New Roman" w:eastAsia="Times New Roman" w:hAnsi="Times New Roman"/>
          <w:sz w:val="18"/>
          <w:szCs w:val="18"/>
          <w:color w:val="auto"/>
        </w:rPr>
        <w:t>We manufacture out of four main facilities, Austin, Texas, Salt Lake City, Utah, Costa Rica and Mexico. If the manufacturing capabilities of any of these sites are impacted as a result of COVID-19, we may not be able to timely manufacture our products at the required levels or at all. A disruption at any of our manufacturing facilities could have a material, adverse effect on our business, results of operations, financial condition and cash flows. For example, the COVID-19 pandemic could have a substantial impact on our employees’ attendance and productivity due to a variety of factors, such as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shelter-in-place orders, quarantines and short and long term illness, all of which could interrupt and delay the manufacture of our products.</w:t>
      </w:r>
    </w:p>
    <w:p>
      <w:pPr>
        <w:spacing w:after="0" w:line="252"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18"/>
          <w:szCs w:val="18"/>
          <w:color w:val="auto"/>
        </w:rPr>
        <w:t>Our suppliers may experience financial difficulties or business disruptions that could negatively affect their operations and their ability to supply us with the raw materials and components required for our products. Any delay or shortages of raw materials or components from our suppliers could interrupt and delay the manufacturing of our products.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may be materially adversely impacted by COVID-19.</w:t>
      </w:r>
    </w:p>
    <w:p>
      <w:pPr>
        <w:spacing w:after="0" w:line="256" w:lineRule="exact"/>
        <w:rPr>
          <w:sz w:val="20"/>
          <w:szCs w:val="20"/>
          <w:color w:val="auto"/>
        </w:rPr>
      </w:pPr>
    </w:p>
    <w:p>
      <w:pPr>
        <w:ind w:right="60" w:firstLine="180"/>
        <w:spacing w:after="0" w:line="238" w:lineRule="auto"/>
        <w:rPr>
          <w:sz w:val="20"/>
          <w:szCs w:val="20"/>
          <w:color w:val="auto"/>
        </w:rPr>
      </w:pPr>
      <w:r>
        <w:rPr>
          <w:rFonts w:ascii="Times New Roman" w:cs="Times New Roman" w:eastAsia="Times New Roman" w:hAnsi="Times New Roman"/>
          <w:sz w:val="18"/>
          <w:szCs w:val="18"/>
          <w:color w:val="auto"/>
        </w:rPr>
        <w:t>Our non-essential offices and facilities remain closed to our non-essential employees, including our corporate headquarters, and a large number of employees continue to work remotely. In addition to this potentially hindering productivity, our sales force typically operates by meeting in person with customers to discuss our products. As many hospitals are currently restricting access to their facilities to essential personnel, this may negatively affect demand for our products by limiting the ability of our sales personnel to negotiate new and maintain existing contracts with customers. We may also experience significant reductions in demand for certain products as our health care customers re-prioritize the treatment of patients, delay elective procedures and shift resources and operations to fight COVID-19 and the complications it causes. For example, during the second and third quarters of 2020, we have experienced lower demand from hospital customers for our products other than our infusion pump hardware due to COVID-19. Additionally, the COVID-19 pandemic will potentially adversely affect our distributors as they may not be able to maintain the current levels of sales. As such, the impacts of COVID-19 on our sales force and our distributors could have a material adverse effect on our business, results of operations, financial condition and cash flows.</w:t>
      </w:r>
    </w:p>
    <w:p>
      <w:pPr>
        <w:spacing w:after="0" w:line="21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resulted in significant financial market and foreign currency volatility, which could adversely affect our earnings and cash flows.</w:t>
      </w:r>
    </w:p>
    <w:p>
      <w:pPr>
        <w:spacing w:after="0" w:line="186" w:lineRule="exact"/>
        <w:rPr>
          <w:sz w:val="20"/>
          <w:szCs w:val="20"/>
          <w:color w:val="auto"/>
        </w:rPr>
      </w:pPr>
    </w:p>
    <w:p>
      <w:pPr>
        <w:ind w:firstLine="177"/>
        <w:spacing w:after="0" w:line="266" w:lineRule="auto"/>
        <w:rPr>
          <w:sz w:val="20"/>
          <w:szCs w:val="20"/>
          <w:color w:val="auto"/>
        </w:rPr>
      </w:pPr>
      <w:r>
        <w:rPr>
          <w:rFonts w:ascii="Times New Roman" w:cs="Times New Roman" w:eastAsia="Times New Roman" w:hAnsi="Times New Roman"/>
          <w:sz w:val="18"/>
          <w:szCs w:val="18"/>
          <w:color w:val="auto"/>
        </w:rPr>
        <w:t>The COVID-19 pandemic has led to periods of significant volatility in financial markets and foreign currency exchange rates. Given that our financial results are reported in U.S. dollars, but our operations are conducted internationally, currency exchange rate changes can have a significant impact on our financial results. During the nine months ended September 30, 2020, we recognized $6.0 million in net foreign exchange losses in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debt financing.</w:t>
      </w:r>
    </w:p>
    <w:p>
      <w:pPr>
        <w:spacing w:after="0" w:line="256" w:lineRule="exact"/>
        <w:rPr>
          <w:sz w:val="20"/>
          <w:szCs w:val="20"/>
          <w:color w:val="auto"/>
        </w:rPr>
      </w:pPr>
    </w:p>
    <w:p>
      <w:pPr>
        <w:ind w:right="60" w:firstLine="177"/>
        <w:spacing w:after="0" w:line="256" w:lineRule="auto"/>
        <w:rPr>
          <w:sz w:val="20"/>
          <w:szCs w:val="20"/>
          <w:color w:val="auto"/>
        </w:rPr>
      </w:pPr>
      <w:r>
        <w:rPr>
          <w:rFonts w:ascii="Times New Roman" w:cs="Times New Roman" w:eastAsia="Times New Roman" w:hAnsi="Times New Roman"/>
          <w:sz w:val="18"/>
          <w:szCs w:val="18"/>
          <w:color w:val="auto"/>
        </w:rPr>
        <w:t>The credit agreement governing our Credit Facility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requiring us to maintain a specified consolidated total leverage ratio and a specified consolidated fixed charge coverage ratio. While we have not previously breached and are not currently in breach of these or any other covenants contained in our credit agreement, there can be no guarantee that we will not breach these covenants in the future.</w:t>
      </w:r>
    </w:p>
    <w:p>
      <w:pPr>
        <w:spacing w:after="0" w:line="214" w:lineRule="exact"/>
        <w:rPr>
          <w:sz w:val="20"/>
          <w:szCs w:val="20"/>
          <w:color w:val="auto"/>
        </w:rPr>
      </w:pPr>
    </w:p>
    <w:p>
      <w:pPr>
        <w:ind w:right="60" w:firstLine="170"/>
        <w:spacing w:after="0" w:line="258" w:lineRule="auto"/>
        <w:rPr>
          <w:sz w:val="20"/>
          <w:szCs w:val="20"/>
          <w:color w:val="auto"/>
        </w:rPr>
      </w:pPr>
      <w:r>
        <w:rPr>
          <w:rFonts w:ascii="Times New Roman" w:cs="Times New Roman" w:eastAsia="Times New Roman" w:hAnsi="Times New Roman"/>
          <w:sz w:val="18"/>
          <w:szCs w:val="18"/>
          <w:color w:val="auto"/>
        </w:rPr>
        <w:t>Additionally, our ability to comply with these covenants may be affected by events beyond our control, including the COVID-19 pandemic. A breach of any of these covenants could result in a default under the credit agreement, which could cause all of the outstanding indebtedness under our Credit Facility to become immediately due and payable.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Credit Facility may restrict our ability to pursue our business strategies.</w:t>
      </w:r>
    </w:p>
    <w:p>
      <w:pPr>
        <w:spacing w:after="0" w:line="183" w:lineRule="exact"/>
        <w:rPr>
          <w:sz w:val="20"/>
          <w:szCs w:val="20"/>
          <w:color w:val="auto"/>
        </w:rPr>
      </w:pPr>
    </w:p>
    <w:p>
      <w:pPr>
        <w:ind w:right="180" w:firstLine="180"/>
        <w:spacing w:after="0" w:line="261" w:lineRule="auto"/>
        <w:rPr>
          <w:sz w:val="20"/>
          <w:szCs w:val="20"/>
          <w:color w:val="auto"/>
        </w:rPr>
      </w:pPr>
      <w:r>
        <w:rPr>
          <w:rFonts w:ascii="Times New Roman" w:cs="Times New Roman" w:eastAsia="Times New Roman" w:hAnsi="Times New Roman"/>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2019, including the risks resulting from our foreign currency exchange rates, as well as the information contained in this Quarterly Report and our other reports and registration statements filed with the SEC.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summary of our stock repurchasing activity during the third quarter of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of 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price paid</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60"/>
              <w:spacing w:after="0" w:line="189" w:lineRule="exact"/>
              <w:rPr>
                <w:sz w:val="20"/>
                <w:szCs w:val="20"/>
                <w:color w:val="auto"/>
              </w:rPr>
            </w:pPr>
            <w:r>
              <w:rPr>
                <w:rFonts w:ascii="Times New Roman" w:cs="Times New Roman" w:eastAsia="Times New Roman" w:hAnsi="Times New Roman"/>
                <w:sz w:val="14"/>
                <w:szCs w:val="14"/>
                <w:b w:val="1"/>
                <w:bCs w:val="1"/>
                <w:color w:val="auto"/>
                <w:w w:val="96"/>
              </w:rPr>
              <w:t>the program</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07/01/2020 — 07/31/2020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08/01/2020 — 08/31/2020</w:t>
            </w:r>
          </w:p>
        </w:tc>
        <w:tc>
          <w:tcPr>
            <w:tcW w:w="14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09/01/2020 — 09/30/2020</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 of 2020 total</w:t>
            </w: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
        </w:trPr>
        <w:tc>
          <w:tcPr>
            <w:tcW w:w="5100" w:type="dxa"/>
            <w:vAlign w:val="bottom"/>
            <w:gridSpan w:val="2"/>
            <w:vMerge w:val="restart"/>
          </w:tcPr>
          <w:p>
            <w:pPr>
              <w:jc w:val="right"/>
              <w:ind w:right="2234"/>
              <w:spacing w:after="0"/>
              <w:rPr>
                <w:sz w:val="20"/>
                <w:szCs w:val="20"/>
                <w:color w:val="auto"/>
              </w:rPr>
            </w:pPr>
            <w:r>
              <w:rPr>
                <w:rFonts w:ascii="Times New Roman" w:cs="Times New Roman" w:eastAsia="Times New Roman" w:hAnsi="Times New Roman"/>
                <w:sz w:val="20"/>
                <w:szCs w:val="20"/>
                <w:color w:val="auto"/>
                <w:w w:val="9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40" w:right="220" w:hanging="332"/>
        <w:spacing w:after="0" w:line="241" w:lineRule="auto"/>
        <w:tabs>
          <w:tab w:leader="none" w:pos="24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351" w:lineRule="exact"/>
        <w:rPr>
          <w:sz w:val="20"/>
          <w:szCs w:val="20"/>
          <w:color w:val="auto"/>
        </w:rPr>
      </w:pPr>
    </w:p>
    <w:p>
      <w:pPr>
        <w:ind w:right="120" w:firstLine="180"/>
        <w:spacing w:after="0" w:line="282" w:lineRule="auto"/>
        <w:rPr>
          <w:sz w:val="20"/>
          <w:szCs w:val="20"/>
          <w:color w:val="auto"/>
        </w:rPr>
      </w:pPr>
      <w:r>
        <w:rPr>
          <w:rFonts w:ascii="Times New Roman" w:cs="Times New Roman" w:eastAsia="Times New Roman" w:hAnsi="Times New Roman"/>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ICU Medical, Inc.</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1760" w:type="dxa"/>
            <w:vAlign w:val="bottom"/>
          </w:tcPr>
          <w:p>
            <w:pPr>
              <w:spacing w:after="0"/>
              <w:rPr>
                <w:sz w:val="20"/>
                <w:szCs w:val="20"/>
                <w:color w:val="auto"/>
              </w:rPr>
            </w:pPr>
          </w:p>
        </w:tc>
        <w:tc>
          <w:tcPr>
            <w:tcW w:w="5680" w:type="dxa"/>
            <w:vAlign w:val="bottom"/>
          </w:tcPr>
          <w:p>
            <w:pPr>
              <w:spacing w:after="0"/>
              <w:rPr>
                <w:sz w:val="20"/>
                <w:szCs w:val="20"/>
                <w:color w:val="auto"/>
              </w:rPr>
            </w:pPr>
          </w:p>
        </w:tc>
      </w:tr>
      <w:tr>
        <w:trPr>
          <w:trHeight w:val="459"/>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M. Bonnell</w:t>
            </w:r>
          </w:p>
        </w:tc>
        <w:tc>
          <w:tcPr>
            <w:tcW w:w="1760" w:type="dxa"/>
            <w:vAlign w:val="bottom"/>
            <w:tcBorders>
              <w:bottom w:val="single" w:sz="8" w:color="auto"/>
            </w:tcBorders>
          </w:tcPr>
          <w:p>
            <w:pPr>
              <w:spacing w:after="0"/>
              <w:rPr>
                <w:sz w:val="24"/>
                <w:szCs w:val="24"/>
                <w:color w:val="auto"/>
              </w:rPr>
            </w:pPr>
          </w:p>
        </w:tc>
        <w:tc>
          <w:tcPr>
            <w:tcW w:w="568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Date: November 6, 2020</w:t>
            </w: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M. Bonnell</w:t>
            </w:r>
          </w:p>
        </w:tc>
        <w:tc>
          <w:tcPr>
            <w:tcW w:w="17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760" w:type="dxa"/>
            <w:vAlign w:val="bottom"/>
          </w:tcPr>
          <w:p>
            <w:pPr>
              <w:spacing w:after="0"/>
              <w:rPr>
                <w:sz w:val="20"/>
                <w:szCs w:val="20"/>
                <w:color w:val="auto"/>
              </w:rPr>
            </w:pPr>
          </w:p>
        </w:tc>
        <w:tc>
          <w:tcPr>
            <w:tcW w:w="5680" w:type="dxa"/>
            <w:vAlign w:val="bottom"/>
          </w:tcPr>
          <w:p>
            <w:pPr>
              <w:spacing w:after="0"/>
              <w:rPr>
                <w:sz w:val="20"/>
                <w:szCs w:val="20"/>
                <w:color w:val="auto"/>
              </w:rPr>
            </w:pPr>
          </w:p>
        </w:tc>
      </w:tr>
      <w:tr>
        <w:trPr>
          <w:trHeight w:val="850"/>
        </w:trPr>
        <w:tc>
          <w:tcPr>
            <w:tcW w:w="3800" w:type="dxa"/>
            <w:vAlign w:val="bottom"/>
          </w:tcPr>
          <w:p>
            <w:pPr>
              <w:spacing w:after="0"/>
              <w:rPr>
                <w:sz w:val="24"/>
                <w:szCs w:val="24"/>
                <w:color w:val="auto"/>
              </w:rPr>
            </w:pPr>
          </w:p>
        </w:tc>
        <w:tc>
          <w:tcPr>
            <w:tcW w:w="74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47</w:t>
            </w:r>
          </w:p>
        </w:tc>
      </w:tr>
      <w:tr>
        <w:trPr>
          <w:trHeight w:val="115"/>
        </w:trPr>
        <w:tc>
          <w:tcPr>
            <w:tcW w:w="38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220" w:type="dxa"/>
            <w:vAlign w:val="bottom"/>
          </w:tcPr>
          <w:p>
            <w:pPr>
              <w:spacing w:after="0"/>
              <w:rPr>
                <w:sz w:val="17"/>
                <w:szCs w:val="17"/>
                <w:color w:val="auto"/>
              </w:rPr>
            </w:pPr>
          </w:p>
        </w:tc>
      </w:tr>
      <w:tr>
        <w:trPr>
          <w:trHeight w:val="588"/>
        </w:trPr>
        <w:tc>
          <w:tcPr>
            <w:tcW w:w="1060" w:type="dxa"/>
            <w:vAlign w:val="bottom"/>
            <w:tcBorders>
              <w:top w:val="single" w:sz="8" w:color="auto"/>
            </w:tcBorders>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w:anchor="page49">
              <w:r>
                <w:rPr>
                  <w:rFonts w:ascii="Times New Roman" w:cs="Times New Roman" w:eastAsia="Times New Roman" w:hAnsi="Times New Roman"/>
                  <w:sz w:val="18"/>
                  <w:szCs w:val="18"/>
                  <w:u w:val="single" w:color="auto"/>
                  <w:color w:val="0000FF"/>
                </w:rPr>
                <w:t>31.1</w:t>
              </w:r>
            </w:hyperlink>
          </w:p>
        </w:tc>
        <w:tc>
          <w:tcPr>
            <w:tcW w:w="560" w:type="dxa"/>
            <w:vAlign w:val="bottom"/>
          </w:tcPr>
          <w:p>
            <w:pPr>
              <w:spacing w:after="0"/>
              <w:rPr>
                <w:sz w:val="24"/>
                <w:szCs w:val="24"/>
                <w:color w:val="auto"/>
              </w:rPr>
            </w:pP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83"/>
        </w:trPr>
        <w:tc>
          <w:tcPr>
            <w:tcW w:w="1620" w:type="dxa"/>
            <w:vAlign w:val="bottom"/>
            <w:gridSpan w:val="2"/>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w:anchor="page50">
              <w:r>
                <w:rPr>
                  <w:rFonts w:ascii="Times New Roman" w:cs="Times New Roman" w:eastAsia="Times New Roman" w:hAnsi="Times New Roman"/>
                  <w:sz w:val="18"/>
                  <w:szCs w:val="18"/>
                  <w:u w:val="single" w:color="auto"/>
                  <w:color w:val="0000FF"/>
                </w:rPr>
                <w:t>31.2</w:t>
              </w:r>
            </w:hyperlink>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29"/>
        </w:trPr>
        <w:tc>
          <w:tcPr>
            <w:tcW w:w="1620" w:type="dxa"/>
            <w:vAlign w:val="bottom"/>
            <w:gridSpan w:val="2"/>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w:anchor="page51">
              <w:r>
                <w:rPr>
                  <w:rFonts w:ascii="Times New Roman" w:cs="Times New Roman" w:eastAsia="Times New Roman" w:hAnsi="Times New Roman"/>
                  <w:sz w:val="18"/>
                  <w:szCs w:val="18"/>
                  <w:u w:val="single" w:color="auto"/>
                  <w:color w:val="0000FF"/>
                </w:rPr>
                <w:t>32.1</w:t>
              </w:r>
            </w:hyperlink>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Certifications of Chief Executive Officer and Chief Financial Officer pursuant to Section 906 of the Sarbanes-Oxley Act of</w:t>
            </w:r>
          </w:p>
        </w:tc>
      </w:tr>
      <w:tr>
        <w:trPr>
          <w:trHeight w:val="234"/>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2002</w:t>
            </w:r>
          </w:p>
        </w:tc>
      </w:tr>
      <w:tr>
        <w:trPr>
          <w:trHeight w:val="225"/>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101.INS</w:t>
            </w: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 - this instance document does not appear in the Interactive Data File because its XBRL tags are</w:t>
            </w:r>
          </w:p>
        </w:tc>
      </w:tr>
      <w:tr>
        <w:trPr>
          <w:trHeight w:val="234"/>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101.SCH</w:t>
            </w: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101.CAL</w:t>
            </w: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101.DEF</w:t>
            </w: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101.LAB</w:t>
            </w: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101.PRE</w:t>
            </w: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104</w:t>
            </w:r>
          </w:p>
        </w:tc>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40"/>
          </w:cols>
          <w:pgMar w:left="320" w:top="878" w:right="739" w:bottom="1440" w:gutter="0" w:footer="0" w:header="0"/>
        </w:sectPr>
      </w:pPr>
    </w:p>
    <w:bookmarkStart w:id="48" w:name="page49"/>
    <w:bookmarkEnd w:id="4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Vivek Jain, certify that:</w:t>
      </w:r>
    </w:p>
    <w:p>
      <w:pPr>
        <w:spacing w:after="0" w:line="252"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ICU Medical, Inc.;</w:t>
      </w:r>
    </w:p>
    <w:p>
      <w:pPr>
        <w:spacing w:after="0" w:line="252"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Times New Roman" w:cs="Times New Roman" w:eastAsia="Times New Roman" w:hAnsi="Times New Roman"/>
          <w:sz w:val="17"/>
          <w:szCs w:val="17"/>
          <w:color w:val="auto"/>
        </w:rPr>
      </w:pPr>
    </w:p>
    <w:p>
      <w:pPr>
        <w:ind w:left="1300" w:right="44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300" w:right="120" w:hanging="644"/>
        <w:spacing w:after="0" w:line="266"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1300" w:right="14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1300" w:right="460" w:hanging="644"/>
        <w:spacing w:after="0" w:line="282" w:lineRule="auto"/>
        <w:tabs>
          <w:tab w:leader="none" w:pos="12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4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715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M. Bonnell, certify that:</w:t>
      </w:r>
    </w:p>
    <w:p>
      <w:pPr>
        <w:spacing w:after="0" w:line="225" w:lineRule="exact"/>
        <w:rPr>
          <w:sz w:val="20"/>
          <w:szCs w:val="20"/>
          <w:color w:val="auto"/>
        </w:rPr>
      </w:pPr>
    </w:p>
    <w:p>
      <w:pPr>
        <w:ind w:left="1160" w:hanging="585"/>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ICU Medical, Inc.;</w:t>
      </w:r>
    </w:p>
    <w:p>
      <w:pPr>
        <w:spacing w:after="0" w:line="252" w:lineRule="exact"/>
        <w:rPr>
          <w:rFonts w:ascii="Times New Roman" w:cs="Times New Roman" w:eastAsia="Times New Roman" w:hAnsi="Times New Roman"/>
          <w:sz w:val="18"/>
          <w:szCs w:val="18"/>
          <w:color w:val="auto"/>
        </w:rPr>
      </w:pPr>
    </w:p>
    <w:p>
      <w:pPr>
        <w:ind w:left="1140" w:right="100" w:hanging="565"/>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8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Times New Roman" w:cs="Times New Roman" w:eastAsia="Times New Roman" w:hAnsi="Times New Roman"/>
          <w:sz w:val="17"/>
          <w:szCs w:val="17"/>
          <w:color w:val="auto"/>
        </w:rPr>
      </w:pPr>
    </w:p>
    <w:p>
      <w:pPr>
        <w:ind w:left="1140" w:hanging="565"/>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140" w:right="80" w:hanging="565"/>
        <w:spacing w:after="0" w:line="266" w:lineRule="auto"/>
        <w:tabs>
          <w:tab w:leader="none" w:pos="11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565"/>
        <w:spacing w:after="0" w:line="266" w:lineRule="auto"/>
        <w:tabs>
          <w:tab w:leader="none" w:pos="11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1140" w:right="300" w:hanging="565"/>
        <w:spacing w:after="0" w:line="266" w:lineRule="auto"/>
        <w:tabs>
          <w:tab w:leader="none" w:pos="11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1140" w:right="620" w:hanging="565"/>
        <w:spacing w:after="0" w:line="282" w:lineRule="auto"/>
        <w:tabs>
          <w:tab w:leader="none" w:pos="11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565"/>
        <w:spacing w:after="0" w:line="282" w:lineRule="auto"/>
        <w:tabs>
          <w:tab w:leader="none" w:pos="11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40"/>
        <w:spacing w:after="0"/>
        <w:tabs>
          <w:tab w:leader="none" w:pos="532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35915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711517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ICU Medical, Inc. (the “Company”) on Form 10-Q for the period ended September 30, 2020 as filed with the Securities and Exchange Commission on the date hereof (the “Report”), I, Vivek Jain, Chief Executive Officer of the Company, certify, pursuant to 18 U.S.C. § 1350, as adopted pursuant to §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18"/>
          <w:szCs w:val="18"/>
          <w:color w:val="auto"/>
        </w:rPr>
        <w:t>November 6, 2020</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505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Vivek Jain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ICU Medical, Inc. (the “Company”) on Form 10-Q for the period ended September 30, 2020 as filed with the Securities and Exchange Commission on the date hereof (the “Report”), I, Brian M. Bonnell, Chief Financial Officer of the Company, certify, pursuant to 18 U.S.C. § 1350, as adopted pursuant to §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18"/>
          <w:szCs w:val="18"/>
          <w:color w:val="auto"/>
        </w:rPr>
        <w:t>November 6, 2020</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505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Roman"/>
      <w:start w:val="2"/>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lowerRoman"/>
      <w:start w:val="2"/>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2020-11-06T14:30:42Z</dcterms:created>
  <dcterms:modified xsi:type="dcterms:W3CDTF">2020-11-06T14:30:42Z</dcterms:modified>
</cp:coreProperties>
</file>