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120"/>
        <w:jc w:val="center"/>
        <w:rPr/>
      </w:pPr>
      <w:r>
        <w:rPr>
          <w:color w:val="000000"/>
        </w:rPr>
        <w:t> </w:t>
      </w:r>
      <w:r>
        <w:rPr>
          <w:rFonts w:ascii="Times New Roman;sans-serif" w:hAnsi="Times New Roman;sans-serif"/>
          <w:b/>
          <w:color w:val="000000"/>
          <w:sz w:val="18"/>
        </w:rPr>
        <w:t xml:space="preserve">FORM 10-Q </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0"/>
        <w:ind w:left="0" w:right="0" w:firstLine="360"/>
        <w:jc w:val="center"/>
        <w:rPr/>
      </w:pPr>
      <w:r>
        <w:rPr>
          <w:color w:val="000000"/>
        </w:rPr>
        <w:t> </w:t>
      </w:r>
      <w:r>
        <w:rPr>
          <w:rFonts w:ascii="Times New Roman;sans-serif" w:hAnsi="Times New Roman;sans-serif"/>
          <w:b/>
          <w:color w:val="000000"/>
          <w:sz w:val="18"/>
        </w:rPr>
        <w:t xml:space="preserve">For the quarterly period ended: March 31, 2023 </w:t>
      </w:r>
    </w:p>
    <w:p>
      <w:pPr>
        <w:pStyle w:val="TextBody"/>
        <w:spacing w:lineRule="auto" w:line="288" w:before="0" w:after="0"/>
        <w:jc w:val="center"/>
        <w:rPr/>
      </w:pPr>
      <w:r>
        <w:rPr>
          <w:color w:val="000000"/>
        </w:rPr>
        <w:t> </w:t>
      </w:r>
      <w:r>
        <w:rPr>
          <w:rFonts w:ascii="Times New Roman;sans-serif" w:hAnsi="Times New Roman;sans-serif"/>
          <w:b/>
          <w:color w:val="000000"/>
          <w:sz w:val="18"/>
        </w:rPr>
        <w:t>or</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spacing w:lineRule="auto" w:line="288" w:before="0" w:after="0"/>
        <w:jc w:val="center"/>
        <w:rPr>
          <w:color w:val="000000"/>
        </w:rPr>
      </w:pPr>
      <w:r>
        <w:rPr>
          <w:color w:val="000000"/>
        </w:rPr>
        <w:t> </w:t>
      </w:r>
    </w:p>
    <w:p>
      <w:pPr>
        <w:pStyle w:val="TextBody"/>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No.: 001-34634 </w:t>
      </w:r>
    </w:p>
    <w:p>
      <w:pPr>
        <w:pStyle w:val="TextBody"/>
        <w:spacing w:lineRule="auto" w:line="288" w:before="0" w:after="0"/>
        <w:jc w:val="center"/>
        <w:rPr/>
      </w:pPr>
      <w:r>
        <w:rPr>
          <w:color w:val="000000"/>
        </w:rPr>
        <w:t> </w:t>
      </w:r>
      <w:r>
        <w:rPr>
          <w:rFonts w:ascii="Times New Roman;sans-serif" w:hAnsi="Times New Roman;sans-serif"/>
          <w:b/>
          <w:color w:val="000000"/>
          <w:sz w:val="18"/>
        </w:rPr>
        <w:t xml:space="preserve">ICU MEDICAL, INC. </w:t>
      </w:r>
    </w:p>
    <w:p>
      <w:pPr>
        <w:pStyle w:val="TextBody"/>
        <w:spacing w:lineRule="auto" w:line="288" w:before="0" w:after="12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spacing w:lineRule="auto" w:line="288" w:before="0" w:after="120"/>
        <w:jc w:val="center"/>
        <w:rPr>
          <w:color w:val="000000"/>
        </w:rPr>
      </w:pPr>
      <w:r>
        <w:rPr>
          <w:color w:val="000000"/>
        </w:rPr>
        <w:t> </w:t>
      </w:r>
    </w:p>
    <w:tbl>
      <w:tblPr>
        <w:tblW w:w="4015" w:type="dxa"/>
        <w:jc w:val="center"/>
        <w:tblInd w:w="0" w:type="dxa"/>
        <w:tblCellMar>
          <w:top w:w="28" w:type="dxa"/>
          <w:left w:w="28" w:type="dxa"/>
          <w:bottom w:w="28" w:type="dxa"/>
          <w:right w:w="28" w:type="dxa"/>
        </w:tblCellMar>
      </w:tblPr>
      <w:tblGrid>
        <w:gridCol w:w="807"/>
        <w:gridCol w:w="710"/>
        <w:gridCol w:w="717"/>
        <w:gridCol w:w="109"/>
        <w:gridCol w:w="109"/>
        <w:gridCol w:w="109"/>
        <w:gridCol w:w="425"/>
        <w:gridCol w:w="425"/>
        <w:gridCol w:w="604"/>
      </w:tblGrid>
      <w:tr>
        <w:trPr/>
        <w:tc>
          <w:tcPr>
            <w:tcW w:w="80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33-0022692</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tbl>
      <w:tblPr>
        <w:tblW w:w="5614" w:type="dxa"/>
        <w:jc w:val="center"/>
        <w:tblInd w:w="0" w:type="dxa"/>
        <w:tblCellMar>
          <w:top w:w="28" w:type="dxa"/>
          <w:left w:w="28" w:type="dxa"/>
          <w:bottom w:w="28" w:type="dxa"/>
          <w:right w:w="28" w:type="dxa"/>
        </w:tblCellMar>
      </w:tblPr>
      <w:tblGrid>
        <w:gridCol w:w="597"/>
        <w:gridCol w:w="525"/>
        <w:gridCol w:w="527"/>
        <w:gridCol w:w="109"/>
        <w:gridCol w:w="109"/>
        <w:gridCol w:w="109"/>
        <w:gridCol w:w="389"/>
        <w:gridCol w:w="389"/>
        <w:gridCol w:w="391"/>
        <w:gridCol w:w="109"/>
        <w:gridCol w:w="109"/>
        <w:gridCol w:w="109"/>
        <w:gridCol w:w="295"/>
        <w:gridCol w:w="295"/>
        <w:gridCol w:w="296"/>
        <w:gridCol w:w="109"/>
        <w:gridCol w:w="109"/>
        <w:gridCol w:w="109"/>
        <w:gridCol w:w="272"/>
        <w:gridCol w:w="272"/>
        <w:gridCol w:w="385"/>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951 Calle Amanecer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San Clemente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92673</w:t>
            </w:r>
          </w:p>
        </w:tc>
      </w:tr>
      <w:tr>
        <w:trPr/>
        <w:tc>
          <w:tcPr>
            <w:tcW w:w="435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lineRule="auto" w:line="288" w:before="0" w:after="0"/>
        <w:jc w:val="center"/>
        <w:rPr/>
      </w:pPr>
      <w:r>
        <w:rPr>
          <w:color w:val="000000"/>
        </w:rPr>
        <w:t> </w:t>
      </w:r>
      <w:r>
        <w:rPr>
          <w:rFonts w:ascii="Times New Roman;sans-serif" w:hAnsi="Times New Roman;sans-serif"/>
          <w:b/>
          <w:color w:val="000000"/>
          <w:sz w:val="18"/>
        </w:rPr>
        <w:t xml:space="preserve">(949) 366-2183 </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spacing w:before="0" w:after="0"/>
        <w:jc w:val="center"/>
        <w:rPr/>
      </w:pPr>
      <w:r>
        <w:rPr/>
      </w:r>
    </w:p>
    <w:p>
      <w:pPr>
        <w:pStyle w:val="TextBody"/>
        <w:spacing w:lineRule="auto" w:line="288" w:before="0" w:after="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918" w:type="dxa"/>
        <w:jc w:val="center"/>
        <w:tblInd w:w="0" w:type="dxa"/>
        <w:tblCellMar>
          <w:top w:w="28" w:type="dxa"/>
          <w:left w:w="28" w:type="dxa"/>
          <w:bottom w:w="28" w:type="dxa"/>
          <w:right w:w="28" w:type="dxa"/>
        </w:tblCellMar>
      </w:tblPr>
      <w:tblGrid>
        <w:gridCol w:w="1112"/>
        <w:gridCol w:w="978"/>
        <w:gridCol w:w="985"/>
        <w:gridCol w:w="454"/>
        <w:gridCol w:w="454"/>
        <w:gridCol w:w="456"/>
        <w:gridCol w:w="1019"/>
        <w:gridCol w:w="1019"/>
        <w:gridCol w:w="1441"/>
      </w:tblGrid>
      <w:tr>
        <w:trPr/>
        <w:tc>
          <w:tcPr>
            <w:tcW w:w="1112"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07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$0.10 per share</w:t>
            </w:r>
          </w:p>
        </w:tc>
        <w:tc>
          <w:tcPr>
            <w:tcW w:w="136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ICUI</w:t>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307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36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(Global Select Market)</w:t>
            </w:r>
          </w:p>
        </w:tc>
      </w:tr>
    </w:tbl>
    <w:p>
      <w:pPr>
        <w:pStyle w:val="TextBody"/>
        <w:spacing w:lineRule="auto" w:line="288" w:before="0" w:after="0"/>
        <w:ind w:left="0" w:right="0" w:firstLine="360"/>
        <w:jc w:val="center"/>
        <w:rPr>
          <w:color w:val="000000"/>
        </w:rPr>
      </w:pPr>
      <w:r>
        <w:rPr>
          <w:color w:val="000000"/>
        </w:rPr>
        <w:t> </w:t>
      </w:r>
    </w:p>
    <w:p>
      <w:pPr>
        <w:pStyle w:val="TextBody"/>
        <w:spacing w:lineRule="auto" w:line="288" w:before="0" w:after="0"/>
        <w:ind w:left="0" w:right="0" w:firstLine="36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88" w:before="0" w:after="0"/>
        <w:ind w:left="0" w:right="0" w:firstLine="360"/>
        <w:rPr>
          <w:color w:val="000000"/>
        </w:rPr>
      </w:pPr>
      <w:r>
        <w:rPr>
          <w:color w:val="000000"/>
        </w:rPr>
        <w:t> </w:t>
      </w:r>
    </w:p>
    <w:p>
      <w:pPr>
        <w:pStyle w:val="TextBody"/>
        <w:spacing w:lineRule="auto" w:line="288" w:before="0" w:after="0"/>
        <w:ind w:left="0" w:right="0" w:firstLine="36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88" w:before="0" w:after="0"/>
        <w:ind w:left="0" w:right="0" w:firstLine="360"/>
        <w:rPr>
          <w:color w:val="000000"/>
        </w:rPr>
      </w:pPr>
      <w:r>
        <w:rPr>
          <w:color w:val="000000"/>
        </w:rPr>
        <w:t> </w:t>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0" w:after="0"/>
        <w:rPr>
          <w:color w:val="000000"/>
        </w:rPr>
      </w:pPr>
      <w:r>
        <w:rPr>
          <w:color w:val="000000"/>
        </w:rPr>
        <w:t> </w:t>
      </w:r>
    </w:p>
    <w:tbl>
      <w:tblPr>
        <w:tblW w:w="4731"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ind w:left="0" w:right="0" w:firstLine="360"/>
        <w:rPr/>
      </w:pPr>
      <w:r>
        <w:rPr>
          <w:color w:val="000000"/>
        </w:rPr>
        <w:t> </w:t>
      </w: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spacing w:before="0" w:after="0"/>
        <w:rPr/>
      </w:pPr>
      <w:r>
        <w:rPr/>
      </w:r>
    </w:p>
    <w:p>
      <w:pPr>
        <w:pStyle w:val="TextBody"/>
        <w:spacing w:lineRule="auto" w:line="288" w:before="0" w:after="0"/>
        <w:ind w:left="0" w:right="0" w:firstLine="360"/>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spacing w:before="100" w:after="283"/>
        <w:ind w:left="0" w:right="0" w:firstLine="360"/>
        <w:jc w:val="center"/>
        <w:rPr/>
      </w:pPr>
      <w:r>
        <w:rPr/>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issuer’s classes of common stock, as of the latest practicable date:</w:t>
      </w:r>
    </w:p>
    <w:p>
      <w:pPr>
        <w:pStyle w:val="TextBody"/>
        <w:spacing w:lineRule="auto" w:line="288" w:before="0" w:after="60"/>
        <w:jc w:val="center"/>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3552" w:type="dxa"/>
        <w:jc w:val="center"/>
        <w:tblInd w:w="0" w:type="dxa"/>
        <w:tblCellMar>
          <w:top w:w="28" w:type="dxa"/>
          <w:left w:w="28" w:type="dxa"/>
          <w:bottom w:w="28" w:type="dxa"/>
          <w:right w:w="28" w:type="dxa"/>
        </w:tblCellMar>
      </w:tblPr>
      <w:tblGrid>
        <w:gridCol w:w="282"/>
        <w:gridCol w:w="248"/>
        <w:gridCol w:w="251"/>
        <w:gridCol w:w="109"/>
        <w:gridCol w:w="109"/>
        <w:gridCol w:w="109"/>
        <w:gridCol w:w="716"/>
        <w:gridCol w:w="716"/>
        <w:gridCol w:w="1012"/>
      </w:tblGrid>
      <w:tr>
        <w:trPr/>
        <w:tc>
          <w:tcPr>
            <w:tcW w:w="28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Outstanding at April 30, 2023</w:t>
            </w:r>
          </w:p>
        </w:tc>
      </w:tr>
      <w:tr>
        <w:trPr/>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24,064,364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320"/>
        <w:gridCol w:w="269"/>
        <w:gridCol w:w="261"/>
        <w:gridCol w:w="2731"/>
        <w:gridCol w:w="2585"/>
        <w:gridCol w:w="2568"/>
        <w:gridCol w:w="109"/>
        <w:gridCol w:w="109"/>
        <w:gridCol w:w="109"/>
        <w:gridCol w:w="334"/>
        <w:gridCol w:w="334"/>
        <w:gridCol w:w="476"/>
      </w:tblGrid>
      <w:tr>
        <w:trPr/>
        <w:tc>
          <w:tcPr>
            <w:tcW w:w="32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731"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FF"/>
              </w:rPr>
            </w:pPr>
            <w:r>
              <w:rPr>
                <w:color w:val="0000FF"/>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Number</w:t>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183">
              <w:r>
                <w:rPr>
                  <w:rStyle w:val="InternetLink"/>
                  <w:rFonts w:ascii="Times New Roman;sans-serif" w:hAnsi="Times New Roman;sans-serif"/>
                  <w:b w:val="false"/>
                  <w:color w:val="0000FF"/>
                  <w:sz w:val="20"/>
                  <w:u w:val="single"/>
                </w:rPr>
                <w:t>Forward Looking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183">
              <w:r>
                <w:rPr>
                  <w:rStyle w:val="InternetLink"/>
                  <w:rFonts w:ascii="Times New Roman;sans-serif" w:hAnsi="Times New Roman;sans-serif"/>
                  <w:b w:val="false"/>
                  <w:color w:val="0000FF"/>
                  <w:sz w:val="20"/>
                  <w:u w:val="single"/>
                </w:rPr>
                <w:t>3</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0">
              <w:r>
                <w:rPr>
                  <w:rStyle w:val="InternetLink"/>
                  <w:rFonts w:ascii="Times New Roman;sans-serif" w:hAnsi="Times New Roman;sans-serif"/>
                  <w:b/>
                  <w:color w:val="0000FF"/>
                  <w:sz w:val="20"/>
                  <w:u w:val="single"/>
                </w:rPr>
                <w:t>Financial Information</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FF"/>
              </w:rPr>
            </w:pPr>
            <w:r>
              <w:rPr>
                <w:color w:val="0000FF"/>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3">
              <w:r>
                <w:rPr>
                  <w:rStyle w:val="InternetLink"/>
                  <w:rFonts w:ascii="Times New Roman;sans-serif" w:hAnsi="Times New Roman;sans-serif"/>
                  <w:b w:val="false"/>
                  <w:color w:val="0000FF"/>
                  <w:sz w:val="20"/>
                  <w:u w:val="single"/>
                </w:rPr>
                <w:t>Financial Statements (Unaudited)</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FF"/>
              </w:rPr>
            </w:pPr>
            <w:r>
              <w:rPr>
                <w:color w:val="0000FF"/>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FF"/>
              </w:rPr>
            </w:pPr>
            <w:r>
              <w:rPr>
                <w:color w:val="0000FF"/>
              </w:rPr>
              <w:t> </w:t>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FF"/>
              </w:rPr>
            </w:pPr>
            <w:r>
              <w:rPr>
                <w:color w:val="0000FF"/>
              </w:rPr>
              <w:t> </w:t>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6">
              <w:r>
                <w:rPr>
                  <w:rStyle w:val="InternetLink"/>
                </w:rPr>
                <w:t xml:space="preserve">Condensed Consolidated Balance Sheets at </w:t>
              </w:r>
            </w:hyperlink>
            <w:hyperlink w:anchor="if1f54ab03e0c44ba84b642c022c86fca_16">
              <w:r>
                <w:rPr>
                  <w:rStyle w:val="InternetLink"/>
                </w:rPr>
                <w:t>Mar</w:t>
              </w:r>
            </w:hyperlink>
            <w:hyperlink w:anchor="if1f54ab03e0c44ba84b642c022c86fca_16">
              <w:r>
                <w:rPr>
                  <w:rStyle w:val="InternetLink"/>
                </w:rPr>
                <w:t>ch 31</w:t>
              </w:r>
            </w:hyperlink>
            <w:hyperlink w:anchor="if1f54ab03e0c44ba84b642c022c86fca_16">
              <w:r>
                <w:rPr>
                  <w:rStyle w:val="InternetLink"/>
                </w:rPr>
                <w:t>, 202</w:t>
              </w:r>
            </w:hyperlink>
            <w:hyperlink w:anchor="if1f54ab03e0c44ba84b642c022c86fca_16">
              <w:r>
                <w:rPr>
                  <w:rStyle w:val="InternetLink"/>
                </w:rPr>
                <w:t>3</w:t>
              </w:r>
            </w:hyperlink>
            <w:hyperlink w:anchor="if1f54ab03e0c44ba84b642c022c86fca_16">
              <w:r>
                <w:rPr>
                  <w:rStyle w:val="InternetLink"/>
                </w:rPr>
                <w:t xml:space="preserve"> and December 31, 202</w:t>
              </w:r>
            </w:hyperlink>
            <w:hyperlink w:anchor="if1f54ab03e0c44ba84b642c022c86fca_16">
              <w:r>
                <w:rPr>
                  <w:rStyle w:val="InternetLink"/>
                </w:rPr>
                <w:t>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6">
              <w:r>
                <w:rPr>
                  <w:rStyle w:val="InternetLink"/>
                  <w:rFonts w:ascii="Times New Roman;sans-serif" w:hAnsi="Times New Roman;sans-serif"/>
                  <w:b w:val="false"/>
                  <w:color w:val="0000FF"/>
                  <w:sz w:val="20"/>
                  <w:u w:val="single"/>
                </w:rPr>
                <w:t>6</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9">
              <w:r>
                <w:rPr>
                  <w:rStyle w:val="InternetLink"/>
                </w:rPr>
                <w:t xml:space="preserve">Condensed Consolidated Statements of Operations for the Three </w:t>
              </w:r>
            </w:hyperlink>
            <w:hyperlink w:anchor="if1f54ab03e0c44ba84b642c022c86fca_19">
              <w:r>
                <w:rPr>
                  <w:rStyle w:val="InternetLink"/>
                </w:rPr>
                <w:t xml:space="preserve">Months Ended </w:t>
              </w:r>
            </w:hyperlink>
            <w:hyperlink w:anchor="if1f54ab03e0c44ba84b642c022c86fca_19">
              <w:r>
                <w:rPr>
                  <w:rStyle w:val="InternetLink"/>
                </w:rPr>
                <w:t>March 31</w:t>
              </w:r>
            </w:hyperlink>
            <w:hyperlink w:anchor="if1f54ab03e0c44ba84b642c022c86fca_19">
              <w:r>
                <w:rPr>
                  <w:rStyle w:val="InternetLink"/>
                </w:rPr>
                <w:t>, 202</w:t>
              </w:r>
            </w:hyperlink>
            <w:hyperlink w:anchor="if1f54ab03e0c44ba84b642c022c86fca_19">
              <w:r>
                <w:rPr>
                  <w:rStyle w:val="InternetLink"/>
                </w:rPr>
                <w:t>3</w:t>
              </w:r>
            </w:hyperlink>
            <w:hyperlink w:anchor="if1f54ab03e0c44ba84b642c022c86fca_19">
              <w:r>
                <w:rPr>
                  <w:rStyle w:val="InternetLink"/>
                </w:rPr>
                <w:t xml:space="preserve"> and 202</w:t>
              </w:r>
            </w:hyperlink>
            <w:hyperlink w:anchor="if1f54ab03e0c44ba84b642c022c86fca_19">
              <w:r>
                <w:rPr>
                  <w:rStyle w:val="InternetLink"/>
                </w:rPr>
                <w:t>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9">
              <w:r>
                <w:rPr>
                  <w:rStyle w:val="InternetLink"/>
                  <w:rFonts w:ascii="Times New Roman;sans-serif" w:hAnsi="Times New Roman;sans-serif"/>
                  <w:b w:val="false"/>
                  <w:color w:val="0000FF"/>
                  <w:sz w:val="20"/>
                  <w:u w:val="single"/>
                </w:rPr>
                <w:t>7</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22">
              <w:r>
                <w:rPr>
                  <w:rStyle w:val="InternetLink"/>
                </w:rPr>
                <w:t xml:space="preserve">Condensed Consolidated Statements of Comprehensive </w:t>
              </w:r>
            </w:hyperlink>
            <w:hyperlink w:anchor="if1f54ab03e0c44ba84b642c022c86fca_22">
              <w:r>
                <w:rPr>
                  <w:rStyle w:val="InternetLink"/>
                </w:rPr>
                <w:t xml:space="preserve">Income </w:t>
              </w:r>
            </w:hyperlink>
            <w:hyperlink w:anchor="if1f54ab03e0c44ba84b642c022c86fca_22">
              <w:r>
                <w:rPr>
                  <w:rStyle w:val="InternetLink"/>
                </w:rPr>
                <w:t xml:space="preserve">(Loss) </w:t>
              </w:r>
            </w:hyperlink>
            <w:hyperlink w:anchor="if1f54ab03e0c44ba84b642c022c86fca_22">
              <w:r>
                <w:rPr>
                  <w:rStyle w:val="InternetLink"/>
                </w:rPr>
                <w:t xml:space="preserve">for the Three </w:t>
              </w:r>
            </w:hyperlink>
            <w:hyperlink w:anchor="if1f54ab03e0c44ba84b642c022c86fca_22">
              <w:r>
                <w:rPr>
                  <w:rStyle w:val="InternetLink"/>
                </w:rPr>
                <w:t xml:space="preserve">Months Ended </w:t>
              </w:r>
            </w:hyperlink>
            <w:hyperlink w:anchor="if1f54ab03e0c44ba84b642c022c86fca_22">
              <w:r>
                <w:rPr>
                  <w:rStyle w:val="InternetLink"/>
                </w:rPr>
                <w:t>March 31, 2023</w:t>
              </w:r>
            </w:hyperlink>
            <w:hyperlink w:anchor="if1f54ab03e0c44ba84b642c022c86fca_22">
              <w:r>
                <w:rPr>
                  <w:rStyle w:val="InternetLink"/>
                </w:rPr>
                <w:t xml:space="preserve"> and 202</w:t>
              </w:r>
            </w:hyperlink>
            <w:hyperlink w:anchor="if1f54ab03e0c44ba84b642c022c86fca_22">
              <w:r>
                <w:rPr>
                  <w:rStyle w:val="InternetLink"/>
                </w:rPr>
                <w:t>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22">
              <w:r>
                <w:rPr>
                  <w:rStyle w:val="InternetLink"/>
                  <w:rFonts w:ascii="Times New Roman;sans-serif" w:hAnsi="Times New Roman;sans-serif"/>
                  <w:b w:val="false"/>
                  <w:color w:val="0000FF"/>
                  <w:sz w:val="20"/>
                  <w:u w:val="single"/>
                </w:rPr>
                <w:t>8</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25">
              <w:r>
                <w:rPr>
                  <w:rStyle w:val="InternetLink"/>
                </w:rPr>
                <w:t xml:space="preserve">Condensed Consolidated Statements of Stockholders' Equity for the Three </w:t>
              </w:r>
            </w:hyperlink>
            <w:hyperlink w:anchor="if1f54ab03e0c44ba84b642c022c86fca_25">
              <w:r>
                <w:rPr>
                  <w:rStyle w:val="InternetLink"/>
                </w:rPr>
                <w:t xml:space="preserve">Months Ended </w:t>
              </w:r>
            </w:hyperlink>
            <w:hyperlink w:anchor="if1f54ab03e0c44ba84b642c022c86fca_25">
              <w:r>
                <w:rPr>
                  <w:rStyle w:val="InternetLink"/>
                </w:rPr>
                <w:t>March 31</w:t>
              </w:r>
            </w:hyperlink>
            <w:hyperlink w:anchor="if1f54ab03e0c44ba84b642c022c86fca_25">
              <w:r>
                <w:rPr>
                  <w:rStyle w:val="InternetLink"/>
                </w:rPr>
                <w:t>, 202</w:t>
              </w:r>
            </w:hyperlink>
            <w:hyperlink w:anchor="if1f54ab03e0c44ba84b642c022c86fca_25">
              <w:r>
                <w:rPr>
                  <w:rStyle w:val="InternetLink"/>
                </w:rPr>
                <w:t>3</w:t>
              </w:r>
            </w:hyperlink>
            <w:hyperlink w:anchor="if1f54ab03e0c44ba84b642c022c86fca_25">
              <w:r>
                <w:rPr>
                  <w:rStyle w:val="InternetLink"/>
                </w:rPr>
                <w:t xml:space="preserve"> and 202</w:t>
              </w:r>
            </w:hyperlink>
            <w:hyperlink w:anchor="if1f54ab03e0c44ba84b642c022c86fca_25">
              <w:r>
                <w:rPr>
                  <w:rStyle w:val="InternetLink"/>
                </w:rPr>
                <w:t>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25">
              <w:r>
                <w:rPr>
                  <w:rStyle w:val="InternetLink"/>
                  <w:rFonts w:ascii="Times New Roman;sans-serif" w:hAnsi="Times New Roman;sans-serif"/>
                  <w:b w:val="false"/>
                  <w:color w:val="0000FF"/>
                  <w:sz w:val="20"/>
                  <w:u w:val="single"/>
                </w:rPr>
                <w:t>9</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28">
              <w:r>
                <w:rPr>
                  <w:rStyle w:val="InternetLink"/>
                </w:rPr>
                <w:t xml:space="preserve">Condensed Consolidated Statements of Cash Flows for the </w:t>
              </w:r>
            </w:hyperlink>
            <w:hyperlink w:anchor="if1f54ab03e0c44ba84b642c022c86fca_28">
              <w:r>
                <w:rPr>
                  <w:rStyle w:val="InternetLink"/>
                </w:rPr>
                <w:t>Three</w:t>
              </w:r>
            </w:hyperlink>
            <w:hyperlink w:anchor="if1f54ab03e0c44ba84b642c022c86fca_28">
              <w:r>
                <w:rPr>
                  <w:rStyle w:val="InternetLink"/>
                </w:rPr>
                <w:t xml:space="preserve"> Months Ended </w:t>
              </w:r>
            </w:hyperlink>
            <w:hyperlink w:anchor="if1f54ab03e0c44ba84b642c022c86fca_28">
              <w:r>
                <w:rPr>
                  <w:rStyle w:val="InternetLink"/>
                </w:rPr>
                <w:t>March 31, 2023</w:t>
              </w:r>
            </w:hyperlink>
            <w:hyperlink w:anchor="if1f54ab03e0c44ba84b642c022c86fca_28">
              <w:r>
                <w:rPr>
                  <w:rStyle w:val="InternetLink"/>
                </w:rPr>
                <w:t xml:space="preserve"> and 202</w:t>
              </w:r>
            </w:hyperlink>
            <w:hyperlink w:anchor="if1f54ab03e0c44ba84b642c022c86fca_28">
              <w:r>
                <w:rPr>
                  <w:rStyle w:val="InternetLink"/>
                </w:rPr>
                <w:t>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28">
              <w:r>
                <w:rPr>
                  <w:rStyle w:val="InternetLink"/>
                  <w:rFonts w:ascii="Times New Roman;sans-serif" w:hAnsi="Times New Roman;sans-serif"/>
                  <w:b w:val="false"/>
                  <w:color w:val="0000FF"/>
                  <w:sz w:val="20"/>
                  <w:u w:val="single"/>
                </w:rPr>
                <w:t>10</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31">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31">
              <w:r>
                <w:rPr>
                  <w:rStyle w:val="InternetLink"/>
                  <w:rFonts w:ascii="Times New Roman;sans-serif" w:hAnsi="Times New Roman;sans-serif"/>
                  <w:b w:val="false"/>
                  <w:color w:val="0000FF"/>
                  <w:sz w:val="20"/>
                  <w:u w:val="single"/>
                </w:rPr>
                <w:t>12</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94">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94">
              <w:r>
                <w:rPr>
                  <w:rStyle w:val="InternetLink"/>
                  <w:rFonts w:ascii="Times New Roman;sans-serif" w:hAnsi="Times New Roman;sans-serif"/>
                  <w:b w:val="false"/>
                  <w:color w:val="0000FF"/>
                  <w:sz w:val="20"/>
                  <w:u w:val="single"/>
                </w:rPr>
                <w:t>40</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09">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09">
              <w:r>
                <w:rPr>
                  <w:rStyle w:val="InternetLink"/>
                  <w:rFonts w:ascii="Times New Roman;sans-serif" w:hAnsi="Times New Roman;sans-serif"/>
                  <w:b w:val="false"/>
                  <w:color w:val="0000FF"/>
                  <w:sz w:val="20"/>
                  <w:u w:val="single"/>
                </w:rPr>
                <w:t>51</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12">
              <w:r>
                <w:rPr>
                  <w:rStyle w:val="InternetLink"/>
                  <w:rFonts w:ascii="Times New Roman;sans-serif" w:hAnsi="Times New Roman;sans-serif"/>
                  <w:b w:val="false"/>
                  <w:color w:val="0000FF"/>
                  <w:sz w:val="20"/>
                  <w:u w:val="single"/>
                </w:rPr>
                <w:t>Controls and Procedures</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12">
              <w:r>
                <w:rPr>
                  <w:rStyle w:val="InternetLink"/>
                  <w:rFonts w:ascii="Times New Roman;sans-serif" w:hAnsi="Times New Roman;sans-serif"/>
                  <w:b w:val="false"/>
                  <w:color w:val="0000FF"/>
                  <w:sz w:val="20"/>
                  <w:u w:val="single"/>
                </w:rPr>
                <w:t>52</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15">
              <w:r>
                <w:rPr>
                  <w:rStyle w:val="InternetLink"/>
                  <w:rFonts w:ascii="Times New Roman;sans-serif" w:hAnsi="Times New Roman;sans-serif"/>
                  <w:b/>
                  <w:color w:val="0000FF"/>
                  <w:sz w:val="20"/>
                  <w:u w:val="single"/>
                </w:rPr>
                <w:t>Other Information</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18">
              <w:r>
                <w:rPr>
                  <w:rStyle w:val="InternetLink"/>
                  <w:rFonts w:ascii="Times New Roman;sans-serif" w:hAnsi="Times New Roman;sans-serif"/>
                  <w:b w:val="false"/>
                  <w:color w:val="0000FF"/>
                  <w:sz w:val="20"/>
                  <w:u w:val="single"/>
                </w:rPr>
                <w:t>Legal Proceedings</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18">
              <w:r>
                <w:rPr>
                  <w:rStyle w:val="InternetLink"/>
                  <w:rFonts w:ascii="Times New Roman;sans-serif" w:hAnsi="Times New Roman;sans-serif"/>
                  <w:b w:val="false"/>
                  <w:color w:val="0000FF"/>
                  <w:sz w:val="20"/>
                  <w:u w:val="single"/>
                </w:rPr>
                <w:t>53</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Item1A.</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21">
              <w:r>
                <w:rPr>
                  <w:rStyle w:val="InternetLink"/>
                  <w:rFonts w:ascii="Times New Roman;sans-serif" w:hAnsi="Times New Roman;sans-serif"/>
                  <w:b w:val="false"/>
                  <w:color w:val="0000FF"/>
                  <w:sz w:val="20"/>
                  <w:u w:val="single"/>
                </w:rPr>
                <w:t>Risk Factors</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21">
              <w:r>
                <w:rPr>
                  <w:rStyle w:val="InternetLink"/>
                  <w:rFonts w:ascii="Times New Roman;sans-serif" w:hAnsi="Times New Roman;sans-serif"/>
                  <w:b w:val="false"/>
                  <w:color w:val="0000FF"/>
                  <w:sz w:val="20"/>
                  <w:u w:val="single"/>
                </w:rPr>
                <w:t>53</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24">
              <w:r>
                <w:rPr>
                  <w:rStyle w:val="InternetLink"/>
                  <w:rFonts w:ascii="Times New Roman;sans-serif" w:hAnsi="Times New Roman;sans-serif"/>
                  <w:b w:val="false"/>
                  <w:color w:val="0000FF"/>
                  <w:sz w:val="20"/>
                  <w:u w:val="single"/>
                </w:rPr>
                <w:t>Unregistered Sales of Equity Securities and Use of Proceeds</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24">
              <w:r>
                <w:rPr>
                  <w:rStyle w:val="InternetLink"/>
                  <w:rFonts w:ascii="Times New Roman;sans-serif" w:hAnsi="Times New Roman;sans-serif"/>
                  <w:b w:val="false"/>
                  <w:color w:val="0000FF"/>
                  <w:sz w:val="20"/>
                  <w:u w:val="single"/>
                </w:rPr>
                <w:t>53</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27">
              <w:r>
                <w:rPr>
                  <w:rStyle w:val="InternetLink"/>
                  <w:rFonts w:ascii="Times New Roman;sans-serif" w:hAnsi="Times New Roman;sans-serif"/>
                  <w:b w:val="false"/>
                  <w:color w:val="0000FF"/>
                  <w:sz w:val="20"/>
                  <w:u w:val="single"/>
                </w:rPr>
                <w:t>Exhibits</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27">
              <w:r>
                <w:rPr>
                  <w:rStyle w:val="InternetLink"/>
                  <w:rFonts w:ascii="Times New Roman;sans-serif" w:hAnsi="Times New Roman;sans-serif"/>
                  <w:b w:val="false"/>
                  <w:color w:val="0000FF"/>
                  <w:sz w:val="20"/>
                  <w:u w:val="single"/>
                </w:rPr>
                <w:t>54</w:t>
              </w:r>
            </w:hyperlink>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1f54ab03e0c44ba84b642c022c86fca_130">
              <w:r>
                <w:rPr>
                  <w:rStyle w:val="InternetLink"/>
                  <w:rFonts w:ascii="Times New Roman;sans-serif" w:hAnsi="Times New Roman;sans-serif"/>
                  <w:b w:val="false"/>
                  <w:color w:val="0000FF"/>
                  <w:sz w:val="20"/>
                  <w:u w:val="single"/>
                </w:rPr>
                <w:t>Signature</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1f54ab03e0c44ba84b642c022c86fca_130">
              <w:r>
                <w:rPr>
                  <w:rStyle w:val="InternetLink"/>
                  <w:rFonts w:ascii="Times New Roman;sans-serif" w:hAnsi="Times New Roman;sans-serif"/>
                  <w:b w:val="false"/>
                  <w:color w:val="0000FF"/>
                  <w:sz w:val="20"/>
                  <w:u w:val="single"/>
                </w:rPr>
                <w:t>55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Various portions of this Quarterly Report on Form 10-Q, including this Management’s Discussion and Analysis of Financial Condition and Results of Operations, describe trends in our business and finances that we perceive and state some of our expectations and beliefs about our future. These statements about the future are “forward-looking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forward-looking statements are based on the information currently available to us and assumptions that we believe are reasonable, but we do not intend the statements to be representations as to future results. They include, without limitation, statements about: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future growth; future operating results and</w:t>
      </w:r>
      <w:r>
        <w:rPr>
          <w:color w:val="000000"/>
          <w:highlight w:val="white"/>
        </w:rPr>
        <w:t xml:space="preserve"> </w:t>
      </w:r>
      <w:r>
        <w:rPr>
          <w:rFonts w:ascii="Times New Roman;sans-serif" w:hAnsi="Times New Roman;sans-serif"/>
          <w:b w:val="false"/>
          <w:color w:val="000000"/>
          <w:sz w:val="20"/>
          <w:highlight w:val="white"/>
        </w:rPr>
        <w:t>financial condition (including, among other things, anticipated sales; accruals for restructuring charges, production costs; gross margins; litigation expense; future SG&amp;A and R&amp;D expenses; manufacturing expenses; our expectations regarding liquidity and capital resources over the next twelve months; capital expenditures;</w:t>
      </w:r>
      <w:r>
        <w:rPr>
          <w:rFonts w:ascii="Times New Roman;sans-serif" w:hAnsi="Times New Roman;sans-serif"/>
          <w:b w:val="false"/>
          <w:color w:val="000000"/>
          <w:sz w:val="20"/>
        </w:rPr>
        <w:t>; source of funds for capital purchases and operations; future tax rates; alternative sources of capital or financing; changes in working capital items such as receivables and inventory; use of treasury stock; realizable value of our investment securities; future investment alternatives; foreign currency denominated financial instruments; and income taxes;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factors affecting operating results, such as </w:t>
      </w:r>
      <w:r>
        <w:rPr>
          <w:rFonts w:ascii="Times New Roman;sans-serif" w:hAnsi="Times New Roman;sans-serif"/>
          <w:b w:val="false"/>
          <w:color w:val="000000"/>
          <w:sz w:val="20"/>
          <w:highlight w:val="white"/>
        </w:rPr>
        <w:t xml:space="preserve">the impact of an increase in shipping costs; </w:t>
      </w:r>
      <w:r>
        <w:rPr>
          <w:rFonts w:ascii="Times New Roman;sans-serif" w:hAnsi="Times New Roman;sans-serif"/>
          <w:b w:val="false"/>
          <w:color w:val="000000"/>
          <w:sz w:val="20"/>
        </w:rPr>
        <w:t>loss of a strategic relationship; change in demand for our products; domestic and international sales; expansion in international markets,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new or extended contracts with manufacturers and buying organizations; dependence on a small number of customers; loss of larger distributors and the ability to locate other distributors; the outcome of our strategic initiatives; regulatory approvals and compliance; including the work necessary to achieve regulatory clearance with respect to the Smiths Medical Warning Letter;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foreign exchange risk; commodity price risk; plans to convert existing space; acquisitions of other businesses or product lines, and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acquisitions and the integration of acquired businesses and product lines (including the Smiths Medical business).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forward 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including without limitation, the following:</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dependence on single and limited source third-party suppliers, which subjects our business and results of operations to risks of supplier business interruptions, and a loss or degradation in performance in our suppliers;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damage to any of our manufacturing facilities or disruption to our supply chain network;</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prolonged periods of inflation, rising interest rates and the impact of foreign currency exchange rates as a result of the current global macroeconomic and geopolitical conditions;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 of the COVID-19 pandemic on the way we, our suppliers and our customers operate and the duration, and the extent to which this will impact our business, future results of operations, liquidity and overall financial performance;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significant sales through our distributors;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failure to achieve expected operating efficiencies or expense reductions associated with cost reduction and restructuring efforts;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failure to compete successfully with our competitors and maintain market share;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inability to fund substantial investment in product development and recover such investment through commercial product sales;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significant decline in demand for our products;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continuing pressures to reduce healthcare costs and inadequate coverage and reimbursement;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failure to protect our information technology systems against security breaches, service interruptions, or misappropriation of data;</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disruptions at the FDA, other government agencies or notified bodies caused by funding shortages or global health concerns;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actual or perceived failures to comply with foreign, federal, and state data privacy and security laws, regulations and standards, or certain fraud and abuse and transparency laws;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failure to defend and enforce our patents or other proprietary rights and the cost of enforcing and of defending patent claims or claims of other proprietary rights; and expiration of our patents;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exposure to risks related to foreign currency exchange rates;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any significant changes in U.S. trade, tax or other policies that restrict imports or increase import tariffs;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additional risks from international sales, related to competition with larger international companies and established local companies and our possibly higher cost structure;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failure to effectively manage our growth and change to our business resulting from the Smiths Medical acquisition or any other future acquisitions;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actual impact of the Smiths Medical acquisition on our financial results and our use of a significant portion of our cash on hand and incurrence of a substantial amount of debt to finance the Smiths Medical acquisition, which could adversely affect our business, including by restricting our ability to engage in additional transactions or incur additional indebtedness.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a more detailed discussion of these factors, see the information under the sections entitled “Summary Risk Factors,” Part I. Item 1A. “Risk Factors” and Part II. Item 7 “Management’s Discussion and Analysis of Financial Condition and Results of Operations” in our 2022 Annual Report, and the sections in this Quarterly Report on Form 10-Q entitled Part II. Item 1A “Risk Factors” and Part I. Item 2 “Management’s Discussion and Analysis of Financial Condition and Results of Operations,” in each case as updated by our periodic filings with the SEC.</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u w:val="single"/>
        </w:rPr>
      </w:pPr>
      <w:r>
        <w:rPr>
          <w:rFonts w:ascii="Times New Roman;sans-serif" w:hAnsi="Times New Roman;sans-serif"/>
          <w:b/>
          <w:color w:val="000000"/>
          <w:sz w:val="20"/>
          <w:u w:val="single"/>
        </w:rPr>
        <w:t>Item1.Financial Statements (Unaudited)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par value data and treasury shares) </w:t>
      </w:r>
    </w:p>
    <w:tbl>
      <w:tblPr>
        <w:tblW w:w="10205" w:type="dxa"/>
        <w:jc w:val="center"/>
        <w:tblInd w:w="0" w:type="dxa"/>
        <w:tblCellMar>
          <w:top w:w="28" w:type="dxa"/>
          <w:left w:w="28" w:type="dxa"/>
          <w:bottom w:w="28" w:type="dxa"/>
          <w:right w:w="28" w:type="dxa"/>
        </w:tblCellMar>
      </w:tblPr>
      <w:tblGrid>
        <w:gridCol w:w="2940"/>
        <w:gridCol w:w="2255"/>
        <w:gridCol w:w="2285"/>
        <w:gridCol w:w="196"/>
        <w:gridCol w:w="871"/>
        <w:gridCol w:w="109"/>
        <w:gridCol w:w="109"/>
        <w:gridCol w:w="109"/>
        <w:gridCol w:w="109"/>
        <w:gridCol w:w="196"/>
        <w:gridCol w:w="871"/>
        <w:gridCol w:w="155"/>
      </w:tblGrid>
      <w:tr>
        <w:trPr/>
        <w:tc>
          <w:tcPr>
            <w:tcW w:w="294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SHORT-TERM INVESTMENT SECURITIES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213,008 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for doubtful accounts $10,337 at March 31, 2023 and $8,530 at December 31, 2022</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221,719 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696,009 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income taxes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1,235,196 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636,113 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74,864 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INVESTMENT SECURITIES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1,449,258 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982,766 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101,885 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105,462 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4,470,632 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4,515,641 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LIABILITIES AND STOCKHOLDERS’ EQUITY</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215,902 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long-term debt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494,559 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LIABILITY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1,612,196 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1,623,675 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126,007 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LIABILITY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41,796 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19)</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preferred stock, $1.00 par value; Authorized — 500 shares; Issued and outstanding — none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$0.10 par value; Authorized — 80,000 shares; Issued — 24,114 shares at March 31, 2023 and 23,995 shares at December 31, 2022; and outstanding — 24,064 shares at March 31, 2023 and 23,993 shares at December 31, 2022</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1,331,249 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(50,374 and 1,633 shares, respectively)</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827,689 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837,501 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(80,978)</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2,100,399 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2,089,928 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4,470,632 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4,515,641 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(1) December 31, 2022 balances were derived from audited consolidated financial statements.</w:t>
      </w:r>
    </w:p>
    <w:p>
      <w:pPr>
        <w:pStyle w:val="TextBody"/>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spacing w:lineRule="auto" w:line="288" w:before="0" w:after="0"/>
        <w:jc w:val="center"/>
        <w:rPr>
          <w:color w:val="000000"/>
        </w:rPr>
      </w:pPr>
      <w:r>
        <w:rPr>
          <w:color w:val="000000"/>
        </w:rPr>
        <w:t> </w:t>
      </w:r>
    </w:p>
    <w:tbl>
      <w:tblPr>
        <w:tblW w:w="7344" w:type="dxa"/>
        <w:jc w:val="center"/>
        <w:tblInd w:w="0" w:type="dxa"/>
        <w:tblCellMar>
          <w:top w:w="28" w:type="dxa"/>
          <w:left w:w="28" w:type="dxa"/>
          <w:bottom w:w="28" w:type="dxa"/>
          <w:right w:w="28" w:type="dxa"/>
        </w:tblCellMar>
      </w:tblPr>
      <w:tblGrid>
        <w:gridCol w:w="1538"/>
        <w:gridCol w:w="1349"/>
        <w:gridCol w:w="1357"/>
        <w:gridCol w:w="211"/>
        <w:gridCol w:w="826"/>
        <w:gridCol w:w="109"/>
        <w:gridCol w:w="109"/>
        <w:gridCol w:w="109"/>
        <w:gridCol w:w="109"/>
        <w:gridCol w:w="211"/>
        <w:gridCol w:w="826"/>
        <w:gridCol w:w="109"/>
        <w:gridCol w:w="109"/>
        <w:gridCol w:w="109"/>
        <w:gridCol w:w="109"/>
        <w:gridCol w:w="154"/>
      </w:tblGrid>
      <w:tr>
        <w:trPr/>
        <w:tc>
          <w:tcPr>
            <w:tcW w:w="1538"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 (Unaudited)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spacing w:lineRule="auto" w:line="288" w:before="0" w:after="0"/>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2736"/>
        <w:gridCol w:w="2271"/>
        <w:gridCol w:w="2307"/>
        <w:gridCol w:w="211"/>
        <w:gridCol w:w="668"/>
        <w:gridCol w:w="109"/>
        <w:gridCol w:w="109"/>
        <w:gridCol w:w="109"/>
        <w:gridCol w:w="109"/>
        <w:gridCol w:w="211"/>
        <w:gridCol w:w="773"/>
        <w:gridCol w:w="109"/>
        <w:gridCol w:w="109"/>
        <w:gridCol w:w="109"/>
        <w:gridCol w:w="109"/>
        <w:gridCol w:w="156"/>
      </w:tblGrid>
      <w:tr>
        <w:trPr/>
        <w:tc>
          <w:tcPr>
            <w:tcW w:w="2736" w:type="dxa"/>
            <w:tcBorders/>
            <w:shd w:fill="auto" w:val="clear"/>
            <w:vAlign w:val="center"/>
          </w:tcPr>
          <w:p>
            <w:pPr>
              <w:pStyle w:val="TableContents"/>
              <w:spacing w:before="0" w:after="283"/>
              <w:rPr>
                <w:sz w:val="4"/>
                <w:szCs w:val="4"/>
              </w:rPr>
            </w:pPr>
            <w:r>
              <w:rPr>
                <w:sz w:val="4"/>
                <w:szCs w:val="4"/>
              </w:rPr>
            </w:r>
          </w:p>
        </w:tc>
        <w:tc>
          <w:tcPr>
            <w:tcW w:w="2271"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9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 hedge adjustments, net of tax of $1,744 and $(7,312) for the three months ended March 31, 2023 and 2022, respectively.</w:t>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 of $0 for all periods</w:t>
            </w:r>
          </w:p>
        </w:tc>
        <w:tc>
          <w:tcPr>
            <w:tcW w:w="87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 of tax of $0 for all periods</w:t>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 (Unaudited)</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p>
      <w:pPr>
        <w:pStyle w:val="TextBody"/>
        <w:spacing w:before="0" w:after="0"/>
        <w:jc w:val="center"/>
        <w:rPr/>
      </w:pPr>
      <w:r>
        <w:rPr/>
      </w:r>
    </w:p>
    <w:p>
      <w:pPr>
        <w:pStyle w:val="TextBody"/>
        <w:spacing w:before="0" w:after="0"/>
        <w:jc w:val="center"/>
        <w:rPr/>
      </w:pPr>
      <w:r>
        <w:rPr/>
      </w:r>
    </w:p>
    <w:tbl>
      <w:tblPr>
        <w:tblW w:w="10768" w:type="dxa"/>
        <w:jc w:val="center"/>
        <w:tblInd w:w="0" w:type="dxa"/>
        <w:tblCellMar>
          <w:top w:w="28" w:type="dxa"/>
          <w:left w:w="28" w:type="dxa"/>
          <w:bottom w:w="28" w:type="dxa"/>
          <w:right w:w="28" w:type="dxa"/>
        </w:tblCellMar>
      </w:tblPr>
      <w:tblGrid>
        <w:gridCol w:w="701"/>
        <w:gridCol w:w="234"/>
        <w:gridCol w:w="236"/>
        <w:gridCol w:w="109"/>
        <w:gridCol w:w="109"/>
        <w:gridCol w:w="109"/>
        <w:gridCol w:w="330"/>
        <w:gridCol w:w="331"/>
        <w:gridCol w:w="196"/>
        <w:gridCol w:w="109"/>
        <w:gridCol w:w="109"/>
        <w:gridCol w:w="109"/>
        <w:gridCol w:w="196"/>
        <w:gridCol w:w="571"/>
        <w:gridCol w:w="109"/>
        <w:gridCol w:w="109"/>
        <w:gridCol w:w="109"/>
        <w:gridCol w:w="109"/>
        <w:gridCol w:w="196"/>
        <w:gridCol w:w="886"/>
        <w:gridCol w:w="109"/>
        <w:gridCol w:w="109"/>
        <w:gridCol w:w="109"/>
        <w:gridCol w:w="109"/>
        <w:gridCol w:w="196"/>
        <w:gridCol w:w="571"/>
        <w:gridCol w:w="109"/>
        <w:gridCol w:w="109"/>
        <w:gridCol w:w="109"/>
        <w:gridCol w:w="109"/>
        <w:gridCol w:w="196"/>
        <w:gridCol w:w="751"/>
        <w:gridCol w:w="109"/>
        <w:gridCol w:w="109"/>
        <w:gridCol w:w="109"/>
        <w:gridCol w:w="109"/>
        <w:gridCol w:w="246"/>
        <w:gridCol w:w="832"/>
        <w:gridCol w:w="138"/>
        <w:gridCol w:w="109"/>
        <w:gridCol w:w="109"/>
        <w:gridCol w:w="109"/>
        <w:gridCol w:w="196"/>
        <w:gridCol w:w="886"/>
        <w:gridCol w:w="154"/>
      </w:tblGrid>
      <w:tr>
        <w:trPr/>
        <w:tc>
          <w:tcPr>
            <w:tcW w:w="70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23,995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1,331,249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837,501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(80,978)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2,089,928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24,114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1,339,908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(8,006)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827,689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(61,603)</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2,100,399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before="0" w:after="0"/>
        <w:rPr/>
      </w:pPr>
      <w:r>
        <w:rPr/>
      </w:r>
    </w:p>
    <w:tbl>
      <w:tblPr>
        <w:tblW w:w="10768" w:type="dxa"/>
        <w:jc w:val="center"/>
        <w:tblInd w:w="0" w:type="dxa"/>
        <w:tblCellMar>
          <w:top w:w="28" w:type="dxa"/>
          <w:left w:w="28" w:type="dxa"/>
          <w:bottom w:w="28" w:type="dxa"/>
          <w:right w:w="28" w:type="dxa"/>
        </w:tblCellMar>
      </w:tblPr>
      <w:tblGrid>
        <w:gridCol w:w="701"/>
        <w:gridCol w:w="234"/>
        <w:gridCol w:w="236"/>
        <w:gridCol w:w="109"/>
        <w:gridCol w:w="109"/>
        <w:gridCol w:w="109"/>
        <w:gridCol w:w="330"/>
        <w:gridCol w:w="331"/>
        <w:gridCol w:w="196"/>
        <w:gridCol w:w="109"/>
        <w:gridCol w:w="109"/>
        <w:gridCol w:w="109"/>
        <w:gridCol w:w="196"/>
        <w:gridCol w:w="571"/>
        <w:gridCol w:w="109"/>
        <w:gridCol w:w="109"/>
        <w:gridCol w:w="109"/>
        <w:gridCol w:w="109"/>
        <w:gridCol w:w="196"/>
        <w:gridCol w:w="886"/>
        <w:gridCol w:w="109"/>
        <w:gridCol w:w="109"/>
        <w:gridCol w:w="109"/>
        <w:gridCol w:w="109"/>
        <w:gridCol w:w="196"/>
        <w:gridCol w:w="571"/>
        <w:gridCol w:w="109"/>
        <w:gridCol w:w="109"/>
        <w:gridCol w:w="109"/>
        <w:gridCol w:w="109"/>
        <w:gridCol w:w="196"/>
        <w:gridCol w:w="751"/>
        <w:gridCol w:w="109"/>
        <w:gridCol w:w="109"/>
        <w:gridCol w:w="109"/>
        <w:gridCol w:w="109"/>
        <w:gridCol w:w="246"/>
        <w:gridCol w:w="832"/>
        <w:gridCol w:w="138"/>
        <w:gridCol w:w="109"/>
        <w:gridCol w:w="109"/>
        <w:gridCol w:w="109"/>
        <w:gridCol w:w="196"/>
        <w:gridCol w:w="886"/>
        <w:gridCol w:w="154"/>
      </w:tblGrid>
      <w:tr>
        <w:trPr/>
        <w:tc>
          <w:tcPr>
            <w:tcW w:w="70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21,280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721,412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911,787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(19,269)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1,616,031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and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575,975 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23,897</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1,306,264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873,719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(628)</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2,178,902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w:t>
      </w:r>
    </w:p>
    <w:p>
      <w:pPr>
        <w:pStyle w:val="TextBody"/>
        <w:spacing w:lineRule="auto" w:line="288" w:before="0" w:after="0"/>
        <w:jc w:val="center"/>
        <w:rPr/>
      </w:pPr>
      <w:r>
        <w:rPr>
          <w:rFonts w:ascii="Times New Roman;sans-serif" w:hAnsi="Times New Roman;sans-serif"/>
          <w:b w:val="false"/>
          <w:color w:val="000000"/>
          <w:sz w:val="18"/>
        </w:rPr>
        <w:t>(In thousands)</w:t>
      </w:r>
      <w:r>
        <w:rPr>
          <w:color w:val="000000"/>
        </w:rPr>
        <w:t> </w:t>
      </w:r>
    </w:p>
    <w:p>
      <w:pPr>
        <w:pStyle w:val="TextBody"/>
        <w:spacing w:before="0" w:after="0"/>
        <w:jc w:val="center"/>
        <w:rPr/>
      </w:pPr>
      <w:r>
        <w:rPr/>
      </w:r>
    </w:p>
    <w:tbl>
      <w:tblPr>
        <w:tblW w:w="8587" w:type="dxa"/>
        <w:jc w:val="center"/>
        <w:tblInd w:w="0" w:type="dxa"/>
        <w:tblCellMar>
          <w:top w:w="28" w:type="dxa"/>
          <w:left w:w="28" w:type="dxa"/>
          <w:bottom w:w="28" w:type="dxa"/>
          <w:right w:w="28" w:type="dxa"/>
        </w:tblCellMar>
      </w:tblPr>
      <w:tblGrid>
        <w:gridCol w:w="2216"/>
        <w:gridCol w:w="1947"/>
        <w:gridCol w:w="1957"/>
        <w:gridCol w:w="196"/>
        <w:gridCol w:w="736"/>
        <w:gridCol w:w="109"/>
        <w:gridCol w:w="109"/>
        <w:gridCol w:w="109"/>
        <w:gridCol w:w="109"/>
        <w:gridCol w:w="198"/>
        <w:gridCol w:w="747"/>
        <w:gridCol w:w="154"/>
      </w:tblGrid>
      <w:tr>
        <w:trPr/>
        <w:tc>
          <w:tcPr>
            <w:tcW w:w="2216" w:type="dxa"/>
            <w:tcBorders/>
            <w:shd w:fill="auto" w:val="clear"/>
            <w:vAlign w:val="center"/>
          </w:tcPr>
          <w:p>
            <w:pPr>
              <w:pStyle w:val="TableContents"/>
              <w:spacing w:before="0" w:after="283"/>
              <w:rPr>
                <w:sz w:val="4"/>
                <w:szCs w:val="4"/>
              </w:rPr>
            </w:pPr>
            <w:r>
              <w:rPr>
                <w:sz w:val="4"/>
                <w:szCs w:val="4"/>
              </w:rPr>
            </w:r>
          </w:p>
        </w:tc>
        <w:tc>
          <w:tcPr>
            <w:tcW w:w="1947" w:type="dxa"/>
            <w:tcBorders/>
            <w:shd w:fill="auto" w:val="clear"/>
            <w:vAlign w:val="center"/>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r>
      <w:tr>
        <w:trPr/>
        <w:tc>
          <w:tcPr>
            <w:tcW w:w="6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inventory step-up</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warranty, returns and field action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plant and equipment and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premium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earn-out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Usage of spare parts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amounts acquired:</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including excess tax benefits and deferred income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(1,844,164)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additions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investment securities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maturities of investment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(1,867,750)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long-term debt, net of lender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1,672,698 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repayments of long-term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third-party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finance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payments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1,648,917 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exchange rate changes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552,827 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329,428 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center"/>
        <w:rPr/>
      </w:pPr>
      <w:r>
        <w:rPr/>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ICU MEDICAL, INC.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 - CONTINUED</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spacing w:before="0" w:after="0"/>
        <w:jc w:val="center"/>
        <w:rPr/>
      </w:pPr>
      <w:r>
        <w:rPr/>
      </w:r>
    </w:p>
    <w:tbl>
      <w:tblPr>
        <w:tblW w:w="8498" w:type="dxa"/>
        <w:jc w:val="center"/>
        <w:tblInd w:w="0" w:type="dxa"/>
        <w:tblCellMar>
          <w:top w:w="28" w:type="dxa"/>
          <w:left w:w="28" w:type="dxa"/>
          <w:bottom w:w="28" w:type="dxa"/>
          <w:right w:w="28" w:type="dxa"/>
        </w:tblCellMar>
      </w:tblPr>
      <w:tblGrid>
        <w:gridCol w:w="2207"/>
        <w:gridCol w:w="1937"/>
        <w:gridCol w:w="1945"/>
        <w:gridCol w:w="196"/>
        <w:gridCol w:w="556"/>
        <w:gridCol w:w="109"/>
        <w:gridCol w:w="109"/>
        <w:gridCol w:w="109"/>
        <w:gridCol w:w="109"/>
        <w:gridCol w:w="196"/>
        <w:gridCol w:w="871"/>
        <w:gridCol w:w="154"/>
      </w:tblGrid>
      <w:tr>
        <w:trPr/>
        <w:tc>
          <w:tcPr>
            <w:tcW w:w="2207" w:type="dxa"/>
            <w:tcBorders/>
            <w:shd w:fill="auto" w:val="clear"/>
            <w:vAlign w:val="center"/>
          </w:tcPr>
          <w:p>
            <w:pPr>
              <w:pStyle w:val="TableContents"/>
              <w:spacing w:before="0" w:after="283"/>
              <w:rPr>
                <w:sz w:val="4"/>
                <w:szCs w:val="4"/>
              </w:rPr>
            </w:pPr>
            <w:r>
              <w:rPr>
                <w:sz w:val="4"/>
                <w:szCs w:val="4"/>
              </w:rPr>
            </w:r>
          </w:p>
        </w:tc>
        <w:tc>
          <w:tcPr>
            <w:tcW w:w="1937"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Accounts payable for property, plant and equipment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INVESTING ACTIVITIES: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Detail of assets acquired and liabilities assumed in acquisitions:</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assets acquired</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1,594,776 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(1,844,164)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acquisitions</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acquired/adjusted during period</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1,485,987 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assumed/Adjustments to liabilities assumed</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rPr>
      </w:pPr>
      <w:r>
        <w:rPr>
          <w:rFonts w:ascii="Times New Roman;sans-serif" w:hAnsi="Times New Roman;sans-serif"/>
          <w:b/>
          <w:color w:val="000000"/>
          <w:sz w:val="20"/>
        </w:rPr>
        <w:t>Note 1:Basis of Presentation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condensed consolidated financial statements of ICU Medical, Inc., ("ICU" or the "Company"), a Delaware corporation,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for the year ended December 31, 2022. </w:t>
      </w:r>
    </w:p>
    <w:p>
      <w:pPr>
        <w:pStyle w:val="TextBody"/>
        <w:spacing w:lineRule="auto" w:line="288" w:before="0" w:after="0"/>
        <w:ind w:left="0" w:right="0" w:firstLine="72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develop, manufacture and sell innovative medical products used in infusion therapy, vascular access, and vital care applications. ICU's product portfolio includes ambulatory, syringe, and large volume IV pumps and safety software; dedicated and non-dedicated IV sets, needlefree IV connectors, peripheral IV catheters, and sterile IV solutions; closed system transfer devices and pharmacy compounding systems; as well as a range of respiratory, anesthesia, patient monitoring, and temperature management products. We sell the majority of our products through our direct sales force and through independent distributors throughout the U.S. and internationally. We also sell certain products on an original equipment manufacturer basis to other medical device manufacturers. All subsidiaries are wholly owned and are included in the condensed consolidated financial statements. All intercompany balances and transactions have been eliminated.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the prior year financial statements and footnotes to conform to the presentation used in the current year. In the statements of operations we reclassified interest income to interest (expense) income, net from other (expense) income, net and in Note 5: Revenues, certain reclassifications were made to revenues disaggregated by product line and by geography. Also, in Note 9: Fair Value Measurements the table indicating the Level inputs for the assets and liabilities measured at fair value on a recurring basis was updated to correct the Level input identified for the hedge assets and liabilities. These reclassifications had no impact on total revenues, net loss, shareholder's equity or cash flows as previously reported.</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New Accounting Pronouncements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In March 2020, the Financial Accounting Standards Board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ASU No. 2022-06, Reference Rate Reform: Deferral of the Sunset Date of Topic 848 deferred the sunset date to December 31, 2024. In November 2021, we entered into two forward-starting swaps whereby the variable leg of the swap referenced LIBOR. These swaps were amended in early 2022 to transition to an alternative reference rate (see Note 8: Derivatives and Hedging Activities). The amendments in this ASU allow for certain expedients that will allow us to assume that our hedged interest payments are probable of occurring regardless of any expected modification in their terms related to reference rate reform and will allow us to continue hedge accounting for a cash flow hedge for which the hedged interest rate risk changes if the hedge is highly effective under ASC 815, Derivatives and Hedging, or the optional expedient under this ASU is elected. The impact of this ASU on our contracts has not been and is not expected to be material.</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Acquisitions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2022 Acquisition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100.0% of the equity interests in Smiths Medical, the holding company of Smiths Group plc's global medical device business, from Smiths Group International Holdings Limited (“Smiths”). The acquisition of Smiths Medical aligns with our strategic growth plans, enabling us to broaden our product offerings to include syringe and ambulatory infusion devices, vascular access, and vital care products and to strengthen and expand our global market reach.</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consideration for the acquisition was $1.9 billion, which was financed with existing cash balances and proceeds from the credit agreement entered into on January 6, 2022 (see Note 17: Long-Term Debt). We also issued share consideration to Smiths of 2.5 million shares of our common stock. The fair value of the common shares issued to Smiths was determined based on the opening market price of our common stock on the acquisition date. Smiths may be entitled to an additional $100.0 million in cash consideration contingent on our common stock achieving certain price targets for certain periods after closing in accordance with the terms of the Share Sale and Purchase Agreement (the "Purchase Agreement"). In the event that (a) on or prior to the third anniversary of closing the 30-day volume-weighted average price for our common stock, as defined in the Purchase Agreement, equals or exceeds $300.00 per share or (b) on or prior to the fourth anniversary of closing the 45-day volume-weighted average price for our common stock, as defined in the Purchase Agreement, equals or exceeds $300.00 per share (each a "Price Target"), and provided Smiths beneficially owns at least 50.0% of the shares of common stock issued at closing at the time the Price Target is achieved, then Smiths will be entitled to receive the additional $100.0 million in cash consideration. The fair value of the contingent consideration was determined using an option pricing model, specifically the Monte Carlo Simulation. In the analysis, the determinants of payout are simulated in a risk neutral framework over a large number of simulation paths. The fair value of the contingent consideration is then calculated as the average present value across all simulated paths.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Smiths became a related party to us when we issued 2.5 million shares of our common stock as partial consideration for the acquisition of Smiths Medical. Additionally, we entered into a transition services agreement ("TSA") with certain members of Smiths Group, plc. The TSA includes certain information technology, human resource and tax support services for an initial term of twelve months with the option to extend up to 24 months. During the three months ended March 31, 2023, we expensed $4.0 million for services provided under the TSA. As of March 31, 2023, we have $1.5 million in open payables related to the services received under the TSA.</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Final Purchase Price Allocation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purchase price and the final allocation of the purchase price related to the assets acquired and liabilities assumed (in thousands):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ind w:left="0" w:right="0" w:firstLine="720"/>
        <w:rPr/>
      </w:pPr>
      <w:r>
        <w:rPr/>
      </w:r>
    </w:p>
    <w:tbl>
      <w:tblPr>
        <w:tblW w:w="7232" w:type="dxa"/>
        <w:jc w:val="left"/>
        <w:tblInd w:w="0" w:type="dxa"/>
        <w:tblCellMar>
          <w:top w:w="28" w:type="dxa"/>
          <w:left w:w="28" w:type="dxa"/>
          <w:bottom w:w="28" w:type="dxa"/>
          <w:right w:w="28" w:type="dxa"/>
        </w:tblCellMar>
      </w:tblPr>
      <w:tblGrid>
        <w:gridCol w:w="2016"/>
        <w:gridCol w:w="1772"/>
        <w:gridCol w:w="1776"/>
        <w:gridCol w:w="109"/>
        <w:gridCol w:w="109"/>
        <w:gridCol w:w="109"/>
        <w:gridCol w:w="211"/>
        <w:gridCol w:w="976"/>
        <w:gridCol w:w="154"/>
      </w:tblGrid>
      <w:tr>
        <w:trPr/>
        <w:tc>
          <w:tcPr>
            <w:tcW w:w="2016"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cash consideration for acquired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1,922,955 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payable to Smiths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ICU Medical, Inc.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issued to Smiths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per share (ICU's opening market price on the acquisition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ICU shares issued to Smiths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Price Allocation: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Intangible assets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Accrued liabilities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net assets acquired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not tax deductible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Purchase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60"/>
        <w:ind w:left="0" w:right="0" w:hanging="360"/>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Identifiable intangible assets include $510.0 million of customer relationships, $400.0 million of developed technology, $30.0 million of internally developed software, and $5.0 million of trademark. The estimated weighted-average amortization period for the total identifiable intangible assets is approximately nine years, and, for each identifiable intangible asset is estimated as follows: eight years for customer relationships, ten years for developed technology, five years for internally developed software, and six months for the trademark. </w:t>
      </w:r>
    </w:p>
    <w:p>
      <w:pPr>
        <w:pStyle w:val="TextBody"/>
        <w:spacing w:lineRule="auto" w:line="288" w:before="0" w:after="0"/>
        <w:ind w:left="0" w:right="0" w:hanging="360"/>
        <w:rPr/>
      </w:pPr>
      <w:r>
        <w:rPr>
          <w:rFonts w:ascii="Times New Roman;sans-serif" w:hAnsi="Times New Roman;sans-serif"/>
          <w:b w:val="false"/>
          <w:color w:val="000000"/>
          <w:sz w:val="12"/>
        </w:rPr>
        <w:t>(2)    </w:t>
      </w:r>
      <w:r>
        <w:rPr>
          <w:rFonts w:ascii="Times New Roman;sans-serif" w:hAnsi="Times New Roman;sans-serif"/>
          <w:b w:val="false"/>
          <w:color w:val="000000"/>
          <w:sz w:val="18"/>
        </w:rPr>
        <w:t>Accrued liabilities includes, among other things, accrued warranty reserves, accrued restructuring initiatives, accrued salaries and related benefits, deferred revenue and accrued sales and use taxes.</w:t>
      </w:r>
    </w:p>
    <w:p>
      <w:pPr>
        <w:pStyle w:val="TextBody"/>
        <w:spacing w:before="0" w:after="0"/>
        <w:ind w:left="0" w:right="0" w:hanging="36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identifiable intangible assets and other long-lived assets acquired have been valued utilizing Level 3 inputs as defined in Note 9: Fair Value Measurements. The fair value of identifiable intangible assets was generally developed using the income approach and are based on critical estimates, judgments and assumptions derived from: analysis of market conditions; discount rate; discounted cash flows; royalty rates; customer retention rates; and/or estimated useful lives. Certain other intangible assets were valued using a cost to replace method, estimating the labor and non-labor costs required to replace the asset under the premise that it was not part of the transaction. Property, plant and equipment was valued with the consideration of remaining economic lives. The raw materials inventory was valued at historical cost and adjusted for any obsolescence which we estimate to approximate replacement cost, the work in process inventory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Smiths Medical is included in our consolidated results beginning on January 7, 2022. Total revenues and net loss attributable to Smiths Medical for the period from January 7, 2022 to March 31, 2022 were estimated to be $214.9 million and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$40.4 million. The following unaudited pro forma financial information presents the combined results of operations of ICU and Smiths Medical as if the acquisition had occurred on January 1, 2022. The pro forma financial information is presented for informational purposes only and is not indicative of the results of operations that would have been achieved if the acquisition had taken place on the date indicated or of results that may occur in the future. </w:t>
      </w:r>
    </w:p>
    <w:tbl>
      <w:tblPr>
        <w:tblW w:w="4897" w:type="dxa"/>
        <w:jc w:val="left"/>
        <w:tblInd w:w="0" w:type="dxa"/>
        <w:tblCellMar>
          <w:top w:w="28" w:type="dxa"/>
          <w:left w:w="28" w:type="dxa"/>
          <w:bottom w:w="28" w:type="dxa"/>
          <w:right w:w="28" w:type="dxa"/>
        </w:tblCellMar>
      </w:tblPr>
      <w:tblGrid>
        <w:gridCol w:w="461"/>
        <w:gridCol w:w="405"/>
        <w:gridCol w:w="408"/>
        <w:gridCol w:w="538"/>
        <w:gridCol w:w="2108"/>
        <w:gridCol w:w="278"/>
        <w:gridCol w:w="109"/>
        <w:gridCol w:w="109"/>
        <w:gridCol w:w="109"/>
        <w:gridCol w:w="109"/>
        <w:gridCol w:w="109"/>
        <w:gridCol w:w="154"/>
      </w:tblGrid>
      <w:tr>
        <w:trPr/>
        <w:tc>
          <w:tcPr>
            <w:tcW w:w="46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2924"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563,743 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(34,994)</w:t>
            </w:r>
          </w:p>
        </w:tc>
        <w:tc>
          <w:tcPr>
            <w:tcW w:w="2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results presented above include the impact of the following adjustments: incremental amortization expense on intangible assets acquired of $3.3 million for the three months ended March 31, 2022, incremental interest expense, including amortization of debt discount and debt issuance costs, on the Senior Secured Credit Facilities (as defined in Note 17: Long-Term Debt) of $0.8 million for the three months ended March 31, 2022. The unaudited pro forma results include IFRS to U.S. GAAP adjustments for Smiths Medical's historical results and adjustments for accounting policy alignment, which were materially similar to the Company. Any differences in accounting policies were adjusted to reflect the accounting policies of the Company in the unaudited pro forma results presented.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Restructuring, Strategic Transaction and Integration</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Restructuring, strategic transaction and integration expenses were $11.0 million and $33.9 million for the three months ended March 31, 2023 and 2022, respectively.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During the three months ended March 31, 2023 and 2022, restructuring charges were $2.7 million and $3.2 million, respectively and were primarily related to severance costs.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restructuring-related accrual by major type of cost for the three months ended March 31, 2023 (in thousands):</w:t>
      </w:r>
    </w:p>
    <w:tbl>
      <w:tblPr>
        <w:tblW w:w="10205" w:type="dxa"/>
        <w:jc w:val="left"/>
        <w:tblInd w:w="0" w:type="dxa"/>
        <w:tblCellMar>
          <w:top w:w="28" w:type="dxa"/>
          <w:left w:w="28" w:type="dxa"/>
          <w:bottom w:w="28" w:type="dxa"/>
          <w:right w:w="28" w:type="dxa"/>
        </w:tblCellMar>
      </w:tblPr>
      <w:tblGrid>
        <w:gridCol w:w="1073"/>
        <w:gridCol w:w="941"/>
        <w:gridCol w:w="945"/>
        <w:gridCol w:w="109"/>
        <w:gridCol w:w="109"/>
        <w:gridCol w:w="109"/>
        <w:gridCol w:w="491"/>
        <w:gridCol w:w="1434"/>
        <w:gridCol w:w="253"/>
        <w:gridCol w:w="109"/>
        <w:gridCol w:w="109"/>
        <w:gridCol w:w="109"/>
        <w:gridCol w:w="109"/>
        <w:gridCol w:w="109"/>
        <w:gridCol w:w="650"/>
        <w:gridCol w:w="1899"/>
        <w:gridCol w:w="335"/>
        <w:gridCol w:w="109"/>
        <w:gridCol w:w="109"/>
        <w:gridCol w:w="109"/>
        <w:gridCol w:w="211"/>
        <w:gridCol w:w="616"/>
        <w:gridCol w:w="158"/>
      </w:tblGrid>
      <w:tr>
        <w:trPr/>
        <w:tc>
          <w:tcPr>
            <w:tcW w:w="1073"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Pay and Benefits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Retention and Facility Closure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incurred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5,643 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r>
        <w:trPr/>
        <w:tc>
          <w:tcPr>
            <w:tcW w:w="29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__________________________</w:t>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Other, primarily relates to prior year accrued restructuring charges for estimated facility closure costs that were reversed during the three months ended March 31, 2023. </w:t>
      </w:r>
    </w:p>
    <w:p>
      <w:pPr>
        <w:pStyle w:val="TextBody"/>
        <w:spacing w:before="0" w:after="0"/>
        <w:rPr/>
      </w:pPr>
      <w:r>
        <w:rPr/>
      </w:r>
    </w:p>
    <w:p>
      <w:pPr>
        <w:pStyle w:val="TextBody"/>
        <w:spacing w:lineRule="auto" w:line="288" w:before="60" w:after="283"/>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We incurred and expensed $8.3 million and $30.7 million in strategic transaction and integration expenses during the three months ended March 31, 2023 and 2022, respectively, which are included in restructuring, strategic transaction and integration expenses in our condensed consolidated statements of operations. The strategic transaction and integration expenses during the three months ended March 31, 2023 were primarily related to consulting expenses and employee costs incurred to integrate our Smiths Medical business acquired in 2022. The strategic transaction and integration expenses for the three months ended March 31, 2022 were primarily related to transaction and integration expenses associated with our acquisition of Smiths Medical (see Note 3: Acquisitions) which primarily included legal expenses, bank fees, a United Kingdom stamp tax, and employee costs.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As part of the integration of our acquisition of Smiths Medical, we have now migrated to our new business unit structure of Consumables, Infusion Systems and Vital Care. The vast majority of our sales of products within these business units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 </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We also warranty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disaggregated</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product line (in thousands):</w:t>
      </w:r>
    </w:p>
    <w:p>
      <w:pPr>
        <w:pStyle w:val="TextBody"/>
        <w:spacing w:before="0" w:after="0"/>
        <w:ind w:left="0" w:right="0" w:firstLine="720"/>
        <w:rPr/>
      </w:pPr>
      <w:r>
        <w:rPr/>
      </w:r>
    </w:p>
    <w:tbl>
      <w:tblPr>
        <w:tblW w:w="4599" w:type="dxa"/>
        <w:jc w:val="left"/>
        <w:tblInd w:w="0" w:type="dxa"/>
        <w:tblCellMar>
          <w:top w:w="28" w:type="dxa"/>
          <w:left w:w="28" w:type="dxa"/>
          <w:bottom w:w="28" w:type="dxa"/>
          <w:right w:w="28" w:type="dxa"/>
        </w:tblCellMar>
      </w:tblPr>
      <w:tblGrid>
        <w:gridCol w:w="541"/>
        <w:gridCol w:w="476"/>
        <w:gridCol w:w="482"/>
        <w:gridCol w:w="211"/>
        <w:gridCol w:w="826"/>
        <w:gridCol w:w="109"/>
        <w:gridCol w:w="109"/>
        <w:gridCol w:w="109"/>
        <w:gridCol w:w="109"/>
        <w:gridCol w:w="211"/>
        <w:gridCol w:w="826"/>
        <w:gridCol w:w="109"/>
        <w:gridCol w:w="109"/>
        <w:gridCol w:w="109"/>
        <w:gridCol w:w="109"/>
        <w:gridCol w:w="154"/>
      </w:tblGrid>
      <w:tr>
        <w:trPr/>
        <w:tc>
          <w:tcPr>
            <w:tcW w:w="541"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Product line</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Infusion Systems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Vital Care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net sales to Medline made up approximately 15% of total revenues.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our revenues disaggregated by geography (in thousands):</w:t>
      </w:r>
    </w:p>
    <w:tbl>
      <w:tblPr>
        <w:tblW w:w="6069" w:type="dxa"/>
        <w:jc w:val="center"/>
        <w:tblInd w:w="0" w:type="dxa"/>
        <w:tblCellMar>
          <w:top w:w="28" w:type="dxa"/>
          <w:left w:w="28" w:type="dxa"/>
          <w:bottom w:w="28" w:type="dxa"/>
          <w:right w:w="28" w:type="dxa"/>
        </w:tblCellMar>
      </w:tblPr>
      <w:tblGrid>
        <w:gridCol w:w="1074"/>
        <w:gridCol w:w="945"/>
        <w:gridCol w:w="950"/>
        <w:gridCol w:w="211"/>
        <w:gridCol w:w="826"/>
        <w:gridCol w:w="109"/>
        <w:gridCol w:w="109"/>
        <w:gridCol w:w="109"/>
        <w:gridCol w:w="109"/>
        <w:gridCol w:w="211"/>
        <w:gridCol w:w="826"/>
        <w:gridCol w:w="109"/>
        <w:gridCol w:w="109"/>
        <w:gridCol w:w="109"/>
        <w:gridCol w:w="109"/>
        <w:gridCol w:w="154"/>
      </w:tblGrid>
      <w:tr>
        <w:trPr/>
        <w:tc>
          <w:tcPr>
            <w:tcW w:w="1074"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Geography</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following table presents the changes in our contract balances for the three months ended March 31, 2023 and 2022 (in thousands):</w:t>
      </w:r>
    </w:p>
    <w:tbl>
      <w:tblPr>
        <w:tblW w:w="6120" w:type="dxa"/>
        <w:jc w:val="center"/>
        <w:tblInd w:w="0" w:type="dxa"/>
        <w:tblCellMar>
          <w:top w:w="28" w:type="dxa"/>
          <w:left w:w="28" w:type="dxa"/>
          <w:bottom w:w="28" w:type="dxa"/>
          <w:right w:w="28" w:type="dxa"/>
        </w:tblCellMar>
      </w:tblPr>
      <w:tblGrid>
        <w:gridCol w:w="1559"/>
        <w:gridCol w:w="1369"/>
        <w:gridCol w:w="1377"/>
        <w:gridCol w:w="330"/>
        <w:gridCol w:w="1245"/>
        <w:gridCol w:w="240"/>
      </w:tblGrid>
      <w:tr>
        <w:trPr/>
        <w:tc>
          <w:tcPr>
            <w:tcW w:w="1559"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Contract Liabilities</w:t>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January 1, 2023</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(45,866)</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 due to implementation</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 due to implementation</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deferred revenue</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recognized</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March 31, 2023</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(47,511)</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January 1, 2022</w:t>
            </w:r>
          </w:p>
        </w:tc>
        <w:tc>
          <w:tcPr>
            <w:tcW w:w="3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acquired deferred revenue</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(51,245)</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recognized</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 deferred due to implementation</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recognized</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 deferred due to implementation</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deferred revenue</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recognized</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w:t>
            </w:r>
          </w:p>
        </w:tc>
        <w:tc>
          <w:tcPr>
            <w:tcW w:w="1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deferred revenue recognized</w:t>
            </w:r>
          </w:p>
        </w:tc>
        <w:tc>
          <w:tcPr>
            <w:tcW w:w="15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March 31, 2022</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(58,236)</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contract liabilities are included in accrued liabilities or other long-term liabilities in our condensed consolidated balance sheet based on the expected timing of payments.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revenue from remaining performance obligations is as follows:</w:t>
      </w:r>
    </w:p>
    <w:p>
      <w:pPr>
        <w:pStyle w:val="TextBody"/>
        <w:spacing w:before="0" w:after="0"/>
        <w:rPr/>
      </w:pPr>
      <w:r>
        <w:rPr/>
      </w:r>
    </w:p>
    <w:tbl>
      <w:tblPr>
        <w:tblW w:w="4931" w:type="dxa"/>
        <w:jc w:val="left"/>
        <w:tblInd w:w="0" w:type="dxa"/>
        <w:tblCellMar>
          <w:top w:w="28" w:type="dxa"/>
          <w:left w:w="28" w:type="dxa"/>
          <w:bottom w:w="28" w:type="dxa"/>
          <w:right w:w="28" w:type="dxa"/>
        </w:tblCellMar>
      </w:tblPr>
      <w:tblGrid>
        <w:gridCol w:w="827"/>
        <w:gridCol w:w="724"/>
        <w:gridCol w:w="729"/>
        <w:gridCol w:w="215"/>
        <w:gridCol w:w="813"/>
        <w:gridCol w:w="111"/>
        <w:gridCol w:w="109"/>
        <w:gridCol w:w="109"/>
        <w:gridCol w:w="109"/>
        <w:gridCol w:w="215"/>
        <w:gridCol w:w="813"/>
        <w:gridCol w:w="157"/>
      </w:tblGrid>
      <w:tr>
        <w:trPr/>
        <w:tc>
          <w:tcPr>
            <w:tcW w:w="827"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1"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Recognition Timing</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&lt; 12 Months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&gt; 12 Months</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revenue</w:t>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revenue</w:t>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(30,920)</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deferred revenue includes pump development programs, purchased training and extended warranty.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Leases</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w:t>
      </w:r>
      <w:r>
        <w:rPr>
          <w:rFonts w:ascii="Times New Roman;sans-serif" w:hAnsi="Times New Roman;sans-serif"/>
          <w:b w:val="false"/>
          <w:color w:val="000000"/>
          <w:sz w:val="20"/>
        </w:rPr>
        <w:t xml:space="preserve">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 We have elected not to recognize an ROU asset and lease liability for leases with terms of twelve months or less.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 Lease expense for minimum lease payments is recognized on a straight-line basis over the lease term. </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Our leases are for corporate, research and development and sales and support offices, distribution facilities,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our lease cost (in thousands):</w:t>
      </w:r>
    </w:p>
    <w:tbl>
      <w:tblPr>
        <w:tblW w:w="6429" w:type="dxa"/>
        <w:jc w:val="center"/>
        <w:tblInd w:w="0" w:type="dxa"/>
        <w:tblCellMar>
          <w:top w:w="28" w:type="dxa"/>
          <w:left w:w="28" w:type="dxa"/>
          <w:bottom w:w="28" w:type="dxa"/>
          <w:right w:w="28" w:type="dxa"/>
        </w:tblCellMar>
      </w:tblPr>
      <w:tblGrid>
        <w:gridCol w:w="1356"/>
        <w:gridCol w:w="1193"/>
        <w:gridCol w:w="1200"/>
        <w:gridCol w:w="211"/>
        <w:gridCol w:w="616"/>
        <w:gridCol w:w="109"/>
        <w:gridCol w:w="109"/>
        <w:gridCol w:w="109"/>
        <w:gridCol w:w="109"/>
        <w:gridCol w:w="211"/>
        <w:gridCol w:w="616"/>
        <w:gridCol w:w="109"/>
        <w:gridCol w:w="109"/>
        <w:gridCol w:w="109"/>
        <w:gridCol w:w="109"/>
        <w:gridCol w:w="154"/>
      </w:tblGrid>
      <w:tr>
        <w:trPr/>
        <w:tc>
          <w:tcPr>
            <w:tcW w:w="1356"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interest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 — reduction of ROU asset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cost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expense on our finance leases is included in interest expense, net in our condensed consolidated statements of operations. The reduction of the operating and finance ROU assets is included as noncash lease expense in selling, general and administrative expenses in our condensed consolidated statements of operations.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cash flow information related to our leases (in thousands):</w:t>
      </w:r>
    </w:p>
    <w:tbl>
      <w:tblPr>
        <w:tblW w:w="8108" w:type="dxa"/>
        <w:jc w:val="center"/>
        <w:tblInd w:w="0" w:type="dxa"/>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operating leases (in thousands, except lease term and discount rate):</w:t>
      </w:r>
    </w:p>
    <w:tbl>
      <w:tblPr>
        <w:tblW w:w="6954" w:type="dxa"/>
        <w:jc w:val="center"/>
        <w:tblInd w:w="0" w:type="dxa"/>
        <w:tblCellMar>
          <w:top w:w="28" w:type="dxa"/>
          <w:left w:w="28" w:type="dxa"/>
          <w:bottom w:w="28" w:type="dxa"/>
          <w:right w:w="28" w:type="dxa"/>
        </w:tblCellMar>
      </w:tblPr>
      <w:tblGrid>
        <w:gridCol w:w="1358"/>
        <w:gridCol w:w="1192"/>
        <w:gridCol w:w="1199"/>
        <w:gridCol w:w="458"/>
        <w:gridCol w:w="236"/>
        <w:gridCol w:w="595"/>
        <w:gridCol w:w="109"/>
        <w:gridCol w:w="109"/>
        <w:gridCol w:w="109"/>
        <w:gridCol w:w="526"/>
        <w:gridCol w:w="270"/>
        <w:gridCol w:w="793"/>
      </w:tblGrid>
      <w:tr>
        <w:trPr/>
        <w:tc>
          <w:tcPr>
            <w:tcW w:w="1358"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w:t>
            </w:r>
          </w:p>
        </w:tc>
      </w:tr>
      <w:tr>
        <w:trPr/>
        <w:tc>
          <w:tcPr>
            <w:tcW w:w="3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w:t>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60,916</w:t>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79,085</w:t>
            </w:r>
          </w:p>
        </w:tc>
      </w:tr>
      <w:tr>
        <w:trPr/>
        <w:tc>
          <w:tcPr>
            <w:tcW w:w="37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years</w:t>
            </w:r>
          </w:p>
        </w:tc>
      </w:tr>
      <w:tr>
        <w:trPr/>
        <w:tc>
          <w:tcPr>
            <w:tcW w:w="37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supplemental balance sheet information related to our finance leases (in thousands, except lease term and discount rate):</w:t>
      </w:r>
    </w:p>
    <w:tbl>
      <w:tblPr>
        <w:tblW w:w="6955" w:type="dxa"/>
        <w:jc w:val="center"/>
        <w:tblInd w:w="0" w:type="dxa"/>
        <w:tblCellMar>
          <w:top w:w="28" w:type="dxa"/>
          <w:left w:w="28" w:type="dxa"/>
          <w:bottom w:w="28" w:type="dxa"/>
          <w:right w:w="28" w:type="dxa"/>
        </w:tblCellMar>
      </w:tblPr>
      <w:tblGrid>
        <w:gridCol w:w="1358"/>
        <w:gridCol w:w="1192"/>
        <w:gridCol w:w="1200"/>
        <w:gridCol w:w="458"/>
        <w:gridCol w:w="236"/>
        <w:gridCol w:w="595"/>
        <w:gridCol w:w="109"/>
        <w:gridCol w:w="109"/>
        <w:gridCol w:w="109"/>
        <w:gridCol w:w="526"/>
        <w:gridCol w:w="270"/>
        <w:gridCol w:w="793"/>
      </w:tblGrid>
      <w:tr>
        <w:trPr/>
        <w:tc>
          <w:tcPr>
            <w:tcW w:w="1358"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w:t>
            </w:r>
          </w:p>
        </w:tc>
      </w:tr>
      <w:tr>
        <w:trPr/>
        <w:tc>
          <w:tcPr>
            <w:tcW w:w="3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45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w:t>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r>
      <w:tr>
        <w:trPr/>
        <w:tc>
          <w:tcPr>
            <w:tcW w:w="3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r>
      <w:tr>
        <w:trPr/>
        <w:tc>
          <w:tcPr>
            <w:tcW w:w="3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7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maturities of our operating and finance lease liabilities for each of the next five years are approximately (in thousands):</w:t>
      </w:r>
    </w:p>
    <w:tbl>
      <w:tblPr>
        <w:tblW w:w="5245" w:type="dxa"/>
        <w:jc w:val="center"/>
        <w:tblInd w:w="0" w:type="dxa"/>
        <w:tblCellMar>
          <w:top w:w="28" w:type="dxa"/>
          <w:left w:w="28" w:type="dxa"/>
          <w:bottom w:w="28" w:type="dxa"/>
          <w:right w:w="28" w:type="dxa"/>
        </w:tblCellMar>
      </w:tblPr>
      <w:tblGrid>
        <w:gridCol w:w="684"/>
        <w:gridCol w:w="601"/>
        <w:gridCol w:w="605"/>
        <w:gridCol w:w="322"/>
        <w:gridCol w:w="1101"/>
        <w:gridCol w:w="166"/>
        <w:gridCol w:w="109"/>
        <w:gridCol w:w="109"/>
        <w:gridCol w:w="109"/>
        <w:gridCol w:w="309"/>
        <w:gridCol w:w="904"/>
        <w:gridCol w:w="226"/>
      </w:tblGrid>
      <w:tr>
        <w:trPr/>
        <w:tc>
          <w:tcPr>
            <w:tcW w:w="68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93,711 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(10,499)</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Net Income Per Share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Due to the net loss for the three months ended March 31, 2023 and 2022, any potentially dilutive common shares were not included in the computation of diluted earnings per share as they would have had an anti-dilutive effect; therefore, basic and diluted net loss per share are equal for each of the three months ended March 31, 2023 and 2022. </w:t>
      </w:r>
    </w:p>
    <w:p>
      <w:pPr>
        <w:pStyle w:val="TextBody"/>
        <w:spacing w:before="0" w:after="0"/>
        <w:ind w:left="0" w:right="0" w:firstLine="72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The following table presents the calculation of net earnings per common share (“EPS”) — basic and diluted (in thousands, except per share data):  </w:t>
      </w:r>
    </w:p>
    <w:tbl>
      <w:tblPr>
        <w:tblW w:w="9610" w:type="dxa"/>
        <w:jc w:val="left"/>
        <w:tblInd w:w="0" w:type="dxa"/>
        <w:tblCellMar>
          <w:top w:w="28" w:type="dxa"/>
          <w:left w:w="28" w:type="dxa"/>
          <w:bottom w:w="28" w:type="dxa"/>
          <w:right w:w="28" w:type="dxa"/>
        </w:tblCellMar>
      </w:tblPr>
      <w:tblGrid>
        <w:gridCol w:w="2411"/>
        <w:gridCol w:w="2123"/>
        <w:gridCol w:w="2141"/>
        <w:gridCol w:w="211"/>
        <w:gridCol w:w="691"/>
        <w:gridCol w:w="109"/>
        <w:gridCol w:w="109"/>
        <w:gridCol w:w="109"/>
        <w:gridCol w:w="109"/>
        <w:gridCol w:w="211"/>
        <w:gridCol w:w="796"/>
        <w:gridCol w:w="109"/>
        <w:gridCol w:w="109"/>
        <w:gridCol w:w="109"/>
        <w:gridCol w:w="109"/>
        <w:gridCol w:w="154"/>
      </w:tblGrid>
      <w:tr>
        <w:trPr/>
        <w:tc>
          <w:tcPr>
            <w:tcW w:w="2411" w:type="dxa"/>
            <w:tcBorders/>
            <w:shd w:fill="auto" w:val="clear"/>
            <w:vAlign w:val="center"/>
          </w:tcPr>
          <w:p>
            <w:pPr>
              <w:pStyle w:val="TableContents"/>
              <w:spacing w:before="0" w:after="283"/>
              <w:rPr>
                <w:sz w:val="4"/>
                <w:szCs w:val="4"/>
              </w:rPr>
            </w:pPr>
            <w:r>
              <w:rPr>
                <w:sz w:val="4"/>
                <w:szCs w:val="4"/>
              </w:rPr>
            </w:r>
          </w:p>
        </w:tc>
        <w:tc>
          <w:tcPr>
            <w:tcW w:w="2123"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(basic)</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Dilutive securities</w:t>
            </w:r>
            <w:r>
              <w:rPr>
                <w:rFonts w:ascii="Times New Roman;sans-serif" w:hAnsi="Times New Roman;sans-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and common equivalent shares outstanding (diluted)</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basic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EPS — 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0"/>
        <w:ind w:left="0" w:right="0" w:hanging="360"/>
        <w:rPr/>
      </w:pPr>
      <w:r>
        <w:rPr>
          <w:rFonts w:ascii="Times New Roman;sans-serif" w:hAnsi="Times New Roman;sans-serif"/>
          <w:b w:val="false"/>
          <w:color w:val="000000"/>
          <w:sz w:val="12"/>
        </w:rPr>
        <w:t>(1)    </w:t>
      </w:r>
      <w:r>
        <w:rPr>
          <w:rFonts w:ascii="Times New Roman;sans-serif" w:hAnsi="Times New Roman;sans-serif"/>
          <w:b w:val="false"/>
          <w:color w:val="000000"/>
          <w:sz w:val="18"/>
        </w:rPr>
        <w:t>Due to the net loss for the three months ended March 31, 2023 and 2022, there are no potentially dilutive common shares included in the computation of diluted earnings per share.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Derivatives and Hedging Activities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Hedge Accounting and Hedging Program</w:t>
      </w:r>
    </w:p>
    <w:p>
      <w:pPr>
        <w:pStyle w:val="TextBody"/>
        <w:spacing w:before="0" w:after="0"/>
        <w:rPr/>
      </w:pPr>
      <w:r>
        <w:rPr/>
      </w:r>
    </w:p>
    <w:p>
      <w:pPr>
        <w:pStyle w:val="TextBody"/>
        <w:spacing w:lineRule="auto" w:line="288" w:before="0" w:after="0"/>
        <w:rPr/>
      </w:pPr>
      <w:r>
        <w:rPr>
          <w:color w:val="000000"/>
        </w:rPr>
        <w:t xml:space="preserve">     </w:t>
      </w:r>
      <w:r>
        <w:rPr>
          <w:rFonts w:ascii="Times New Roman;sans-serif" w:hAnsi="Times New Roman;sans-serif"/>
          <w:b w:val="false"/>
          <w:color w:val="000000"/>
          <w:sz w:val="20"/>
        </w:rPr>
        <w:t>The purposes of our cash flow hedging programs are to manage the foreign currency exchange rate risk on forecasted revenues and expenses denominated in currencies other than the functional currency of the operating unit, and to manage floating interest rate risk associated with future interest payments on the variable-rate term loans issued in January 2022. We do not issue derivatives for trading or speculative purposes.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To receive hedge accounting treatment, all hedging relationships are formally documented at the inception of the hedge, and the hedges must be highly effective in offsetting changes to future cash flows on hedged transactions. The derivative instruments we utilize, including various foreign exchange contracts and interest rate swaps, are designated and qualify as cash flow hedges. Our derivative instruments are recorded at fair value on the condensed consolidated balance sheets and are classified based on the instrument's maturity date. We record gains or losses from changes in the fair values of the derivative instruments as a component of other comprehensive income (loss) and we reclassify those gains or losses into earnings in the same line item associated with the forecasted transaction and in the same period during which the hedged transaction affects earnings. If the underlying forecasted transaction does not occur, or it becomes probable that it will not occur, we reclassify the gain or loss on the related derivative instrument from accumulated other comprehensive loss into earnings immediately.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Foreign Exchange Forward Contracts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foreign exchange forward contracts to hedge a portion of our forecasted foreign currency-denominated revenues and expenses to minimize the effect of foreign exchange rate movements on the related cash flows. These contracts are agreements to buy or sell a quantity of a currency at a predetermined future date and at a predetermined exchange rate. Our foreign exchange forward contracts hedge exposures principally denominated in Mexican Pesos ("MXN"), Euros, Czech Koruna ("CZK"), Japanese Yen ("JPY"), Swedish Krona ("SEK"), Chinese Renminbi ("CNH"), Canadian Dollar ("CAD") and Australian Dollar ("AUD") and have varying maturities with an average term of approximately twelve months. The total notional amount of these outstanding derivative contracts as of March 31, 2023 was $101.8 million, which included the notional equivalent of $3.6 million in MXN, $26.4 million in Euros, $4.7 million in CZK, $21.2 million in JPY, $14.8 million in CNH, $2.7 million in SEK, $13.1 million in CAD, $13.1 million in AUD and $2.2 million in other foreign currencies, with terms currently through June 2024.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Cross-currency Par Forward Contracts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enter into cross-currency par forward contracts to hedge a portion of our Mexico forecasted expenses denominated in MXN. These contracts are agreements to exchange cash flows from one currency to another at specified intervals over the contract term with all exchanges occurring at the same predetermined rate. In November 2021, we entered into a one-year cross-currency par forward contract with a term from December 1, 2021 to December 1, 2022. The total notional amount of this outstanding derivative as of March 31, 2022 was approximately 311.6 million MXN. This derivative instrument matures in equal monthly amounts at a fixed forward rate of 21.60 MXN/USD.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Floating Interest Rate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November 2021, in anticipation of entering into the new senior secured credit facilities in January 2022, which includes a variable-rate term loan A and a variable-rate term loan B (see Note 17: Long-Term Debt), we entered into two forward-starting interest rate swaps. In February 2022, certain terms under the agreements were amended to reflect the transition from LIBOR to the Secured Overnight Financing Rate ("SOFR"), an alternative reference rate. Under the interest rate swap agreements, we exchange, at specified intervals, the difference between fixed and floating interest amounts calculated by reference to an agreed-upon notional amount. Effective March 30, 2022, the term loan A swap, as amended, has an initial notional amount of $300.0 million, reducing to $150.0 million evenly on a quarterly basis excluding its final maturity on March 30, 2027. We will pay a fixed rate of 1.32% and will receive the greater of 3-month USD SOFR or (0.15)%. Effective March 30, 2022, the term loan B swap, as amended, has an initial notional amount of $750.0 million, reducing to $46.9 million evenly on a quarterly basis excluding its final maturity on March 30, 2026. We will pay a fixed rate of 1.17% and will receive the greater of 3-month USD SOFR or 0.35%. These swaps effectively convert the relevant portion of the floating-rate term loans to fixed rates.    </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values of our derivative instruments included within the Condensed Consolidated Balance Sheets (in thousands):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left"/>
        <w:tblInd w:w="0" w:type="dxa"/>
        <w:tblCellMar>
          <w:top w:w="28" w:type="dxa"/>
          <w:left w:w="28" w:type="dxa"/>
          <w:bottom w:w="28" w:type="dxa"/>
          <w:right w:w="28" w:type="dxa"/>
        </w:tblCellMar>
      </w:tblPr>
      <w:tblGrid>
        <w:gridCol w:w="1261"/>
        <w:gridCol w:w="1108"/>
        <w:gridCol w:w="1115"/>
        <w:gridCol w:w="109"/>
        <w:gridCol w:w="109"/>
        <w:gridCol w:w="109"/>
        <w:gridCol w:w="475"/>
        <w:gridCol w:w="1348"/>
        <w:gridCol w:w="263"/>
        <w:gridCol w:w="217"/>
        <w:gridCol w:w="217"/>
        <w:gridCol w:w="217"/>
        <w:gridCol w:w="390"/>
        <w:gridCol w:w="1290"/>
        <w:gridCol w:w="217"/>
        <w:gridCol w:w="109"/>
        <w:gridCol w:w="109"/>
        <w:gridCol w:w="109"/>
        <w:gridCol w:w="279"/>
        <w:gridCol w:w="925"/>
        <w:gridCol w:w="229"/>
      </w:tblGrid>
      <w:tr>
        <w:trPr/>
        <w:tc>
          <w:tcPr>
            <w:tcW w:w="126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Designated as Cash Flow Hedging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Condensed Consolidated 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Exchange Contracts</w:t>
            </w:r>
          </w:p>
        </w:tc>
        <w:tc>
          <w:tcPr>
            <w:tcW w:w="6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 Swaps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Derivatives</w:t>
            </w:r>
          </w:p>
        </w:tc>
      </w:tr>
      <w:tr>
        <w:trPr/>
        <w:tc>
          <w:tcPr>
            <w:tcW w:w="3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7,433 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25,560 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19,672 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19,723 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52,716 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28,431 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26,753 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26,847 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55,184 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60,138 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ind w:left="0" w:right="0" w:hanging="36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recognized the following gains on our derivative instruments designated as cash flow hedges in other comprehensive income before reclassifications to net loss (in thousands):</w:t>
      </w:r>
    </w:p>
    <w:p>
      <w:pPr>
        <w:pStyle w:val="TextBody"/>
        <w:spacing w:before="0" w:after="0"/>
        <w:ind w:left="0" w:right="0" w:firstLine="720"/>
        <w:rPr/>
      </w:pPr>
      <w:r>
        <w:rPr/>
      </w:r>
    </w:p>
    <w:tbl>
      <w:tblPr>
        <w:tblW w:w="9773" w:type="dxa"/>
        <w:jc w:val="left"/>
        <w:tblInd w:w="0" w:type="dxa"/>
        <w:tblCellMar>
          <w:top w:w="28" w:type="dxa"/>
          <w:left w:w="28" w:type="dxa"/>
          <w:bottom w:w="28" w:type="dxa"/>
          <w:right w:w="28" w:type="dxa"/>
        </w:tblCellMar>
      </w:tblPr>
      <w:tblGrid>
        <w:gridCol w:w="1630"/>
        <w:gridCol w:w="1433"/>
        <w:gridCol w:w="1437"/>
        <w:gridCol w:w="109"/>
        <w:gridCol w:w="109"/>
        <w:gridCol w:w="109"/>
        <w:gridCol w:w="409"/>
        <w:gridCol w:w="1162"/>
        <w:gridCol w:w="227"/>
        <w:gridCol w:w="227"/>
        <w:gridCol w:w="227"/>
        <w:gridCol w:w="227"/>
        <w:gridCol w:w="409"/>
        <w:gridCol w:w="1350"/>
        <w:gridCol w:w="227"/>
        <w:gridCol w:w="109"/>
        <w:gridCol w:w="109"/>
        <w:gridCol w:w="109"/>
        <w:gridCol w:w="154"/>
      </w:tblGrid>
      <w:tr>
        <w:trPr/>
        <w:tc>
          <w:tcPr>
            <w:tcW w:w="1630"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(Loss) Recognized in Other Comprehensive Income</w:t>
            </w:r>
          </w:p>
        </w:tc>
        <w:tc>
          <w:tcPr>
            <w:tcW w:w="481" w:type="dxa"/>
            <w:gridSpan w:val="4"/>
            <w:tcBorders/>
            <w:shd w:fill="auto" w:val="clea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30,051 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33,163 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effects of our derivative instruments designated as cash flow hedges on the Condensed Consolidated Statements of Operations (in thousands):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center"/>
        <w:tblInd w:w="0" w:type="dxa"/>
        <w:tblCellMar>
          <w:top w:w="28" w:type="dxa"/>
          <w:left w:w="28" w:type="dxa"/>
          <w:bottom w:w="28" w:type="dxa"/>
          <w:right w:w="28" w:type="dxa"/>
        </w:tblCellMar>
      </w:tblPr>
      <w:tblGrid>
        <w:gridCol w:w="991"/>
        <w:gridCol w:w="871"/>
        <w:gridCol w:w="874"/>
        <w:gridCol w:w="109"/>
        <w:gridCol w:w="109"/>
        <w:gridCol w:w="109"/>
        <w:gridCol w:w="760"/>
        <w:gridCol w:w="753"/>
        <w:gridCol w:w="713"/>
        <w:gridCol w:w="198"/>
        <w:gridCol w:w="198"/>
        <w:gridCol w:w="198"/>
        <w:gridCol w:w="356"/>
        <w:gridCol w:w="1118"/>
        <w:gridCol w:w="198"/>
        <w:gridCol w:w="198"/>
        <w:gridCol w:w="198"/>
        <w:gridCol w:w="198"/>
        <w:gridCol w:w="356"/>
        <w:gridCol w:w="1012"/>
        <w:gridCol w:w="198"/>
        <w:gridCol w:w="109"/>
        <w:gridCol w:w="109"/>
        <w:gridCol w:w="109"/>
        <w:gridCol w:w="163"/>
      </w:tblGrid>
      <w:tr>
        <w:trPr/>
        <w:tc>
          <w:tcPr>
            <w:tcW w:w="99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(Loss) Reclassified From Accumulated Other Comprehensive (Loss) Income into Income</w:t>
            </w:r>
          </w:p>
        </w:tc>
        <w:tc>
          <w:tcPr>
            <w:tcW w:w="490" w:type="dxa"/>
            <w:gridSpan w:val="4"/>
            <w:tcBorders/>
            <w:shd w:fill="auto" w:val="clear"/>
          </w:tcPr>
          <w:p>
            <w:pPr>
              <w:pStyle w:val="TableContents"/>
              <w:spacing w:before="0" w:after="283"/>
              <w:rPr>
                <w:sz w:val="4"/>
                <w:szCs w:val="4"/>
              </w:rPr>
            </w:pPr>
            <w:r>
              <w:rPr>
                <w:sz w:val="4"/>
                <w:szCs w:val="4"/>
              </w:rPr>
            </w:r>
          </w:p>
        </w:tc>
      </w:tr>
      <w:tr>
        <w:trPr/>
        <w:tc>
          <w:tcPr>
            <w:tcW w:w="2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2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 Recognized in Income</w:t>
            </w:r>
          </w:p>
        </w:tc>
        <w:tc>
          <w:tcPr>
            <w:tcW w:w="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Other (expense) income, net</w:t>
            </w:r>
            <w:r>
              <w:rPr>
                <w:rFonts w:ascii="Times New Roman;sans-serif" w:hAnsi="Times New Roman;sans-serif"/>
                <w:b w:val="false"/>
                <w:color w:val="000000"/>
                <w:sz w:val="12"/>
              </w:rPr>
              <w:t>(1)</w:t>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8"/>
              </w:rPr>
              <w:t>Interest expense</w:t>
            </w:r>
            <w:r>
              <w:rPr>
                <w:rFonts w:ascii="Times New Roman;sans-serif" w:hAnsi="Times New Roman;sans-serif"/>
                <w:b w:val="false"/>
                <w:color w:val="000000"/>
                <w:sz w:val="12"/>
              </w:rPr>
              <w:t>(2)</w:t>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7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7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0"/>
        <w:ind w:left="0" w:right="0" w:hanging="360"/>
        <w:rPr/>
      </w:pPr>
      <w:r>
        <w:rPr>
          <w:rFonts w:ascii="Times New Roman;sans-serif" w:hAnsi="Times New Roman;sans-serif"/>
          <w:b w:val="false"/>
          <w:color w:val="000000"/>
          <w:sz w:val="12"/>
        </w:rPr>
        <w:t>(1)    </w:t>
      </w:r>
      <w:r>
        <w:rPr>
          <w:rFonts w:ascii="Times New Roman;sans-serif" w:hAnsi="Times New Roman;sans-serif"/>
          <w:b w:val="false"/>
          <w:color w:val="000000"/>
          <w:sz w:val="18"/>
        </w:rPr>
        <w:t>Represents location of gain reclassified from accumulated other comprehensive income into income as a result of ineffectiveness.</w:t>
      </w:r>
    </w:p>
    <w:p>
      <w:pPr>
        <w:pStyle w:val="TextBody"/>
        <w:spacing w:lineRule="auto" w:line="288" w:before="0" w:after="0"/>
        <w:ind w:left="0" w:right="0" w:hanging="360"/>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18"/>
        </w:rPr>
        <w:t>Represents location of gain reclassified from accumulated other comprehensive income into income as a result of forecasted transactions no longer probable of occurring.</w:t>
      </w:r>
    </w:p>
    <w:p>
      <w:pPr>
        <w:pStyle w:val="TextBody"/>
        <w:spacing w:before="0" w:after="0"/>
        <w:rPr/>
      </w:pPr>
      <w:r>
        <w:rPr/>
      </w:r>
    </w:p>
    <w:p>
      <w:pPr>
        <w:pStyle w:val="TextBody"/>
        <w:spacing w:lineRule="auto" w:line="288" w:before="1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we expect an estimated $5.3 million in deferred gains on the outstanding foreign exchange contracts and an estimated $26.3 million in deferred gains on the interest rate swaps will be reclassified from accumulated other comprehensive loss to net income during the next 12 months concurrent with the underlying hedged transactions also being reported in net income.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Fair Value Measurements</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Fair value is the price that would be received from selling an asset or paid to transfer a liability in an orderly transaction between market participants at the measurement date. There are three levels of inputs that may be used to measure fair value: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1: quoted prices in active markets for identical assets or liabilities;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3: unobservable inputs that are supported by little or no market activity and that are significant to the fair values of the assets or liabilities.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Contingent Earn-out Liabilities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Smiths Medical with a combination of cash consideration and share consideration issued at closing. Total consideration for the acquisition includes a potential earn-out payment of $100.0 million in cash contingent on our common stock achieving certain Price Targets from the closing date to either the third or fourth anniversary of closing (see Note 3: Acquisitions for additional information) and provided Smiths beneficially owns at least 50.0% of the shares of common stock issued at closing at the time the Price Target is achieved. The initial estimated fair value of the earn-out was determined to be $53.5 million. The initial fair value of the earn-out was determined using a Monte Carlo simulation model. The model utilized several assumptions including volatility and the risk-free interest rate. The assumed volatility is based on the average of the historical volatility of our common stock price and the implied volatility of certain at-the-money traded options. The risk-free interest rate is equal to the yield on U.S. Treasury securities at constant maturity for the period commensurate with the term of the earn-out. At each reporting date subsequent to the acquisition, we will remeasure the earn-out liability and recognize any changes in its fair value in our consolidated statements of operations. If the probability of achieving the Price Targets during their respective measurement periods is significantly greater than initially anticipated, the realization of an additional liability and related expense will have a significant impact on our consolidated financial statements in the period recognized. As of March 31, 2023, the estimated fair value of the contingent earn-out is $20.3 million.</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2022, the measurement period related to (i) above ended, and based on the actual revenue achieved during the measurement period we determined that the fair value of the contingent earn-out was zero as the minimum threshold for earning the earn-out was not met. As of March 31, 2023, the estimated fair value for the contingent earn-out related to certain product-related regulatory certifications was estimated to be $1.5 million.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both March 31, 2023 and December 31, 2022, the estimated fair value of the contingent earn-out is $2.6 million. The estimated fair value of the contingent earn-out is calculated using a probability-weighted cash flow model based on historical revenue streams and the likelihood that the revenue targets will be met.</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Our contingent earn-out liabilities are separately stated on our condensed consolidated balance sheets.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provide a reconciliation of the Level 3 earn-out liabilities measured at estimated fair value (in thousands): </w:t>
      </w:r>
    </w:p>
    <w:tbl>
      <w:tblPr>
        <w:tblW w:w="9612" w:type="dxa"/>
        <w:jc w:val="left"/>
        <w:tblInd w:w="0" w:type="dxa"/>
        <w:tblCellMar>
          <w:top w:w="28" w:type="dxa"/>
          <w:left w:w="28" w:type="dxa"/>
          <w:bottom w:w="28" w:type="dxa"/>
          <w:right w:w="28" w:type="dxa"/>
        </w:tblCellMar>
      </w:tblPr>
      <w:tblGrid>
        <w:gridCol w:w="2802"/>
        <w:gridCol w:w="2464"/>
        <w:gridCol w:w="2474"/>
        <w:gridCol w:w="109"/>
        <w:gridCol w:w="109"/>
        <w:gridCol w:w="109"/>
        <w:gridCol w:w="300"/>
        <w:gridCol w:w="1026"/>
        <w:gridCol w:w="219"/>
      </w:tblGrid>
      <w:tr>
        <w:trPr/>
        <w:tc>
          <w:tcPr>
            <w:tcW w:w="2802" w:type="dxa"/>
            <w:tcBorders/>
            <w:shd w:fill="auto" w:val="clear"/>
            <w:vAlign w:val="center"/>
          </w:tcPr>
          <w:p>
            <w:pPr>
              <w:pStyle w:val="TableContents"/>
              <w:spacing w:before="0" w:after="283"/>
              <w:rPr>
                <w:sz w:val="4"/>
                <w:szCs w:val="4"/>
              </w:rPr>
            </w:pPr>
            <w:r>
              <w:rPr>
                <w:sz w:val="4"/>
                <w:szCs w:val="4"/>
              </w:rPr>
            </w:r>
          </w:p>
        </w:tc>
        <w:tc>
          <w:tcPr>
            <w:tcW w:w="2464" w:type="dxa"/>
            <w:tcBorders/>
            <w:shd w:fill="auto" w:val="clear"/>
            <w:vAlign w:val="center"/>
          </w:tcPr>
          <w:p>
            <w:pPr>
              <w:pStyle w:val="TableContents"/>
              <w:spacing w:before="0" w:after="283"/>
              <w:rPr>
                <w:sz w:val="4"/>
                <w:szCs w:val="4"/>
              </w:rPr>
            </w:pPr>
            <w:r>
              <w:rPr>
                <w:sz w:val="4"/>
                <w:szCs w:val="4"/>
              </w:rPr>
            </w:r>
          </w:p>
        </w:tc>
        <w:tc>
          <w:tcPr>
            <w:tcW w:w="2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Liability</w:t>
            </w:r>
          </w:p>
        </w:tc>
      </w:tr>
      <w:tr>
        <w:trPr/>
        <w:tc>
          <w:tcPr>
            <w:tcW w:w="7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Change in fair value of earn-out (included in income from operations as a separate line item)</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bl>
    <w:tbl>
      <w:tblPr>
        <w:tblW w:w="5966" w:type="dxa"/>
        <w:jc w:val="center"/>
        <w:tblInd w:w="0" w:type="dxa"/>
        <w:tblCellMar>
          <w:top w:w="28" w:type="dxa"/>
          <w:left w:w="28" w:type="dxa"/>
          <w:bottom w:w="28" w:type="dxa"/>
          <w:right w:w="28" w:type="dxa"/>
        </w:tblCellMar>
      </w:tblPr>
      <w:tblGrid>
        <w:gridCol w:w="1482"/>
        <w:gridCol w:w="1303"/>
        <w:gridCol w:w="1309"/>
        <w:gridCol w:w="109"/>
        <w:gridCol w:w="109"/>
        <w:gridCol w:w="109"/>
        <w:gridCol w:w="300"/>
        <w:gridCol w:w="1026"/>
        <w:gridCol w:w="219"/>
      </w:tblGrid>
      <w:tr>
        <w:trPr/>
        <w:tc>
          <w:tcPr>
            <w:tcW w:w="1482"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Liability</w:t>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Acquisition date fair value estimate of earn-out</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55,158 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balance,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6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Primarily relates to Smiths Medical.</w:t>
      </w:r>
    </w:p>
    <w:p>
      <w:pPr>
        <w:pStyle w:val="TextBody"/>
        <w:spacing w:lineRule="auto" w:line="288" w:before="0" w:after="60"/>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$53.5 million relates to our acquisition of Smiths Medical and $1.6 million relates to our acquisition of a small foreign infusions systems supplier in the fourth quarter of 2021 (see Note 3: Acquisitions).</w:t>
      </w:r>
    </w:p>
    <w:p>
      <w:pPr>
        <w:pStyle w:val="TextBody"/>
        <w:spacing w:before="0" w:after="0"/>
        <w:jc w:val="center"/>
        <w:rPr/>
      </w:pPr>
      <w:r>
        <w:rPr/>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quantitative information about Level 3 inputs for fair value measurement of our earn-out liabilities related to Smiths Medical:</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Smiths Medical Earn-out Liability</w:t>
      </w:r>
    </w:p>
    <w:tbl>
      <w:tblPr>
        <w:tblW w:w="5206" w:type="dxa"/>
        <w:jc w:val="left"/>
        <w:tblInd w:w="0" w:type="dxa"/>
        <w:tblCellMar>
          <w:top w:w="28" w:type="dxa"/>
          <w:left w:w="28" w:type="dxa"/>
          <w:bottom w:w="28" w:type="dxa"/>
          <w:right w:w="28" w:type="dxa"/>
        </w:tblCellMar>
      </w:tblPr>
      <w:tblGrid>
        <w:gridCol w:w="527"/>
        <w:gridCol w:w="463"/>
        <w:gridCol w:w="465"/>
        <w:gridCol w:w="109"/>
        <w:gridCol w:w="109"/>
        <w:gridCol w:w="109"/>
        <w:gridCol w:w="109"/>
        <w:gridCol w:w="109"/>
        <w:gridCol w:w="295"/>
        <w:gridCol w:w="295"/>
        <w:gridCol w:w="699"/>
        <w:gridCol w:w="109"/>
        <w:gridCol w:w="109"/>
        <w:gridCol w:w="109"/>
        <w:gridCol w:w="333"/>
        <w:gridCol w:w="333"/>
        <w:gridCol w:w="924"/>
      </w:tblGrid>
      <w:tr>
        <w:trPr/>
        <w:tc>
          <w:tcPr>
            <w:tcW w:w="52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r>
      <w:tr>
        <w:trPr/>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Simulation Input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December 31, 2022</w:t>
            </w:r>
          </w:p>
        </w:tc>
      </w:tr>
      <w:tr>
        <w:trPr/>
        <w:tc>
          <w:tcPr>
            <w:tcW w:w="14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38.00 </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6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pPr>
      <w:r>
        <w:rPr>
          <w:rFonts w:ascii="Times New Roman;sans-serif" w:hAnsi="Times New Roman;sans-serif"/>
          <w:b w:val="false"/>
          <w:i/>
          <w:color w:val="000000"/>
          <w:sz w:val="20"/>
        </w:rPr>
        <w:t>Investments, Foreign Exchange Contracts and Interest Rate Contracts</w:t>
      </w:r>
      <w:r>
        <w:rPr>
          <w:color w:val="000000"/>
        </w:rPr>
        <w:t>    </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Our investments consist of corporate bonds and U.S treasury securities. The fair value of our corporate bonds is estimated using observable market-based inputs such as quoted prices, interest rates and yield curves or Level 2 inputs. The fair value of our U.S. treasury securities are based on quoted market prices in active markets and are included in the Level 1 fair value hierarchy.</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fair value of our Level 2 foreign exchange contracts, including forward contracts and cross-currency par forward contracts, is estimated using observable market inputs such as known notional value amounts, spot and forward exchange rates. These inputs relate to liquid, heavily traded currencies with active markets which are available for the full term of the derivative.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our Level 2 interest rate swaps is estimated using a pricing model that reflects the terms of the contracts, including the period to maturity, and relies on observable market inputs such as known notional value amounts and USD interest rate curves.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assets and liabilities measured at fair value on a recurring basis consisted of the following Level 1, 2 and 3 inputs as defined above (in thousands):</w:t>
      </w:r>
    </w:p>
    <w:tbl>
      <w:tblPr>
        <w:tblW w:w="9814" w:type="dxa"/>
        <w:jc w:val="center"/>
        <w:tblInd w:w="0" w:type="dxa"/>
        <w:tblCellMar>
          <w:top w:w="28" w:type="dxa"/>
          <w:left w:w="28" w:type="dxa"/>
          <w:bottom w:w="28" w:type="dxa"/>
          <w:right w:w="28" w:type="dxa"/>
        </w:tblCellMar>
      </w:tblPr>
      <w:tblGrid>
        <w:gridCol w:w="1245"/>
        <w:gridCol w:w="1099"/>
        <w:gridCol w:w="1105"/>
        <w:gridCol w:w="276"/>
        <w:gridCol w:w="946"/>
        <w:gridCol w:w="144"/>
        <w:gridCol w:w="109"/>
        <w:gridCol w:w="109"/>
        <w:gridCol w:w="109"/>
        <w:gridCol w:w="293"/>
        <w:gridCol w:w="858"/>
        <w:gridCol w:w="153"/>
        <w:gridCol w:w="109"/>
        <w:gridCol w:w="109"/>
        <w:gridCol w:w="109"/>
        <w:gridCol w:w="270"/>
        <w:gridCol w:w="924"/>
        <w:gridCol w:w="141"/>
        <w:gridCol w:w="109"/>
        <w:gridCol w:w="109"/>
        <w:gridCol w:w="109"/>
        <w:gridCol w:w="267"/>
        <w:gridCol w:w="916"/>
        <w:gridCol w:w="196"/>
      </w:tblGrid>
      <w:tr>
        <w:trPr/>
        <w:tc>
          <w:tcPr>
            <w:tcW w:w="1245"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March 31, 2023</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assets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LT</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60"/>
        <w:ind w:left="0" w:right="0" w:hanging="360"/>
        <w:rPr/>
      </w:pPr>
      <w:r>
        <w:rPr/>
      </w:r>
    </w:p>
    <w:p>
      <w:pPr>
        <w:pStyle w:val="TextBody"/>
        <w:spacing w:before="0" w:after="60"/>
        <w:ind w:left="0" w:right="0" w:hanging="360"/>
        <w:rPr/>
      </w:pPr>
      <w:r>
        <w:rPr/>
      </w:r>
    </w:p>
    <w:tbl>
      <w:tblPr>
        <w:tblW w:w="9814" w:type="dxa"/>
        <w:jc w:val="center"/>
        <w:tblInd w:w="0" w:type="dxa"/>
        <w:tblCellMar>
          <w:top w:w="28" w:type="dxa"/>
          <w:left w:w="28" w:type="dxa"/>
          <w:bottom w:w="28" w:type="dxa"/>
          <w:right w:w="28" w:type="dxa"/>
        </w:tblCellMar>
      </w:tblPr>
      <w:tblGrid>
        <w:gridCol w:w="1245"/>
        <w:gridCol w:w="1099"/>
        <w:gridCol w:w="1105"/>
        <w:gridCol w:w="276"/>
        <w:gridCol w:w="946"/>
        <w:gridCol w:w="144"/>
        <w:gridCol w:w="109"/>
        <w:gridCol w:w="109"/>
        <w:gridCol w:w="109"/>
        <w:gridCol w:w="293"/>
        <w:gridCol w:w="858"/>
        <w:gridCol w:w="153"/>
        <w:gridCol w:w="109"/>
        <w:gridCol w:w="109"/>
        <w:gridCol w:w="109"/>
        <w:gridCol w:w="270"/>
        <w:gridCol w:w="924"/>
        <w:gridCol w:w="141"/>
        <w:gridCol w:w="109"/>
        <w:gridCol w:w="109"/>
        <w:gridCol w:w="109"/>
        <w:gridCol w:w="267"/>
        <w:gridCol w:w="916"/>
        <w:gridCol w:w="196"/>
      </w:tblGrid>
      <w:tr>
        <w:trPr/>
        <w:tc>
          <w:tcPr>
            <w:tcW w:w="1245"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3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as of December 31, 2022</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w:t>
              <w:br/>
              <w:t>in active</w:t>
              <w:br/>
              <w:t>markets for</w:t>
              <w:br/>
              <w:t>identical</w:t>
              <w:br/>
              <w:t>assets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other</w:t>
              <w:br/>
              <w:t>observable</w:t>
              <w:br/>
              <w:t>inputs (level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 (level 3)</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w:t>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corporate bonds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forwards:</w:t>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 - LT</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9"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 Investment Securities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Investments in Available-for-sale Securities</w:t>
      </w:r>
    </w:p>
    <w:p>
      <w:pPr>
        <w:pStyle w:val="TextBody"/>
        <w:spacing w:before="0" w:after="0"/>
        <w:ind w:left="0" w:right="0" w:firstLine="72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Our available-for-sale investment securities currently consist of short-term and long-term corporate bonds, short-term U.S. treasury securities and long-term government bonds and are considered “investment grade” and are carried at fair value. We assess our investment in available-for-sale debt securities for impairment each reporting period. If an unrealized loss exists, we determine whether any portion of the decline in fair value below the amortized cost basis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income (loss). We did not have any investments in available-for-sale debt securities in unrealized loss positions as of March 31, 2023 or December 31, 2022.</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of the debt securities are adjusted for the amortization of premiums computed under the effective interest method. Such amortization is included in interest expense, net in our condensed consolidated statements of operations. Realized gains and losses are accounted for on the specific identification method. There have been no realized gains or losses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the disposal of these investments. The scheduled maturities of the debt securities are between 2022 and 2024. All short-term investment securities are callable within one year.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short-term and long-term investments in available-for-sale securities consist of the following (in thousands):</w:t>
      </w:r>
    </w:p>
    <w:tbl>
      <w:tblPr>
        <w:tblW w:w="7439" w:type="dxa"/>
        <w:jc w:val="left"/>
        <w:tblInd w:w="0" w:type="dxa"/>
        <w:tblCellMar>
          <w:top w:w="28" w:type="dxa"/>
          <w:left w:w="28" w:type="dxa"/>
          <w:bottom w:w="28" w:type="dxa"/>
          <w:right w:w="28" w:type="dxa"/>
        </w:tblCellMar>
      </w:tblPr>
      <w:tblGrid>
        <w:gridCol w:w="1031"/>
        <w:gridCol w:w="908"/>
        <w:gridCol w:w="911"/>
        <w:gridCol w:w="297"/>
        <w:gridCol w:w="870"/>
        <w:gridCol w:w="153"/>
        <w:gridCol w:w="109"/>
        <w:gridCol w:w="109"/>
        <w:gridCol w:w="109"/>
        <w:gridCol w:w="474"/>
        <w:gridCol w:w="913"/>
        <w:gridCol w:w="247"/>
        <w:gridCol w:w="109"/>
        <w:gridCol w:w="109"/>
        <w:gridCol w:w="109"/>
        <w:gridCol w:w="211"/>
        <w:gridCol w:w="616"/>
        <w:gridCol w:w="154"/>
      </w:tblGrid>
      <w:tr>
        <w:trPr/>
        <w:tc>
          <w:tcPr>
            <w:tcW w:w="1031"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of March 31, 2023</w:t>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Unrealized Holding </w:t>
              <w:br/>
              <w:t>Gains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Holding</w:t>
              <w:br/>
              <w:t>Gains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corporate bonds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U.S. treasury securities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government bonds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corporate bonds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100" w:after="283"/>
        <w:rPr>
          <w:rFonts w:ascii="Times New Roman;sans-serif" w:hAnsi="Times New Roman;sans-serif"/>
          <w:b w:val="false"/>
          <w:i/>
          <w:color w:val="000000"/>
          <w:sz w:val="20"/>
        </w:rPr>
      </w:pPr>
      <w:r>
        <w:rPr>
          <w:rFonts w:ascii="Times New Roman;sans-serif" w:hAnsi="Times New Roman;sans-serif"/>
          <w:b w:val="false"/>
          <w:i/>
          <w:color w:val="000000"/>
          <w:sz w:val="20"/>
        </w:rPr>
        <w:t>Investments in Non-Marketable Equity Securities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2021, we acquired an approximate 20% non-marketable equity interest in a nonpublic company and entered into a three-year distribution agreement where we have the exclusive rights to market, sell and distribute the company's products in exchange for a cash payment of $3.3 million. In addition, we were granted an exclusive license for all of the seller's intellectual property. At the expiration of the distribution agreement we have the right but not the obligation to acquire the remaining interest in the business.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record our share of the investee's income or (loss) on a one quarter lag. We report our proportionate share of the investee's income or (loss) resulting from this investment in other income, net in our condensed consolidated statements of operations. The carrying value of our equity method investment is reported in other assets on our condensed consolidated balance sheets (see Note 11: Prepaid Expenses and Other Current Assets and Other Assets). We assess our equity method investments for impairment on an annual basis or whenever events or circumstances indicate that the carrying value of the investment may not be recoverable. Our recorded share of the investee's loss was not material for the three months ended March 31, 2023 and 2022. We did not receive any dividend distributions from this investment during the three months ended March 31, 2023 and 2022.</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non-marketable equity method investment consists of the following (in thousands):</w:t>
      </w:r>
    </w:p>
    <w:p>
      <w:pPr>
        <w:pStyle w:val="TextBody"/>
        <w:spacing w:before="0" w:after="0"/>
        <w:ind w:left="0" w:right="0" w:firstLine="720"/>
        <w:rPr/>
      </w:pPr>
      <w:r>
        <w:rPr/>
      </w:r>
    </w:p>
    <w:tbl>
      <w:tblPr>
        <w:tblW w:w="5814" w:type="dxa"/>
        <w:jc w:val="left"/>
        <w:tblInd w:w="0" w:type="dxa"/>
        <w:tblCellMar>
          <w:top w:w="28" w:type="dxa"/>
          <w:left w:w="28" w:type="dxa"/>
          <w:bottom w:w="28" w:type="dxa"/>
          <w:right w:w="28" w:type="dxa"/>
        </w:tblCellMar>
      </w:tblPr>
      <w:tblGrid>
        <w:gridCol w:w="826"/>
        <w:gridCol w:w="726"/>
        <w:gridCol w:w="728"/>
        <w:gridCol w:w="109"/>
        <w:gridCol w:w="109"/>
        <w:gridCol w:w="109"/>
        <w:gridCol w:w="291"/>
        <w:gridCol w:w="849"/>
        <w:gridCol w:w="150"/>
        <w:gridCol w:w="109"/>
        <w:gridCol w:w="109"/>
        <w:gridCol w:w="109"/>
        <w:gridCol w:w="342"/>
        <w:gridCol w:w="999"/>
        <w:gridCol w:w="249"/>
      </w:tblGrid>
      <w:tr>
        <w:trPr/>
        <w:tc>
          <w:tcPr>
            <w:tcW w:w="8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Prepaid Expenses and Other Current Assets and Other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 of the following (in thousands): </w:t>
      </w:r>
    </w:p>
    <w:tbl>
      <w:tblPr>
        <w:tblW w:w="6849" w:type="dxa"/>
        <w:jc w:val="left"/>
        <w:tblInd w:w="0" w:type="dxa"/>
        <w:tblCellMar>
          <w:top w:w="28" w:type="dxa"/>
          <w:left w:w="28" w:type="dxa"/>
          <w:bottom w:w="28" w:type="dxa"/>
          <w:right w:w="28" w:type="dxa"/>
        </w:tblCellMar>
      </w:tblPr>
      <w:tblGrid>
        <w:gridCol w:w="1200"/>
        <w:gridCol w:w="1056"/>
        <w:gridCol w:w="1059"/>
        <w:gridCol w:w="109"/>
        <w:gridCol w:w="109"/>
        <w:gridCol w:w="109"/>
        <w:gridCol w:w="261"/>
        <w:gridCol w:w="894"/>
        <w:gridCol w:w="135"/>
        <w:gridCol w:w="109"/>
        <w:gridCol w:w="109"/>
        <w:gridCol w:w="109"/>
        <w:gridCol w:w="309"/>
        <w:gridCol w:w="1056"/>
        <w:gridCol w:w="225"/>
      </w:tblGrid>
      <w:tr>
        <w:trPr/>
        <w:tc>
          <w:tcPr>
            <w:tcW w:w="120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 and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vendor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property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10,638 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VAT/GST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charge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87,125 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88,932 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ind w:left="0" w:right="0" w:firstLine="720"/>
        <w:rPr/>
      </w:pPr>
      <w:r>
        <w:rPr/>
      </w:r>
    </w:p>
    <w:p>
      <w:pPr>
        <w:pStyle w:val="TextBody"/>
        <w:spacing w:lineRule="auto" w:line="288" w:before="1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assets consist of the following (in thousands):</w:t>
      </w:r>
    </w:p>
    <w:tbl>
      <w:tblPr>
        <w:tblW w:w="6246" w:type="dxa"/>
        <w:jc w:val="left"/>
        <w:tblInd w:w="0" w:type="dxa"/>
        <w:tblCellMar>
          <w:top w:w="28" w:type="dxa"/>
          <w:left w:w="28" w:type="dxa"/>
          <w:bottom w:w="28" w:type="dxa"/>
          <w:right w:w="28" w:type="dxa"/>
        </w:tblCellMar>
      </w:tblPr>
      <w:tblGrid>
        <w:gridCol w:w="983"/>
        <w:gridCol w:w="864"/>
        <w:gridCol w:w="867"/>
        <w:gridCol w:w="109"/>
        <w:gridCol w:w="109"/>
        <w:gridCol w:w="109"/>
        <w:gridCol w:w="237"/>
        <w:gridCol w:w="930"/>
        <w:gridCol w:w="122"/>
        <w:gridCol w:w="109"/>
        <w:gridCol w:w="109"/>
        <w:gridCol w:w="109"/>
        <w:gridCol w:w="281"/>
        <w:gridCol w:w="1103"/>
        <w:gridCol w:w="205"/>
      </w:tblGrid>
      <w:tr>
        <w:trPr/>
        <w:tc>
          <w:tcPr>
            <w:tcW w:w="983"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 lease receivables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Inventories</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Inventories are stated at the lower of cost or net realizable value with cost determined using the first-in, first-out method. Inventory costs include material, labor and overhead related to the manufacturing of our products.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(in thousands): </w:t>
      </w:r>
    </w:p>
    <w:tbl>
      <w:tblPr>
        <w:tblW w:w="4719" w:type="dxa"/>
        <w:jc w:val="left"/>
        <w:tblInd w:w="0" w:type="dxa"/>
        <w:tblCellMar>
          <w:top w:w="28" w:type="dxa"/>
          <w:left w:w="28" w:type="dxa"/>
          <w:bottom w:w="28" w:type="dxa"/>
          <w:right w:w="28" w:type="dxa"/>
        </w:tblCellMar>
      </w:tblPr>
      <w:tblGrid>
        <w:gridCol w:w="548"/>
        <w:gridCol w:w="481"/>
        <w:gridCol w:w="485"/>
        <w:gridCol w:w="237"/>
        <w:gridCol w:w="930"/>
        <w:gridCol w:w="122"/>
        <w:gridCol w:w="109"/>
        <w:gridCol w:w="109"/>
        <w:gridCol w:w="109"/>
        <w:gridCol w:w="281"/>
        <w:gridCol w:w="1103"/>
        <w:gridCol w:w="205"/>
      </w:tblGrid>
      <w:tr>
        <w:trPr/>
        <w:tc>
          <w:tcPr>
            <w:tcW w:w="54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286,964 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73,708 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356,917 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335,250 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747,965 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696,009 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before="0" w:after="0"/>
        <w:ind w:left="0" w:right="0" w:firstLine="72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Property, Plant and Equipment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consists of the following (in thousands): </w:t>
      </w:r>
    </w:p>
    <w:tbl>
      <w:tblPr>
        <w:tblW w:w="6834" w:type="dxa"/>
        <w:jc w:val="left"/>
        <w:tblInd w:w="0" w:type="dxa"/>
        <w:tblCellMar>
          <w:top w:w="28" w:type="dxa"/>
          <w:left w:w="28" w:type="dxa"/>
          <w:bottom w:w="28" w:type="dxa"/>
          <w:right w:w="28" w:type="dxa"/>
        </w:tblCellMar>
      </w:tblPr>
      <w:tblGrid>
        <w:gridCol w:w="1313"/>
        <w:gridCol w:w="1154"/>
        <w:gridCol w:w="1162"/>
        <w:gridCol w:w="237"/>
        <w:gridCol w:w="930"/>
        <w:gridCol w:w="122"/>
        <w:gridCol w:w="109"/>
        <w:gridCol w:w="109"/>
        <w:gridCol w:w="109"/>
        <w:gridCol w:w="281"/>
        <w:gridCol w:w="1103"/>
        <w:gridCol w:w="205"/>
      </w:tblGrid>
      <w:tr>
        <w:trPr/>
        <w:tc>
          <w:tcPr>
            <w:tcW w:w="1313"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430,258 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414,811 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building and building improvements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275,463 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274,063 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Molds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119,438 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29,876 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Instruments placed with customers</w:t>
            </w:r>
            <w:r>
              <w:rPr>
                <w:rFonts w:ascii="Times New Roman;sans-serif" w:hAnsi="Times New Roman;sans-serif"/>
                <w:b w:val="false"/>
                <w:color w:val="000000"/>
                <w:sz w:val="13"/>
              </w:rPr>
              <w:t>(1)</w:t>
            </w:r>
          </w:p>
        </w:tc>
        <w:tc>
          <w:tcPr>
            <w:tcW w:w="11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102,666 </w:t>
            </w:r>
          </w:p>
        </w:tc>
        <w:tc>
          <w:tcPr>
            <w:tcW w:w="1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98,481 </w:t>
            </w:r>
          </w:p>
        </w:tc>
        <w:tc>
          <w:tcPr>
            <w:tcW w:w="20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138,996 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152,909 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cost</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1,174,544 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1,162,557 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(550,432)</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(526,444)</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624,112 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636,113 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spacing w:lineRule="auto" w:line="288" w:before="0" w:after="0"/>
        <w:ind w:left="0" w:right="0" w:hanging="360"/>
        <w:rPr/>
      </w:pPr>
      <w:r>
        <w:rPr>
          <w:rFonts w:ascii="Times New Roman;sans-serif" w:hAnsi="Times New Roman;sans-serif"/>
          <w:b w:val="false"/>
          <w:color w:val="000000"/>
          <w:sz w:val="13"/>
        </w:rPr>
        <w:t>(1)    </w:t>
      </w:r>
      <w:r>
        <w:rPr>
          <w:rFonts w:ascii="Times New Roman;sans-serif" w:hAnsi="Times New Roman;sans-serif"/>
          <w:b w:val="false"/>
          <w:color w:val="000000"/>
          <w:sz w:val="18"/>
        </w:rPr>
        <w:t>Instruments placed with customers consist of drug-delivery and monitoring systems placed with customers under operating leases.</w:t>
      </w:r>
      <w:r>
        <w:rPr>
          <w:color w:val="000000"/>
        </w:rPr>
        <w:t xml:space="preserve"> </w:t>
      </w:r>
    </w:p>
    <w:p>
      <w:pPr>
        <w:pStyle w:val="TextBody"/>
        <w:spacing w:before="0" w:after="0"/>
        <w:ind w:left="0" w:right="0" w:hanging="36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$23.4 million and $21.4 million for the three months ended March 31, 2023 and 2022, respectively. </w:t>
      </w:r>
    </w:p>
    <w:p>
      <w:pPr>
        <w:pStyle w:val="TextBody"/>
        <w:spacing w:before="0" w:after="0"/>
        <w:ind w:left="0" w:right="0" w:firstLine="72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14: Goodwill and Intangible Assets, Net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The following table presents the changes in the carrying amount of our goodwill (in thousands):</w:t>
      </w:r>
    </w:p>
    <w:tbl>
      <w:tblPr>
        <w:tblW w:w="4202" w:type="dxa"/>
        <w:jc w:val="left"/>
        <w:tblInd w:w="0" w:type="dxa"/>
        <w:tblCellMar>
          <w:top w:w="28" w:type="dxa"/>
          <w:left w:w="28" w:type="dxa"/>
          <w:bottom w:w="28" w:type="dxa"/>
          <w:right w:w="28" w:type="dxa"/>
        </w:tblCellMar>
      </w:tblPr>
      <w:tblGrid>
        <w:gridCol w:w="918"/>
        <w:gridCol w:w="805"/>
        <w:gridCol w:w="811"/>
        <w:gridCol w:w="109"/>
        <w:gridCol w:w="109"/>
        <w:gridCol w:w="109"/>
        <w:gridCol w:w="211"/>
        <w:gridCol w:w="976"/>
        <w:gridCol w:w="154"/>
      </w:tblGrid>
      <w:tr>
        <w:trPr/>
        <w:tc>
          <w:tcPr>
            <w:tcW w:w="91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Intangible assets, carried at cost less accumulated amortization and amortized on a straight-lined basis, were as follows (in thousands):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left"/>
        <w:tblInd w:w="0" w:type="dxa"/>
        <w:tblCellMar>
          <w:top w:w="28" w:type="dxa"/>
          <w:left w:w="28" w:type="dxa"/>
          <w:bottom w:w="28" w:type="dxa"/>
          <w:right w:w="28" w:type="dxa"/>
        </w:tblCellMar>
      </w:tblPr>
      <w:tblGrid>
        <w:gridCol w:w="906"/>
        <w:gridCol w:w="797"/>
        <w:gridCol w:w="746"/>
        <w:gridCol w:w="109"/>
        <w:gridCol w:w="109"/>
        <w:gridCol w:w="109"/>
        <w:gridCol w:w="1019"/>
        <w:gridCol w:w="1019"/>
        <w:gridCol w:w="1020"/>
        <w:gridCol w:w="109"/>
        <w:gridCol w:w="109"/>
        <w:gridCol w:w="109"/>
        <w:gridCol w:w="196"/>
        <w:gridCol w:w="871"/>
        <w:gridCol w:w="109"/>
        <w:gridCol w:w="109"/>
        <w:gridCol w:w="109"/>
        <w:gridCol w:w="109"/>
        <w:gridCol w:w="212"/>
        <w:gridCol w:w="796"/>
        <w:gridCol w:w="118"/>
        <w:gridCol w:w="109"/>
        <w:gridCol w:w="109"/>
        <w:gridCol w:w="109"/>
        <w:gridCol w:w="196"/>
        <w:gridCol w:w="736"/>
        <w:gridCol w:w="156"/>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550,703 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118,687 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432,016 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123,357 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285,135 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957,682 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spacing w:lineRule="auto" w:line="288" w:before="0" w:after="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18"/>
        </w:rPr>
        <w:t>Internally developed software will be amortized when the projects are complete and the assets are ready for their intended use.</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06"/>
        <w:gridCol w:w="797"/>
        <w:gridCol w:w="746"/>
        <w:gridCol w:w="109"/>
        <w:gridCol w:w="109"/>
        <w:gridCol w:w="109"/>
        <w:gridCol w:w="1019"/>
        <w:gridCol w:w="1019"/>
        <w:gridCol w:w="1020"/>
        <w:gridCol w:w="109"/>
        <w:gridCol w:w="109"/>
        <w:gridCol w:w="109"/>
        <w:gridCol w:w="196"/>
        <w:gridCol w:w="871"/>
        <w:gridCol w:w="109"/>
        <w:gridCol w:w="109"/>
        <w:gridCol w:w="109"/>
        <w:gridCol w:w="109"/>
        <w:gridCol w:w="212"/>
        <w:gridCol w:w="796"/>
        <w:gridCol w:w="118"/>
        <w:gridCol w:w="109"/>
        <w:gridCol w:w="109"/>
        <w:gridCol w:w="109"/>
        <w:gridCol w:w="196"/>
        <w:gridCol w:w="736"/>
        <w:gridCol w:w="156"/>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2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Amortization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Non-contractual 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101,556 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445,379 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108,708 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474,468 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amortized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251,951 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982,766 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______________________________ </w:t>
      </w:r>
    </w:p>
    <w:p>
      <w:pPr>
        <w:pStyle w:val="TextBody"/>
        <w:spacing w:lineRule="auto" w:line="288" w:before="0" w:after="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18"/>
        </w:rPr>
        <w:t>Internally developed software will be amortized when the projects are complete and the assets are ready for their intended use.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with definite lives are amortized on a straight-line basis over their estimated useful lives. During the three months ended March 31, 2023 and 2022, intangible asset amortization expense was $32.3 million and $31.7 million, respectively.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estimated annual amortization for our intangible assets for each of the next five years is approximately (in thousands):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3198" w:type="dxa"/>
        <w:jc w:val="left"/>
        <w:tblInd w:w="0" w:type="dxa"/>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924,080 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Accrued Liabilities and Other Long-Term Liabilities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Accrued liabilities consist of the following (in thousands): </w:t>
      </w:r>
    </w:p>
    <w:tbl>
      <w:tblPr>
        <w:tblW w:w="6160" w:type="dxa"/>
        <w:jc w:val="left"/>
        <w:tblInd w:w="0" w:type="dxa"/>
        <w:tblCellMar>
          <w:top w:w="28" w:type="dxa"/>
          <w:left w:w="28" w:type="dxa"/>
          <w:bottom w:w="28" w:type="dxa"/>
          <w:right w:w="28" w:type="dxa"/>
        </w:tblCellMar>
      </w:tblPr>
      <w:tblGrid>
        <w:gridCol w:w="1068"/>
        <w:gridCol w:w="942"/>
        <w:gridCol w:w="945"/>
        <w:gridCol w:w="237"/>
        <w:gridCol w:w="930"/>
        <w:gridCol w:w="122"/>
        <w:gridCol w:w="109"/>
        <w:gridCol w:w="109"/>
        <w:gridCol w:w="109"/>
        <w:gridCol w:w="281"/>
        <w:gridCol w:w="1103"/>
        <w:gridCol w:w="205"/>
      </w:tblGrid>
      <w:tr>
        <w:trPr/>
        <w:tc>
          <w:tcPr>
            <w:tcW w:w="1068"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liability-ST</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taxes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accrual</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taxes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accrual</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fees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 and returns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freight</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audit fees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plan</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235,167 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242,769 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lineRule="auto" w:line="288" w:before="100" w:after="283"/>
        <w:ind w:left="0" w:right="0" w:hanging="360"/>
        <w:rPr/>
      </w:pPr>
      <w:r>
        <w:rPr>
          <w:rFonts w:ascii="Times New Roman;sans-serif" w:hAnsi="Times New Roman;sans-serif"/>
          <w:b w:val="false"/>
          <w:color w:val="000000"/>
          <w:sz w:val="12"/>
        </w:rPr>
        <w:t>(1)     </w:t>
      </w:r>
      <w:r>
        <w:rPr>
          <w:rFonts w:ascii="Times New Roman;sans-serif" w:hAnsi="Times New Roman;sans-serif"/>
          <w:b w:val="false"/>
          <w:color w:val="000000"/>
          <w:sz w:val="18"/>
        </w:rPr>
        <w:t>Relates to field service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the following (in thousands): </w:t>
      </w:r>
    </w:p>
    <w:tbl>
      <w:tblPr>
        <w:tblW w:w="5935" w:type="dxa"/>
        <w:jc w:val="left"/>
        <w:tblInd w:w="0" w:type="dxa"/>
        <w:tblCellMar>
          <w:top w:w="28" w:type="dxa"/>
          <w:left w:w="28" w:type="dxa"/>
          <w:bottom w:w="28" w:type="dxa"/>
          <w:right w:w="28" w:type="dxa"/>
        </w:tblCellMar>
      </w:tblPr>
      <w:tblGrid>
        <w:gridCol w:w="988"/>
        <w:gridCol w:w="869"/>
        <w:gridCol w:w="873"/>
        <w:gridCol w:w="237"/>
        <w:gridCol w:w="930"/>
        <w:gridCol w:w="122"/>
        <w:gridCol w:w="109"/>
        <w:gridCol w:w="109"/>
        <w:gridCol w:w="109"/>
        <w:gridCol w:w="281"/>
        <w:gridCol w:w="1103"/>
        <w:gridCol w:w="205"/>
      </w:tblGrid>
      <w:tr>
        <w:trPr/>
        <w:tc>
          <w:tcPr>
            <w:tcW w:w="98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liability-LT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rent</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liability-LT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Field service corrective action</w:t>
            </w:r>
            <w:r>
              <w:rPr>
                <w:rFonts w:ascii="Times New Roman;sans-serif" w:hAnsi="Times New Roman;sans-serif"/>
                <w:b w:val="false"/>
                <w:color w:val="000000"/>
                <w:sz w:val="13"/>
              </w:rPr>
              <w:t>(1)</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25,294 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spacing w:lineRule="auto" w:line="288" w:before="0" w:after="60"/>
        <w:ind w:left="0" w:right="0" w:hanging="360"/>
        <w:rPr/>
      </w:pPr>
      <w:r>
        <w:rPr>
          <w:rFonts w:ascii="Times New Roman;sans-serif" w:hAnsi="Times New Roman;sans-serif"/>
          <w:b w:val="false"/>
          <w:color w:val="000000"/>
          <w:sz w:val="12"/>
        </w:rPr>
        <w:t>(1)    </w:t>
      </w:r>
      <w:r>
        <w:rPr>
          <w:rFonts w:ascii="Times New Roman;sans-serif" w:hAnsi="Times New Roman;sans-serif"/>
          <w:b w:val="false"/>
          <w:color w:val="000000"/>
          <w:sz w:val="18"/>
        </w:rPr>
        <w:t>Relates to field service corrective actions associated with certain products in connection with a 2021 Warning Letter received by Smiths Medical from the FDA following an inspection of Smiths Medical’s Oakdale, Minnesota Facility, see Note 19: Commitments and Contingencies for further detail.</w:t>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Income Taxes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Income taxes were accrued at an estimated effective tax rate of 27% for the three months ended March 31, 2023, as compared to 31% for the three months ended March 31, 2022.</w:t>
      </w:r>
    </w:p>
    <w:p>
      <w:pPr>
        <w:pStyle w:val="TextBody"/>
        <w:spacing w:before="0" w:after="0"/>
        <w:ind w:left="0" w:right="0" w:firstLine="72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effective tax rate for the three months ended March 31, 2023 differs from the federal statutory rate of 21% principally because of the effect of the mix of U.S. and foreign incomes, state income taxes, section 162(m) excess compensation, foreign-derived intangible income ("FDII") and tax credits and the following discrete items recognized during the interim period: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Excess tax provision recognized on stock option exercises and the vesting of restricted stock units during the three months ended March 31, 2023 of $0.7 million.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revaluation of the contingent consideration during the three months ended March 31, 2023 of $0.7 million, resulted in a tax expense of $0.0 million. </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effective tax rate for the three months ended March 31, 2022 differs from the federal statutory rate of 21% principally because of the effect of the mix of U.S. and foreign incomes, state income taxes, section 162(m) excess compensation, FDII and tax credits. The effective tax rate during the three months ended March 31, 2022 included a discrete tax benefit of $2.6 million related to excess tax benefits recognized on stock option exercises and the vesting of restricted stock units during the period.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17:     Long-Term Debt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6, 2022, in connection with the acquisition of Smiths Medical, we entered into a Credit Agreement (the "Credit Agreement") with Wells Fargo Bank, National Association, Wells Fargo Securities, LLC, Barclays Bank PLC and certain other financial institutions (the “Lenders”) for $2.2 billion of senior secured credit facilities. The senior secured credit facilities include (i) a five-year Tranche A term loan of $850.0 million (the "Term Loan A"), (ii) a seven-year Tranche B term loan of $850.0 million (the "Term Loan B") and (iii) a five-year revolving credit facility of $500.0 million (the "Revolving Credit Facility"), with separate sub-limits of $50.0 million for letters of credit and swingline loans (collectively, the "Senior Secured Credit Facilities"). We used the proceeds from borrowings under the Term Loan A and the Term Loan B (collectively, the "Term Loans") to fund a portion of the cash consideration for the purchase of Smiths Medical and the related fees and expenses incurred in connection with the acquisition. We did not incur borrowings under the Revolving Credit Facility on the closing date of the acquisition. The proceeds from any future borrowings under the Revolving Credit Facility may be used for working capital and other general corporate purposes.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entering into the Credit Agreement, during the period ended March 31, 2022, we incurred $37.8 million in debt discount and issuance costs, which were allocated to the Term Loan A, the Term Loan B and the Revolving Credit Facility based on lender commitment amounts relative to each type of fees paid. The lender and third-party discount and issuance costs allocated to the Term Loan A and the Term Loan B were $15.8 million and $13.4 million, respectively, and are reflected as a direct deduction from the face amount of the corresponding term loans on the condensed consolidated balance sheet. These costs are being amortized to interest expense over the respective terms of the loans using the effective interest method. The issuance costs allocated to the Revolving Credit Facility were $8.6 million, which are capitalized and included in prepaid expenses and other current assets and other assets on our condensed consolidated balance sheets. These costs are being amortized to interest expense over the term of the Revolving Credit Facility using the straight-line method.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funds received from the Term Loan A and the Term Loan B, after deducting debt issuance costs, were $834.2 million and $836.6 million, respectively.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Maturity Dates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maturity date for the Term Loan A and the Revolving Credit Facility is January 6, 2027, and the maturity date for the Term Loan B is January 6, 2029. Pursuant to the terms and conditions of the Credit Agreement, the maturity dates of the Term Loans and the Revolving Credit Facility may be extended upon our request, subject to the consent of the Lenders.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Interest Rate Terms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the Term Loans and borrowings under the Revolving Credit Facility denominated in U.S. dollars bear interest, at our option, on either: (1) the Base Rate, as defined below, plus the applicable margin, as indicated below ("Base Rate Loans") or (2) the Adjusted Term Secured Overnight Financing Rate ("Adjusted Term SOFR"), as defined below, plus the applicable margin, as indicated below ("Term SOFR Loans").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Base Rate is defined as the highest of (a) the Prime Rate, (b) the Federal Funds Rate plus 0.50% and (c) Adjusted Term SOFR (as defined below) for a one-month period plus, in each case, 1.00%.</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Adjusted Term SOFR is the rate per annum equal to (a) the Term SOFR plus (b) the Term SOFR Adjustment. Term SOFR is the forward-looking term rate based on SOFR and is calculated separately for Term SOFR Loans and Base Rate Loans, as specified in the Credit Agreement. The Term SOFR Adjustment is a percentage per annum of 0.10% for Base Rate Loans and between 0.10% to 0.25% for Term SOFR Loans based on the applicable interest period.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 Commitment Fee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has a per annum commitment fee at an initial rate of 0.25% which is applied to the available amount of the Revolving Credit Facility. Effective on the first Adjustment Date, as defined in the Credit Agreement, occurring subsequent to our quarter ending June 30, 2022, the commitment fee will be determined by reference to the leverage ratio in effect from time to time as set forth in the table below.</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Applicable Interest Margins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Term Loan A and borrowings under the Revolving Credit Facility have an initial applicable margin of 0.75% per annum for Base Rate Loans and 1.75% per annum for Term SOFR Loans.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ending June 30, 2022, the applicable margin for the Term Loan A and borrowings under the Revolving Credit Facility will be determined by reference to the leverage ratio in effect from time to time as set forth in the following table: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tbl>
      <w:tblPr>
        <w:tblW w:w="10205" w:type="dxa"/>
        <w:jc w:val="center"/>
        <w:tblInd w:w="0" w:type="dxa"/>
        <w:tblCellMar>
          <w:top w:w="28" w:type="dxa"/>
          <w:left w:w="28" w:type="dxa"/>
          <w:bottom w:w="28" w:type="dxa"/>
          <w:right w:w="28" w:type="dxa"/>
        </w:tblCellMar>
      </w:tblPr>
      <w:tblGrid>
        <w:gridCol w:w="1216"/>
        <w:gridCol w:w="1068"/>
        <w:gridCol w:w="1075"/>
        <w:gridCol w:w="871"/>
        <w:gridCol w:w="871"/>
        <w:gridCol w:w="873"/>
        <w:gridCol w:w="831"/>
        <w:gridCol w:w="831"/>
        <w:gridCol w:w="834"/>
        <w:gridCol w:w="506"/>
        <w:gridCol w:w="506"/>
        <w:gridCol w:w="723"/>
      </w:tblGrid>
      <w:tr>
        <w:trPr/>
        <w:tc>
          <w:tcPr>
            <w:tcW w:w="1216"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2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24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c>
          <w:tcPr>
            <w:tcW w:w="17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Fee Rate</w:t>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4.00 to 1.0</w:t>
            </w:r>
          </w:p>
        </w:tc>
        <w:tc>
          <w:tcPr>
            <w:tcW w:w="26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4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7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0.35%</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4.00 to 1.0 but greater than 3.00 to 1.0</w:t>
            </w:r>
          </w:p>
        </w:tc>
        <w:tc>
          <w:tcPr>
            <w:tcW w:w="26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4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0.30%</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3.00 to 1.0 but greater than 2.50 to 1.0</w:t>
            </w:r>
          </w:p>
        </w:tc>
        <w:tc>
          <w:tcPr>
            <w:tcW w:w="26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4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7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2.50 to 1.0 but greater than 2.00 to 1.0</w:t>
            </w:r>
          </w:p>
        </w:tc>
        <w:tc>
          <w:tcPr>
            <w:tcW w:w="26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4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17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or equal to 2.00 to 1.0</w:t>
            </w:r>
          </w:p>
        </w:tc>
        <w:tc>
          <w:tcPr>
            <w:tcW w:w="26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4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73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Term Loan B has an initial applicable margin of 1.5% per annum for Base Rate Loans and 2.5% per annum for Term SOFR Loans.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on the first Adjustment Date, as defined in the Credit Agreement, occurring subsequent to our quarter ending June 30, 2022, the applicable margin for the Term Loan B will be determined by reference to the leverage ratio in effect from time to time as set forth in the following table: </w:t>
      </w:r>
    </w:p>
    <w:p>
      <w:pPr>
        <w:pStyle w:val="TextBody"/>
        <w:spacing w:before="0" w:after="0"/>
        <w:ind w:left="0" w:right="0" w:firstLine="720"/>
        <w:rPr/>
      </w:pPr>
      <w:r>
        <w:rPr/>
      </w:r>
    </w:p>
    <w:tbl>
      <w:tblPr>
        <w:tblW w:w="9194" w:type="dxa"/>
        <w:jc w:val="left"/>
        <w:tblInd w:w="0" w:type="dxa"/>
        <w:tblCellMar>
          <w:top w:w="28" w:type="dxa"/>
          <w:left w:w="28" w:type="dxa"/>
          <w:bottom w:w="28" w:type="dxa"/>
          <w:right w:w="28" w:type="dxa"/>
        </w:tblCellMar>
      </w:tblPr>
      <w:tblGrid>
        <w:gridCol w:w="733"/>
        <w:gridCol w:w="644"/>
        <w:gridCol w:w="648"/>
        <w:gridCol w:w="1219"/>
        <w:gridCol w:w="1219"/>
        <w:gridCol w:w="1222"/>
        <w:gridCol w:w="1027"/>
        <w:gridCol w:w="1027"/>
        <w:gridCol w:w="1455"/>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Leverage Ratio</w:t>
            </w:r>
          </w:p>
        </w:tc>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Term SOFR Loans</w:t>
            </w:r>
          </w:p>
        </w:tc>
        <w:tc>
          <w:tcPr>
            <w:tcW w:w="35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Applicable Margin for Base Rate Loans</w:t>
            </w:r>
          </w:p>
        </w:tc>
      </w:tr>
      <w:tr>
        <w:trPr/>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2.75 to 1.0</w:t>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2.75 to 1.0</w:t>
            </w:r>
          </w:p>
        </w:tc>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Principal Payments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payments on the Term Loans are due on the last day of each calendar quarter commencing on June 30, 2022.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 will amortize in nineteen consecutive quarterly installments in an amount equal to 2.50% of the original principal amount in each of the first two years, 5.00% in each of the third and fourth years and 7.50% in the fifth year, with a final payment of the remaining outstanding principal balance due on the maturity date.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Term Loan B matures in twenty-seven consecutive quarterly installments in an amount equal to 0.25% of the original principal amount, with a final payment of the remaining outstanding principal balance due on the maturity date.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borrow, prepay and re-borrow amounts under the Revolving Credit Facility, in accordance with the terms and conditions of the Credit Agreement, with all outstanding amounts due at maturity.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March 2022, we prepaid $16.0 million in principal payments on the Term Loan A principal balance. For the three months ended March 31, 2023, we paid total of $7.4 million in principal payments on both Term Loans.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Interest Payments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Interest payments on Base Rate Loans are payable quarterly in arrears on the last business day of each calendar quarter and the applicable maturity date. Interest periods on Term SOFR Loans will be determined, at our option, as either one, three or six months and will be payable on the last day of each interest period and the applicable maturity date. In the case of any interest periods of more than three months' duration, the interest payment will be payable on each day prior to the last day of such interest period that occurs at three-month intervals.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commitment fee on the Revolving Credit Facility is payable quarterly in arrears on the third business day following the last day of each calendar quarter and at the maturity date. The commitment fee is included in interest expense in our condensed consolidated statements of operations.</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Guarantors and Collateral</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Agreement are unconditionally guaranteed, on a joint and several basis, by ICU Medical, Inc. and certain of our existing subsidiaries.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Debt Covenants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affirmative and negative covenants, including certain financial covenants. The negative covenants include restrictions regarding the incurrence of liens and indebtedness, certain merger and acquisition transactions, asset sales and other dispositions, other investments, dividends, share purchases and payments affecting subsidiaries, changes in nature of business, fiscal year or organizational documents, prepayments and redemptions of subordinated and other junior debt, transactions with affiliates, and other matters.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financial covenants include the Senior Secured Leverage Ratio and the Interest Coverage Ratio, both defined below, and pertain to the Term Loan A and the Revolving Credit Facility.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Senior Secured Leverage Ratio is defined, at any measurement date, as the ratio of: (a) all Funded Debt, as defined in the Credit Agreement, that is secured by a lien on any asset or property minus the lesser of (i) all unrestricted cash and cash equivalents and (ii) $500.0 million, to (b) Consolidated EBITDA, as defined in the Credit Agreement, for the most recently completed four fiscal quarters, calculated on a pro forma basis. The maximum Senior Secured Leverage Ratio is 4.50 to 1.00 until June 30, 2024. Thereafter, the maximum Senior Secured Leverage Ratio is 4.00 to 1.00, with limited permitted exception.</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Interest Coverage ratio is defined, at any measurement date, as the ratio of Consolidated EBITDA, as defined in the Credit Agreement, to Consolidated Interest Expense, as defined in the Credit Agreement, paid or payable in cash, for the most recently completed four fiscal quarters. The minimum Interest Coverage ratio is 3.00 to 1.00.</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financial covenants as of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customary events of default, including, among others: non-payments of principal and interest; breach of representations and warranties; covenant defaults; cross-defaults and cross-acceleration to certain other material indebtedness; the existence of bankruptcy or insolvency proceedings;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all amounts due and the termination of commitments under the Senior Secured Credit Facilities.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2017 Credit Facility</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On November 8, 2017, we entered into a five-year senior secured revolving credit facility with various lenders for $150.0 million, with Wells Fargo Bank, National Association as the administrative agent, swingline lender and issuing lender (the "Prior Credit Facility"). The Prior Credit Facility, which was set to mature on November 8, 2022, was terminated in connection with entering into the Credit Agreement on January 6, 2022.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long-term debt consist of the following (in thousands):</w:t>
      </w:r>
    </w:p>
    <w:p>
      <w:pPr>
        <w:pStyle w:val="TextBody"/>
        <w:spacing w:before="0" w:after="0"/>
        <w:ind w:left="0" w:right="0" w:firstLine="720"/>
        <w:rPr/>
      </w:pPr>
      <w:r>
        <w:rPr/>
      </w:r>
    </w:p>
    <w:tbl>
      <w:tblPr>
        <w:tblW w:w="10205" w:type="dxa"/>
        <w:jc w:val="center"/>
        <w:tblInd w:w="0" w:type="dxa"/>
        <w:tblCellMar>
          <w:top w:w="28" w:type="dxa"/>
          <w:left w:w="28" w:type="dxa"/>
          <w:bottom w:w="28" w:type="dxa"/>
          <w:right w:w="28" w:type="dxa"/>
        </w:tblCellMar>
      </w:tblPr>
      <w:tblGrid>
        <w:gridCol w:w="1071"/>
        <w:gridCol w:w="902"/>
        <w:gridCol w:w="905"/>
        <w:gridCol w:w="390"/>
        <w:gridCol w:w="357"/>
        <w:gridCol w:w="895"/>
        <w:gridCol w:w="109"/>
        <w:gridCol w:w="109"/>
        <w:gridCol w:w="109"/>
        <w:gridCol w:w="211"/>
        <w:gridCol w:w="976"/>
        <w:gridCol w:w="109"/>
        <w:gridCol w:w="109"/>
        <w:gridCol w:w="109"/>
        <w:gridCol w:w="109"/>
        <w:gridCol w:w="390"/>
        <w:gridCol w:w="357"/>
        <w:gridCol w:w="895"/>
        <w:gridCol w:w="109"/>
        <w:gridCol w:w="109"/>
        <w:gridCol w:w="109"/>
        <w:gridCol w:w="243"/>
        <w:gridCol w:w="1127"/>
        <w:gridCol w:w="125"/>
        <w:gridCol w:w="109"/>
        <w:gridCol w:w="162"/>
      </w:tblGrid>
      <w:tr>
        <w:trPr/>
        <w:tc>
          <w:tcPr>
            <w:tcW w:w="1071"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Effective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As of </w:t>
              <w:b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Secured Credit Facilities:</w:t>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 principal</w:t>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834,000 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 principal</w:t>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8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843,625 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 — principal</w:t>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Less unamortized debt issuance costs</w:t>
            </w:r>
            <w:r>
              <w:rPr>
                <w:rFonts w:ascii="Times New Roman;sans-serif" w:hAnsi="Times New Roman;sans-serif"/>
                <w:b w:val="false"/>
                <w:color w:val="000000"/>
                <w:sz w:val="13"/>
              </w:rPr>
              <w:t>(1)</w:t>
            </w:r>
          </w:p>
        </w:tc>
        <w:tc>
          <w:tcPr>
            <w:tcW w:w="1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(24,262)</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 of long-term debt</w:t>
            </w:r>
          </w:p>
        </w:tc>
        <w:tc>
          <w:tcPr>
            <w:tcW w:w="1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1,653,363 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29,688 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1,623,675 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ind w:left="0" w:right="0" w:hanging="360"/>
        <w:rPr/>
      </w:pPr>
      <w:r>
        <w:rPr>
          <w:rFonts w:ascii="Times New Roman;sans-serif" w:hAnsi="Times New Roman;sans-serif"/>
          <w:b w:val="false"/>
          <w:color w:val="000000"/>
          <w:sz w:val="12"/>
        </w:rPr>
        <w:t>(1)    </w:t>
      </w:r>
      <w:r>
        <w:rPr>
          <w:rFonts w:ascii="Times New Roman;sans-serif" w:hAnsi="Times New Roman;sans-serif"/>
          <w:b w:val="false"/>
          <w:color w:val="000000"/>
          <w:sz w:val="20"/>
        </w:rPr>
        <w:t>Comprised of $11.8 million and $11.2 million relating to the Term Loan A and the Term Loan B, respectively, as of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aggregate amount of principal repayments of our long-term debt (including any current portion) for each of the next five years is approximately (in thousands):</w:t>
      </w:r>
    </w:p>
    <w:p>
      <w:pPr>
        <w:pStyle w:val="TextBody"/>
        <w:spacing w:before="0" w:after="0"/>
        <w:ind w:left="0" w:right="0" w:firstLine="720"/>
        <w:rPr/>
      </w:pPr>
      <w:r>
        <w:rPr/>
      </w:r>
    </w:p>
    <w:tbl>
      <w:tblPr>
        <w:tblW w:w="3348" w:type="dxa"/>
        <w:jc w:val="center"/>
        <w:tblInd w:w="0" w:type="dxa"/>
        <w:tblCellMar>
          <w:top w:w="28" w:type="dxa"/>
          <w:left w:w="28" w:type="dxa"/>
          <w:bottom w:w="28" w:type="dxa"/>
          <w:right w:w="28" w:type="dxa"/>
        </w:tblCellMar>
      </w:tblPr>
      <w:tblGrid>
        <w:gridCol w:w="608"/>
        <w:gridCol w:w="534"/>
        <w:gridCol w:w="538"/>
        <w:gridCol w:w="109"/>
        <w:gridCol w:w="109"/>
        <w:gridCol w:w="109"/>
        <w:gridCol w:w="211"/>
        <w:gridCol w:w="976"/>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interest expense related to our long-term debt (in thousands):</w:t>
      </w:r>
    </w:p>
    <w:p>
      <w:pPr>
        <w:pStyle w:val="TextBody"/>
        <w:spacing w:before="0" w:after="0"/>
        <w:ind w:left="0" w:right="0" w:firstLine="720"/>
        <w:rPr/>
      </w:pPr>
      <w:r>
        <w:rPr/>
      </w:r>
    </w:p>
    <w:tbl>
      <w:tblPr>
        <w:tblW w:w="6744" w:type="dxa"/>
        <w:jc w:val="center"/>
        <w:tblInd w:w="0" w:type="dxa"/>
        <w:tblCellMar>
          <w:top w:w="28" w:type="dxa"/>
          <w:left w:w="28" w:type="dxa"/>
          <w:bottom w:w="28" w:type="dxa"/>
          <w:right w:w="28" w:type="dxa"/>
        </w:tblCellMar>
      </w:tblPr>
      <w:tblGrid>
        <w:gridCol w:w="1394"/>
        <w:gridCol w:w="1227"/>
        <w:gridCol w:w="1233"/>
        <w:gridCol w:w="211"/>
        <w:gridCol w:w="721"/>
        <w:gridCol w:w="109"/>
        <w:gridCol w:w="109"/>
        <w:gridCol w:w="109"/>
        <w:gridCol w:w="109"/>
        <w:gridCol w:w="211"/>
        <w:gridCol w:w="721"/>
        <w:gridCol w:w="109"/>
        <w:gridCol w:w="109"/>
        <w:gridCol w:w="109"/>
        <w:gridCol w:w="109"/>
        <w:gridCol w:w="154"/>
      </w:tblGrid>
      <w:tr>
        <w:trPr/>
        <w:tc>
          <w:tcPr>
            <w:tcW w:w="1394"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 Revolving Credit Facility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debt-related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Stockholders' Equity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Shareholders Agreement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the completion of the Smiths Medical acquisition on January 6, 2022, Smiths owned approximately 10.5% of the total outstanding shares of our common stock (see Note 3: Acquisitions). At closing, in connection with the issuance of the share consideration, we entered into a Shareholders Agreement (the “Shareholders Agreement”) with Smiths. The Shareholders Agreement imposes certain restrictions on Smiths including prohibiting certain transfers of the shares of our common stock issued (i) for 6 months following the closing of the acquisition and (ii) to certain of our competitors and certain other parties, as well as customary standstill limitations. The Shareholders Agreement also permits Smiths to designate one individual for election to our Board of Directors (the "Board") so long as Smiths beneficially owns at least 5.0% of the total outstanding shares of our common stock. On February 1, 2022, our Board appointed a new director designated by Smiths pursuant to the Shareholders Agreement who was elected to the Board at the 2022 Annual Meeting of Stockholders held in May 2022. This appointment expanded the size of our Board from eight to nine members. See our Current Report on Form 8-K filed on February 1, 2022 for additional information.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In August 2019, our Board approved a share purchase plan to purchase up to $100.0 million of our common stock. This plan has no expiration date. During the three months ended March 31, 2023, we did not purchase any shares of our common stock under our share purchase plan. As of March 31, 2023, all of the $100.0 million available for purchase was remaining under the plan. We are currently limited on share purchases in accordance with the terms and conditions of our Credit Agreement (see Note 17: Long-Term Debt). </w:t>
      </w:r>
    </w:p>
    <w:p>
      <w:pPr>
        <w:pStyle w:val="TextBody"/>
        <w:spacing w:before="0" w:after="0"/>
        <w:rPr/>
      </w:pPr>
      <w:r>
        <w:rPr/>
      </w:r>
    </w:p>
    <w:p>
      <w:pPr>
        <w:pStyle w:val="TextBody"/>
        <w:spacing w:lineRule="auto" w:line="288" w:before="0" w:after="0"/>
        <w:rPr/>
      </w:pPr>
      <w:r>
        <w:rPr>
          <w:color w:val="FF0000"/>
        </w:rPr>
        <w:t>    </w:t>
      </w:r>
      <w:r>
        <w:rPr>
          <w:rFonts w:ascii="Times New Roman;sans-serif" w:hAnsi="Times New Roman;sans-serif"/>
          <w:b w:val="false"/>
          <w:color w:val="000000"/>
          <w:sz w:val="20"/>
        </w:rPr>
        <w:t xml:space="preserve">For the three months ended March 31, 2023, we withheld 52,764 shares of our common stock from employee vested restricted stock units in consideration for $8.4 million in payments made on the employees' behalf for their minimum statutory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income tax withholding obligations. For the three months ended March 31, 2022, we withheld 37,279 shares of our common stock from employee vested restricted stock units in consideration for $8.7 million in payments made on the employees' behalf for their minimum statutory income tax withholding obligations. Treasury stock is used to issue shares for stock option exercises and restricted stock grants.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(Loss) Income ("AOCI")</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The components of AOCI, net of tax, were as follows (in thousands):</w:t>
      </w:r>
    </w:p>
    <w:tbl>
      <w:tblPr>
        <w:tblW w:w="10205" w:type="dxa"/>
        <w:jc w:val="center"/>
        <w:tblInd w:w="0" w:type="dxa"/>
        <w:tblCellMar>
          <w:top w:w="28" w:type="dxa"/>
          <w:left w:w="28" w:type="dxa"/>
          <w:bottom w:w="28" w:type="dxa"/>
          <w:right w:w="28" w:type="dxa"/>
        </w:tblCellMar>
      </w:tblPr>
      <w:tblGrid>
        <w:gridCol w:w="1047"/>
        <w:gridCol w:w="568"/>
        <w:gridCol w:w="566"/>
        <w:gridCol w:w="109"/>
        <w:gridCol w:w="109"/>
        <w:gridCol w:w="109"/>
        <w:gridCol w:w="369"/>
        <w:gridCol w:w="1539"/>
        <w:gridCol w:w="190"/>
        <w:gridCol w:w="109"/>
        <w:gridCol w:w="109"/>
        <w:gridCol w:w="109"/>
        <w:gridCol w:w="437"/>
        <w:gridCol w:w="1494"/>
        <w:gridCol w:w="225"/>
        <w:gridCol w:w="109"/>
        <w:gridCol w:w="109"/>
        <w:gridCol w:w="109"/>
        <w:gridCol w:w="300"/>
        <w:gridCol w:w="877"/>
        <w:gridCol w:w="156"/>
        <w:gridCol w:w="109"/>
        <w:gridCol w:w="109"/>
        <w:gridCol w:w="109"/>
        <w:gridCol w:w="211"/>
        <w:gridCol w:w="757"/>
        <w:gridCol w:w="161"/>
      </w:tblGrid>
      <w:tr>
        <w:trPr/>
        <w:tc>
          <w:tcPr>
            <w:tcW w:w="1047"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Currency Translation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 Gains on 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(122,973)</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(97,990)</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(61,603)</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r>
        <w:trPr/>
        <w:tc>
          <w:tcPr>
            <w:tcW w:w="21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tbl>
      <w:tblPr>
        <w:tblW w:w="10205" w:type="dxa"/>
        <w:jc w:val="center"/>
        <w:tblInd w:w="0" w:type="dxa"/>
        <w:tblCellMar>
          <w:top w:w="28" w:type="dxa"/>
          <w:left w:w="28" w:type="dxa"/>
          <w:bottom w:w="28" w:type="dxa"/>
          <w:right w:w="28" w:type="dxa"/>
        </w:tblCellMar>
      </w:tblPr>
      <w:tblGrid>
        <w:gridCol w:w="1047"/>
        <w:gridCol w:w="569"/>
        <w:gridCol w:w="567"/>
        <w:gridCol w:w="109"/>
        <w:gridCol w:w="109"/>
        <w:gridCol w:w="109"/>
        <w:gridCol w:w="415"/>
        <w:gridCol w:w="1456"/>
        <w:gridCol w:w="217"/>
        <w:gridCol w:w="109"/>
        <w:gridCol w:w="109"/>
        <w:gridCol w:w="109"/>
        <w:gridCol w:w="438"/>
        <w:gridCol w:w="1497"/>
        <w:gridCol w:w="226"/>
        <w:gridCol w:w="109"/>
        <w:gridCol w:w="109"/>
        <w:gridCol w:w="109"/>
        <w:gridCol w:w="413"/>
        <w:gridCol w:w="707"/>
        <w:gridCol w:w="215"/>
        <w:gridCol w:w="109"/>
        <w:gridCol w:w="109"/>
        <w:gridCol w:w="109"/>
        <w:gridCol w:w="211"/>
        <w:gridCol w:w="757"/>
        <w:gridCol w:w="162"/>
      </w:tblGrid>
      <w:tr>
        <w:trPr/>
        <w:tc>
          <w:tcPr>
            <w:tcW w:w="104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1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Currency Translation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(Losses) Gains on Cash Flow Hedges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(19,045)</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w:t>
              <w:br/>
              <w:t>reclassifications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w:t>
            </w:r>
          </w:p>
        </w:tc>
        <w:tc>
          <w:tcPr>
            <w:tcW w:w="2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(23,991)</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2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2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2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2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2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2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r>
        <w:trPr/>
        <w:tc>
          <w:tcPr>
            <w:tcW w:w="21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19: Commitments and Contingencies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spacing w:lineRule="auto" w:line="288" w:before="0" w:after="0"/>
        <w:ind w:left="0" w:right="0" w:firstLine="72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Although we can provide no assurances, we have never incurred, nor do we expect to incur, any material liability for indemnification.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6, 2022, we acquired Smiths Medical. Total consideration for the acquisition includes a potential earn-out payment of $100.0 million in cash contingent on our common stock achieving a certain volume-weighted average price from the closing date to either the third or fourth anniversary of closing. As of March 31, 2023, the estimated fair value of the contingent earn-out is $20.3 million (see Note 9: Fair Value Measurements).</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being acquired, during 2021, Smiths Medical received a Warning Letter from the FDA following an inspection of Smiths Medical’s Oakdale, Minnesota Facility. The Warning Letter cited, among other things, failures to comply with FDA's medical device reporting requirements and failures to comply with applicable portions of the Quality System Regulation. A provision for the estimated costs related to the field service corrective action was recorded on the opening acquired balance sheet of Smiths Medical in the amount of $55.1 million. The initial estimate recorded was based on a probability-weighted estimate of the costs required to settle the obligation. The actual costs to be incurred are dependent upon the scope of the work necessary to achieve regulatory clearance and could differ from the original estimate. The estimated field service corrective action recorded at March 31, 2023 is $48.6 million.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As of December 31, 2022, the measurement period related to (i) above ended and based on the actual revenue achieved during the measurement period we determined that the fair value of the contingent earn-out was zero as the minimum threshold for earning the earn-out was not met. As of March 31, 2023, the estimated fair value of the contingent earn-out related to certain product-related regulatory certification was estimated to be $1.5 million (see Note 9: Fair Value Measurements).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March 31, 2023, the estimated fair value of the contingent earn-out is $2.6 million (see Note 9: Fair Value Measurements).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Commitments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 xml:space="preserve">We have non-cancelable operating lease agreements where we are contractually obligated to pay certain lease payment amounts (see Note 6: Leases).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20:     Collaborative and Other Arrangements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is subject to an annual update,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whereby Pfizer manufactures and supplies to us certain agreed upon products. The Product Addendum includes the supply of additional product to us subject to certain time and pricing terms and conditions. The Product Addendum includes a minimum purchase obligation of $29.6 million and expired on November 30, 2022. As of November 30, 2022, we have satisfied the minimum purchase obligations under the Product Addendum.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ICU MEDICAL,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21: Accounts Receivable Purchase Program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January 19, 2023, we entered into a revolving $150 million uncommitted receivables purchase agreement with Bank of The West ("BOW") which provides for a less expensive form of capital. The discount rate applied to the sold receivables equals a rate per annum equal to the sum of (i) an applicable margin of 1.75%, plus (ii) Term SOFR for a period equal to the discount period which is calculated with respect to the payment terms of the specific receivable. The accounts receivable sold have payment terms ranging between 30 and 60 days, and are related to customer accounts with good credit history. The transfer of the purchased accounts receivable under the agreement is intended to be an absolute and irrevocable transfer constituting a true sale as the transferred receivables have been isolated beyond the reach of the Company and our creditors, even in bankruptcy or other receivership. We do not retain effective control over the sold receivables and BOW has the right upon purchase to pledge and/or exchange the transferred assets without restrictions. The Company acts as collection agent for BOW and collection services are undertaken by our accounts receivable personnel in their normal course of business and collected funds are remitted to BOW. We do not have any continuing involvement with the sold receivables other than the collection services which does not provide us with more than a trivial benefit. The discount rate has been negotiated net of consideration for the collection services, the cost of collection is immaterial to the Company; therefore, we did not separately record any related servicing assets or liabilities as of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carrying value of trade receivables sold to BOW in connection with the purchase program was $139.6 million. In exchange for the sale of trade receivables, we received cash of $138.8 million. The sale of the receivables resulted in a loss of $0.8 million recorded in other (expense) income, net in our condensed consolidated statement of operations. For the three months ended March 31, 2023, we have collected and remitted $81.6 million in cash to BOW. As of March 31, 2023, cash remaining to be collected on behalf of BOW was $58.0 million, which has been removed from our condensed consolidated balance sheet as of March 31, 2023 and is reflected as cash provided by operating activities in the condensed consolidated statement of cash flows. There were no such balances at December 31, 2022. The carrying value of the sold receivables approximated the fair value at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Item 2. Management’s Discussion and Analysis of Financial Condition and Results of Operations</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w:t>
      </w:r>
      <w:r>
        <w:rPr>
          <w:rFonts w:ascii="Times New Roman;sans-serif" w:hAnsi="Times New Roman;sans-serif"/>
          <w:b w:val="false"/>
          <w:i/>
          <w:color w:val="000000"/>
          <w:sz w:val="20"/>
        </w:rPr>
        <w:t>You should read the following discussion and analysis of our financial condition and results of operations together with the condensed consolidated financial statements and accompanying notes in this Quarterly Report on Form 10-Q, as well as the audited consolidated financial statements and related notes thereto included in our Annual Report on Form 10-K for the fiscal year ended December 31,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the caption entitled “Forward-Looking Statements” in this section and Part I, Item 1A. “Risk Factors” in our 2022 Annual Report on Form 10-K.</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w:t>
      </w:r>
      <w:r>
        <w:rPr>
          <w:rFonts w:ascii="Times New Roman;sans-serif" w:hAnsi="Times New Roman;sans-serif"/>
          <w:b w:val="false"/>
          <w:i/>
          <w:color w:val="000000"/>
          <w:sz w:val="20"/>
        </w:rPr>
        <w:t>When used in this report, the terms “we,” “us,” and “our” refer to ICU Medical, Inc. ("ICU") and its consolidated subsidiaries included in our condensed consolidated financial statements unless context requires otherwise.</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Business Overview and Highlights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develop, manufacture, and sell infusion systems, infusion consumables and high-value critical care products used in hospital, alternate site and home care settings. Our team is focused on providing quality, innovation and value to our clinical customers worldwide. Our product portfolio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transfer devices for preparing and administering hazardous IV drugs and cardiac monitoring systems for critically ill patients.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Products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primary product offerings have been classified into our new business units as listed below. We have presented our financial results in accordance with these product lines: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Consumables business unit includes Infusion Therapy, Oncology, Vascular Access and Tracheostomy products.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Infusion Therapy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Infusion Therapy products include non-dedicated infusion sets, extension sets, needle-free connectors, and disinfection caps. Infusion sets used in hospitals and ambulatory clinics consist of flexible sterile tubing running from an IV bag or bottle containing a drug product or solution to a catheter inserted in a patient’s vein that may or may not be used with an infusion pump. Disinfection caps are used to actively disinfect access points into the infusion sets and catheters. Our primary Infusion Therapy products 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 xml:space="preserve">Clave™ </w:t>
      </w:r>
      <w:r>
        <w:rPr>
          <w:rFonts w:ascii="Times New Roman;sans-serif" w:hAnsi="Times New Roman;sans-serif"/>
          <w:b w:val="false"/>
          <w:color w:val="000000"/>
          <w:sz w:val="20"/>
        </w:rPr>
        <w:t>needlefree products, including the MicroClave, MicroClave Clear, and NanoClave</w:t>
      </w:r>
      <w:r>
        <w:rPr>
          <w:color w:val="000000"/>
        </w:rPr>
        <w:t xml:space="preserve">™ </w:t>
      </w:r>
      <w:r>
        <w:rPr>
          <w:rFonts w:ascii="Times New Roman;sans-serif" w:hAnsi="Times New Roman;sans-serif"/>
          <w:b w:val="false"/>
          <w:color w:val="000000"/>
          <w:sz w:val="20"/>
        </w:rPr>
        <w:t>brand of connectors, accessories, extension and administration sets used for the administration of IV fluids and medications and the Neutron catheter patency device, used to help maintain patency of central venous catheters;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Neutron™ catheter patency device, used to help maintain patency of central venous catheters;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Tego™ needlefree connector utilized to access catheters for hemodialysis and apheresis applications;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ClearGuard™, SwabCap™ and SwabTip™ disinfection caps.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Oncology</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Closed System Transfer Devices ("CSTD") and hazardous drug compounding systems are used to prepare and deliver hazardous IV medications such as those used in chemotherapy, which, if released, can have harmful effects on the healthcare worker and environment. Our primary Oncology products are: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ChemoLock</w:t>
      </w:r>
      <w:r>
        <w:rPr>
          <w:rFonts w:ascii="Times New Roman;sans-serif" w:hAnsi="Times New Roman;sans-serif"/>
          <w:b w:val="false"/>
          <w:i/>
          <w:color w:val="000000"/>
          <w:sz w:val="13"/>
        </w:rPr>
        <w:t>TM</w:t>
      </w:r>
      <w:r>
        <w:rPr>
          <w:color w:val="000000"/>
        </w:rPr>
        <w:t xml:space="preserve"> </w:t>
      </w:r>
      <w:r>
        <w:rPr>
          <w:rFonts w:ascii="Times New Roman;sans-serif" w:hAnsi="Times New Roman;sans-serif"/>
          <w:b w:val="false"/>
          <w:color w:val="000000"/>
          <w:sz w:val="20"/>
        </w:rPr>
        <w:t xml:space="preserve">CSTD, which utilizes a proprietary needlefree connection method, is used for the preparation and administration of hazardous drugs. ChemoLock is used to limit the escape of hazardous drug or vapor concentrations, block the transfer of environmental contaminants into the system, and eliminates the risk of needlestick injury;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ChemoClave</w:t>
      </w:r>
      <w:r>
        <w:rPr>
          <w:rFonts w:ascii="Times New Roman;sans-serif" w:hAnsi="Times New Roman;sans-serif"/>
          <w:b w:val="false"/>
          <w:i/>
          <w:color w:val="000000"/>
          <w:sz w:val="13"/>
        </w:rPr>
        <w:t>TM</w:t>
      </w:r>
      <w:r>
        <w:rPr>
          <w:rFonts w:ascii="Times New Roman;sans-serif" w:hAnsi="Times New Roman;sans-serif"/>
          <w:b w:val="false"/>
          <w:color w:val="000000"/>
          <w:sz w:val="20"/>
        </w:rPr>
        <w:t>, an ISO Connection standard and universally compatible CSTD used for the preparation and administration of hazardous 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GRIPPER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non-coring needles for portal access.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Vascular Access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vascular access products allow clinicians to safely access the patients' bloodstream to deliver fluids and medication or to obtain blood samples. Our primary Vascular Access products 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Jelco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safety and conventional peripheral IV catheters and sharps safety devices for hypodermic injection, designed to help prevent accidental needlestick injury;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Safe-T Wing</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venipuncture and blood collection devices;</w:t>
      </w:r>
    </w:p>
    <w:p>
      <w:pPr>
        <w:pStyle w:val="TextBody"/>
        <w:spacing w:before="0" w:after="0"/>
        <w:ind w:left="0" w:right="0" w:hanging="36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Port-A-Cath</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implantable ports;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DELTEC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implantable ports;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Portex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arterial blood sampling syringes;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PowerWand</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midline catheters;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Cleo</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subcutaneous infusion catheters and sets.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Tracheostomy</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Our tracheostomy products enable placement of a secure airway using both surgical and percutaneous insertion techniques. Our primary Tracheostomy products includes: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Portex BLUselect</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PVC tracheostomy tubes feature an inner cannula as well as a Suctionaid option for above the cuff suctioning and vocalization capability;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Portex Bivona</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silicone tracheostomy tubes offer the added benefits of comfort and mobility and come in a variety of configurations suited to meet the clinical needs of neonatal through adult patients;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Portex BLUperc</w:t>
      </w:r>
      <w:r>
        <w:rPr>
          <w:rFonts w:ascii="Times New Roman;sans-serif" w:hAnsi="Times New Roman;sans-serif"/>
          <w:b w:val="false"/>
          <w:i/>
          <w:color w:val="000000"/>
          <w:sz w:val="13"/>
        </w:rPr>
        <w:t>®</w:t>
      </w:r>
      <w:r>
        <w:rPr>
          <w:color w:val="000000"/>
        </w:rPr>
        <w:t xml:space="preserve"> </w:t>
      </w:r>
      <w:r>
        <w:rPr>
          <w:rFonts w:ascii="Times New Roman;sans-serif" w:hAnsi="Times New Roman;sans-serif"/>
          <w:b w:val="false"/>
          <w:color w:val="000000"/>
          <w:sz w:val="20"/>
        </w:rPr>
        <w:t>percutaneous insertion kits allow for safe placement of the tracheostomy tube at the bedside.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We offer a wide range of infusion pumps, dedicated IV sets, software and professional services. Our primary Infusion System products are:</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Large Volume Pump ("LVP") Hardware and Dedicated IV Sets: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Plum 360™</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 Plum 360™ infusion pump is an ICU Medical MedNet™ ready large volume infusion pump with an extensive drug library and wireless capability. The pumps work with dedicated IC sets. Plum 360 was named the 2018, 2019, 2020, and 2022 Best in KLAS winner as top-performing IV smart pump and was the first medical device to be awarded UL Cybersecurity Assurance Program Certification. Also, in 2021 and 2022, the Plum 360 won the award as the top-performing Smart Pump EMR-Integrated.</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Ambulatory Infusion Hardware: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CADD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ambulatory infusion pumps and disposables, including administration sets and medication cassette reservoirs, support a variety of IV pain management therapies across clinical care areas from hospital to outpatient treatment.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Syringe Infusion Hardware: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Medfusion</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syringe infusion pumps are designed for the administration of fluids and medication requiring precisely controlled infusion rates from a variety of syringe sizes in acute care settings. </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i/>
          <w:color w:val="000000"/>
          <w:sz w:val="20"/>
        </w:rPr>
        <w:t>IV Medication Safety Software: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ICU Medical MedNet</w:t>
      </w:r>
      <w:r>
        <w:rPr>
          <w:color w:val="000000"/>
        </w:rPr>
        <w:t>™</w:t>
      </w:r>
      <w:r>
        <w:rPr>
          <w:rFonts w:ascii="Times New Roman;sans-serif" w:hAnsi="Times New Roman;sans-serif"/>
          <w:b w:val="false"/>
          <w:color w:val="000000"/>
          <w:sz w:val="20"/>
        </w:rPr>
        <w:t xml:space="preserve">: ICU Medical MedNet is an enterprise-class medication management platform for any sized healthcare system that can help reduce medication errors, improve quality of care, streamline workflows and maximize revenue capture. ICU Medical MedNet connects our industry-leading smart pumps to a hospital’s EHR, asset tracking systems, and alarm notification platforms with the largest array of integration partners.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PharmGuard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Medication Safety Software for Medfusion</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 xml:space="preserve">4000 syringe and CADD™ Solis pumps allows for customized drug libraries to support the standardization of protocols for medication administration throughout the facility.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Professional Services: </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Vital Care business unit includes IV Solutions, Critical Care, General Anesthesia and Respiratory, Temperature Management Solutions and Regional Anesthesia/Pain Management products.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IV Solutions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IV Solutions products include a broad portfolio of injection, irrigation, nutrition and specialty IV solutions including: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IV Therapy and Diluents: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Including Sodium Chloride, Dextrose, Balanced Electrolyte Solutions, Lactated Ringer's, Ringer's, Mannitol, Sodium Chloride/Dextrose and Sterile Water.</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Irrigation: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Including Sodium Chloride Irrigation, Sterile Water Irrigation, Physiologic Solutions, Ringer's Irrigation, Acetic Acid Irrigation, Glycine Irrigation, Sorbitol-Mannitol Irrigation, Flexible Containers and Pour Bottle Options.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Hemodynamic Monitoring</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Hemodynamic Monitoring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Hemodynamic Monitoring products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Cogent™ 2-in-1 hemodynamic monitoring system;</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CardioFlo™ hemodynamic monitoring system;</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TDQ™ and OptiQ™ cardiac output monitoring catheters;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TriOx</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venous oximetry catheters;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Transpac™ blood pressure transducers;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SafeSet™ closed blood sampling and conservation system.</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MEDEX® LogiCal® Pressure Monitoring System and components.</w:t>
      </w:r>
    </w:p>
    <w:p>
      <w:pPr>
        <w:pStyle w:val="TextBody"/>
        <w:spacing w:before="0" w:after="0"/>
        <w:ind w:left="0" w:right="0" w:firstLine="720"/>
        <w:rPr/>
      </w:pPr>
      <w:r>
        <w:rPr/>
      </w:r>
    </w:p>
    <w:p>
      <w:pPr>
        <w:pStyle w:val="TextBody"/>
        <w:spacing w:lineRule="auto" w:line="288" w:before="0" w:after="0"/>
        <w:rPr/>
      </w:pPr>
      <w:r>
        <w:rPr>
          <w:color w:val="000000"/>
        </w:rPr>
        <w:t>    </w:t>
      </w:r>
      <w:r>
        <w:rPr>
          <w:rFonts w:ascii="Times New Roman;sans-serif" w:hAnsi="Times New Roman;sans-serif"/>
          <w:b w:val="false"/>
          <w:i/>
          <w:color w:val="000000"/>
          <w:sz w:val="20"/>
        </w:rPr>
        <w:t>General Anesthesia &amp; Respiratory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offer a broad range of anesthesia systems and devices and breathing circuits, ventilation, respiratory and specialty airway products that maintain patients’ airways before, during and after surgery. Our primary Anesthesia &amp; Respiratory products are: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Portex</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i/>
          <w:color w:val="000000"/>
          <w:sz w:val="20"/>
        </w:rPr>
        <w:t>acapella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bronchial hygiene products used to mobilize pulmonary secretions to facilitate the opening of airways in patients with chronic respiratory diseases such as chronic obstructive pulmonary disease, or COPD, asthma and cystic fibrosis.</w:t>
      </w:r>
    </w:p>
    <w:p>
      <w:pPr>
        <w:pStyle w:val="TextBody"/>
        <w:spacing w:lineRule="auto" w:line="288" w:before="0" w:after="0"/>
        <w:ind w:left="0" w:right="0" w:firstLine="72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i/>
          <w:color w:val="000000"/>
          <w:sz w:val="20"/>
        </w:rPr>
        <w:t>Temperature Management Solutions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Temperature Management solutions systems are used in perioperative and critical care settings to help monitor and regulate patient temperature. Our primary Temperature Management products include:</w:t>
      </w:r>
    </w:p>
    <w:p>
      <w:pPr>
        <w:pStyle w:val="TextBody"/>
        <w:spacing w:before="0" w:after="0"/>
        <w:ind w:left="0" w:right="0" w:firstLine="72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Level 1</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rapid infusion, fluid warming, routine blood and fluid warming, irrigation fluid warming, convective patient warming and temperature probes.</w:t>
      </w:r>
    </w:p>
    <w:p>
      <w:pPr>
        <w:pStyle w:val="TextBody"/>
        <w:spacing w:lineRule="auto" w:line="288" w:before="0" w:after="0"/>
        <w:rPr>
          <w:color w:val="000000"/>
        </w:rPr>
      </w:pPr>
      <w:r>
        <w:rPr>
          <w:color w:val="000000"/>
        </w:rPr>
        <w:t>    </w:t>
      </w:r>
    </w:p>
    <w:p>
      <w:pPr>
        <w:pStyle w:val="TextBody"/>
        <w:spacing w:lineRule="auto" w:line="288" w:before="0" w:after="0"/>
        <w:rPr/>
      </w:pPr>
      <w:r>
        <w:rPr>
          <w:color w:val="000000"/>
        </w:rPr>
        <w:t>    </w:t>
      </w:r>
      <w:r>
        <w:rPr>
          <w:rFonts w:ascii="Times New Roman;sans-serif" w:hAnsi="Times New Roman;sans-serif"/>
          <w:b w:val="false"/>
          <w:i/>
          <w:color w:val="000000"/>
          <w:sz w:val="20"/>
        </w:rPr>
        <w:t>Regional Anesthesia/Pain Management Trays</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20"/>
        </w:rPr>
        <w:t xml:space="preserve">We offer a comprehensive range of </w:t>
      </w:r>
      <w:r>
        <w:rPr>
          <w:rFonts w:ascii="Times New Roman;sans-serif" w:hAnsi="Times New Roman;sans-serif"/>
          <w:b w:val="false"/>
          <w:i/>
          <w:color w:val="000000"/>
          <w:sz w:val="20"/>
        </w:rPr>
        <w:t>Portex</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regional anesthesia/pain management trays and components. Our primary products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Epidural Trays;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Spinal Trays;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Combined (CSE) Trays;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Peripheral Nerve Block Trays;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Specialty Trays (Lumbar Puncture, Amniocentesis, Myelogram).</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 </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COVID-19 Pandemic and other Global Geopolitical Events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business operations have been, and we may continue to be, impacted by the novel coronavirus and its variants ("COVID-19"), which has caused lower hospital admissions and medical procedure volumes and by the continuing conflict between Russia and Ukraine. These events have resulted in global economic challenges, and impacts to us and our business, such as rising inflation, especially with respect to freight costs driven by the higher fuel prices, increased cost of raw materials as well as shortages, and supply chain disruptions which negatively impacted our gross profit margin during 2022. The rising interest rates and foreign currency impact due to the strengthening of the U.S. dollar have also impacted our results of operations during 2022 and 2023.</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we continually monitor the ongoing and evolving impact of the above events on our operations the overall impact remains uncertain and may not be fully reflected until future periods. The overall impact to our results of operations will depend on factors such as the duration and extent of the impact from the COVID-19 pandemic, the conflict in the Ukraine and the related global economic challenges, none of which can be fully predicted at this time. See “Part I. Item 1A. Risk Factors” in our 2022 Annual Report on Form 10K for a discussion of risks and uncertainties.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We present income statement data in Part I, Item 1. "Financial Statements." The following table shows, for the three months ended March 31, 2023 and 2022, the percentages of each income statement caption in relation to total revenue: </w:t>
      </w:r>
    </w:p>
    <w:tbl>
      <w:tblPr>
        <w:tblW w:w="7674" w:type="dxa"/>
        <w:jc w:val="left"/>
        <w:tblInd w:w="0" w:type="dxa"/>
        <w:tblCellMar>
          <w:top w:w="28" w:type="dxa"/>
          <w:left w:w="28" w:type="dxa"/>
          <w:bottom w:w="28" w:type="dxa"/>
          <w:right w:w="28" w:type="dxa"/>
        </w:tblCellMar>
      </w:tblPr>
      <w:tblGrid>
        <w:gridCol w:w="1817"/>
        <w:gridCol w:w="1599"/>
        <w:gridCol w:w="1608"/>
        <w:gridCol w:w="266"/>
        <w:gridCol w:w="200"/>
        <w:gridCol w:w="386"/>
        <w:gridCol w:w="155"/>
        <w:gridCol w:w="155"/>
        <w:gridCol w:w="155"/>
        <w:gridCol w:w="266"/>
        <w:gridCol w:w="200"/>
        <w:gridCol w:w="386"/>
        <w:gridCol w:w="109"/>
        <w:gridCol w:w="109"/>
        <w:gridCol w:w="109"/>
        <w:gridCol w:w="154"/>
      </w:tblGrid>
      <w:tr>
        <w:trPr/>
        <w:tc>
          <w:tcPr>
            <w:tcW w:w="1817"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6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strategic transaction and integration expenses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465"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for income taxes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TextBody"/>
        <w:spacing w:lineRule="auto" w:line="288" w:before="0" w:after="0"/>
        <w:rPr/>
      </w:pPr>
      <w:r>
        <w:rPr>
          <w:rFonts w:ascii="Times New Roman;sans-serif" w:hAnsi="Times New Roman;sans-serif"/>
          <w:b/>
          <w:i/>
          <w:color w:val="000000"/>
          <w:sz w:val="20"/>
        </w:rPr>
        <w:t>Seasonality/Quarterly Results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seasonal aspects to our business. We can experience fluctuations in net sales as a result of variations in the ordering patterns of our largest customers, which may be driven more by production scheduling and customer inventory levels, and less by seasonality . Our expenses often do not fluctuate in the same manner as net sales, which may cause fluctuations in operating income that are disproportionate to fluctuations in our revenue.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comparing changes in revenue on a U.S. GAAP basis, we also compare the changes in revenue from one period to another using constant currency. The presentation of revenues on a constant currency basis is a non-GAAP financial measure that excludes the impact of fluctuations in foreign currency exchange rates that occurred between the comparative periods. We provide constant currency information to enhance the visibility of underlying business trends, excluding the effects of changes in foreign currency translation rates. We believe this information is useful to investors to facilitate comparisons and better identify trends in our business. Our constant currency revenues reflect current period local currency revenues at prior period's average exchange rates. We consistently apply this approach to revenues for all currencies where the functional currency is not the U.S. dollar. These results should be considered in addition to, not as a substitute for, results reported in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accordance with GAAP. Results on a constant currency basis, as we present them, may not be comparable to similarly titled measures used by other companies and are not measures of performance presented in accordance with GAAP.</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Consumables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following table summarizes our total Infusion Consumables revenue (in millions):</w:t>
      </w:r>
    </w:p>
    <w:tbl>
      <w:tblPr>
        <w:tblW w:w="6495" w:type="dxa"/>
        <w:jc w:val="center"/>
        <w:tblInd w:w="0" w:type="dxa"/>
        <w:tblCellMar>
          <w:top w:w="28" w:type="dxa"/>
          <w:left w:w="28" w:type="dxa"/>
          <w:bottom w:w="28" w:type="dxa"/>
          <w:right w:w="28" w:type="dxa"/>
        </w:tblCellMar>
      </w:tblPr>
      <w:tblGrid>
        <w:gridCol w:w="391"/>
        <w:gridCol w:w="344"/>
        <w:gridCol w:w="346"/>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225"/>
        <w:gridCol w:w="225"/>
        <w:gridCol w:w="503"/>
        <w:gridCol w:w="109"/>
        <w:gridCol w:w="109"/>
        <w:gridCol w:w="109"/>
        <w:gridCol w:w="109"/>
        <w:gridCol w:w="109"/>
        <w:gridCol w:w="109"/>
        <w:gridCol w:w="109"/>
        <w:gridCol w:w="154"/>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Consumables revenue decreased for the three months ended March 31, 2023, as compared to the same period in the prior year, primarily due to a decrease in our Vascular Access revenues and the impact of foreign exchange rate changes. These decreases were partially offset by an increase in Infusion Therapy and Tracheostomy revenues and the impact on revenue of an additional eight billing days in the current quarter related to Smiths Medical which was acquired on January 6, 2022. On a constant currency basis, Consumables revenue was $241.9 million, an increase of $1.7 million or 0.7% during the three months ended March 31, 2023, as compared to the same period in the prior year.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Infusion Systems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following table summarizes our total Infusion Systems revenue (in millions):</w:t>
      </w:r>
    </w:p>
    <w:tbl>
      <w:tblPr>
        <w:tblW w:w="6794" w:type="dxa"/>
        <w:jc w:val="center"/>
        <w:tblInd w:w="0" w:type="dxa"/>
        <w:tblCellMar>
          <w:top w:w="28" w:type="dxa"/>
          <w:left w:w="28" w:type="dxa"/>
          <w:bottom w:w="28" w:type="dxa"/>
          <w:right w:w="28" w:type="dxa"/>
        </w:tblCellMar>
      </w:tblPr>
      <w:tblGrid>
        <w:gridCol w:w="494"/>
        <w:gridCol w:w="433"/>
        <w:gridCol w:w="437"/>
        <w:gridCol w:w="196"/>
        <w:gridCol w:w="556"/>
        <w:gridCol w:w="109"/>
        <w:gridCol w:w="109"/>
        <w:gridCol w:w="109"/>
        <w:gridCol w:w="109"/>
        <w:gridCol w:w="196"/>
        <w:gridCol w:w="556"/>
        <w:gridCol w:w="109"/>
        <w:gridCol w:w="109"/>
        <w:gridCol w:w="109"/>
        <w:gridCol w:w="109"/>
        <w:gridCol w:w="213"/>
        <w:gridCol w:w="508"/>
        <w:gridCol w:w="120"/>
        <w:gridCol w:w="109"/>
        <w:gridCol w:w="109"/>
        <w:gridCol w:w="109"/>
        <w:gridCol w:w="233"/>
        <w:gridCol w:w="233"/>
        <w:gridCol w:w="503"/>
        <w:gridCol w:w="109"/>
        <w:gridCol w:w="109"/>
        <w:gridCol w:w="109"/>
        <w:gridCol w:w="109"/>
        <w:gridCol w:w="109"/>
        <w:gridCol w:w="109"/>
        <w:gridCol w:w="109"/>
        <w:gridCol w:w="154"/>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Infusion Systems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Infusion Systems revenue increased for the three months ended March 31, 2023, as compared to the same period in the prior year, primarily due to higher sales of our ambulatory infusion and syringe pump products and the impact on revenue of an additional eight billing days in the current quarter related to Smiths Medical which was acquired January 6, 2022, these increases were partially offset by the impact of foreign exchange rate changes. On a constant currency basis, Infusion Systems revenue was $166.9 million, an increase of $28.7 million or 20.7% for the three months ended March 31, 2023, as compared to the same period in the prior year.</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Vital Care</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following table summarizes our total Vital Care revenue (in millions):</w:t>
      </w:r>
    </w:p>
    <w:tbl>
      <w:tblPr>
        <w:tblW w:w="6232" w:type="dxa"/>
        <w:jc w:val="center"/>
        <w:tblInd w:w="0" w:type="dxa"/>
        <w:tblCellMar>
          <w:top w:w="28" w:type="dxa"/>
          <w:left w:w="28" w:type="dxa"/>
          <w:bottom w:w="28" w:type="dxa"/>
          <w:right w:w="28" w:type="dxa"/>
        </w:tblCellMar>
      </w:tblPr>
      <w:tblGrid>
        <w:gridCol w:w="303"/>
        <w:gridCol w:w="267"/>
        <w:gridCol w:w="270"/>
        <w:gridCol w:w="196"/>
        <w:gridCol w:w="556"/>
        <w:gridCol w:w="109"/>
        <w:gridCol w:w="109"/>
        <w:gridCol w:w="109"/>
        <w:gridCol w:w="109"/>
        <w:gridCol w:w="196"/>
        <w:gridCol w:w="556"/>
        <w:gridCol w:w="109"/>
        <w:gridCol w:w="109"/>
        <w:gridCol w:w="109"/>
        <w:gridCol w:w="109"/>
        <w:gridCol w:w="242"/>
        <w:gridCol w:w="464"/>
        <w:gridCol w:w="135"/>
        <w:gridCol w:w="109"/>
        <w:gridCol w:w="109"/>
        <w:gridCol w:w="109"/>
        <w:gridCol w:w="214"/>
        <w:gridCol w:w="214"/>
        <w:gridCol w:w="503"/>
        <w:gridCol w:w="109"/>
        <w:gridCol w:w="109"/>
        <w:gridCol w:w="109"/>
        <w:gridCol w:w="109"/>
        <w:gridCol w:w="109"/>
        <w:gridCol w:w="109"/>
        <w:gridCol w:w="109"/>
        <w:gridCol w:w="154"/>
      </w:tblGrid>
      <w:tr>
        <w:trPr/>
        <w:tc>
          <w:tcPr>
            <w:tcW w:w="30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8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Vital Care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Vital Care revenue increased for the three months ended March 31, 2023, as compared to the same period in the prior year, primarily due to higher sales of our critical care and temperature management products and the impact on revenue of an additional eight billing days in the current quarter related to Smiths Medical which was acquired January 6, 2022, these increases were partially offset by the impact of foreign exchange rate changes. On a constant currency basis, Vital Care revenue was $174.9 million, an increase of $10.2 million or 6.2% for the three months ended March 31, 2023, as compared to the same period in the prior year.</w:t>
      </w: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i/>
          <w:color w:val="000000"/>
          <w:sz w:val="20"/>
        </w:rPr>
        <w:t>Gross Margins</w:t>
      </w:r>
      <w:r>
        <w:rPr>
          <w:color w:val="000000"/>
        </w:rPr>
        <w:t xml:space="preserve"> </w:t>
      </w:r>
    </w:p>
    <w:p>
      <w:pPr>
        <w:pStyle w:val="TextBody"/>
        <w:spacing w:before="0" w:after="0"/>
        <w:rPr/>
      </w:pPr>
      <w:r>
        <w:rPr/>
      </w:r>
    </w:p>
    <w:p>
      <w:pPr>
        <w:pStyle w:val="TextBody"/>
        <w:spacing w:lineRule="auto" w:line="268" w:before="0" w:after="0"/>
        <w:rPr/>
      </w:pPr>
      <w:r>
        <w:rPr>
          <w:color w:val="000000"/>
        </w:rPr>
        <w:t>    </w:t>
      </w:r>
      <w:r>
        <w:rPr>
          <w:rFonts w:ascii="Times New Roman;sans-serif" w:hAnsi="Times New Roman;sans-serif"/>
          <w:b w:val="false"/>
          <w:color w:val="000000"/>
          <w:sz w:val="20"/>
        </w:rPr>
        <w:t>For the three months ended March 31, 2023 and 2022, gross margins were 33.8% and 31.1%, respectively. The increase in gross margins for the three months ended March 31, 2023, as compared to the same period in the prior year, was primarily driven by</w:t>
      </w:r>
      <w:r>
        <w:rPr>
          <w:color w:val="FF0000"/>
        </w:rPr>
        <w:t xml:space="preserve"> </w:t>
      </w:r>
      <w:r>
        <w:rPr>
          <w:rFonts w:ascii="Times New Roman;sans-serif" w:hAnsi="Times New Roman;sans-serif"/>
          <w:b w:val="false"/>
          <w:color w:val="000000"/>
          <w:sz w:val="20"/>
        </w:rPr>
        <w:t>the cost recognition of the purchase accounting write-up of inventory in 2022, the impact of foreign exchange rate changes and lower freight costs for the three months ended March 31, 2023 as compared to the same period in the prior year.</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i/>
          <w:color w:val="000000"/>
          <w:sz w:val="20"/>
        </w:rPr>
        <w:t>Selling, General and Administrative (“SG&amp;A”) Expenses</w:t>
      </w:r>
      <w:r>
        <w:rPr>
          <w:color w:val="000000"/>
        </w:rPr>
        <w:t xml:space="preserve"> </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The following table summarizes our total SG&amp;A Expenses (in millions):</w:t>
      </w:r>
    </w:p>
    <w:tbl>
      <w:tblPr>
        <w:tblW w:w="6044" w:type="dxa"/>
        <w:jc w:val="center"/>
        <w:tblInd w:w="0" w:type="dxa"/>
        <w:tblCellMar>
          <w:top w:w="28" w:type="dxa"/>
          <w:left w:w="28" w:type="dxa"/>
          <w:bottom w:w="28" w:type="dxa"/>
          <w:right w:w="28" w:type="dxa"/>
        </w:tblCellMar>
      </w:tblPr>
      <w:tblGrid>
        <w:gridCol w:w="227"/>
        <w:gridCol w:w="201"/>
        <w:gridCol w:w="202"/>
        <w:gridCol w:w="196"/>
        <w:gridCol w:w="556"/>
        <w:gridCol w:w="109"/>
        <w:gridCol w:w="109"/>
        <w:gridCol w:w="109"/>
        <w:gridCol w:w="109"/>
        <w:gridCol w:w="196"/>
        <w:gridCol w:w="556"/>
        <w:gridCol w:w="109"/>
        <w:gridCol w:w="109"/>
        <w:gridCol w:w="109"/>
        <w:gridCol w:w="109"/>
        <w:gridCol w:w="236"/>
        <w:gridCol w:w="472"/>
        <w:gridCol w:w="133"/>
        <w:gridCol w:w="109"/>
        <w:gridCol w:w="109"/>
        <w:gridCol w:w="109"/>
        <w:gridCol w:w="225"/>
        <w:gridCol w:w="225"/>
        <w:gridCol w:w="503"/>
        <w:gridCol w:w="109"/>
        <w:gridCol w:w="109"/>
        <w:gridCol w:w="109"/>
        <w:gridCol w:w="109"/>
        <w:gridCol w:w="109"/>
        <w:gridCol w:w="109"/>
        <w:gridCol w:w="109"/>
        <w:gridCol w:w="154"/>
      </w:tblGrid>
      <w:tr>
        <w:trPr/>
        <w:tc>
          <w:tcPr>
            <w:tcW w:w="2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SG&amp;A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SG&amp;A expenses slightly decreased for the three months ended March 31, 2023, as compared to the same period in the prior year. For the three months ended March 31, 2023, dealer fees decreased $4.7 million and stock compensation decreased $3.4 million. These decreases were mostly offset by an increase of $2.6 million in compensation costs, an increase of $1.7 million in commissions and an increase of $1.5 million in depreciation and amortization. Dealer fees decreased due to a decrease in revenues to distributors. Stock based compensation decreased due to additional compensation expense recorded in the same period in the prior year due to changes in the probability of performance shares expected to be earned. Compensation costs increased over the same period in the prior year primarily due to an increase in incentive compensation which was based on a larger employee population in the current year period. Commissions increased due to the increase in revenues and depreciation and amortization increased based on the depreciation of higher fixed asset balances and a full quarter of both depreciation expense and amortization expense related to Smith's Medical acquired at the beginning of 2022.</w:t>
      </w: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i/>
          <w:color w:val="000000"/>
          <w:sz w:val="20"/>
        </w:rPr>
        <w:t>Research and Development (“R&amp;D”)</w:t>
      </w:r>
      <w:r>
        <w:rPr>
          <w:color w:val="000000"/>
        </w:rPr>
        <w:t xml:space="preserve"> </w:t>
      </w:r>
      <w:r>
        <w:rPr>
          <w:rFonts w:ascii="Times New Roman;sans-serif" w:hAnsi="Times New Roman;sans-serif"/>
          <w:b/>
          <w:i/>
          <w:color w:val="000000"/>
          <w:sz w:val="20"/>
        </w:rPr>
        <w:t>Expenses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The following table summarizes our total R&amp;D Expenses (in millions):</w:t>
      </w:r>
    </w:p>
    <w:tbl>
      <w:tblPr>
        <w:tblW w:w="5833" w:type="dxa"/>
        <w:jc w:val="center"/>
        <w:tblInd w:w="0" w:type="dxa"/>
        <w:tblCellMar>
          <w:top w:w="28" w:type="dxa"/>
          <w:left w:w="28" w:type="dxa"/>
          <w:bottom w:w="28" w:type="dxa"/>
          <w:right w:w="28" w:type="dxa"/>
        </w:tblCellMar>
      </w:tblPr>
      <w:tblGrid>
        <w:gridCol w:w="184"/>
        <w:gridCol w:w="161"/>
        <w:gridCol w:w="164"/>
        <w:gridCol w:w="196"/>
        <w:gridCol w:w="466"/>
        <w:gridCol w:w="109"/>
        <w:gridCol w:w="109"/>
        <w:gridCol w:w="109"/>
        <w:gridCol w:w="109"/>
        <w:gridCol w:w="196"/>
        <w:gridCol w:w="466"/>
        <w:gridCol w:w="109"/>
        <w:gridCol w:w="109"/>
        <w:gridCol w:w="109"/>
        <w:gridCol w:w="109"/>
        <w:gridCol w:w="236"/>
        <w:gridCol w:w="472"/>
        <w:gridCol w:w="133"/>
        <w:gridCol w:w="109"/>
        <w:gridCol w:w="109"/>
        <w:gridCol w:w="109"/>
        <w:gridCol w:w="269"/>
        <w:gridCol w:w="271"/>
        <w:gridCol w:w="503"/>
        <w:gridCol w:w="109"/>
        <w:gridCol w:w="109"/>
        <w:gridCol w:w="109"/>
        <w:gridCol w:w="109"/>
        <w:gridCol w:w="109"/>
        <w:gridCol w:w="109"/>
        <w:gridCol w:w="109"/>
        <w:gridCol w:w="154"/>
      </w:tblGrid>
      <w:tr>
        <w:trPr/>
        <w:tc>
          <w:tcPr>
            <w:tcW w:w="18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R&amp;D expenses decreased for the three months ended March 31, 2023, as compared to the same period in the prior year. R&amp;D expenses during both periods primarily relate to headcount and employment expense in support of ongoing R&amp;D projects.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Restructuring, Strategic Transaction and Integration Expenses</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Restructuring, strategic transaction and integration expenses were $11.0 million and $33.9 million for the three months ended March 31, 2023 and 2022, respectively.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Restructuring charges were $2.7 million and $3.2 million for the three months ended March 31, 2023 and 2022, respectively, and were primarily related to severance costs. We expect to pay the majority of unpaid restructuring charges as of March 31, 2023 during the remainder of 2023 and 2024.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Strategic transaction and integration expenses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Strategic transaction and integration expenses were $8.3 million and $30.7 million for the three months ended March 31, 2023 and 2022, respectively. The strategic transaction and integration expenses during the three months ended March 31, 2023 were primarily related to consulting expenses and employee costs incurred to integrate our Smiths Medical business acquired in 2022. The strategic transaction and integration expenses for the three months ended March 31, 2022 were primarily related to transaction and integration expenses associated with our acquisition of Smiths Medical on January 6, 2022 which primarily included legal expenses, bank fees, a United Kingdom stamp tax and employee costs.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Change in Fair Value of Contingent Earn-out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there was a gain of $0.7 million primarily related to the change in fair value of contingent earn-out related to the Smiths Medical acquisition.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interest expense, net (in thousands): </w:t>
      </w:r>
    </w:p>
    <w:tbl>
      <w:tblPr>
        <w:tblW w:w="4374" w:type="dxa"/>
        <w:jc w:val="left"/>
        <w:tblInd w:w="0" w:type="dxa"/>
        <w:tblCellMar>
          <w:top w:w="28" w:type="dxa"/>
          <w:left w:w="28" w:type="dxa"/>
          <w:bottom w:w="28" w:type="dxa"/>
          <w:right w:w="28" w:type="dxa"/>
        </w:tblCellMar>
      </w:tblPr>
      <w:tblGrid>
        <w:gridCol w:w="641"/>
        <w:gridCol w:w="562"/>
        <w:gridCol w:w="567"/>
        <w:gridCol w:w="211"/>
        <w:gridCol w:w="796"/>
        <w:gridCol w:w="109"/>
        <w:gridCol w:w="109"/>
        <w:gridCol w:w="109"/>
        <w:gridCol w:w="109"/>
        <w:gridCol w:w="211"/>
        <w:gridCol w:w="796"/>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Interest expense, net for the three months ended March 31, 2023 and 2022 primarily includes the contractual interest incurred on borrowings under the Credit Agreement, the per annum commitment fee charged on the available amount of the revolving credit facility contained in the Credit Agreement and the amortization of debt issuance costs incurred in connection with entering into the Credit Agreement (see Note 17: Long-Term Debt in our accompanying condensed consolidated financial statements for additional information). The interest expense increased for the three months ended March 31, 2023, as compared to March 31, 2022, primarily due to increases in the applicable SOFR reference rate.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other (expense) income, net (in thousands): </w:t>
      </w:r>
    </w:p>
    <w:tbl>
      <w:tblPr>
        <w:tblW w:w="5604" w:type="dxa"/>
        <w:jc w:val="left"/>
        <w:tblInd w:w="0" w:type="dxa"/>
        <w:tblCellMar>
          <w:top w:w="28" w:type="dxa"/>
          <w:left w:w="28" w:type="dxa"/>
          <w:bottom w:w="28" w:type="dxa"/>
          <w:right w:w="28" w:type="dxa"/>
        </w:tblCellMar>
      </w:tblPr>
      <w:tblGrid>
        <w:gridCol w:w="1297"/>
        <w:gridCol w:w="1142"/>
        <w:gridCol w:w="1146"/>
        <w:gridCol w:w="211"/>
        <w:gridCol w:w="541"/>
        <w:gridCol w:w="109"/>
        <w:gridCol w:w="109"/>
        <w:gridCol w:w="109"/>
        <w:gridCol w:w="109"/>
        <w:gridCol w:w="211"/>
        <w:gridCol w:w="466"/>
        <w:gridCol w:w="154"/>
      </w:tblGrid>
      <w:tr>
        <w:trPr/>
        <w:tc>
          <w:tcPr>
            <w:tcW w:w="129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disposition of assets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(expense) income, net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Income Taxes</w:t>
      </w:r>
      <w:r>
        <w:rPr>
          <w:color w:val="000000"/>
        </w:rPr>
        <w:t xml:space="preserve"> </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For the three months ended March 31, 2023 and 2022, income taxes were accrued at an estimated effective tax rate of 27% and 31%, respectively.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The effective tax rate for the three months ended March 31, 2023 differs from the federal statutory rate of 21% principally because of the effect of the mix of U.S. and foreign incomes, state income taxes, section 162(m) excess compensation, foreign-derived intangible income ("FDII") and tax credits. The effective tax rate during the three months ended March 31, 2023 included a tax provision of $0.7 million related to the excess tax benefits recognized on stock option exercises and the vesting of restricted stock units during the period.</w:t>
      </w:r>
      <w:r>
        <w:rPr>
          <w:color w:val="000000"/>
        </w:rPr>
        <w:t xml:space="preserve"> </w:t>
      </w:r>
      <w:r>
        <w:rPr>
          <w:rFonts w:ascii="Times New Roman;sans-serif" w:hAnsi="Times New Roman;sans-serif"/>
          <w:b w:val="false"/>
          <w:color w:val="000000"/>
          <w:sz w:val="20"/>
        </w:rPr>
        <w:t>The effective tax rate for the three months ended March 31, 2023 also included a nil tax impact related to the revaluation of contingent consideration of $0.7 million.</w:t>
      </w:r>
    </w:p>
    <w:p>
      <w:pPr>
        <w:pStyle w:val="TextBody"/>
        <w:spacing w:before="0" w:after="0"/>
        <w:rPr/>
      </w:pPr>
      <w:r>
        <w:rPr/>
      </w:r>
    </w:p>
    <w:p>
      <w:pPr>
        <w:pStyle w:val="TextBody"/>
        <w:spacing w:lineRule="auto" w:line="288" w:before="0" w:after="100"/>
        <w:rPr>
          <w:color w:val="000000"/>
        </w:rPr>
      </w:pPr>
      <w:r>
        <w:rPr>
          <w:color w:val="000000"/>
        </w:rPr>
        <w:t>    </w:t>
      </w:r>
      <w:r>
        <w:rPr>
          <w:rFonts w:ascii="Times New Roman;sans-serif" w:hAnsi="Times New Roman;sans-serif"/>
          <w:b w:val="false"/>
          <w:color w:val="000000"/>
          <w:sz w:val="20"/>
        </w:rPr>
        <w:t xml:space="preserve">The effective tax rate for the three months ended March 31, 2022 differs from the federal statutory rate of 21% principally because of the effect of the mix of U.S. and foreign incomes, state income taxes, section 162(m) excess compensation, foreign-derived intangible income ("FDII") and tax credits. The effective tax rate during the three months ended March 31, 2022 included a tax benefit of $2.6 million related to the excess tax benefits recognized on stock option exercises and the vesting of restricted stock units during the period. </w:t>
      </w:r>
    </w:p>
    <w:p>
      <w:pPr>
        <w:pStyle w:val="TextBody"/>
        <w:spacing w:before="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regularly evaluate our liquidity and capital resources, including our access to external capital, to assess our ability to meet our principal cash requirements, which include working capital requirements, planned capital investments in our business, commitments, acquisition restructuring and integration expenses, investments in quality systems and quality compliance objectives, payment of interest expense, repayment of outstanding borrowings, income tax obligations and acquisition opportunities in accordance with our growth strategy.</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and cash equivalents, our short-term investment portfolio, cash flows from our operations and access to borrowing arrangements.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Funds generated from operations are held in cash and cash equivalents and investment securities. During the three months ended March 31, 2023, our cash and cash equivalents and short-term investment securities increased by $11.2 million from $213.0 million at December 31, 2022 to $224.2 million at March 31, 2023. This increase was primarily due to cash generated from operations. Our short-term investment portfolio consists of investment-grade corporate and federal bonds and U.S. treasury securities and is primarily intended to facilitate capital preservation.</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2022 Credit Agreement and Access to Capital</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discussed in Note 17: Long-Term Debt to our accompanying condensed consolidated financial statements, we entered into the Credit Agreement with various lenders on January 6, 2022 in connection with the closing of the Smiths Medical acquisition. The Credit Agreement provides for a five-year term loan A facility of $850.0 million (the "Term Loan A"), a seven-year term loan B facility of $850.0 million (the "Term Loan B") and a five-year revolving credit facility of $500.0 million (the "Revolving Credit Facility") (collectively, the "Senior Secured Credit Facilities"). The proceeds from the term loans were used to finance a portion of the cash consideration for the Smiths Medical acquisition. The outstanding aggregate principal amount of the term loans is $1.7 billion as of March 31, 2023, which includes the Term Loan A that will mature in January 2027 and the Term Loan B that will mature in January 2029. The proceeds of future borrowings under the Revolving Credit Facility, which expires in January 2027, may be used as a source of liquidity to support our ongoing working capital requirements and other general corporate purposes. There are no outstanding borrowings under the Revolving Credit Facility as of March 31, 2023. As part of entering into the Senior Secured Credit Facilities, we were assigned issuer and Term Loan B credit ratings. At the date of issuance of this report, our issuer and Term Loan B credit ratings assigned and outlook were as follows:</w:t>
      </w:r>
    </w:p>
    <w:p>
      <w:pPr>
        <w:pStyle w:val="TextBody"/>
        <w:spacing w:before="0" w:after="0"/>
        <w:ind w:left="0" w:right="0" w:firstLine="720"/>
        <w:rPr/>
      </w:pPr>
      <w:r>
        <w:rPr/>
      </w:r>
    </w:p>
    <w:tbl>
      <w:tblPr>
        <w:tblW w:w="4797" w:type="dxa"/>
        <w:jc w:val="left"/>
        <w:tblInd w:w="0" w:type="dxa"/>
        <w:tblCellMar>
          <w:top w:w="28" w:type="dxa"/>
          <w:left w:w="28" w:type="dxa"/>
          <w:bottom w:w="28" w:type="dxa"/>
          <w:right w:w="28" w:type="dxa"/>
        </w:tblCellMar>
      </w:tblPr>
      <w:tblGrid>
        <w:gridCol w:w="619"/>
        <w:gridCol w:w="543"/>
        <w:gridCol w:w="548"/>
        <w:gridCol w:w="109"/>
        <w:gridCol w:w="109"/>
        <w:gridCol w:w="109"/>
        <w:gridCol w:w="624"/>
        <w:gridCol w:w="624"/>
        <w:gridCol w:w="626"/>
        <w:gridCol w:w="259"/>
        <w:gridCol w:w="259"/>
        <w:gridCol w:w="368"/>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Issuer/Term Loan B </w:t>
              <w:br/>
              <w:t>Credit Ratings</w:t>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Outlook</w:t>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Ba3/Ba3</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Fitch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BB/BBB-</w:t>
            </w:r>
          </w:p>
        </w:tc>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Standard &amp; Poor's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BB-/BB-</w:t>
            </w:r>
          </w:p>
        </w:tc>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financial covenants that pertain to the Term Loan A and the Revolving Credit Facility. Specifically, we are required to maintain a Senior Secured Leverage Ratio of no more than 4.50 to 1.00 until June 30, 2024, with stepdowns to 4.00 to 1.00 thereafter, and an Interest Coverage Ratio of no less than 3.00 to 1.00 (defined and discussed in greater detail in Note 17: Long-Term Debt to our accompanying condensed consolidated financial statements). We were in compliance with these financial covenants as of March 31, 2023.</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along with cash flows expected to be generated from future operations including the cash received from our uncommitted trade accounts receivable purchase facility and the funds received and accessible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economic conditions. See Part I. Item 1A. "Risk Factors” in our 2022 Annual Report on Form 10-K for discussion of the risks and uncertainties associated with our debt financing.</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Uses of Liquidity</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there have been no material changes to our estimate for 2023 planned capital expenditures from the estimate previously disclosed in our 2022 Annual Report on Form 10-K.</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commitments at March 31, 2023 include both short and long-term future obligations.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non-cancelable operating lease agreements where we are contractually obligated for certain lease payment amounts. We assumed additional operating leases as a result of our acquisition of Smiths Medical. For more information regarding our operating lease obligations, (see Note 6: Leases to our accompanying condensed consolidated financial statements).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Long-term Debt</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we incurred borrowings under Senior Secured Credit Facilities. The principal repayment obligations and estimated interest payments on the term loans and estimated commitment fee payments on the revolver are estimated in the table below. Interest payments on the term loans were estimated using an Adjusted Term SOFR rate and an initial applicable margin of 1.75% for Term Loan A and 2.50% for Term Loan B and the revolver commitment fees were estimated using the initial rate of 0.25%. The applicable margin rate and commitment fee rate will change from time to time in accordance with a preset pricing grid based on the leverage ratio (see Note 17: Long-Term Debt to our accompanying condensed consolidated financial statements for pricing grids related to the Senior Secured Credit Facilities). We expect to fund these obligations with our existing cash and cash equivalents and cash generated from our future operations. </w:t>
      </w:r>
    </w:p>
    <w:p>
      <w:pPr>
        <w:pStyle w:val="TextBody"/>
        <w:spacing w:before="0" w:after="0"/>
        <w:ind w:left="0" w:right="0" w:firstLine="720"/>
        <w:rPr/>
      </w:pPr>
      <w:r>
        <w:rPr/>
      </w:r>
    </w:p>
    <w:tbl>
      <w:tblPr>
        <w:tblW w:w="10155" w:type="dxa"/>
        <w:jc w:val="left"/>
        <w:tblInd w:w="0" w:type="dxa"/>
        <w:tblCellMar>
          <w:top w:w="28" w:type="dxa"/>
          <w:left w:w="28" w:type="dxa"/>
          <w:bottom w:w="28" w:type="dxa"/>
          <w:right w:w="28" w:type="dxa"/>
        </w:tblCellMar>
      </w:tblPr>
      <w:tblGrid>
        <w:gridCol w:w="1009"/>
        <w:gridCol w:w="889"/>
        <w:gridCol w:w="892"/>
        <w:gridCol w:w="387"/>
        <w:gridCol w:w="1134"/>
        <w:gridCol w:w="203"/>
        <w:gridCol w:w="211"/>
        <w:gridCol w:w="616"/>
        <w:gridCol w:w="109"/>
        <w:gridCol w:w="211"/>
        <w:gridCol w:w="616"/>
        <w:gridCol w:w="109"/>
        <w:gridCol w:w="211"/>
        <w:gridCol w:w="616"/>
        <w:gridCol w:w="109"/>
        <w:gridCol w:w="211"/>
        <w:gridCol w:w="616"/>
        <w:gridCol w:w="109"/>
        <w:gridCol w:w="211"/>
        <w:gridCol w:w="511"/>
        <w:gridCol w:w="109"/>
        <w:gridCol w:w="229"/>
        <w:gridCol w:w="669"/>
        <w:gridCol w:w="168"/>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Remainder of 2023</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Thereafter</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Principal Payments</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Interest Payments</w:t>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Principal Payments</w:t>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Interest Payments</w:t>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 Commitment Fee</w:t>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Other Future Capital Investments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there have been no material changes to our estimate for restructuring and integration expenses along with spending to support quality systems and quality compliance objectives, as previously disclosed in our 2022 Annual Report on Form 10-K.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Historical Cash Flows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pPr>
      <w:r>
        <w:rPr>
          <w:rFonts w:ascii="Times New Roman;sans-serif" w:hAnsi="Times New Roman;sans-serif"/>
          <w:b/>
          <w:i/>
          <w:color w:val="000000"/>
          <w:sz w:val="20"/>
        </w:rPr>
        <w:t>Cash Flows from Operating Activities</w:t>
      </w:r>
      <w:r>
        <w:rPr>
          <w:color w:val="000000"/>
        </w:rPr>
        <w:t xml:space="preser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net cash provided by operations for the three months ended March 31, 2023 was $41.2 million. Net income plus adjustments for non-cash net expenses contributed $71.1 million. Net cash used in operations as a result of changes in operating assets and liabilities was $29.8 million. The changes in operating assets and liabilities included a $49.4 million increase in inventories, a $6.4 million increase in other assets, a $21.1 million decrease in accrued liabilities, a $27.5 million decrease in accounts payable, and $9.3 million in net changes in income taxes, including excess tax benefits and deferred income taxes. Offsetting these amounts was a $82.0 million decrease in accounts receivable and a $1.9 million decrease in prepaid expenses and other current assets. The increase in inventory was primarily to build inventory safety stock levels. The increase in other assets was due to the purchase of spare parts. The decrease in accrued liabilities was primarily due to the payout of annual bonuses, payment of accrued freight charges and payment of distribution fees. The decrease in accounts payable was due to the timing of payments. The net changes in income taxes was a result of recording the current deferred provision and the timing of payments. The decrease in accounts receivable was primarily due to the sale of accounts receivable as part of our accounts receivable purchase program with Bank of the West (see Note 21: Accounts Receivable Purchase Program).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net cash provided by operations for the three months ended March 31, 2022 was $1.3 million. Net income plus adjustments for non-cash net expenses contributed $49.9 million. Net cash used in operations as a result of changes in operating assets and liabilities was $51.3 million. The changes in operating assets and liabilities included a $36.2 million increase in inventories, a $14.4 million increase in other assets, a $19.2 million decrease in accrued liabilities and $26.1 million in net changes in income taxes, including excess tax benefits and deferred income taxes. Offsetting these amounts was a $22.5 million decrease in accounts receivable, a $2.6 million decrease in prepaid expenses and other current assets and a $19.5 million increase in accounts payable. The increase in inventory was primarily due to the increase in safety stock. The increase in other assets was due to the purchase of spare parts and the capitalization of debt issuance costs allocated to the revolving credit facility. The decrease in accrued liabilities was primarily due to the payout of annual bonuses. The net changes in income taxes was a result of the timing of payments. The decrease in accounts receivable was primarily due to collection efforts and the timing of revenue. The net decrease in prepaid expenses and other current assets was primarily due to a decrease in deferred costs mostly offset by capitalized debt issuance costs allocated to the revolving credit facility. The increase in accounts payable was due to the timing of payments.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following table summarizes the changes in our investing cash flows (in thousands):</w:t>
      </w:r>
    </w:p>
    <w:tbl>
      <w:tblPr>
        <w:tblW w:w="8441" w:type="dxa"/>
        <w:jc w:val="left"/>
        <w:tblInd w:w="0" w:type="dxa"/>
        <w:tblCellMar>
          <w:top w:w="28" w:type="dxa"/>
          <w:left w:w="28" w:type="dxa"/>
          <w:bottom w:w="28" w:type="dxa"/>
          <w:right w:w="28" w:type="dxa"/>
        </w:tblCellMar>
      </w:tblPr>
      <w:tblGrid>
        <w:gridCol w:w="1313"/>
        <w:gridCol w:w="1156"/>
        <w:gridCol w:w="1160"/>
        <w:gridCol w:w="211"/>
        <w:gridCol w:w="796"/>
        <w:gridCol w:w="109"/>
        <w:gridCol w:w="109"/>
        <w:gridCol w:w="109"/>
        <w:gridCol w:w="109"/>
        <w:gridCol w:w="211"/>
        <w:gridCol w:w="1051"/>
        <w:gridCol w:w="109"/>
        <w:gridCol w:w="109"/>
        <w:gridCol w:w="109"/>
        <w:gridCol w:w="109"/>
        <w:gridCol w:w="211"/>
        <w:gridCol w:w="976"/>
        <w:gridCol w:w="109"/>
        <w:gridCol w:w="110"/>
        <w:gridCol w:w="110"/>
        <w:gridCol w:w="155"/>
      </w:tblGrid>
      <w:tr>
        <w:trPr/>
        <w:tc>
          <w:tcPr>
            <w:tcW w:w="1313"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Cash Flows: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acquisitions, net of cash acquired</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additions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 securities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investment securities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60"/>
        <w:ind w:left="0" w:right="0" w:hanging="36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Our purchases of property, plant and equipment will also vary from period to period based on additional investments needed to support new and existing products and expansion of our manufacturing facilities.</w:t>
      </w:r>
    </w:p>
    <w:p>
      <w:pPr>
        <w:pStyle w:val="TextBody"/>
        <w:spacing w:lineRule="auto" w:line="288" w:before="0" w:after="60"/>
        <w:ind w:left="0" w:right="0" w:hanging="36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Our business acquisitions will vary from period to period based upon our current growth strategy and our ability to execute on desirable target companies. On January 6, 2022, we completed the acquisition of Smiths Medical. The cash consideration for the transaction was $1.9 billion, which was financed with existing cash balances and borrowings under the Credit Agreement. Acquired cash was $78.8 million.</w:t>
      </w:r>
    </w:p>
    <w:p>
      <w:pPr>
        <w:pStyle w:val="TextBody"/>
        <w:spacing w:lineRule="auto" w:line="288" w:before="0" w:after="60"/>
        <w:ind w:left="0" w:right="0" w:hanging="360"/>
        <w:rPr/>
      </w:pPr>
      <w:r>
        <w:rPr>
          <w:rFonts w:ascii="Times New Roman;sans-serif" w:hAnsi="Times New Roman;sans-serif"/>
          <w:b w:val="false"/>
          <w:color w:val="000000"/>
          <w:sz w:val="13"/>
        </w:rPr>
        <w:t>(3)    </w:t>
      </w:r>
      <w:r>
        <w:rPr>
          <w:rFonts w:ascii="Times New Roman;sans-serif" w:hAnsi="Times New Roman;sans-serif"/>
          <w:b w:val="false"/>
          <w:color w:val="000000"/>
          <w:sz w:val="20"/>
        </w:rPr>
        <w:t xml:space="preserve">Our purchases of investment securities will vary from period to period based on current cash needs, planning for known future transactions and changes in our investment strategy.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60"/>
        <w:ind w:left="0" w:right="0" w:hanging="360"/>
        <w:rPr/>
      </w:pPr>
      <w:r>
        <w:rPr>
          <w:rFonts w:ascii="Times New Roman;sans-serif" w:hAnsi="Times New Roman;sans-serif"/>
          <w:b w:val="false"/>
          <w:color w:val="000000"/>
          <w:sz w:val="13"/>
        </w:rPr>
        <w:t>(4)</w:t>
      </w:r>
      <w:r>
        <w:rPr>
          <w:color w:val="000000"/>
        </w:rPr>
        <w:t>    </w:t>
      </w:r>
      <w:r>
        <w:rPr>
          <w:rFonts w:ascii="Times New Roman;sans-serif" w:hAnsi="Times New Roman;sans-serif"/>
          <w:b w:val="false"/>
          <w:color w:val="000000"/>
          <w:sz w:val="20"/>
        </w:rPr>
        <w:t xml:space="preserve">Proceeds from the sale of our investment securities will vary from period to period based on the maturity dates of the investments. </w:t>
      </w:r>
    </w:p>
    <w:p>
      <w:pPr>
        <w:pStyle w:val="TextBody"/>
        <w:spacing w:before="0" w:after="0"/>
        <w:ind w:left="0" w:right="0" w:hanging="36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spacing w:lineRule="auto" w:line="288" w:before="0" w:after="0"/>
        <w:rPr>
          <w:color w:val="000000"/>
        </w:rPr>
      </w:pPr>
      <w:r>
        <w:rPr>
          <w:color w:val="000000"/>
        </w:rPr>
        <w:t> </w:t>
      </w:r>
    </w:p>
    <w:p>
      <w:pPr>
        <w:pStyle w:val="TextBody"/>
        <w:spacing w:lineRule="auto" w:line="288" w:before="0" w:after="120"/>
        <w:rPr/>
      </w:pPr>
      <w:r>
        <w:rPr>
          <w:color w:val="000000"/>
        </w:rPr>
        <w:t>    </w:t>
      </w:r>
      <w:r>
        <w:rPr>
          <w:rFonts w:ascii="Times New Roman;sans-serif" w:hAnsi="Times New Roman;sans-serif"/>
          <w:b w:val="false"/>
          <w:color w:val="000000"/>
          <w:sz w:val="20"/>
        </w:rPr>
        <w:t>The following table summarizes the changes in our financing cash flows (in thousands):</w:t>
      </w:r>
      <w:r>
        <w:rPr>
          <w:color w:val="000000"/>
        </w:rPr>
        <w:t>    </w:t>
      </w:r>
    </w:p>
    <w:tbl>
      <w:tblPr>
        <w:tblW w:w="10205" w:type="dxa"/>
        <w:jc w:val="left"/>
        <w:tblInd w:w="0" w:type="dxa"/>
        <w:tblCellMar>
          <w:top w:w="28" w:type="dxa"/>
          <w:left w:w="28" w:type="dxa"/>
          <w:bottom w:w="28" w:type="dxa"/>
          <w:right w:w="28" w:type="dxa"/>
        </w:tblCellMar>
      </w:tblPr>
      <w:tblGrid>
        <w:gridCol w:w="1972"/>
        <w:gridCol w:w="1716"/>
        <w:gridCol w:w="1722"/>
        <w:gridCol w:w="211"/>
        <w:gridCol w:w="787"/>
        <w:gridCol w:w="109"/>
        <w:gridCol w:w="109"/>
        <w:gridCol w:w="109"/>
        <w:gridCol w:w="109"/>
        <w:gridCol w:w="211"/>
        <w:gridCol w:w="976"/>
        <w:gridCol w:w="109"/>
        <w:gridCol w:w="109"/>
        <w:gridCol w:w="109"/>
        <w:gridCol w:w="109"/>
        <w:gridCol w:w="211"/>
        <w:gridCol w:w="1042"/>
        <w:gridCol w:w="109"/>
        <w:gridCol w:w="109"/>
        <w:gridCol w:w="109"/>
        <w:gridCol w:w="158"/>
      </w:tblGrid>
      <w:tr>
        <w:trPr/>
        <w:tc>
          <w:tcPr>
            <w:tcW w:w="1972"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Cash Flows: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 net of lender debt issuance costs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5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third-party debt issuance costs</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5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5410"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c>
          <w:tcPr>
            <w:tcW w:w="376" w:type="dxa"/>
            <w:gridSpan w:val="3"/>
            <w:tcBorders/>
            <w:shd w:fill="auto" w:val="clear"/>
            <w:vAlign w:val="center"/>
          </w:tcPr>
          <w:p>
            <w:pPr>
              <w:pStyle w:val="TableContents"/>
              <w:spacing w:before="0" w:after="283"/>
              <w:rPr>
                <w:sz w:val="4"/>
                <w:szCs w:val="4"/>
              </w:rPr>
            </w:pPr>
            <w:r>
              <w:rPr>
                <w:sz w:val="4"/>
                <w:szCs w:val="4"/>
              </w:rPr>
            </w:r>
          </w:p>
        </w:tc>
      </w:tr>
      <w:tr>
        <w:trPr/>
        <w:tc>
          <w:tcPr>
            <w:tcW w:w="5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payments related to net share settlement of equity awards</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5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60"/>
        <w:ind w:left="0" w:right="0" w:hanging="360"/>
        <w:rPr/>
      </w:pPr>
      <w:r>
        <w:rPr>
          <w:rFonts w:ascii="Times New Roman;sans-serif" w:hAnsi="Times New Roman;sans-serif"/>
          <w:b w:val="false"/>
          <w:color w:val="000000"/>
          <w:sz w:val="13"/>
        </w:rPr>
        <w:t>(1)    </w:t>
      </w:r>
      <w:r>
        <w:rPr>
          <w:rFonts w:ascii="Times New Roman;sans-serif" w:hAnsi="Times New Roman;sans-serif"/>
          <w:b w:val="false"/>
          <w:color w:val="000000"/>
          <w:sz w:val="20"/>
        </w:rPr>
        <w:t>In January 2022, we borrowed an aggregate of $1.7 billion under the Senior Secured Credit Facilities to partially finance our acquisition of Smiths Medical (see Note 17: Long-Term Debt to our accompanying condensed consolidated financial statements for additional information). The proceeds were net of $27.3 million in payments of lender debt issuance costs.</w:t>
      </w:r>
    </w:p>
    <w:p>
      <w:pPr>
        <w:pStyle w:val="TextBody"/>
        <w:spacing w:lineRule="auto" w:line="288" w:before="0" w:after="60"/>
        <w:ind w:left="0" w:right="0" w:hanging="360"/>
        <w:rPr/>
      </w:pPr>
      <w:r>
        <w:rPr>
          <w:rFonts w:ascii="Times New Roman;sans-serif" w:hAnsi="Times New Roman;sans-serif"/>
          <w:b w:val="false"/>
          <w:color w:val="000000"/>
          <w:sz w:val="13"/>
        </w:rPr>
        <w:t>(2)</w:t>
      </w:r>
      <w:r>
        <w:rPr>
          <w:color w:val="000000"/>
        </w:rPr>
        <w:t>    </w:t>
      </w:r>
      <w:r>
        <w:rPr>
          <w:rFonts w:ascii="Times New Roman;sans-serif" w:hAnsi="Times New Roman;sans-serif"/>
          <w:b w:val="false"/>
          <w:color w:val="000000"/>
          <w:sz w:val="20"/>
        </w:rPr>
        <w:t>For the three months ended March 31, 2023, relates to scheduled principal payments on the Senior Secured Credit Facilities. For the three months ended March 31, 2022, relates to payment of $16.0 million of principal payments on the Senior Secured Credit Facilities and $1.9 million in third-party debt issuance costs.</w:t>
      </w:r>
    </w:p>
    <w:p>
      <w:pPr>
        <w:pStyle w:val="TextBody"/>
        <w:spacing w:lineRule="auto" w:line="288" w:before="0" w:after="60"/>
        <w:ind w:left="0" w:right="0" w:hanging="360"/>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Proceeds from the exercise of stock options will vary from period to period based on the volume of options exercised and the exercise price of the specific options exercised.</w:t>
      </w:r>
    </w:p>
    <w:p>
      <w:pPr>
        <w:pStyle w:val="TextBody"/>
        <w:spacing w:lineRule="auto" w:line="288" w:before="0" w:after="0"/>
        <w:ind w:left="0" w:right="0" w:hanging="360"/>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During the three months ended March 31, 2023, our employees surrendered 52,764 shares of our common stock from vested restricted stock unit awards as consideration for approximately $8.4 million in minimum statutory withholding obligations paid on their behalf. During the three months ended March 31, 2022, our employees surrendered 37,279 shares of our common stock from vested restricted stock unit awards as consideration for approximately $8.7 million in minimum statutory withholding obligations paid on their behalf.</w:t>
      </w:r>
    </w:p>
    <w:p>
      <w:pPr>
        <w:pStyle w:val="TextBody"/>
        <w:spacing w:before="0" w:after="0"/>
        <w:rPr/>
      </w:pPr>
      <w:r>
        <w:rPr/>
      </w:r>
    </w:p>
    <w:p>
      <w:pPr>
        <w:pStyle w:val="TextBody"/>
        <w:spacing w:lineRule="auto" w:line="288" w:before="0" w:after="1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purchase plan, which authorized the repurchase of up to $100.0 million of our common stock, was approved by our Board of Directors in August 2019. This plan has no expiration date. As of March 31, 2023, all of the $100.0 million available for purchase was remaining under the plan. </w:t>
      </w:r>
    </w:p>
    <w:p>
      <w:pPr>
        <w:pStyle w:val="TextBody"/>
        <w:spacing w:before="0" w:after="1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our 2022 Annual Report on Form 10-K, we identified the critical accounting policies which affect our more significant estimates and assumptions used in preparing our consolidated financial statements. There have been no material changes to our critical accounting policies from those previously disclosed in our 2022 Annual Report on Form 10-K.</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See Note 2: New Accounting Pronouncements in Part I, 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u w:val="single"/>
        </w:rPr>
      </w:pPr>
      <w:r>
        <w:rPr>
          <w:rFonts w:ascii="Times New Roman;sans-serif" w:hAnsi="Times New Roman;sans-serif"/>
          <w:b/>
          <w:color w:val="000000"/>
          <w:sz w:val="20"/>
          <w:u w:val="single"/>
        </w:rPr>
        <w:t>Item 3.Quantitative and Qualitative Disclosures about Market Risk</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Interest Rate Risk</w:t>
      </w:r>
      <w:r>
        <w:rPr>
          <w:color w:val="000000"/>
        </w:rPr>
        <w:t>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In connection with the Smiths Medical acquisition on January 6, 2022 we entered into the Senior Secured Credit Facilities totaling approximately $2.2 billion consisting of a variable-rate term loan A facility of $850.0 million, a variable-rate term loan B facility of $850.0 million and a revolving credit facility of $500.0 million. We are exposed to changes in interest rates on all of these variable-rate debt instruments.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A facility currently bears interest based on Adjusted Term SOFR plus an initial applicable margin of 1.75% per year. The term loan B facility currently bears interest based on Adjusted Term SOFR subject to a 0.50% floor plus an initial applicable margin of 2.5%. We used a sensitivity analysis to measure our interest rate risk exposure. If the SOFR rate increases or decreases 1% from March 31, 2023, the additional annual interest expense or savings related to the term loans would amount to approximately $16.7 million.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mitigate and offset a portion of this interest rate risk exposure associated with these debt instruments we entered into interest rate swaps to achieve a targeted mix of fixed and variable-rate debt. The term loan A swap has an initial notional amount of $300.0 million, reducing to $150.0 million evenly on a quarterly basis excluding its final maturity on March 30, 2027 and we will pay a fixed rate of 1.32% and will receive the greater of 3-month USD SOFR or (0.15)%. The term loan B swap has an initial notional amount of $750.0 million, reducing to $46.9 million evenly on a quarterly basis excluding its final maturity on March 30, 2026 and we will pay a fixed rate of 1.17% and will receive the greater of 3-month USD SOFR or 0.35%. See Note 8: Derivatives and Hedging Activities to the condensed consolidated financial statements in Part I, Item 1 of this Form 10-Q.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Program</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Additionally, our accounts receivable purchase program with Bank of the West bears discount rates tied to SOFR. These variable discount rates would affect the amount of factoring costs we incur, and the amount of cash we receive upon the sales of accounts receivable under this program. A 1% increase in SOFR rates on the accounts receivable sales would not have a material impact on our results of operations.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Foreign Currency Exchange Rate Risk</w:t>
      </w:r>
      <w:r>
        <w:rPr>
          <w:color w:val="000000"/>
        </w:rPr>
        <w:t>    </w:t>
      </w:r>
    </w:p>
    <w:p>
      <w:pPr>
        <w:pStyle w:val="TextBody"/>
        <w:spacing w:before="0" w:after="0"/>
        <w:ind w:left="0" w:right="0" w:firstLine="72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and other currencies relative to the operating unit functional currency. Our hedging policy attempts to manage these risks to an acceptable level. We manage our foreign currency exposures on a consolidated basis to take advantage of net exposures and natural offsets, which are then further reduced by the gains and losses of our hedging instruments. Gains and losses on the hedging instruments offset gains and losses on the hedged forecasted transactions and reduce the earnings volatility related to foreign exchange, however we do not hedge our entire foreign exchange exposure and are still subject to earnings volatility due to foreign currency exchange rate risk.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Our foreign currency exchange forward contracts hedge a portion of our forecasted foreign currency-denominated revenues and expenses (principally Mexican Pesos, Euros, Czech Koruna, Japanese Yen, U.S. Dollar, Chinese Renminbi, Canadian Dollar, Swedish Krona and Australian Dollar) that differ from the functional currency of the operating unit. These derivative contracts are designated and qualify as cash flow hedges (see Note 8: Derivatives and Hedging Activities to the condensed consolidated financial statements in Part I, Item 1 of this Quarterly Report on Form 10-Q). We performed a sensitivity analysis to estimate changes in the fair value of our foreign exchange derivatives due to potential changes in near-term foreign currency exchange rates. At March 31, 2023, the effect of a hypothetical 10% weakening in the actual foreign currency exchange rates used for the applicable currencies would result in an estimated decrease in the fair value of these outstanding derivative contracts by approximately $1.5 million.</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u w:val="single"/>
        </w:rPr>
      </w:pPr>
      <w:r>
        <w:rPr>
          <w:rFonts w:ascii="Times New Roman;sans-serif" w:hAnsi="Times New Roman;sans-serif"/>
          <w:b/>
          <w:color w:val="000000"/>
          <w:sz w:val="20"/>
          <w:u w:val="single"/>
        </w:rPr>
        <w:t>Item 4.Controls and Procedures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Limitations on Effectiveness of Controls and Procedures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disclosure controls and procedures, management recognizes that any controls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and procedures, no matter how well designed and operated, can provide only reasonable assurance of achieving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desired control objectives. In addition, the design of disclosure controls and procedures must reflect the fact that there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are resource constraints, and that management is required to apply judgment in evaluating the benefits of possible</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controls and procedures relative to their costs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such term is defined in Rules 13a-15(e) and 15d-15(e) under the Securities Exchange Act of 1934, as amended (the "Exchange Act")), as of the end of the period covered by this Quarterly Report.</w:t>
      </w:r>
      <w:r>
        <w:rPr>
          <w:color w:val="000000"/>
        </w:rPr>
        <w:t xml:space="preserve"> </w:t>
      </w:r>
      <w:r>
        <w:rPr>
          <w:rFonts w:ascii="Times New Roman;sans-serif" w:hAnsi="Times New Roman;sans-serif"/>
          <w:b w:val="false"/>
          <w:color w:val="000000"/>
          <w:sz w:val="20"/>
        </w:rPr>
        <w:t xml:space="preserve">Based on the evaluation, our principal executive officer and principal financial officer concluded that, as of March 31, 2023, our disclosure controls and procedures were effective at the reasonable assurance level.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(as defined in Rules 13a-15(f) and 15d-15(f) under the Exchange Act) during the quarter ended March 31, 2023 that has materially affected, or is reasonably likely to materially affect, our internal control over financial reporting. </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360"/>
        <w:rPr>
          <w:rFonts w:ascii="Times New Roman;sans-serif" w:hAnsi="Times New Roman;sans-serif"/>
          <w:b/>
          <w:color w:val="000000"/>
          <w:sz w:val="20"/>
          <w:u w:val="single"/>
        </w:rPr>
      </w:pPr>
      <w:r>
        <w:rPr>
          <w:rFonts w:ascii="Times New Roman;sans-serif" w:hAnsi="Times New Roman;sans-serif"/>
          <w:b/>
          <w:color w:val="000000"/>
          <w:sz w:val="20"/>
          <w:u w:val="single"/>
        </w:rPr>
        <w:t>Item 1.Legal Proceedings</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 xml:space="preserve">Certain legal proceedings in which we are involved are discussed in Part I, Item 1. "Financial Statements" of this Form 10-Q in Note 19. Commitments and Contingencies to the Condensed Consolidated Financial Statements, and is incorporated herein by reference. </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20"/>
          <w:u w:val="single"/>
        </w:rPr>
      </w:pPr>
      <w:r>
        <w:rPr>
          <w:rFonts w:ascii="Times New Roman;sans-serif" w:hAnsi="Times New Roman;sans-serif"/>
          <w:b/>
          <w:color w:val="000000"/>
          <w:sz w:val="20"/>
          <w:u w:val="single"/>
        </w:rPr>
        <w:t>Item 1A.Risk Factors</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In evaluating an investment in our common stock, investors should consider carefully, among other things, the risk factors previously disclosed in Part I, Item 1A of our 2022 Annual Report on Form 10-K, as well as the information contained in this Quarterly Report, in each case as updated by our periodic reports and registration statements filed with the SEC. There have been no material changes to the risk factors disclosed in Part I. Item 1A of our 2022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ind w:left="0" w:right="0" w:hanging="360"/>
        <w:rPr>
          <w:rFonts w:ascii="Times New Roman;sans-serif" w:hAnsi="Times New Roman;sans-serif"/>
          <w:b/>
          <w:color w:val="000000"/>
          <w:sz w:val="20"/>
          <w:u w:val="single"/>
        </w:rPr>
      </w:pPr>
      <w:r>
        <w:rPr>
          <w:rFonts w:ascii="Times New Roman;sans-serif" w:hAnsi="Times New Roman;sans-serif"/>
          <w:b/>
          <w:color w:val="000000"/>
          <w:sz w:val="20"/>
          <w:u w:val="single"/>
        </w:rPr>
        <w:t>Item 2.Unregistered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w:t>
      </w:r>
    </w:p>
    <w:p>
      <w:pPr>
        <w:pStyle w:val="TextBody"/>
        <w:spacing w:before="0" w:after="0"/>
        <w:rPr/>
      </w:pPr>
      <w:r>
        <w:rPr/>
      </w:r>
    </w:p>
    <w:p>
      <w:pPr>
        <w:pStyle w:val="TextBody"/>
        <w:spacing w:lineRule="auto" w:line="288" w:before="0" w:after="0"/>
        <w:rPr>
          <w:color w:val="000000"/>
        </w:rPr>
      </w:pPr>
      <w:r>
        <w:rPr>
          <w:color w:val="000000"/>
        </w:rPr>
        <w:t>    </w:t>
      </w:r>
      <w:r>
        <w:rPr>
          <w:rFonts w:ascii="Times New Roman;sans-serif" w:hAnsi="Times New Roman;sans-serif"/>
          <w:b w:val="false"/>
          <w:color w:val="000000"/>
          <w:sz w:val="20"/>
        </w:rPr>
        <w:t>The following is a summary of our stock repurchasing activity during the first quarter of 2023:</w:t>
      </w:r>
    </w:p>
    <w:tbl>
      <w:tblPr>
        <w:tblW w:w="9577" w:type="dxa"/>
        <w:jc w:val="center"/>
        <w:tblInd w:w="0" w:type="dxa"/>
        <w:tblCellMar>
          <w:top w:w="28" w:type="dxa"/>
          <w:left w:w="28" w:type="dxa"/>
          <w:bottom w:w="28" w:type="dxa"/>
          <w:right w:w="28" w:type="dxa"/>
        </w:tblCellMar>
      </w:tblPr>
      <w:tblGrid>
        <w:gridCol w:w="836"/>
        <w:gridCol w:w="737"/>
        <w:gridCol w:w="751"/>
        <w:gridCol w:w="109"/>
        <w:gridCol w:w="109"/>
        <w:gridCol w:w="109"/>
        <w:gridCol w:w="594"/>
        <w:gridCol w:w="594"/>
        <w:gridCol w:w="596"/>
        <w:gridCol w:w="109"/>
        <w:gridCol w:w="109"/>
        <w:gridCol w:w="109"/>
        <w:gridCol w:w="240"/>
        <w:gridCol w:w="461"/>
        <w:gridCol w:w="125"/>
        <w:gridCol w:w="109"/>
        <w:gridCol w:w="109"/>
        <w:gridCol w:w="109"/>
        <w:gridCol w:w="594"/>
        <w:gridCol w:w="594"/>
        <w:gridCol w:w="596"/>
        <w:gridCol w:w="109"/>
        <w:gridCol w:w="109"/>
        <w:gridCol w:w="109"/>
        <w:gridCol w:w="211"/>
        <w:gridCol w:w="1186"/>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price paid</w:t>
              <w:b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w:t>
              <w:br/>
              <w:t>purchased as</w:t>
              <w:br/>
              <w:t>part of a</w:t>
              <w:br/>
              <w:t>publicly</w:t>
              <w:br/>
              <w:t>announced</w:t>
              <w:br/>
              <w:t>program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that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may yet be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spacing w:lineRule="auto" w:line="240" w:before="0" w:after="0"/>
              <w:jc w:val="center"/>
              <w:rPr/>
            </w:pPr>
            <w:r>
              <w:rPr>
                <w:rFonts w:ascii="Times New Roman;sans-serif" w:hAnsi="Times New Roman;sans-serif"/>
                <w:b/>
                <w:color w:val="000000"/>
                <w:sz w:val="16"/>
              </w:rPr>
              <w:t>the program</w:t>
            </w:r>
            <w:r>
              <w:rPr>
                <w:rFonts w:ascii="Times New Roman;sans-serif" w:hAnsi="Times New Roman;sans-serif"/>
                <w:b/>
                <w:color w:val="000000"/>
                <w:sz w:val="10"/>
              </w:rPr>
              <w:t>(1)</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01/01/2023 — 01/31/2023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02/01/2023 — 02/28/2023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03/01/2023 — 03/31/2023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of 2023 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w:t>
      </w:r>
    </w:p>
    <w:p>
      <w:pPr>
        <w:pStyle w:val="TextBody"/>
        <w:spacing w:lineRule="auto" w:line="288" w:before="0" w:after="0"/>
        <w:ind w:left="0" w:right="0" w:hanging="360"/>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Item 6. Exhibits</w:t>
      </w:r>
    </w:p>
    <w:p>
      <w:pPr>
        <w:pStyle w:val="TextBody"/>
        <w:spacing w:lineRule="auto" w:line="288" w:before="100" w:after="100"/>
        <w:rPr>
          <w:rFonts w:ascii="Times New Roman;sans-serif" w:hAnsi="Times New Roman;sans-serif"/>
          <w:b/>
          <w:color w:val="000000"/>
          <w:sz w:val="20"/>
          <w:u w:val="single"/>
        </w:rPr>
      </w:pPr>
      <w:r>
        <w:rPr>
          <w:rFonts w:ascii="Times New Roman;sans-serif" w:hAnsi="Times New Roman;sans-serif"/>
          <w:b/>
          <w:color w:val="000000"/>
          <w:sz w:val="20"/>
          <w:u w:val="single"/>
        </w:rPr>
        <w:t>Exhibit Index</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94"/>
        <w:gridCol w:w="434"/>
        <w:gridCol w:w="436"/>
        <w:gridCol w:w="109"/>
        <w:gridCol w:w="109"/>
        <w:gridCol w:w="109"/>
        <w:gridCol w:w="2489"/>
        <w:gridCol w:w="2489"/>
        <w:gridCol w:w="3536"/>
      </w:tblGrid>
      <w:tr>
        <w:trPr/>
        <w:tc>
          <w:tcPr>
            <w:tcW w:w="49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c>
          <w:tcPr>
            <w:tcW w:w="3536"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Exhibit </w:t>
            </w:r>
            <w:hyperlink w:anchor="icui-ex31133123.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 of the Sarbanes-Oxley Act of 2002</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Exhibit </w:t>
            </w:r>
            <w:hyperlink w:anchor="icui-ex31233123.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 of the Sarbanes-Oxley Act of 2002</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Exhibit </w:t>
            </w:r>
            <w:hyperlink w:anchor="icui-ex32133123.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of Chief Executive Officer and Chief Financial Officer pursuant to Section 906 of the Sarbanes-Oxley Act of 2002</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Exhibit </w:t>
            </w:r>
            <w:hyperlink w:anchor="exhibit10133123.htm">
              <w:r>
                <w:rPr>
                  <w:rStyle w:val="InternetLink"/>
                  <w:rFonts w:ascii="Times New Roman;sans-serif" w:hAnsi="Times New Roman;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 compensation.</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this instance document does not appear in the Interactive Data File because its XBRL tags are embedded within the Inline XBRL document.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f1f54ab03e0c44ba84b642c022c86fca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ind w:left="0" w:right="0" w:firstLine="72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ICU Medical, Inc.</w:t>
      </w:r>
    </w:p>
    <w:p>
      <w:pPr>
        <w:pStyle w:val="TextBody"/>
        <w:spacing w:lineRule="auto" w:line="288" w:before="0" w:after="0"/>
        <w:rPr>
          <w:color w:val="000000"/>
        </w:rPr>
      </w:pPr>
      <w:r>
        <w:rPr>
          <w:color w:val="000000"/>
        </w:rPr>
        <w:t> </w:t>
      </w:r>
    </w:p>
    <w:tbl>
      <w:tblPr>
        <w:tblW w:w="6014" w:type="dxa"/>
        <w:jc w:val="left"/>
        <w:tblInd w:w="0" w:type="dxa"/>
        <w:tblCellMar>
          <w:top w:w="28" w:type="dxa"/>
          <w:left w:w="28" w:type="dxa"/>
          <w:bottom w:w="28" w:type="dxa"/>
          <w:right w:w="28" w:type="dxa"/>
        </w:tblCellMar>
      </w:tblPr>
      <w:tblGrid>
        <w:gridCol w:w="1554"/>
        <w:gridCol w:w="1366"/>
        <w:gridCol w:w="1370"/>
        <w:gridCol w:w="179"/>
        <w:gridCol w:w="179"/>
        <w:gridCol w:w="181"/>
        <w:gridCol w:w="347"/>
        <w:gridCol w:w="347"/>
        <w:gridCol w:w="491"/>
      </w:tblGrid>
      <w:tr>
        <w:trPr/>
        <w:tc>
          <w:tcPr>
            <w:tcW w:w="1554"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c>
          <w:tcPr>
            <w:tcW w:w="53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r>
      <w:tr>
        <w:trPr/>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Authorized Officer)</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Non-Employee Director Compensation</w:t>
      </w:r>
    </w:p>
    <w:p>
      <w:pPr>
        <w:pStyle w:val="TextBody"/>
        <w:spacing w:before="0" w:after="0"/>
        <w:jc w:val="center"/>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currently pay our non-employee directors the following:</w:t>
      </w:r>
    </w:p>
    <w:p>
      <w:pPr>
        <w:pStyle w:val="TextBody"/>
        <w:spacing w:before="0" w:after="0"/>
        <w:rPr/>
      </w:pPr>
      <w:r>
        <w:rPr/>
      </w:r>
    </w:p>
    <w:p>
      <w:pPr>
        <w:pStyle w:val="TextBody"/>
        <w:spacing w:lineRule="auto" w:line="288" w:before="0" w:after="0"/>
        <w:ind w:left="0" w:right="0" w:firstLine="720"/>
        <w:rPr/>
      </w:pPr>
      <w:r>
        <w:rPr>
          <w:color w:val="000000"/>
        </w:rPr>
        <w:t>•</w:t>
      </w:r>
      <w:r>
        <w:rPr>
          <w:rFonts w:ascii="Times New Roman;sans-serif" w:hAnsi="Times New Roman;sans-serif"/>
          <w:b w:val="false"/>
          <w:color w:val="000000"/>
          <w:sz w:val="20"/>
        </w:rPr>
        <w:t xml:space="preserve">annual retainer of $98,500 for the Lead Director </w:t>
      </w:r>
    </w:p>
    <w:p>
      <w:pPr>
        <w:pStyle w:val="TextBody"/>
        <w:spacing w:lineRule="auto" w:line="288" w:before="0" w:after="0"/>
        <w:ind w:left="0" w:right="0" w:firstLine="720"/>
        <w:rPr/>
      </w:pPr>
      <w:r>
        <w:rPr>
          <w:color w:val="000000"/>
        </w:rPr>
        <w:t>•</w:t>
      </w:r>
      <w:r>
        <w:rPr>
          <w:rFonts w:ascii="Times New Roman;sans-serif" w:hAnsi="Times New Roman;sans-serif"/>
          <w:b w:val="false"/>
          <w:color w:val="000000"/>
          <w:sz w:val="20"/>
        </w:rPr>
        <w:t>annual retainer of $102,000 for the Chairperson of the Audit Committee</w:t>
      </w:r>
    </w:p>
    <w:p>
      <w:pPr>
        <w:pStyle w:val="TextBody"/>
        <w:spacing w:lineRule="auto" w:line="288" w:before="0" w:after="0"/>
        <w:ind w:left="0" w:right="0" w:firstLine="720"/>
        <w:rPr/>
      </w:pPr>
      <w:r>
        <w:rPr>
          <w:color w:val="000000"/>
        </w:rPr>
        <w:t>•</w:t>
      </w:r>
      <w:r>
        <w:rPr>
          <w:rFonts w:ascii="Times New Roman;sans-serif" w:hAnsi="Times New Roman;sans-serif"/>
          <w:b w:val="false"/>
          <w:color w:val="000000"/>
          <w:sz w:val="20"/>
        </w:rPr>
        <w:t>annual retainer of $92,500 for the Chairperson of the Compensation Committee</w:t>
      </w:r>
    </w:p>
    <w:p>
      <w:pPr>
        <w:pStyle w:val="TextBody"/>
        <w:spacing w:lineRule="auto" w:line="288" w:before="0" w:after="0"/>
        <w:ind w:left="0" w:right="0" w:firstLine="720"/>
        <w:rPr/>
      </w:pPr>
      <w:r>
        <w:rPr>
          <w:color w:val="000000"/>
        </w:rPr>
        <w:t>•</w:t>
      </w:r>
      <w:r>
        <w:rPr>
          <w:rFonts w:ascii="Times New Roman;sans-serif" w:hAnsi="Times New Roman;sans-serif"/>
          <w:b w:val="false"/>
          <w:color w:val="000000"/>
          <w:sz w:val="20"/>
        </w:rPr>
        <w:t>annual retainer of $85,000 for the Chairperson of the Nominating and Governance Committee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equity component of the director's compensation is valued at $180,000. The annual equity package consists of restricted stock units. The restricted stock units vest one year from the grant date or on the date of the Annual Meeting, whichever is earlier.</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right"/>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SECTION 302 OF THE SARBANES-OXLEY ACT OF 2002</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Vivek Jain, certify that:</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ICU Medical, Inc.;</w:t>
      </w:r>
    </w:p>
    <w:p>
      <w:pPr>
        <w:pStyle w:val="TextBody"/>
        <w:spacing w:before="0" w:after="0"/>
        <w:ind w:left="0" w:right="0" w:firstLine="81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81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firstLine="81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firstLine="81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81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firstLine="81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764" w:type="dxa"/>
        <w:jc w:val="left"/>
        <w:tblInd w:w="0" w:type="dxa"/>
        <w:tblCellMar>
          <w:top w:w="28" w:type="dxa"/>
          <w:left w:w="28" w:type="dxa"/>
          <w:bottom w:w="28" w:type="dxa"/>
          <w:right w:w="28" w:type="dxa"/>
        </w:tblCellMar>
      </w:tblPr>
      <w:tblGrid>
        <w:gridCol w:w="200"/>
        <w:gridCol w:w="177"/>
        <w:gridCol w:w="178"/>
        <w:gridCol w:w="379"/>
        <w:gridCol w:w="379"/>
        <w:gridCol w:w="381"/>
        <w:gridCol w:w="603"/>
        <w:gridCol w:w="603"/>
        <w:gridCol w:w="86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right"/>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SECTION 302 OF THE SARBANES-OXLEY ACT OF 2002</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Brian M. Bonnell, certify that:</w:t>
      </w:r>
    </w:p>
    <w:p>
      <w:pPr>
        <w:pStyle w:val="TextBody"/>
        <w:spacing w:lineRule="auto" w:line="288" w:before="0" w:after="0"/>
        <w:rPr>
          <w:color w:val="000000"/>
        </w:rPr>
      </w:pPr>
      <w:r>
        <w:rPr>
          <w:color w:val="000000"/>
        </w:rPr>
        <w:t> </w:t>
      </w:r>
    </w:p>
    <w:p>
      <w:pPr>
        <w:pStyle w:val="TextBody"/>
        <w:spacing w:lineRule="auto" w:line="288" w:before="0" w:after="0"/>
        <w:ind w:left="0" w:right="0" w:hanging="630"/>
        <w:rPr/>
      </w:pPr>
      <w:r>
        <w:rPr>
          <w:rFonts w:ascii="Times New Roman;sans-serif" w:hAnsi="Times New Roman;sans-serif"/>
          <w:b w:val="false"/>
          <w:color w:val="000000"/>
          <w:sz w:val="20"/>
        </w:rPr>
        <w:t>1.</w:t>
      </w:r>
      <w:r>
        <w:rPr>
          <w:color w:val="000000"/>
        </w:rPr>
        <w:t> </w:t>
      </w:r>
      <w:r>
        <w:rPr>
          <w:rFonts w:ascii="Times New Roman;sans-serif" w:hAnsi="Times New Roman;sans-serif"/>
          <w:b w:val="false"/>
          <w:color w:val="000000"/>
          <w:sz w:val="20"/>
        </w:rPr>
        <w:t>I have reviewed this quarterly report on Form 10-Q of ICU Medical, Inc.;</w:t>
      </w:r>
    </w:p>
    <w:p>
      <w:pPr>
        <w:pStyle w:val="TextBody"/>
        <w:spacing w:before="0" w:after="0"/>
        <w:ind w:left="0" w:right="0" w:hanging="630"/>
        <w:rPr/>
      </w:pPr>
      <w:r>
        <w:rPr/>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630"/>
        <w:rPr/>
      </w:pPr>
      <w:r>
        <w:rPr/>
      </w:r>
    </w:p>
    <w:p>
      <w:pPr>
        <w:pStyle w:val="TextBody"/>
        <w:spacing w:lineRule="auto" w:line="288" w:before="0" w:after="0"/>
        <w:ind w:left="0" w:right="0" w:hanging="630"/>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630"/>
        <w:rPr/>
      </w:pPr>
      <w:r>
        <w:rPr/>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630"/>
        <w:rPr/>
      </w:pPr>
      <w:r>
        <w:rPr/>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630"/>
        <w:rPr/>
      </w:pPr>
      <w:r>
        <w:rPr/>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630"/>
        <w:rPr/>
      </w:pPr>
      <w:r>
        <w:rPr/>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630"/>
        <w:rPr/>
      </w:pPr>
      <w:r>
        <w:rPr/>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630"/>
        <w:rPr/>
      </w:pPr>
      <w:r>
        <w:rPr/>
      </w:r>
    </w:p>
    <w:p>
      <w:pPr>
        <w:pStyle w:val="TextBody"/>
        <w:spacing w:lineRule="auto" w:line="288" w:before="0" w:after="0"/>
        <w:ind w:left="0" w:right="0" w:hanging="630"/>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630"/>
        <w:rPr/>
      </w:pPr>
      <w:r>
        <w:rPr/>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630"/>
        <w:rPr/>
      </w:pPr>
      <w:r>
        <w:rPr/>
      </w:r>
    </w:p>
    <w:p>
      <w:pPr>
        <w:pStyle w:val="TextBody"/>
        <w:spacing w:lineRule="auto" w:line="288" w:before="0" w:after="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ind w:left="0" w:right="0" w:firstLine="720"/>
        <w:rPr>
          <w:color w:val="000000"/>
        </w:rPr>
      </w:pPr>
      <w:r>
        <w:rPr>
          <w:color w:val="000000"/>
        </w:rPr>
        <w:t> </w:t>
      </w:r>
    </w:p>
    <w:tbl>
      <w:tblPr>
        <w:tblW w:w="3703" w:type="dxa"/>
        <w:jc w:val="left"/>
        <w:tblInd w:w="0" w:type="dxa"/>
        <w:tblCellMar>
          <w:top w:w="28" w:type="dxa"/>
          <w:left w:w="28" w:type="dxa"/>
          <w:bottom w:w="28" w:type="dxa"/>
          <w:right w:w="28" w:type="dxa"/>
        </w:tblCellMar>
      </w:tblPr>
      <w:tblGrid>
        <w:gridCol w:w="200"/>
        <w:gridCol w:w="177"/>
        <w:gridCol w:w="178"/>
        <w:gridCol w:w="379"/>
        <w:gridCol w:w="379"/>
        <w:gridCol w:w="381"/>
        <w:gridCol w:w="587"/>
        <w:gridCol w:w="587"/>
        <w:gridCol w:w="83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tbl>
      <w:tblPr>
        <w:tblW w:w="387" w:type="dxa"/>
        <w:jc w:val="righ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jc w:val="right"/>
        <w:rPr>
          <w:color w:val="000000"/>
        </w:rPr>
      </w:pPr>
      <w:r>
        <w:rPr>
          <w:color w:val="000000"/>
        </w:rPr>
        <w:t> </w:t>
      </w:r>
    </w:p>
    <w:p>
      <w:pPr>
        <w:pStyle w:val="TextBody"/>
        <w:ind w:left="0" w:right="0" w:firstLine="720"/>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ICU Medical, Inc. (the “Company”) on Form 10-Q for the period ended March 31, 2023 as filed with the Securities and Exchange Commission on the date hereof (the “Report”), I, Vivek Jain, Chief Executive Officer of the Company, certify, pursuant to 18 U.S.C. § 1350, as adopted pursuant to § 906 of the Sarbanes-Oxley Act of 2002,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rPr/>
      </w:pPr>
      <w:r>
        <w:rPr/>
      </w:r>
    </w:p>
    <w:tbl>
      <w:tblPr>
        <w:tblW w:w="3896" w:type="dxa"/>
        <w:jc w:val="center"/>
        <w:tblInd w:w="0" w:type="dxa"/>
        <w:tblCellMar>
          <w:top w:w="28" w:type="dxa"/>
          <w:left w:w="28" w:type="dxa"/>
          <w:bottom w:w="28" w:type="dxa"/>
          <w:right w:w="28" w:type="dxa"/>
        </w:tblCellMar>
      </w:tblPr>
      <w:tblGrid>
        <w:gridCol w:w="417"/>
        <w:gridCol w:w="368"/>
        <w:gridCol w:w="370"/>
        <w:gridCol w:w="109"/>
        <w:gridCol w:w="109"/>
        <w:gridCol w:w="109"/>
        <w:gridCol w:w="703"/>
        <w:gridCol w:w="703"/>
        <w:gridCol w:w="1008"/>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Vivek Jain</w:t>
            </w:r>
          </w:p>
        </w:tc>
      </w:tr>
      <w:tr>
        <w:trPr/>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Vivek Jain</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ICU Medical, Inc. (the “Company”) on Form 10-Q for the period ended March 31, 2023 as filed with the Securities and Exchange Commission on the date hereof (the “Report”), I, Brian M. Bonnell, Chief Financial Officer of the Company, certify, pursuant to 18 U.S.C. § 1350, as adopted pursuant to § 906 of the Sarbanes-Oxley Act of 2002, that:</w:t>
      </w:r>
    </w:p>
    <w:p>
      <w:pPr>
        <w:pStyle w:val="TextBody"/>
        <w:spacing w:lineRule="auto" w:line="288" w:before="0" w:after="0"/>
        <w:rPr>
          <w:color w:val="000000"/>
        </w:rPr>
      </w:pPr>
      <w:r>
        <w:rPr>
          <w:color w:val="000000"/>
        </w:rPr>
        <w:t> </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3822" w:type="dxa"/>
        <w:jc w:val="center"/>
        <w:tblInd w:w="0" w:type="dxa"/>
        <w:tblCellMar>
          <w:top w:w="28" w:type="dxa"/>
          <w:left w:w="28" w:type="dxa"/>
          <w:bottom w:w="28" w:type="dxa"/>
          <w:right w:w="28" w:type="dxa"/>
        </w:tblCellMar>
      </w:tblPr>
      <w:tblGrid>
        <w:gridCol w:w="417"/>
        <w:gridCol w:w="368"/>
        <w:gridCol w:w="370"/>
        <w:gridCol w:w="109"/>
        <w:gridCol w:w="109"/>
        <w:gridCol w:w="109"/>
        <w:gridCol w:w="684"/>
        <w:gridCol w:w="684"/>
        <w:gridCol w:w="972"/>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M. Bonnell</w:t>
            </w:r>
          </w:p>
        </w:tc>
      </w:tr>
      <w:tr>
        <w:trPr/>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M. Bonnell</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25080</Words>
  <CharactersWithSpaces>164323</CharactersWithSpaces>
  <Paragraphs>3285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