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13, 2026</w:t>
      </w:r>
    </w:p>
    <w:p>
      <w:pPr>
        <w:spacing w:after="0" w:line="2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ICU MEDICAL, INC.</w:t>
      </w:r>
    </w:p>
    <w:p>
      <w:pPr>
        <w:spacing w:after="0" w:line="2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2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001-34634</w:t>
            </w:r>
          </w:p>
        </w:tc>
        <w:tc>
          <w:tcPr>
            <w:tcW w:w="15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33-0022692</w:t>
            </w:r>
          </w:p>
        </w:tc>
        <w:tc>
          <w:tcPr>
            <w:tcW w:w="0" w:type="dxa"/>
            <w:vAlign w:val="bottom"/>
          </w:tcPr>
          <w:p>
            <w:pPr>
              <w:spacing w:after="0"/>
              <w:rPr>
                <w:sz w:val="1"/>
                <w:szCs w:val="1"/>
                <w:color w:val="auto"/>
              </w:rPr>
            </w:pPr>
          </w:p>
        </w:tc>
      </w:tr>
      <w:tr>
        <w:trPr>
          <w:trHeight w:val="324"/>
        </w:trPr>
        <w:tc>
          <w:tcPr>
            <w:tcW w:w="1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0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(Commission File Number)</w:t>
            </w:r>
          </w:p>
        </w:tc>
        <w:tc>
          <w:tcPr>
            <w:tcW w:w="15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35"/>
        </w:trPr>
        <w:tc>
          <w:tcPr>
            <w:tcW w:w="1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of incorporation)</w:t>
            </w:r>
          </w:p>
        </w:tc>
        <w:tc>
          <w:tcPr>
            <w:tcW w:w="4020" w:type="dxa"/>
            <w:vAlign w:val="bottom"/>
            <w:vMerge w:val="continue"/>
          </w:tcPr>
          <w:p>
            <w:pPr>
              <w:spacing w:after="0"/>
              <w:rPr>
                <w:sz w:val="11"/>
                <w:szCs w:val="11"/>
                <w:color w:val="auto"/>
              </w:rPr>
            </w:pPr>
          </w:p>
        </w:tc>
        <w:tc>
          <w:tcPr>
            <w:tcW w:w="156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35"/>
        </w:trPr>
        <w:tc>
          <w:tcPr>
            <w:tcW w:w="1980" w:type="dxa"/>
            <w:vAlign w:val="bottom"/>
            <w:vMerge w:val="continue"/>
          </w:tcPr>
          <w:p>
            <w:pPr>
              <w:spacing w:after="0"/>
              <w:rPr>
                <w:sz w:val="11"/>
                <w:szCs w:val="11"/>
                <w:color w:val="auto"/>
              </w:rPr>
            </w:pPr>
          </w:p>
        </w:tc>
        <w:tc>
          <w:tcPr>
            <w:tcW w:w="40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0500"/>
          </w:cols>
          <w:pgMar w:left="660" w:top="983" w:right="739" w:bottom="1440" w:gutter="0" w:footer="0" w:header="0"/>
        </w:sectPr>
      </w:pPr>
    </w:p>
    <w:p>
      <w:pPr>
        <w:spacing w:after="0" w:line="7" w:lineRule="exact"/>
        <w:rPr>
          <w:sz w:val="24"/>
          <w:szCs w:val="24"/>
          <w:color w:val="auto"/>
        </w:rPr>
      </w:pPr>
    </w:p>
    <w:p>
      <w:pPr>
        <w:ind w:left="2720" w:right="620" w:hanging="834"/>
        <w:spacing w:after="0" w:line="318" w:lineRule="auto"/>
        <w:rPr>
          <w:sz w:val="20"/>
          <w:szCs w:val="20"/>
          <w:color w:val="auto"/>
        </w:rPr>
      </w:pPr>
      <w:r>
        <w:rPr>
          <w:rFonts w:ascii="Times New Roman" w:cs="Times New Roman" w:eastAsia="Times New Roman" w:hAnsi="Times New Roman"/>
          <w:sz w:val="18"/>
          <w:szCs w:val="18"/>
          <w:b w:val="1"/>
          <w:bCs w:val="1"/>
          <w:color w:val="auto"/>
        </w:rPr>
        <w:t>951 Calle Amanecer ,</w:t>
      </w:r>
      <w:r>
        <w:rPr>
          <w:sz w:val="20"/>
          <w:szCs w:val="20"/>
          <w:color w:val="auto"/>
        </w:rPr>
        <w:t xml:space="preserve"> </w:t>
      </w:r>
      <w:r>
        <w:rPr>
          <w:rFonts w:ascii="Times New Roman" w:cs="Times New Roman" w:eastAsia="Times New Roman" w:hAnsi="Times New Roman"/>
          <w:sz w:val="18"/>
          <w:szCs w:val="18"/>
          <w:b w:val="1"/>
          <w:bCs w:val="1"/>
          <w:color w:val="auto"/>
        </w:rPr>
        <w:t xml:space="preserve">San Clemente , California </w:t>
      </w: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92673</w:t>
      </w:r>
    </w:p>
    <w:p>
      <w:pPr>
        <w:spacing w:after="0" w:line="40"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color w:val="auto"/>
        </w:rPr>
        <w:t>(Zip Code)</w:t>
      </w:r>
    </w:p>
    <w:p>
      <w:pPr>
        <w:spacing w:after="0" w:line="294" w:lineRule="exact"/>
        <w:rPr>
          <w:sz w:val="24"/>
          <w:szCs w:val="24"/>
          <w:color w:val="auto"/>
        </w:rPr>
      </w:pPr>
    </w:p>
    <w:p>
      <w:pPr>
        <w:sectPr>
          <w:pgSz w:w="11900" w:h="16838" w:orient="portrait"/>
          <w:cols w:equalWidth="0" w:num="2">
            <w:col w:w="6740" w:space="720"/>
            <w:col w:w="3040"/>
          </w:cols>
          <w:pgMar w:left="660" w:top="983" w:right="739" w:bottom="1440" w:gutter="0" w:footer="0" w:header="0"/>
          <w:type w:val="continuous"/>
        </w:sectPr>
      </w:pPr>
    </w:p>
    <w:p>
      <w:pPr>
        <w:spacing w:after="0" w:line="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(949) 366-2183</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500"/>
          </w:cols>
          <w:pgMar w:left="660" w:top="983" w:right="739" w:bottom="1440" w:gutter="0" w:footer="0" w:header="0"/>
          <w:type w:val="continuous"/>
        </w:sectPr>
      </w:pPr>
    </w:p>
    <w:p>
      <w:pPr>
        <w:spacing w:after="0" w:line="2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6" w:lineRule="exact"/>
        <w:rPr>
          <w:sz w:val="24"/>
          <w:szCs w:val="24"/>
          <w:color w:val="auto"/>
        </w:rPr>
      </w:pPr>
    </w:p>
    <w:p>
      <w:pPr>
        <w:ind w:left="700" w:right="120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1160" w:hanging="340"/>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1160" w:hanging="340"/>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1160" w:hanging="340"/>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1160" w:hanging="340"/>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8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344"/>
        </w:trPr>
        <w:tc>
          <w:tcPr>
            <w:tcW w:w="80" w:type="dxa"/>
            <w:vAlign w:val="bottom"/>
          </w:tcPr>
          <w:p>
            <w:pPr>
              <w:spacing w:after="0"/>
              <w:rPr>
                <w:sz w:val="24"/>
                <w:szCs w:val="24"/>
                <w:color w:val="auto"/>
              </w:rPr>
            </w:pPr>
          </w:p>
        </w:tc>
        <w:tc>
          <w:tcPr>
            <w:tcW w:w="3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412"/>
        </w:trPr>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50"/>
        </w:trPr>
        <w:tc>
          <w:tcPr>
            <w:tcW w:w="80" w:type="dxa"/>
            <w:vAlign w:val="bottom"/>
          </w:tcPr>
          <w:p>
            <w:pPr>
              <w:spacing w:after="0"/>
              <w:rPr>
                <w:sz w:val="21"/>
                <w:szCs w:val="21"/>
                <w:color w:val="auto"/>
              </w:rPr>
            </w:pPr>
          </w:p>
        </w:tc>
        <w:tc>
          <w:tcPr>
            <w:tcW w:w="3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1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ICUI</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(Global Select Market)</w:t>
            </w:r>
          </w:p>
        </w:tc>
      </w:tr>
    </w:tbl>
    <w:p>
      <w:pPr>
        <w:spacing w:after="0" w:line="11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w:t>
      </w:r>
    </w:p>
    <w:p>
      <w:pPr>
        <w:spacing w:after="0" w:line="2" w:lineRule="exact"/>
        <w:rPr>
          <w:sz w:val="24"/>
          <w:szCs w:val="24"/>
          <w:color w:val="auto"/>
        </w:rPr>
      </w:pPr>
    </w:p>
    <w:p>
      <w:pPr>
        <w:ind w:left="980" w:right="980"/>
        <w:spacing w:after="0" w:line="226" w:lineRule="auto"/>
        <w:rPr>
          <w:sz w:val="20"/>
          <w:szCs w:val="20"/>
          <w:color w:val="auto"/>
        </w:rPr>
      </w:pPr>
      <w:r>
        <w:rPr>
          <w:rFonts w:ascii="Times New Roman" w:cs="Times New Roman" w:eastAsia="Times New Roman" w:hAnsi="Times New Roman"/>
          <w:sz w:val="18"/>
          <w:szCs w:val="18"/>
          <w:color w:val="auto"/>
        </w:rPr>
        <w:t>the Securities Act of 1933 (§230.405 of this chapter) or Rule 12b-2 of the Securities Exchange Act of 1934 (§240.12b-2 of this chapter).</w:t>
      </w:r>
    </w:p>
    <w:p>
      <w:pPr>
        <w:spacing w:after="0" w:line="22" w:lineRule="exact"/>
        <w:rPr>
          <w:sz w:val="24"/>
          <w:szCs w:val="24"/>
          <w:color w:val="auto"/>
        </w:rPr>
      </w:pPr>
    </w:p>
    <w:p>
      <w:pPr>
        <w:ind w:left="1100"/>
        <w:spacing w:after="0" w:line="207" w:lineRule="exact"/>
        <w:tabs>
          <w:tab w:leader="none" w:pos="33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left="1100" w:right="920"/>
        <w:spacing w:after="0" w:line="23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 w:lineRule="exact"/>
        <w:rPr>
          <w:sz w:val="24"/>
          <w:szCs w:val="24"/>
          <w:color w:val="auto"/>
        </w:rPr>
      </w:pPr>
    </w:p>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-222885</wp:posOffset>
            </wp:positionH>
            <wp:positionV relativeFrom="paragraph">
              <wp:posOffset>973455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660" w:top="983" w:right="7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5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On May 13, 2026, ICU Medical, Inc. (the “Company”) held its 2026 annual meeting of stockholders (the “Annual Meeting”). At the Annual Meeting, the Company’s stockholders approved amendments to the Company’s Amended and Restated Certificate of Incorporation to: (i) eliminate certain provisions that require a supermajority vote of stockholders and provide for a simple majority vote (the “Majority Voting Amendment”); (ii) permit stockholders owning no less than 25% of the combined voting power of all outstanding voting securities of the Company the right to call a special meeting of</w:t>
      </w:r>
    </w:p>
    <w:p>
      <w:pPr>
        <w:spacing w:after="0" w:line="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stockholders (“Special Meeting Amendment”); and (iii) remove such other provisions no longer applicable (collectively, the “Charter Amendments”). The Charter Amendments became effective upon filing an Amended and Restated Certificate of Incorporation with the Secretary of State of the State of Delaware on May 15, 2026.</w:t>
      </w:r>
    </w:p>
    <w:p>
      <w:pPr>
        <w:spacing w:after="0" w:line="203" w:lineRule="exact"/>
        <w:rPr>
          <w:sz w:val="20"/>
          <w:szCs w:val="20"/>
          <w:color w:val="auto"/>
        </w:rPr>
      </w:pPr>
    </w:p>
    <w:p>
      <w:pPr>
        <w:ind w:right="640"/>
        <w:spacing w:after="0" w:line="290" w:lineRule="auto"/>
        <w:rPr>
          <w:sz w:val="20"/>
          <w:szCs w:val="20"/>
          <w:color w:val="auto"/>
        </w:rPr>
      </w:pPr>
      <w:r>
        <w:rPr>
          <w:rFonts w:ascii="Times New Roman" w:cs="Times New Roman" w:eastAsia="Times New Roman" w:hAnsi="Times New Roman"/>
          <w:sz w:val="17"/>
          <w:szCs w:val="17"/>
          <w:color w:val="auto"/>
        </w:rPr>
        <w:t>The Board also approved, contingent on stockholder approval and effectiveness of the Charter Amendments, an amendment and restatement of the Company’s Bylaws (as amended and restated, the “Amended and Restated Bylaws”), which became effective upon the effectiveness of the Charter</w:t>
      </w:r>
    </w:p>
    <w:p>
      <w:pPr>
        <w:spacing w:after="0" w:line="282" w:lineRule="auto"/>
        <w:rPr>
          <w:sz w:val="20"/>
          <w:szCs w:val="20"/>
          <w:color w:val="auto"/>
        </w:rPr>
      </w:pPr>
      <w:r>
        <w:rPr>
          <w:rFonts w:ascii="Times New Roman" w:cs="Times New Roman" w:eastAsia="Times New Roman" w:hAnsi="Times New Roman"/>
          <w:sz w:val="18"/>
          <w:szCs w:val="18"/>
          <w:color w:val="auto"/>
        </w:rPr>
        <w:t>Amendments, to adopt certain changes to implement the Charter Amendments. The Amended and Restated Bylaws include, among other things, provisions setting forth the following procedural and informational requirements regarding the Special Meeting Amendment:</w:t>
      </w:r>
    </w:p>
    <w:p>
      <w:pPr>
        <w:spacing w:after="0" w:line="229" w:lineRule="exact"/>
        <w:rPr>
          <w:sz w:val="20"/>
          <w:szCs w:val="20"/>
          <w:color w:val="auto"/>
        </w:rPr>
      </w:pPr>
    </w:p>
    <w:p>
      <w:pPr>
        <w:ind w:left="660" w:right="20" w:hanging="328"/>
        <w:spacing w:after="0" w:line="244"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requesting stockholder(s) must follow certain procedural requirements for requesting that the Company set a record date to determine whether the requesting stockholder(s) meet the share ownership requirement.</w:t>
      </w:r>
    </w:p>
    <w:p>
      <w:pPr>
        <w:spacing w:after="0" w:line="261" w:lineRule="exact"/>
        <w:rPr>
          <w:rFonts w:ascii="Arial" w:cs="Arial" w:eastAsia="Arial" w:hAnsi="Arial"/>
          <w:sz w:val="22"/>
          <w:szCs w:val="22"/>
          <w:color w:val="auto"/>
        </w:rPr>
      </w:pPr>
    </w:p>
    <w:p>
      <w:pPr>
        <w:jc w:val="both"/>
        <w:ind w:left="660" w:right="340" w:hanging="328"/>
        <w:spacing w:after="0" w:line="239"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record date or special-meeting request must set forth information regarding, (1) the business proposed to be conducted at the meeting, (2) information about any director candidate nominated and (3) information with respect to the requesting stockholder(s), including the beneficial owner(s), if any, on whose behalf the proposal is made.</w:t>
      </w:r>
    </w:p>
    <w:p>
      <w:pPr>
        <w:spacing w:after="0" w:line="267" w:lineRule="exact"/>
        <w:rPr>
          <w:rFonts w:ascii="Times New Roman" w:cs="Times New Roman" w:eastAsia="Times New Roman" w:hAnsi="Times New Roman"/>
          <w:sz w:val="22"/>
          <w:szCs w:val="22"/>
          <w:color w:val="auto"/>
        </w:rPr>
      </w:pPr>
    </w:p>
    <w:p>
      <w:pPr>
        <w:ind w:left="660" w:right="60" w:hanging="328"/>
        <w:spacing w:after="0" w:line="24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special meeting request will not be valid if: (i) it does not comply with the applicable procedural requirements set forth in the Amended and Restated Bylaws; (ii) it relates to an item of business to be transacted at such meeting that is not a proper subject for stockholder action under applicable law; (iii) the business proposed to be conducted at the meeting is identical or substantially similar to an item of business for which a record date was previously fixed, that is delivered between the 61st day after and the one-year anniversary of such record date; (iv) an identical or substantially similar item of business was covered at the most recent annual meeting or at a special meeting held within one year prior to the date on which the request was received; or (v) an identical or substantially similar item of business is to be covered at a stockholder meeting called by the Board of Directors to be held within 90 days after the request is received.</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foregoing descriptions of the Charter Amendments and the Amended and Restated Bylaws do not purport to be complete and are qualified in their entirety by reference to (i) “Proposal 4 – Amendments to the Company's Amended and Restated Certificate of Incorporation to Adopt Simple Majority Voting Provisions” and “Proposal 5 – Amendment to Our Restated Certificate of Incorporation to Adopt a Stockholder Right to Call Special Meetings at an Ownership Threshold of 25%” in the Company’s Definitive Proxy Statement on Schedule 14A filed with the Securities and Exchange Commission on April 2, 2026 and (ii) the text of the Charter Amendments set forth in the Amended and Restated Certificate of Incorporation and the Amended and Restated Bylaws, copies of which are attached hereto as Exhibits 3.1 and 3.2, respectively, and incorporated herein by reference.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At the Annual Meeting held on May 13, 2026, the following proposals were voted on by the Company’s stockholders, and the results were as set forth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tbl>
      <w:tblPr>
        <w:tblLayout w:type="fixed"/>
        <w:tblInd w:w="2500" w:type="dxa"/>
        <w:tblCellMar>
          <w:top w:w="0" w:type="dxa"/>
          <w:left w:w="0" w:type="dxa"/>
          <w:bottom w:w="0" w:type="dxa"/>
          <w:right w:w="0" w:type="dxa"/>
        </w:tblCellMar>
      </w:tblPr>
      <w:tr>
        <w:trPr>
          <w:trHeight w:val="207"/>
        </w:trPr>
        <w:tc>
          <w:tcPr>
            <w:tcW w:w="22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Name of Nominee</w:t>
            </w: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5"/>
              </w:rPr>
              <w:t>Votes For</w:t>
            </w: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Withheld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w:t>
            </w:r>
          </w:p>
        </w:tc>
        <w:tc>
          <w:tcPr>
            <w:tcW w:w="0" w:type="dxa"/>
            <w:vAlign w:val="bottom"/>
          </w:tcPr>
          <w:p>
            <w:pPr>
              <w:spacing w:after="0"/>
              <w:rPr>
                <w:sz w:val="1"/>
                <w:szCs w:val="1"/>
                <w:color w:val="auto"/>
              </w:rPr>
            </w:pPr>
          </w:p>
        </w:tc>
      </w:tr>
      <w:tr>
        <w:trPr>
          <w:trHeight w:val="148"/>
        </w:trPr>
        <w:tc>
          <w:tcPr>
            <w:tcW w:w="22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Votes</w:t>
            </w:r>
          </w:p>
        </w:tc>
        <w:tc>
          <w:tcPr>
            <w:tcW w:w="0" w:type="dxa"/>
            <w:vAlign w:val="bottom"/>
          </w:tcPr>
          <w:p>
            <w:pPr>
              <w:spacing w:after="0"/>
              <w:rPr>
                <w:sz w:val="1"/>
                <w:szCs w:val="1"/>
                <w:color w:val="auto"/>
              </w:rPr>
            </w:pPr>
          </w:p>
        </w:tc>
      </w:tr>
      <w:tr>
        <w:trPr>
          <w:trHeight w:val="86"/>
        </w:trPr>
        <w:tc>
          <w:tcPr>
            <w:tcW w:w="2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Jain</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21,830,140</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314,173</w:t>
            </w: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1,979,477</w:t>
            </w:r>
          </w:p>
        </w:tc>
        <w:tc>
          <w:tcPr>
            <w:tcW w:w="0" w:type="dxa"/>
            <w:vAlign w:val="bottom"/>
          </w:tcPr>
          <w:p>
            <w:pPr>
              <w:spacing w:after="0"/>
              <w:rPr>
                <w:sz w:val="1"/>
                <w:szCs w:val="1"/>
                <w:color w:val="auto"/>
              </w:rPr>
            </w:pPr>
          </w:p>
        </w:tc>
      </w:tr>
      <w:tr>
        <w:trPr>
          <w:trHeight w:val="250"/>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C. Greenberg</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21,838,112</w:t>
            </w:r>
          </w:p>
        </w:tc>
        <w:tc>
          <w:tcPr>
            <w:tcW w:w="1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306,201</w:t>
            </w:r>
          </w:p>
        </w:tc>
        <w:tc>
          <w:tcPr>
            <w:tcW w:w="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1,979,477</w:t>
            </w:r>
          </w:p>
        </w:tc>
        <w:tc>
          <w:tcPr>
            <w:tcW w:w="0" w:type="dxa"/>
            <w:vAlign w:val="bottom"/>
          </w:tcPr>
          <w:p>
            <w:pPr>
              <w:spacing w:after="0"/>
              <w:rPr>
                <w:sz w:val="1"/>
                <w:szCs w:val="1"/>
                <w:color w:val="auto"/>
              </w:rPr>
            </w:pPr>
          </w:p>
        </w:tc>
      </w:tr>
      <w:tr>
        <w:trPr>
          <w:trHeight w:val="26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Elisha W. Finney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21,875,087</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269,226</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1,979,477</w:t>
            </w:r>
          </w:p>
        </w:tc>
        <w:tc>
          <w:tcPr>
            <w:tcW w:w="0" w:type="dxa"/>
            <w:vAlign w:val="bottom"/>
          </w:tcPr>
          <w:p>
            <w:pPr>
              <w:spacing w:after="0"/>
              <w:rPr>
                <w:sz w:val="1"/>
                <w:szCs w:val="1"/>
                <w:color w:val="auto"/>
              </w:rPr>
            </w:pPr>
          </w:p>
        </w:tc>
      </w:tr>
      <w:tr>
        <w:trPr>
          <w:trHeight w:val="250"/>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F. Hoffmeister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21,951,116</w:t>
            </w:r>
          </w:p>
        </w:tc>
        <w:tc>
          <w:tcPr>
            <w:tcW w:w="1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193,197</w:t>
            </w:r>
          </w:p>
        </w:tc>
        <w:tc>
          <w:tcPr>
            <w:tcW w:w="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1,979,477</w:t>
            </w:r>
          </w:p>
        </w:tc>
        <w:tc>
          <w:tcPr>
            <w:tcW w:w="0" w:type="dxa"/>
            <w:vAlign w:val="bottom"/>
          </w:tcPr>
          <w:p>
            <w:pPr>
              <w:spacing w:after="0"/>
              <w:rPr>
                <w:sz w:val="1"/>
                <w:szCs w:val="1"/>
                <w:color w:val="auto"/>
              </w:rPr>
            </w:pPr>
          </w:p>
        </w:tc>
      </w:tr>
      <w:tr>
        <w:trPr>
          <w:trHeight w:val="26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Donald M. Abbey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21,880,077</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264,236</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1,979,477</w:t>
            </w:r>
          </w:p>
        </w:tc>
        <w:tc>
          <w:tcPr>
            <w:tcW w:w="0" w:type="dxa"/>
            <w:vAlign w:val="bottom"/>
          </w:tcPr>
          <w:p>
            <w:pPr>
              <w:spacing w:after="0"/>
              <w:rPr>
                <w:sz w:val="1"/>
                <w:szCs w:val="1"/>
                <w:color w:val="auto"/>
              </w:rPr>
            </w:pPr>
          </w:p>
        </w:tc>
      </w:tr>
      <w:tr>
        <w:trPr>
          <w:trHeight w:val="250"/>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Laurie Hernandez</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21,881,172</w:t>
            </w:r>
          </w:p>
        </w:tc>
        <w:tc>
          <w:tcPr>
            <w:tcW w:w="1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263,141</w:t>
            </w:r>
          </w:p>
        </w:tc>
        <w:tc>
          <w:tcPr>
            <w:tcW w:w="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1,979,477</w:t>
            </w:r>
          </w:p>
        </w:tc>
        <w:tc>
          <w:tcPr>
            <w:tcW w:w="0" w:type="dxa"/>
            <w:vAlign w:val="bottom"/>
          </w:tcPr>
          <w:p>
            <w:pPr>
              <w:spacing w:after="0"/>
              <w:rPr>
                <w:sz w:val="1"/>
                <w:szCs w:val="1"/>
                <w:color w:val="auto"/>
              </w:rPr>
            </w:pPr>
          </w:p>
        </w:tc>
      </w:tr>
      <w:tr>
        <w:trPr>
          <w:trHeight w:val="26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Kolleen T. Kennedy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21,881,304</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263,009</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1,979,477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each of the director nominees to serve as a director until the next annual meeting of stockholders or until their respective successor is duly elected and qualified.</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Proposal 2. Ratification of the appointment of Deloitte &amp; Touche LLP as the Company’s independent registered public accounting firm for the fiscal year ending December 31, 2026.</w:t>
      </w:r>
    </w:p>
    <w:p>
      <w:pPr>
        <w:spacing w:after="0" w:line="200" w:lineRule="exact"/>
        <w:rPr>
          <w:sz w:val="20"/>
          <w:szCs w:val="20"/>
          <w:color w:val="auto"/>
        </w:rPr>
      </w:pPr>
    </w:p>
    <w:tbl>
      <w:tblPr>
        <w:tblLayout w:type="fixed"/>
        <w:tblInd w:w="2960" w:type="dxa"/>
        <w:tblCellMar>
          <w:top w:w="0" w:type="dxa"/>
          <w:left w:w="0" w:type="dxa"/>
          <w:bottom w:w="0" w:type="dxa"/>
          <w:right w:w="0" w:type="dxa"/>
        </w:tblCellMar>
      </w:tblPr>
      <w:tr>
        <w:trPr>
          <w:trHeight w:val="207"/>
        </w:trPr>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5"/>
              </w:rPr>
              <w:t>Votes For</w:t>
            </w: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7"/>
              </w:rPr>
              <w:t>Votes Against</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Votes</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c>
          <w:tcPr>
            <w:tcW w:w="0" w:type="dxa"/>
            <w:vAlign w:val="bottom"/>
          </w:tcPr>
          <w:p>
            <w:pPr>
              <w:spacing w:after="0"/>
              <w:rPr>
                <w:sz w:val="1"/>
                <w:szCs w:val="1"/>
                <w:color w:val="auto"/>
              </w:rPr>
            </w:pPr>
          </w:p>
        </w:tc>
      </w:tr>
      <w:tr>
        <w:trPr>
          <w:trHeight w:val="148"/>
        </w:trPr>
        <w:tc>
          <w:tcPr>
            <w:tcW w:w="14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Abstained</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23,862,197</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255,744</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5,849</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Approve, on an advisory basis, the Company’s named executive officer compensation.</w:t>
      </w:r>
    </w:p>
    <w:p>
      <w:pPr>
        <w:spacing w:after="0" w:line="252" w:lineRule="exact"/>
        <w:rPr>
          <w:sz w:val="20"/>
          <w:szCs w:val="20"/>
          <w:color w:val="auto"/>
        </w:rPr>
      </w:pPr>
    </w:p>
    <w:tbl>
      <w:tblPr>
        <w:tblLayout w:type="fixed"/>
        <w:tblInd w:w="3140" w:type="dxa"/>
        <w:tblCellMar>
          <w:top w:w="0" w:type="dxa"/>
          <w:left w:w="0" w:type="dxa"/>
          <w:bottom w:w="0" w:type="dxa"/>
          <w:right w:w="0" w:type="dxa"/>
        </w:tblCellMar>
      </w:tblPr>
      <w:tr>
        <w:trPr>
          <w:trHeight w:val="207"/>
        </w:trPr>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7"/>
              </w:rPr>
              <w:t>Votes For</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Votes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Votes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w:t>
            </w:r>
          </w:p>
        </w:tc>
        <w:tc>
          <w:tcPr>
            <w:tcW w:w="0" w:type="dxa"/>
            <w:vAlign w:val="bottom"/>
          </w:tcPr>
          <w:p>
            <w:pPr>
              <w:spacing w:after="0"/>
              <w:rPr>
                <w:sz w:val="1"/>
                <w:szCs w:val="1"/>
                <w:color w:val="auto"/>
              </w:rPr>
            </w:pPr>
          </w:p>
        </w:tc>
      </w:tr>
      <w:tr>
        <w:trPr>
          <w:trHeight w:val="140"/>
        </w:trPr>
        <w:tc>
          <w:tcPr>
            <w:tcW w:w="140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Against</w:t>
            </w: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Abstained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Votes</w:t>
            </w:r>
          </w:p>
        </w:tc>
        <w:tc>
          <w:tcPr>
            <w:tcW w:w="0" w:type="dxa"/>
            <w:vAlign w:val="bottom"/>
          </w:tcPr>
          <w:p>
            <w:pPr>
              <w:spacing w:after="0"/>
              <w:rPr>
                <w:sz w:val="1"/>
                <w:szCs w:val="1"/>
                <w:color w:val="auto"/>
              </w:rPr>
            </w:pPr>
          </w:p>
        </w:tc>
      </w:tr>
      <w:tr>
        <w:trPr>
          <w:trHeight w:val="101"/>
        </w:trPr>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21,211,525</w:t>
            </w:r>
          </w:p>
        </w:tc>
        <w:tc>
          <w:tcPr>
            <w:tcW w:w="1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920,098</w:t>
            </w:r>
          </w:p>
        </w:tc>
        <w:tc>
          <w:tcPr>
            <w:tcW w:w="22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12,690</w:t>
            </w:r>
          </w:p>
        </w:tc>
        <w:tc>
          <w:tcPr>
            <w:tcW w:w="2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1,979,477</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an advisory basis, the Company’s named executive officer compensation.</w:t>
      </w:r>
    </w:p>
    <w:p>
      <w:pPr>
        <w:spacing w:after="0" w:line="24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Proposal 4. Approve an amendment to the Company's Amended and Restated Certificate of Incorporation to adopt simple majority voting provisions.</w:t>
      </w:r>
    </w:p>
    <w:p>
      <w:pPr>
        <w:spacing w:after="0" w:line="173" w:lineRule="exact"/>
        <w:rPr>
          <w:sz w:val="20"/>
          <w:szCs w:val="20"/>
          <w:color w:val="auto"/>
        </w:rPr>
      </w:pPr>
    </w:p>
    <w:tbl>
      <w:tblPr>
        <w:tblLayout w:type="fixed"/>
        <w:tblInd w:w="2960" w:type="dxa"/>
        <w:tblCellMar>
          <w:top w:w="0" w:type="dxa"/>
          <w:left w:w="0" w:type="dxa"/>
          <w:bottom w:w="0" w:type="dxa"/>
          <w:right w:w="0" w:type="dxa"/>
        </w:tblCellMar>
      </w:tblPr>
      <w:tr>
        <w:trPr>
          <w:trHeight w:val="207"/>
        </w:trPr>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5"/>
              </w:rPr>
              <w:t>Votes For</w:t>
            </w: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Votes Against</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Votes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c>
          <w:tcPr>
            <w:tcW w:w="0" w:type="dxa"/>
            <w:vAlign w:val="bottom"/>
          </w:tcPr>
          <w:p>
            <w:pPr>
              <w:spacing w:after="0"/>
              <w:rPr>
                <w:sz w:val="1"/>
                <w:szCs w:val="1"/>
                <w:color w:val="auto"/>
              </w:rPr>
            </w:pPr>
          </w:p>
        </w:tc>
      </w:tr>
      <w:tr>
        <w:trPr>
          <w:trHeight w:val="149"/>
        </w:trPr>
        <w:tc>
          <w:tcPr>
            <w:tcW w:w="14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8"/>
              </w:rPr>
              <w:t>Abstained</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22,121,581</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14,893</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7,839</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1,979,477</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Company's Amended and Restated Certificate of Incorporation to adopt simple majority voting provisions.</w:t>
      </w:r>
    </w:p>
    <w:p>
      <w:pPr>
        <w:spacing w:after="0" w:line="24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Proposal 5. Approve an amendment to the Company's Amended and Restated Certificate of Incorporation to adopt a stockholder right to call special meetings at an ownership threshold of 25%.</w:t>
      </w:r>
    </w:p>
    <w:p>
      <w:pPr>
        <w:spacing w:after="0" w:line="200" w:lineRule="exact"/>
        <w:rPr>
          <w:sz w:val="20"/>
          <w:szCs w:val="20"/>
          <w:color w:val="auto"/>
        </w:rPr>
      </w:pPr>
    </w:p>
    <w:tbl>
      <w:tblPr>
        <w:tblLayout w:type="fixed"/>
        <w:tblInd w:w="2960" w:type="dxa"/>
        <w:tblCellMar>
          <w:top w:w="0" w:type="dxa"/>
          <w:left w:w="0" w:type="dxa"/>
          <w:bottom w:w="0" w:type="dxa"/>
          <w:right w:w="0" w:type="dxa"/>
        </w:tblCellMar>
      </w:tblPr>
      <w:tr>
        <w:trPr>
          <w:trHeight w:val="207"/>
        </w:trPr>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5"/>
              </w:rPr>
              <w:t>Votes For</w:t>
            </w: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Votes Against</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Votes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c>
          <w:tcPr>
            <w:tcW w:w="0" w:type="dxa"/>
            <w:vAlign w:val="bottom"/>
          </w:tcPr>
          <w:p>
            <w:pPr>
              <w:spacing w:after="0"/>
              <w:rPr>
                <w:sz w:val="1"/>
                <w:szCs w:val="1"/>
                <w:color w:val="auto"/>
              </w:rPr>
            </w:pPr>
          </w:p>
        </w:tc>
      </w:tr>
      <w:tr>
        <w:trPr>
          <w:trHeight w:val="149"/>
        </w:trPr>
        <w:tc>
          <w:tcPr>
            <w:tcW w:w="14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8"/>
              </w:rPr>
              <w:t>Abstained</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20,744,372</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131,314</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1,268,627</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1,979,477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Company's Amended and Restated Certificate of Incorporation to adopt a stockholder right to call special meetings at an ownership threshold of 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6. Approve an adjournment of the Annual Meeting, if necessary, to solicit additional proxies to approve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 w:name="page4"/>
    <w:bookmarkEnd w:id="3"/>
    <w:tbl>
      <w:tblPr>
        <w:tblLayout w:type="fixed"/>
        <w:tblInd w:w="2960" w:type="dxa"/>
        <w:tblCellMar>
          <w:top w:w="0" w:type="dxa"/>
          <w:left w:w="0" w:type="dxa"/>
          <w:bottom w:w="0" w:type="dxa"/>
          <w:right w:w="0" w:type="dxa"/>
        </w:tblCellMar>
      </w:tblPr>
      <w:tr>
        <w:trPr>
          <w:trHeight w:val="207"/>
        </w:trPr>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5"/>
              </w:rPr>
              <w:t>Votes For</w:t>
            </w: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7"/>
              </w:rPr>
              <w:t>Votes Against</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0"/>
              </w:rPr>
              <w:t>Votes</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c>
          <w:tcPr>
            <w:tcW w:w="0" w:type="dxa"/>
            <w:vAlign w:val="bottom"/>
          </w:tcPr>
          <w:p>
            <w:pPr>
              <w:spacing w:after="0"/>
              <w:rPr>
                <w:sz w:val="1"/>
                <w:szCs w:val="1"/>
                <w:color w:val="auto"/>
              </w:rPr>
            </w:pPr>
          </w:p>
        </w:tc>
      </w:tr>
      <w:tr>
        <w:trPr>
          <w:trHeight w:val="148"/>
        </w:trPr>
        <w:tc>
          <w:tcPr>
            <w:tcW w:w="14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Abstained</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21,087,338</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1,050,235</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6,740</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1,979,477</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an adjournment of the Annual Meeting, if necessary, to solicit additional proxies to approve Proposal 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7. Approve, on an advisory basis, a stockholder proposal to establish a 10% stockholder special meeting right.</w:t>
      </w:r>
    </w:p>
    <w:p>
      <w:pPr>
        <w:spacing w:after="0" w:line="270" w:lineRule="exact"/>
        <w:rPr>
          <w:sz w:val="20"/>
          <w:szCs w:val="20"/>
          <w:color w:val="auto"/>
        </w:rPr>
      </w:pPr>
    </w:p>
    <w:tbl>
      <w:tblPr>
        <w:tblLayout w:type="fixed"/>
        <w:tblInd w:w="2960" w:type="dxa"/>
        <w:tblCellMar>
          <w:top w:w="0" w:type="dxa"/>
          <w:left w:w="0" w:type="dxa"/>
          <w:bottom w:w="0" w:type="dxa"/>
          <w:right w:w="0" w:type="dxa"/>
        </w:tblCellMar>
      </w:tblPr>
      <w:tr>
        <w:trPr>
          <w:trHeight w:val="207"/>
        </w:trPr>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Votes For</w:t>
            </w: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7"/>
              </w:rPr>
              <w:t>Votes Against</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0"/>
              </w:rPr>
              <w:t>Votes</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c>
          <w:tcPr>
            <w:tcW w:w="0" w:type="dxa"/>
            <w:vAlign w:val="bottom"/>
          </w:tcPr>
          <w:p>
            <w:pPr>
              <w:spacing w:after="0"/>
              <w:rPr>
                <w:sz w:val="1"/>
                <w:szCs w:val="1"/>
                <w:color w:val="auto"/>
              </w:rPr>
            </w:pPr>
          </w:p>
        </w:tc>
      </w:tr>
      <w:tr>
        <w:trPr>
          <w:trHeight w:val="148"/>
        </w:trPr>
        <w:tc>
          <w:tcPr>
            <w:tcW w:w="13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Abstained</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9,009,640</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13,124,012</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10,661</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1,979,477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stockholders did not approve, on an advisory basis, a stockholder proposal to establish a 10% stockholder special meeting right.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u w:val="single" w:color="auto"/>
          <w:color w:val="0000FF"/>
        </w:rPr>
        <w:t>3.1</w:t>
      </w:r>
      <w:r>
        <w:rPr>
          <w:sz w:val="20"/>
          <w:szCs w:val="20"/>
          <w:color w:val="auto"/>
        </w:rPr>
        <w:tab/>
      </w:r>
      <w:r>
        <w:rPr>
          <w:rFonts w:ascii="Times New Roman" w:cs="Times New Roman" w:eastAsia="Times New Roman" w:hAnsi="Times New Roman"/>
          <w:sz w:val="17"/>
          <w:szCs w:val="17"/>
          <w:color w:val="auto"/>
        </w:rPr>
        <w:t>ICU Medical, Inc. Amended and Restated Certificate of Incorporation</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u w:val="single" w:color="auto"/>
          <w:color w:val="0000FF"/>
        </w:rPr>
        <w:t>3.2</w:t>
      </w:r>
      <w:r>
        <w:rPr>
          <w:sz w:val="20"/>
          <w:szCs w:val="20"/>
          <w:color w:val="auto"/>
        </w:rPr>
        <w:tab/>
      </w:r>
      <w:r>
        <w:rPr>
          <w:rFonts w:ascii="Times New Roman" w:cs="Times New Roman" w:eastAsia="Times New Roman" w:hAnsi="Times New Roman"/>
          <w:sz w:val="17"/>
          <w:szCs w:val="17"/>
          <w:color w:val="auto"/>
        </w:rPr>
        <w:t>ICU Medical, Inc. Amended and Restated Bylaws</w:t>
      </w: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905" w:right="1179" w:bottom="1440" w:gutter="0" w:footer="0" w:header="0"/>
        </w:sectPr>
      </w:pPr>
    </w:p>
    <w:bookmarkStart w:id="4" w:name="page5"/>
    <w:bookmarkEnd w:id="4"/>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ICU MEDICAL, INC.</w:t>
      </w:r>
    </w:p>
    <w:p>
      <w:pPr>
        <w:sectPr>
          <w:pgSz w:w="11900" w:h="16838" w:orient="portrait"/>
          <w:cols w:equalWidth="0" w:num="1">
            <w:col w:w="10600"/>
          </w:cols>
          <w:pgMar w:left="320" w:top="887" w:right="979" w:bottom="1440"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 May 18, 2026</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M. Bonnell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M. Bonnell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3">
            <w:col w:w="4900" w:space="720"/>
            <w:col w:w="260" w:space="540"/>
            <w:col w:w="4180"/>
          </w:cols>
          <w:pgMar w:left="320" w:top="887" w:right="97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Corporation Law of the State of Delaware</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ICU Medical, Inc., a corporation organized and existing under the laws of the State of Delaware, hereby certifies as follows:</w:t>
      </w:r>
    </w:p>
    <w:p>
      <w:pPr>
        <w:spacing w:after="0" w:line="252" w:lineRule="exact"/>
        <w:rPr>
          <w:sz w:val="20"/>
          <w:szCs w:val="20"/>
          <w:color w:val="auto"/>
        </w:rPr>
      </w:pPr>
    </w:p>
    <w:p>
      <w:pPr>
        <w:ind w:left="660" w:hanging="328"/>
        <w:spacing w:after="0" w:line="282" w:lineRule="auto"/>
        <w:tabs>
          <w:tab w:leader="none" w:pos="7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ICU Medical, Inc. The date of filing of its original certificate of incorporation with the Secretary of State of the State of Delaware was January 9, 1992.</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7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(this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restates and integrates and also further amends the provisions of the Certificate of Incorporation of the corporation, as heretofore amended, and has been duly adopted and approved by the Board of Directors and the stockholders of the corporation in accordance with Sections 242 and 245 of the General Corporation Law of the State of Delaware.</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7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Certificate of Incorporation of the corporation, as heretofore amended, is hereby amended and restated to read in its entirety as follows: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The name of the corporation is ICU Medical, Inc. (hereinafter referred to as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SECOND: The address of the registered office of the Corporation in the State of Delaware is Corporation Trust Center, 1209 Orange Street, in the City of Wilmington, County of New Castle, 19801, and the name of its registered agent at that address is The Corporation Trust Company.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corporations may be organized under the General Corporation Law of the State of Delaware.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FOURTH: The total number of shares of stock of all classes which the Corporation shall have the authority to issue is 80,500,000 shares consisting of 80,000,000 shares of Common Stock, par value of $0.10 per share, and 500,000 shares of Preferred Stock, par value of $1 per share.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shall have the authority at any time and from time to time to adopt a resolution or resolutions dividing the Preferred Stock into one or more series and (unless otherwise provided in such resolution or resolutions) to increase or decrease the number of shares of any such series, but not below the number of shares of any such series then outstanding. The Board of Directors is authorized to fix or alter in any one or more respects, from time to time, by a resolution or resolutions, the designation, powers, voting powers, preferences and the relative, participating, optional, conversion or other rights of the shares of each such series, and the qualifications, limitations or restrictions thereof. The authority of the Board of Directors with respect to each series shall include, but not be limited to, determination of any dividend rights, dividend rates, conversion rights, voting rights, rights and terms of redemption, rights upon dissolution or liquidation, sinking funds, and any other rights, preferences and limitations of any series of Preferred Stock.</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FIFTH: The exact number of directors shall be fixed from time to time by, or in the manner provided in, the Bylaws of the Corporation and may be increased or decreased as therein provided. Directors of the Corporation need not be elected by ballot unless required by the Bylaws.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directors, other than any directors elected separately as a class by the holders of one or more series of Preferred Stock, shall be elected to hold office for a one-year term expiring at the next Annual Meeting of Stockholders.</w:t>
      </w:r>
    </w:p>
    <w:p>
      <w:pPr>
        <w:sectPr>
          <w:pgSz w:w="11900" w:h="16838" w:orient="portrait"/>
          <w:cols w:equalWidth="0" w:num="1">
            <w:col w:w="11240"/>
          </w:cols>
          <w:pgMar w:left="320" w:top="1413" w:right="339" w:bottom="1440" w:gutter="0" w:footer="0" w:header="0"/>
        </w:sectPr>
      </w:pPr>
    </w:p>
    <w:bookmarkStart w:id="6" w:name="page7"/>
    <w:bookmarkEnd w:id="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director may be removed from office at any time with or without cause. Subject to such removal, death, resignation, retirement or disqualification, each director shall hold office until the next Annual Meeting of Stockholders and until his or her successor shall be elected and qualified. No alteration, amendment or repeal of this Article FIFTH or the Bylaws of the Corporation shall be effective to shorten the term of any director holding office at the time of such alteration, amendment or repeal or to increase the number of directors in the aggregate from that existing at the time of such alteration, amendment or repeal, until the expiration of the terms of office of all directors then holding office, unless (i) in the case of this Article FIFTH, such alteration, amendment or repeal has been approved by the affirmative vote of the holders of a majority of the shares of stock of the Corporation outstanding and entitled to vote thereon, or (ii) in the case of the Bylaws, such alteration, amendment or repeal has been approved by either the affirmative vote of the holders of a majority of all shares of stock of the Corporation outstanding and entitled to vote thereon or by a vote of a majority of the entire Board of Directors.</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any holders of any class or series of stock other than Common Stock issued by the Corporation shall have the separate right, voting as a class or series, to elect directors, the directors elected by such class or series shall be deemed to constitute an additional class of directors and shall have a term of office for one year or such other period as may be designated by the provisions of such class or series providing such separate voting right to the holders of such class or series of stock, any such class of directors shall be in addition to the classes designated above, and any such directors so elected shall be subject to removal in such manner as may be provided by law.</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SIXTH: The following provisions are inserted for the management of the business and the conduct of the affairs of the Corporation, for further definition, limitation and regulation of the powers of the Corporation and not in limitation or exclusion of any powers conferred upon the Corporation by statute.</w:t>
      </w:r>
    </w:p>
    <w:p>
      <w:pPr>
        <w:spacing w:after="0" w:line="203" w:lineRule="exact"/>
        <w:rPr>
          <w:sz w:val="20"/>
          <w:szCs w:val="20"/>
          <w:color w:val="auto"/>
        </w:rPr>
      </w:pPr>
    </w:p>
    <w:p>
      <w:pPr>
        <w:jc w:val="both"/>
        <w:ind w:left="660" w:hanging="328"/>
        <w:spacing w:after="0" w:line="266" w:lineRule="auto"/>
        <w:tabs>
          <w:tab w:leader="none" w:pos="6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In addition to the powers and authority expressly conferred by statute or by this Certificate of Incorporation or the Bylaws of the Corporation, the Board of Directors is hereby empowered to exercise all such powers and do all such acts and things as may be exercised or done by the Corporation.</w:t>
      </w:r>
    </w:p>
    <w:p>
      <w:pPr>
        <w:spacing w:after="0" w:line="20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expressly authorized to adopt, amend and repeal the Bylaws of the Corporation.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shall be taken by stockholders of the Corporation only at annual or special meetings of stockholders, and stockholders may not act by written consent. Special meetings of the stockholders of the Corporation for any purpose or purposes may be called at any time by (i) the Board of Directors, (ii) the Chairman of the Board of Directors, (iii) the President of the Corporation or (iv) the Secretary of the Corporation, following his or her receipt of one or more written demands to call a special meeting of the stockholders from stockholders of record who hold, in the aggregate, at least 25% of the combined voting power of all outstanding voting securities of the Corporation, determined in accordance with the provisions of the Bylaws of the Corporation and who otherwise comply with such other requirements and procedures set forth in the Bylaws of the Corporation, as now or hereinafter in effect.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SEVENTH: To the fullest extent permitted by the laws of the State of Delaware, now or hereafter in force, no director of this Corporation shall be personally liable to the Corporation or its stockholders for monetary damages for breach of fiduciary duty as a director. Any repeal or modification of the foregoing provisions of this Article SEVENTH shall not adversely affect any right or protection hereunder of any person in respect of any act or omission occurring prior to the time of such repeal or modification. The provisions of this Article SEVENTH shall not be deemed to limit or preclude indemnification of a director by the Corporation for any liability of a director which has not been eliminated by the provisions of this Article SEVENTH.</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9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color w:val="auto"/>
        </w:rPr>
        <w:t>IN WITNESS WHEREOF, ICU Medical, Inc. has caused this Amended and Restated Certificate of Incorporation to be executed by the undersigned officer this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2026.</w:t>
      </w:r>
    </w:p>
    <w:p>
      <w:pPr>
        <w:sectPr>
          <w:pgSz w:w="11900" w:h="16838" w:orient="portrait"/>
          <w:cols w:equalWidth="0" w:num="1">
            <w:col w:w="11240"/>
          </w:cols>
          <w:pgMar w:left="320" w:top="1417" w:right="339" w:bottom="1440" w:gutter="0" w:footer="0" w:header="0"/>
        </w:sectPr>
      </w:pPr>
    </w:p>
    <w:bookmarkStart w:id="7" w:name="page8"/>
    <w:bookmarkEnd w:id="7"/>
    <w:p>
      <w:pPr>
        <w:spacing w:after="0" w:line="200" w:lineRule="exact"/>
        <w:rPr>
          <w:sz w:val="20"/>
          <w:szCs w:val="20"/>
          <w:color w:val="auto"/>
        </w:rPr>
      </w:pP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ICU Medical, Inc.</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u w:val="single" w:color="auto"/>
          <w:color w:val="auto"/>
        </w:rPr>
        <w:t>By: /s/ Brian M. Bonnell</w:t>
      </w:r>
    </w:p>
    <w:p>
      <w:pPr>
        <w:spacing w:after="0" w:line="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Name: Brian M. Bonnell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9019"/>
          </w:cols>
          <w:pgMar w:left="1440" w:top="1440" w:right="1440" w:bottom="1440" w:gutter="0" w:footer="0" w:header="0"/>
        </w:sectPr>
      </w:pPr>
    </w:p>
    <w:bookmarkStart w:id="8" w:name="page9"/>
    <w:bookmarkEnd w:id="8"/>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BYLAWS OF</w:t>
      </w:r>
    </w:p>
    <w:p>
      <w:pPr>
        <w:jc w:val="center"/>
        <w:ind w:right="-39"/>
        <w:spacing w:after="0" w:line="234" w:lineRule="auto"/>
        <w:rPr>
          <w:sz w:val="20"/>
          <w:szCs w:val="20"/>
          <w:color w:val="auto"/>
        </w:rPr>
      </w:pPr>
      <w:r>
        <w:rPr>
          <w:rFonts w:ascii="Times New Roman" w:cs="Times New Roman" w:eastAsia="Times New Roman" w:hAnsi="Times New Roman"/>
          <w:sz w:val="18"/>
          <w:szCs w:val="18"/>
          <w:b w:val="1"/>
          <w:bCs w:val="1"/>
          <w:color w:val="auto"/>
        </w:rPr>
        <w:t>ICU MEDICAL, INC.</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AMENDED AND RESTATED MAY 15, 2026</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Offices</w:t>
      </w:r>
    </w:p>
    <w:p>
      <w:pPr>
        <w:spacing w:after="0" w:line="225"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shall be established and maintained with Corporation Trust Company, Corporation Trusts Center, 1209 Orange Street, City of Wilmington, County of New Castle, Delaware. The Corporation Trust Company shall be the registered agent of this corporation in charge thereof.</w:t>
      </w:r>
    </w:p>
    <w:p>
      <w:pPr>
        <w:spacing w:after="0" w:line="20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have other offices, either within or without the State of Delaware, at such place or places as the Board of Directors may from time to time determine or the business of the corporation may require.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Meetings of Stockholders</w:t>
      </w:r>
    </w:p>
    <w:p>
      <w:pPr>
        <w:spacing w:after="0" w:line="239" w:lineRule="exact"/>
        <w:rPr>
          <w:sz w:val="20"/>
          <w:szCs w:val="20"/>
          <w:color w:val="auto"/>
        </w:rPr>
      </w:pPr>
    </w:p>
    <w:p>
      <w:pPr>
        <w:jc w:val="both"/>
        <w:ind w:righ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An annual meeting of stockholders shall be held for the election of directors and for such other business as may lawfully come before it at such date, time and place, either within or without the State of Delaware, as may be designated by resolution of the Board of Directors from time to time.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firstLine="656"/>
        <w:spacing w:after="0" w:line="237"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or the corporation’s Certificate of Incorporation, as the same may be amended, restated or supplemented from time to time, special meetings of the stockholders, other than those required by statute, may be called only by (i) the Board of Directors, (ii) the Chairperson of the Board of Directors, (iii) the President of the corporation or (iv) the Secretary of the corporation, following his or her receipt of one or more written demands to call a special meeting of the stockholders, in accordance with, and subject to, this Section 2.2 of Article II from stockholders of record who hold, in the aggregate, at least 25% of the combined voting power of all outstanding voting securities of the corporation. The notice of a special meeting shall state the purpose or purposes of the special meeting, and the business to be conducted at the special meeting shall be limited to the purpose or purposes stated in the notice. Except in accordance with this Section 2.2 of Article II, stockholders shall not be permitted to propose business to be brought before a special meeting of the stockholders. Stockholders who nominate persons for election to the Board of Directors at a special meeting must also comply with the requirements set forth in Section 2.11 of Article II.</w:t>
      </w:r>
    </w:p>
    <w:p>
      <w:pPr>
        <w:spacing w:after="0" w:line="212" w:lineRule="exact"/>
        <w:rPr>
          <w:rFonts w:ascii="Times New Roman" w:cs="Times New Roman" w:eastAsia="Times New Roman" w:hAnsi="Times New Roman"/>
          <w:sz w:val="18"/>
          <w:szCs w:val="18"/>
          <w:color w:val="auto"/>
        </w:rPr>
      </w:pPr>
    </w:p>
    <w:p>
      <w:pPr>
        <w:ind w:right="80" w:firstLine="656"/>
        <w:spacing w:after="0" w:line="245"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may demand that the Secretary of the corporation call a special meeting of the stockholders pursuant to this Section 2.2 of Article II unless a stockholder of record has first submitted a request in writing that the Board of Directors fix a record date (a “Demand Record Date”) for the purpose of determining the stockholders entitled to demand that the Secretary of the corporation call such special meeting, which request shall be in proper form and delivered to, or mailed and received by, the Secretary of the corporation at the principal executive offices of the corporation.</w:t>
      </w:r>
    </w:p>
    <w:p>
      <w:pPr>
        <w:spacing w:after="0" w:line="207" w:lineRule="exact"/>
        <w:rPr>
          <w:rFonts w:ascii="Times New Roman" w:cs="Times New Roman" w:eastAsia="Times New Roman" w:hAnsi="Times New Roman"/>
          <w:sz w:val="18"/>
          <w:szCs w:val="18"/>
          <w:color w:val="auto"/>
        </w:rPr>
      </w:pPr>
    </w:p>
    <w:p>
      <w:pPr>
        <w:ind w:right="540" w:firstLine="656"/>
        <w:spacing w:after="0" w:line="266"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2.2 of Article II, a request by a stockholder for the Board of Directors to fix a Demand Record Date shall set forth:</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56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Requesting Person (as defined below), the Stockholder Information (as defined in Section 2.10(c)(ii) of Article II, except that for purposes of this Section 2.2 of Article II, the term “Requesting Person” shall be substituted for the term “Proposing Person” in all places it appears in Section 2.10(c) of Article II);</w:t>
      </w:r>
    </w:p>
    <w:p>
      <w:pPr>
        <w:sectPr>
          <w:pgSz w:w="11900" w:h="16838" w:orient="portrait"/>
          <w:cols w:equalWidth="0" w:num="1">
            <w:col w:w="11220"/>
          </w:cols>
          <w:pgMar w:left="320" w:top="1440" w:right="359" w:bottom="1440" w:gutter="0" w:footer="0" w:header="0"/>
        </w:sectPr>
      </w:pPr>
    </w:p>
    <w:bookmarkStart w:id="9" w:name="page10"/>
    <w:bookmarkEnd w:id="9"/>
    <w:p>
      <w:pPr>
        <w:spacing w:after="0" w:line="207" w:lineRule="exact"/>
        <w:rPr>
          <w:sz w:val="20"/>
          <w:szCs w:val="20"/>
          <w:color w:val="auto"/>
        </w:rPr>
      </w:pPr>
    </w:p>
    <w:p>
      <w:pPr>
        <w:ind w:left="4" w:right="20" w:firstLine="644"/>
        <w:spacing w:after="0" w:line="246" w:lineRule="auto"/>
        <w:tabs>
          <w:tab w:leader="none" w:pos="9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Requesting Person, any Disclosable Interests (as defined in Section 2.10(c)(iii) of Article II except that for purposes of this Section 2.2 of Article II the term “Requesting Person” shall be substituted for the term “Proposing Person” in all places it appears in Section</w:t>
      </w:r>
    </w:p>
    <w:p>
      <w:pPr>
        <w:ind w:left="4" w:right="22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2.10(c) of Article II; and the disclosure in Section 2.10(c)(i) of Article II shall be made with respect to the business proposed to be conducted at the special meeting or the proposed election of directors at the special meeting, as the case may be);</w:t>
      </w:r>
    </w:p>
    <w:p>
      <w:pPr>
        <w:spacing w:after="0" w:line="208" w:lineRule="exact"/>
        <w:rPr>
          <w:rFonts w:ascii="Times New Roman" w:cs="Times New Roman" w:eastAsia="Times New Roman" w:hAnsi="Times New Roman"/>
          <w:sz w:val="18"/>
          <w:szCs w:val="18"/>
          <w:color w:val="auto"/>
        </w:rPr>
      </w:pPr>
    </w:p>
    <w:p>
      <w:pPr>
        <w:ind w:left="4" w:firstLine="644"/>
        <w:spacing w:after="0" w:line="236" w:lineRule="auto"/>
        <w:tabs>
          <w:tab w:leader="none" w:pos="9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item of business that the Requesting Person proposes to bring before the special meeting, (i) a brief description of the business desired to be brought before the special meeting, the reasons for conducting such business at the special meeting and any material interest in such business of each Requesting Person, (ii) the text of the proposal or business (including the text of any resolutions proposed for consideration), and (iii) a reasonably detailed description of all agreements, arrangements, discussions and understandings (x) between or among any of the Requesting Persons or (y) between or among any Requesting Person and any other record or beneficial holder(s) or person(s) who have a right to acquire beneficial ownership at any time in the future of the shares of any class or series of capital stock of the corporation (including their names) in connection with the proposal of such business by such stockholder, and (iv)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Securities Exchange Act of 1934, as amended, and the rules and regulations thereunder (as so amended and inclusive of such rules and regulations,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disclosures required by this paragraph (3) shall not include any disclosures with respect to any broker, dealer, commercial bank, trust company or other nominee who is a Requesting Person solely as a result of being the stockholder directed to prepare and submit the notice required by these Bylaws on behalf of a beneficial owner; and</w:t>
      </w:r>
    </w:p>
    <w:p>
      <w:pPr>
        <w:spacing w:after="0" w:line="216" w:lineRule="exact"/>
        <w:rPr>
          <w:rFonts w:ascii="Times New Roman" w:cs="Times New Roman" w:eastAsia="Times New Roman" w:hAnsi="Times New Roman"/>
          <w:sz w:val="18"/>
          <w:szCs w:val="18"/>
          <w:color w:val="auto"/>
        </w:rPr>
      </w:pPr>
    </w:p>
    <w:p>
      <w:pPr>
        <w:ind w:left="4" w:right="300" w:firstLine="644"/>
        <w:spacing w:after="0" w:line="266" w:lineRule="auto"/>
        <w:tabs>
          <w:tab w:leader="none" w:pos="9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directors are proposed to be elected at the special meeting, the nominee information for each person whom a Requesting Person expects to nominate for election as a director at the special meeting as set forth in Section 2.11 of 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6494145</wp:posOffset>
            </wp:positionH>
            <wp:positionV relativeFrom="paragraph">
              <wp:posOffset>-836295</wp:posOffset>
            </wp:positionV>
            <wp:extent cx="28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of this Section 2.2 of Article II, the term “Requesting Person” shall mean (i) the stockholder making the request to fix a Demand Record Date for the purpose of determining the stockholders entitled to demand that the Secretary of the corporation call a special meeting, (ii) the beneficial owner or beneficial owners, if different, on whose behalf such request is made and (iii) any affiliate of such stockholder or beneficial owner.</w:t>
      </w:r>
    </w:p>
    <w:p>
      <w:pPr>
        <w:spacing w:after="0" w:line="212" w:lineRule="exact"/>
        <w:rPr>
          <w:sz w:val="20"/>
          <w:szCs w:val="20"/>
          <w:color w:val="auto"/>
        </w:rPr>
      </w:pPr>
    </w:p>
    <w:p>
      <w:pPr>
        <w:jc w:val="both"/>
        <w:ind w:left="-656" w:right="400" w:firstLine="656"/>
        <w:spacing w:after="0" w:line="250" w:lineRule="auto"/>
        <w:tabs>
          <w:tab w:leader="none" w:pos="2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request that any Requesting Person furnish such additional information as may be reasonably required by the Board of Directors. Such Requesting Person shall provide such additional information within ten (10) days after it has been requested by the Board of Directors.</w:t>
      </w:r>
    </w:p>
    <w:p>
      <w:pPr>
        <w:spacing w:after="0" w:line="203" w:lineRule="exact"/>
        <w:rPr>
          <w:rFonts w:ascii="Times New Roman" w:cs="Times New Roman" w:eastAsia="Times New Roman" w:hAnsi="Times New Roman"/>
          <w:sz w:val="18"/>
          <w:szCs w:val="18"/>
          <w:color w:val="auto"/>
        </w:rPr>
      </w:pPr>
    </w:p>
    <w:p>
      <w:pPr>
        <w:ind w:left="-656" w:firstLine="656"/>
        <w:spacing w:after="0" w:line="229" w:lineRule="auto"/>
        <w:tabs>
          <w:tab w:leader="none" w:pos="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days after receipt of a request to fix a Demand Record Date in proper form and otherwise in compliance with this Section 2.2 of Article II from any stockholder of record, the Board of Directors may adopt a resolution fixing a Demand Record Date for the purpose of determining the stockholders entitled to demand that the Secretary of the corporation call a special meeting, which date shall not precede the date upon which the resolution fixing the Demand Record Date is adopted by the Board of Directors. If no resolution fixing a Demand Record Date has been adopted by the Board of Directors within the ten (10) day period after the date on which such a request to fix a Demand Record Date was received, the Demand Record Date in respect thereof shall be deemed to be the twentieth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date on which such a request is received. Notwithstanding anything in this Section 2.2 of Article II to the contrary, no Demand Record Date shall be fixed if the Board of Directors determines that the demand or demands that would otherwise be submitted following such Demand Record Date could not comply with the requirements set forth in this Section 2.2 of Article II.</w:t>
      </w:r>
    </w:p>
    <w:p>
      <w:pPr>
        <w:spacing w:after="0" w:line="214" w:lineRule="exact"/>
        <w:rPr>
          <w:rFonts w:ascii="Times New Roman" w:cs="Times New Roman" w:eastAsia="Times New Roman" w:hAnsi="Times New Roman"/>
          <w:sz w:val="18"/>
          <w:szCs w:val="18"/>
          <w:color w:val="auto"/>
        </w:rPr>
      </w:pPr>
    </w:p>
    <w:p>
      <w:pPr>
        <w:ind w:left="-656" w:right="20" w:firstLine="656"/>
        <w:spacing w:after="0" w:line="245" w:lineRule="auto"/>
        <w:tabs>
          <w:tab w:leader="none" w:pos="2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a special meeting of the stockholders shall not be called pursuant to this Section 2.2 of Article II unless stockholders of record as of the Demand Record Date who hold, in aggregate, at least 25% percent of the voting power of the outstanding shares of capital stock of the corporation (the “Requisite Percentage”) timely provide one or more demands to call such special meeting in writing and in proper form to the Secretary of the corporation at the principal executive offices of the corporation. Only stockholders of record on the</w:t>
      </w:r>
    </w:p>
    <w:p>
      <w:pPr>
        <w:sectPr>
          <w:pgSz w:w="11900" w:h="16838" w:orient="portrait"/>
          <w:cols w:equalWidth="0" w:num="1">
            <w:col w:w="10564"/>
          </w:cols>
          <w:pgMar w:left="976" w:top="1440" w:right="359" w:bottom="1440" w:gutter="0" w:footer="0" w:header="0"/>
        </w:sectPr>
      </w:pPr>
    </w:p>
    <w:bookmarkStart w:id="10" w:name="page11"/>
    <w:bookmarkEnd w:id="10"/>
    <w:p>
      <w:pPr>
        <w:spacing w:after="0" w:line="231" w:lineRule="auto"/>
        <w:rPr>
          <w:sz w:val="20"/>
          <w:szCs w:val="20"/>
          <w:color w:val="auto"/>
        </w:rPr>
      </w:pPr>
      <w:r>
        <w:rPr>
          <w:rFonts w:ascii="Times New Roman" w:cs="Times New Roman" w:eastAsia="Times New Roman" w:hAnsi="Times New Roman"/>
          <w:sz w:val="18"/>
          <w:szCs w:val="18"/>
          <w:color w:val="auto"/>
        </w:rPr>
        <w:t>Demand Record Date shall be entitled to demand that the Secretary of the corporation call a special meeting of the stockholders pursuant to this Section 2.2 of Article II. To be timely, a stockholder’s demand to call a special meeting must be delivered to, or mailed and received at, the principal executive offices of the corporation not later than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Demand Record Date. To be in proper form for purposes of this Section 2.2 of Article II, a demand to call a special meeting shall set forth (i) the business proposed to be conducted at the special meeting or the proposed election of directors at the special meeting, as the case may be, (ii) the text of the proposal or business (including the text of any resolutions proposed for consideration), if applicable, and (iii) with respect to any stockholder or stockholders submitting a demand to call a special meeting (except for any stockholder that has provided such demand in response to a solicitation made pursuant to, and in accordance with, Section 14(a) of the Exchange Act by way of a solicitation statement filed on Schedule 14A (a “Solicited Stockholder”)) the information required to be provided pursuant to this Section 2.2 of Article II of a Requesting Person. A stockholder may revoke a demand to call a special meeting by written revocation delivered to the Secretary of the corporation at any time prior to the special meeting. If any such revocation(s) are received by the Secretary after the Secretary’s receipt of written demands from the holders of the Requisite Percentage, and as a result of such revocation(s), there no longer are unrevoked demands from the Requisite Percentage to call a special meeting, the Board of Directors shall have the discretion to determine whether or not to proceed with the special meeting.</w:t>
      </w:r>
    </w:p>
    <w:p>
      <w:pPr>
        <w:spacing w:after="0" w:line="213" w:lineRule="exact"/>
        <w:rPr>
          <w:sz w:val="20"/>
          <w:szCs w:val="20"/>
          <w:color w:val="auto"/>
        </w:rPr>
      </w:pPr>
    </w:p>
    <w:p>
      <w:pPr>
        <w:ind w:left="920" w:hanging="264"/>
        <w:spacing w:after="0"/>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of the corporation shall not accept, and shall consider ineffective, a written demand from a stockholder to call a special meeting</w:t>
      </w:r>
    </w:p>
    <w:p>
      <w:pPr>
        <w:spacing w:after="0" w:line="15" w:lineRule="exact"/>
        <w:rPr>
          <w:rFonts w:ascii="Times New Roman" w:cs="Times New Roman" w:eastAsia="Times New Roman" w:hAnsi="Times New Roman"/>
          <w:sz w:val="18"/>
          <w:szCs w:val="18"/>
          <w:color w:val="auto"/>
        </w:rPr>
      </w:pPr>
    </w:p>
    <w:p>
      <w:pPr>
        <w:ind w:firstLine="8"/>
        <w:spacing w:after="0" w:line="202" w:lineRule="exact"/>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does not comply with this Section 2.2 of Article II, (ii) that relates to an item of business to be transacted at such meeting that is not a proper subject for stockholder action under applicable law, (iii) that includes an item of business to be transacted at such meeting that did not appear on the written request that resulted in the determination of the Demand Record Date, (iv) that relates to an item of business (other than the election of directors) that is identical or substantially similar to an item of business (a “Similar Item”) for which a record date for notice of a stockholder meeting (other than the Demand Record Date) was previously fixed and such demand is delivered between the time beginning on the sixty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(61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after such previous record date and ending on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anniversary of such previous record date, (v) if a Similar Item will be submitted for stockholder approval at any stockholder meeting to be held on or before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Secretary receives such demand, or (vi) if a Similar Item has been presented at the most recent annual meeting or at any special meeting held within one year prior to receipt by the Secretary of such demand to call a special meeting.</w:t>
      </w:r>
    </w:p>
    <w:p>
      <w:pPr>
        <w:spacing w:after="0" w:line="213" w:lineRule="exact"/>
        <w:rPr>
          <w:rFonts w:ascii="Times New Roman" w:cs="Times New Roman" w:eastAsia="Times New Roman" w:hAnsi="Times New Roman"/>
          <w:sz w:val="18"/>
          <w:szCs w:val="18"/>
          <w:color w:val="auto"/>
        </w:rPr>
      </w:pPr>
    </w:p>
    <w:p>
      <w:pPr>
        <w:ind w:right="160" w:firstLine="656"/>
        <w:spacing w:after="0" w:line="242" w:lineRule="auto"/>
        <w:tabs>
          <w:tab w:leader="none" w:pos="9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demands in proper form and in accordance with this Section 2.2 of Article II from a stockholder or stockholders holding the Requisite Percentage, the Board of Directors shall duly call, and determine the place, if any, date and time of, a special meeting of stockholders for the purpose or purposes and to conduct the business specified in the demands received by the corporation. Notwithstanding anything in these Bylaws to the contrary, the Board of Directors may submit its own proposal or proposals for consideration at such special meeting. The Board of Directors shall provide written notice of such special meeting to the stockholders in accordance with Section 2.3 of this Article II.</w:t>
      </w:r>
    </w:p>
    <w:p>
      <w:pPr>
        <w:spacing w:after="0" w:line="211" w:lineRule="exact"/>
        <w:rPr>
          <w:rFonts w:ascii="Times New Roman" w:cs="Times New Roman" w:eastAsia="Times New Roman" w:hAnsi="Times New Roman"/>
          <w:sz w:val="18"/>
          <w:szCs w:val="18"/>
          <w:color w:val="auto"/>
        </w:rPr>
      </w:pPr>
    </w:p>
    <w:p>
      <w:pPr>
        <w:ind w:right="160" w:firstLine="656"/>
        <w:spacing w:after="0" w:line="236" w:lineRule="auto"/>
        <w:tabs>
          <w:tab w:leader="none" w:pos="8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the Secretary shall not be required to call a special meeting pursuant to this Section 2.2 of Article II except in accordance with this Section 2.2 of Article II. If the Board of Directors shall determine that any request to fix a record date for the purpose of determining the stockholders entitled to demand that the Secretary of the corporation call a special meeting or demand to call and hold a special meeting was not properly made in accordance with this Section 2.2 of Article II, or shall determine that the stockholder or stockholders requesting that the Board of Directors fix such record date or submitting a demand to call the special meeting have not otherwise complied with this Section 2.2 of Article II, then the Board of Directors shall not be required to fix such record date or to call and hold the special meeting. Furthermore, if none of the Requesting Persons appear or send a duly authorized agent to present the business to be presented for consideration specified in their special meeting request, the corporation need not present such business for a vote at the special meeting, notwithstanding that proxies in respect of such matter may have been received by the corporation. In addition to the requirements of this Section 2.2 of Article II, each Requesting Person shall comply with all requirements of applicable law, including all requirements of the Exchange Act, with respect to any request to fix a record date for the purpose of determining the stockholders entitled to demand that the Secretary of the corporation call a special meeting.</w:t>
      </w:r>
    </w:p>
    <w:p>
      <w:pPr>
        <w:spacing w:after="0" w:line="21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written notice of the meeting shall be given which shall state the place, the purpose or purposes for which</w:t>
      </w:r>
    </w:p>
    <w:p>
      <w:pPr>
        <w:sectPr>
          <w:pgSz w:w="11900" w:h="16838" w:orient="portrait"/>
          <w:cols w:equalWidth="0" w:num="1">
            <w:col w:w="11240"/>
          </w:cols>
          <w:pgMar w:left="320" w:top="1404" w:right="339" w:bottom="1440" w:gutter="0" w:footer="0" w:header="0"/>
        </w:sectPr>
      </w:pPr>
    </w:p>
    <w:bookmarkStart w:id="11" w:name="page12"/>
    <w:bookmarkEnd w:id="11"/>
    <w:p>
      <w:pPr>
        <w:spacing w:after="0" w:line="236" w:lineRule="auto"/>
        <w:rPr>
          <w:sz w:val="20"/>
          <w:szCs w:val="20"/>
          <w:color w:val="auto"/>
        </w:rPr>
      </w:pPr>
      <w:r>
        <w:rPr>
          <w:rFonts w:ascii="Times New Roman" w:cs="Times New Roman" w:eastAsia="Times New Roman" w:hAnsi="Times New Roman"/>
          <w:sz w:val="18"/>
          <w:szCs w:val="18"/>
          <w:color w:val="auto"/>
        </w:rPr>
        <w:t>the meeting is called;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Unless otherwise provided by law, the written notice of any meeting shall be given not less than ten nor more than sixty days before the date of the meeting to each stockholder entitled to vote at such meeting, except that where the matter to be acted on is a merger or consolidation of the corporation or a sale, lease or exchange of all or substantially all of its assets, such notice shall be given not less than twenty nor more than sixty days prior to such meeting. If mailed, such notice shall be deemed to be given when deposited in the United States mail, postage prepaid, directed to the stockholder at this or her address as it appears on the records of the corporation. If the Board of Directors fixes a date for determining the stockholders entitled to notice of a meeting of stockholders,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219"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Any meeting of stockholders, annual or special, may adjourn from time to time to reconvene at the same or some other place, and notice need to be given of any such adjourned meeting if the time and place thereof are announced at the meeting at which the adjournment is taken or are provided in any other manner permitted by the DGCL. At such adjourned meeting at which a quorum is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w:t>
      </w:r>
    </w:p>
    <w:p>
      <w:pPr>
        <w:spacing w:after="0" w:line="21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each meeting of stockholders except where otherwise provided by law or the Certificate of Incorporation or these Bylaws, the holders of a majority of the outstanding shares of stock entitled to vote at the meeting, present in person or by proxy, shall constitute a quorum. In the absence of the meeting from time to time in the manner provided in Section 2.4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any corporation to vote stock, including but not limited to its own stock, held by it in a fiduciary capacity.</w:t>
      </w:r>
    </w:p>
    <w:p>
      <w:pPr>
        <w:spacing w:after="0" w:line="21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stockholders shall be presided over by an officer of the corporation designated by the Board of Directors to serve as the chairperson of the meeting. The Secretary of the corporation shall act as secretary of the meeting, unless the chairperson of the meeting appoints any other person to act as secretary of the meeting.</w:t>
      </w:r>
    </w:p>
    <w:p>
      <w:pPr>
        <w:spacing w:after="0" w:line="20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Voting; Proxies</w:t>
      </w:r>
      <w:r>
        <w:rPr>
          <w:rFonts w:ascii="Times New Roman" w:cs="Times New Roman" w:eastAsia="Times New Roman" w:hAnsi="Times New Roman"/>
          <w:sz w:val="18"/>
          <w:szCs w:val="18"/>
          <w:color w:val="auto"/>
        </w:rPr>
        <w:t>. Each stockholder entitled to vote at any meeting of stockholders shall be entitled to one vote for each share of stock held by him or her which has voting power upon the matter in question. Each stockholder entitled to vote at a meeting of stockholders may authorize another person or persons to act for him or her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with the Secretary of the corporation. At all meetings of stockholders for the election of directors a plurality of the votes cast shall be sufficient to elect. All other elections and questions shall, unless otherwise provided by law or by the Certificate of Incorporation or these Bylaws (including without limitation Section 8.6 of these Bylaws), be decided by the vote of the holders of a majority of the votes cast on the matter affirmatively or negatively. For purposes of these Bylaws, a share present at the meeting but for which there is an abstention or as to which a stockholder gives no authority or direction as to a particular proposal, shall be counted as present for purpose of establishing a quorum but shall not be counted as a vote cast for or against the proposal.</w:t>
      </w:r>
    </w:p>
    <w:p>
      <w:pPr>
        <w:sectPr>
          <w:pgSz w:w="11900" w:h="16838" w:orient="portrait"/>
          <w:cols w:equalWidth="0" w:num="1">
            <w:col w:w="11240"/>
          </w:cols>
          <w:pgMar w:left="320" w:top="1404" w:right="339" w:bottom="1440" w:gutter="0" w:footer="0" w:header="0"/>
        </w:sectPr>
      </w:pPr>
    </w:p>
    <w:bookmarkStart w:id="12" w:name="page13"/>
    <w:bookmarkEnd w:id="12"/>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w:t>
      </w:r>
    </w:p>
    <w:p>
      <w:pPr>
        <w:spacing w:after="0" w:line="18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If no record date is fixed: (a) the record date for determining stockholders entitled to notice of or to vote at a meeting of stockholders shall be at the close of business on the day next preceding the day on which notice is given, or, if the notice is waived, at the close of business on the day next preceding the day on which the meeting is held; (b)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1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The Secretary shall prepare and make, at least ten days before every meeting of stockholders, a complete list of the stockholders entitled to vote at the meeting (or, if the record date for determining the stockholders entitled to vote is less than ten days before the meeting date, the list shall reflect the stockholders entitled to vote on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ten days ending on the day before the meeting date: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The stock ledger, the list of stockholders referred to in this Section or the books of the corporation, or to vote in person or by proxy it any meeting of stockholders.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Business Conducted at Meetings of Stockholders; Stockholder Proposals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firstLine="656"/>
        <w:spacing w:after="0" w:line="235" w:lineRule="auto"/>
        <w:tabs>
          <w:tab w:leader="none" w:pos="8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any annual meeting of stockholders, the business must be (i) specified in the notice of meeting (or any supplement thereto) given by or at the direction of the Board of Directors, (ii) if not specified in a notice of meeting, otherwise brought before the annual meeting by or at the direction of the Board of Directors or the Chairperson of the Board or (iii) otherwise properly brought before the annual meeting by a stockholder present in person who (A) (1) was a record owner of shares of the corporation both at the time of giving the notice provided for in this Section 2.10 and at the time of the meeting, (2) is entitled to vote at the meeting, and (3) has complied with this Section 2.10 in all applicable respects or (B) properly made such proposal in accordance with Rule 14a-8 under the Securities Exchange Act of 1934, as amended, and the rules and regulations thereunder (as so amended and inclusive of such rules and regulations, the “Exchange Act”).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2.2, and stockholders shall not be permitted to propose business to be brought before a special meeting of the stockholders. For purposes of this Section 2.10,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Section 2.11 and this Section 2.10 shall not be applicable to nominations except as expressly provided in Section 2.11.</w:t>
      </w:r>
    </w:p>
    <w:p>
      <w:pPr>
        <w:sectPr>
          <w:pgSz w:w="11900" w:h="16838" w:orient="portrait"/>
          <w:cols w:equalWidth="0" w:num="1">
            <w:col w:w="11180"/>
          </w:cols>
          <w:pgMar w:left="320" w:top="1404" w:right="399" w:bottom="1440" w:gutter="0" w:footer="0" w:header="0"/>
        </w:sectPr>
      </w:pPr>
    </w:p>
    <w:bookmarkStart w:id="13" w:name="page14"/>
    <w:bookmarkEnd w:id="13"/>
    <w:p>
      <w:pPr>
        <w:spacing w:after="0" w:line="207" w:lineRule="exact"/>
        <w:rPr>
          <w:sz w:val="20"/>
          <w:szCs w:val="20"/>
          <w:color w:val="auto"/>
        </w:rPr>
      </w:pPr>
    </w:p>
    <w:p>
      <w:pPr>
        <w:ind w:left="-8" w:firstLine="656"/>
        <w:spacing w:after="0" w:line="23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business to be properly brought before an annual meeting by a stockholder, the stockholder must provide (i) Timely Notice (as defined below) thereof in writing and in proper form to the Secretary of the corporation and (ii) any updates or supplements to such notice at the times and in the forms required by this Section 2.10. To be timely, a stockholder’s notice must be delivered to, or mailed and received, at the corporation’s principal executive offices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“Timely Notice”). In no event shall any adjournment or postponement of a meeting or the announcement thereof commence a new time period for the giving of Timely Notice as described above.</w:t>
      </w:r>
    </w:p>
    <w:p>
      <w:pPr>
        <w:spacing w:after="0" w:line="219"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2.10, a stockholder’s notice to the Secretary shall set forth:</w:t>
      </w:r>
    </w:p>
    <w:p>
      <w:pPr>
        <w:spacing w:after="0" w:line="239" w:lineRule="exact"/>
        <w:rPr>
          <w:sz w:val="20"/>
          <w:szCs w:val="20"/>
          <w:color w:val="auto"/>
        </w:rPr>
      </w:pPr>
    </w:p>
    <w:p>
      <w:pPr>
        <w:ind w:left="-8" w:right="60" w:firstLine="656"/>
        <w:spacing w:after="0" w:line="236" w:lineRule="auto"/>
        <w:tabs>
          <w:tab w:leader="none" w:pos="8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the stockholder proposes to bring before the annual meeting: (A) a brief description of the business desired to be brought before the annual meeting, the reasons for conducting such business at the annual meeting and any material interest in such business of each Proposing Person (as defined below),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218" w:lineRule="exact"/>
        <w:rPr>
          <w:rFonts w:ascii="Times New Roman" w:cs="Times New Roman" w:eastAsia="Times New Roman" w:hAnsi="Times New Roman"/>
          <w:sz w:val="18"/>
          <w:szCs w:val="18"/>
          <w:color w:val="auto"/>
        </w:rPr>
      </w:pPr>
    </w:p>
    <w:p>
      <w:pPr>
        <w:ind w:left="-8" w:right="40" w:firstLine="656"/>
        <w:spacing w:after="0"/>
        <w:tabs>
          <w:tab w:leader="none" w:pos="9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name and address of such Proposing Person (including, if applicable, the name and address that appear on the corporation’s books and records); (B) the class or series and number of shares of the corporation which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“Stockholder Information”);</w:t>
      </w:r>
    </w:p>
    <w:p>
      <w:pPr>
        <w:spacing w:after="0" w:line="211" w:lineRule="exact"/>
        <w:rPr>
          <w:rFonts w:ascii="Times New Roman" w:cs="Times New Roman" w:eastAsia="Times New Roman" w:hAnsi="Times New Roman"/>
          <w:sz w:val="18"/>
          <w:szCs w:val="18"/>
          <w:color w:val="auto"/>
        </w:rPr>
      </w:pPr>
    </w:p>
    <w:p>
      <w:pPr>
        <w:ind w:left="-8" w:firstLine="656"/>
        <w:spacing w:after="0" w:line="235" w:lineRule="auto"/>
        <w:tabs>
          <w:tab w:leader="none" w:pos="9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the corporation (“Synthetic Equity Position”) that is, directly or indirectly, held or maintained by, held for the benefit of, or involving such Proposing Person, including, without limitation, (i)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(ii) any derivative or synthetic arrangement having the characteristics of a long position or a short position in any class or series of shares of the corporation, including, without limitation, a stock loan transaction, a stock borrow transaction, or a share repurchase transaction or (iii) any contract, derivative, swap or other transaction or series of transactions designed to</w:t>
      </w:r>
    </w:p>
    <w:p>
      <w:pPr>
        <w:spacing w:after="0" w:line="4" w:lineRule="exact"/>
        <w:rPr>
          <w:rFonts w:ascii="Times New Roman" w:cs="Times New Roman" w:eastAsia="Times New Roman" w:hAnsi="Times New Roman"/>
          <w:sz w:val="18"/>
          <w:szCs w:val="18"/>
          <w:color w:val="auto"/>
        </w:rPr>
      </w:pPr>
    </w:p>
    <w:p>
      <w:pPr>
        <w:ind w:left="-8" w:right="180" w:firstLine="8"/>
        <w:spacing w:after="0" w:line="243" w:lineRule="auto"/>
        <w:tabs>
          <w:tab w:leader="none" w:pos="2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economic benefits and risks that correspond substantially to the ownership of any class or series of shares of the corporation, (y) mitigate any loss relating to, reduce the economic risk (of ownership or otherwise) of,</w:t>
      </w:r>
    </w:p>
    <w:p>
      <w:pPr>
        <w:sectPr>
          <w:pgSz w:w="11900" w:h="16838" w:orient="portrait"/>
          <w:cols w:equalWidth="0" w:num="1">
            <w:col w:w="11232"/>
          </w:cols>
          <w:pgMar w:left="328" w:top="1440" w:right="339" w:bottom="1440" w:gutter="0" w:footer="0" w:header="0"/>
        </w:sectPr>
      </w:pPr>
    </w:p>
    <w:bookmarkStart w:id="14" w:name="page15"/>
    <w:bookmarkEnd w:id="14"/>
    <w:p>
      <w:pPr>
        <w:spacing w:after="0" w:line="234" w:lineRule="auto"/>
        <w:rPr>
          <w:sz w:val="20"/>
          <w:szCs w:val="20"/>
          <w:color w:val="auto"/>
        </w:rPr>
      </w:pPr>
      <w:r>
        <w:rPr>
          <w:rFonts w:ascii="Times New Roman" w:cs="Times New Roman" w:eastAsia="Times New Roman" w:hAnsi="Times New Roman"/>
          <w:sz w:val="18"/>
          <w:szCs w:val="18"/>
          <w:color w:val="auto"/>
        </w:rPr>
        <w:t>or manage the risk of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225"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For purposes of this Section 2.10,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208" w:lineRule="exact"/>
        <w:rPr>
          <w:sz w:val="20"/>
          <w:szCs w:val="20"/>
          <w:color w:val="auto"/>
        </w:rPr>
      </w:pPr>
    </w:p>
    <w:p>
      <w:pPr>
        <w:ind w:right="20" w:firstLine="656"/>
        <w:spacing w:after="0" w:line="296" w:lineRule="auto"/>
        <w:tabs>
          <w:tab w:leader="none" w:pos="90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request that any Proposing Person furnish such additional information as may be reasonably required by the Board of Directors. Such Proposing Person shall provide such additional information within ten (10) days after it has been requested by the Board of Directors.</w:t>
      </w:r>
    </w:p>
    <w:p>
      <w:pPr>
        <w:spacing w:after="0" w:line="165" w:lineRule="exact"/>
        <w:rPr>
          <w:rFonts w:ascii="Times New Roman" w:cs="Times New Roman" w:eastAsia="Times New Roman" w:hAnsi="Times New Roman"/>
          <w:sz w:val="17"/>
          <w:szCs w:val="17"/>
          <w:color w:val="auto"/>
        </w:rPr>
      </w:pPr>
    </w:p>
    <w:p>
      <w:pPr>
        <w:ind w:right="720" w:firstLine="656"/>
        <w:spacing w:after="0" w:line="266" w:lineRule="auto"/>
        <w:tabs>
          <w:tab w:leader="none" w:pos="8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 necessary, so that the information provided or required to be provided in such</w:t>
      </w:r>
    </w:p>
    <w:p>
      <w:pPr>
        <w:sectPr>
          <w:pgSz w:w="11900" w:h="16838" w:orient="portrait"/>
          <w:cols w:equalWidth="0" w:num="1">
            <w:col w:w="11240"/>
          </w:cols>
          <w:pgMar w:left="320" w:top="1404" w:right="339" w:bottom="1440" w:gutter="0" w:footer="0" w:header="0"/>
        </w:sectPr>
      </w:pPr>
    </w:p>
    <w:bookmarkStart w:id="15" w:name="page16"/>
    <w:bookmarkEnd w:id="15"/>
    <w:p>
      <w:pPr>
        <w:spacing w:after="0" w:line="236" w:lineRule="auto"/>
        <w:rPr>
          <w:sz w:val="20"/>
          <w:szCs w:val="20"/>
          <w:color w:val="auto"/>
        </w:rPr>
      </w:pPr>
      <w:r>
        <w:rPr>
          <w:rFonts w:ascii="Times New Roman" w:cs="Times New Roman" w:eastAsia="Times New Roman" w:hAnsi="Times New Roman"/>
          <w:sz w:val="18"/>
          <w:szCs w:val="18"/>
          <w:color w:val="auto"/>
        </w:rPr>
        <w:t>notice pursuant to this Section 2.10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218" w:lineRule="exact"/>
        <w:rPr>
          <w:sz w:val="20"/>
          <w:szCs w:val="20"/>
          <w:color w:val="auto"/>
        </w:rPr>
      </w:pPr>
    </w:p>
    <w:p>
      <w:pPr>
        <w:ind w:right="60" w:firstLine="656"/>
        <w:spacing w:after="0" w:line="245" w:lineRule="auto"/>
        <w:tabs>
          <w:tab w:leader="none" w:pos="8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2.10. The presiding officer of the meeting shall, if the facts warrant, determine that the business was not properly brought before the meeting in accordance with the provisions of this Section 2.10, and if he or she should so determine, he or she shall so declare to the meeting and any such business not properly brought before the meeting shall not be transacted.</w:t>
      </w:r>
    </w:p>
    <w:p>
      <w:pPr>
        <w:spacing w:after="0" w:line="207" w:lineRule="exact"/>
        <w:rPr>
          <w:rFonts w:ascii="Times New Roman" w:cs="Times New Roman" w:eastAsia="Times New Roman" w:hAnsi="Times New Roman"/>
          <w:sz w:val="18"/>
          <w:szCs w:val="18"/>
          <w:color w:val="auto"/>
        </w:rPr>
      </w:pPr>
    </w:p>
    <w:p>
      <w:pPr>
        <w:ind w:right="140" w:firstLine="656"/>
        <w:spacing w:after="0" w:line="242" w:lineRule="auto"/>
        <w:tabs>
          <w:tab w:leader="none" w:pos="9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2.10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2.10 with respect to any business proposed to be brought before an annual meeting, each Proposing Person shall comply with all applicable requirements of the Exchange Act with respect to any such business. Nothing in this Section 2.10 shall be deemed to affect the rights of stockholders to request inclusion of proposals in the corporation’s proxy statement pursuant to Rule 14a-8 under the Exchange Act.</w:t>
      </w:r>
    </w:p>
    <w:p>
      <w:pPr>
        <w:spacing w:after="0" w:line="198" w:lineRule="exact"/>
        <w:rPr>
          <w:rFonts w:ascii="Times New Roman" w:cs="Times New Roman" w:eastAsia="Times New Roman" w:hAnsi="Times New Roman"/>
          <w:sz w:val="18"/>
          <w:szCs w:val="18"/>
          <w:color w:val="auto"/>
        </w:rPr>
      </w:pPr>
    </w:p>
    <w:p>
      <w:pPr>
        <w:ind w:right="20" w:firstLine="656"/>
        <w:spacing w:after="0" w:line="266" w:lineRule="auto"/>
        <w:tabs>
          <w:tab w:leader="none" w:pos="9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Notice of Nominations for Election to the Board of Directors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right="80" w:firstLine="656"/>
        <w:spacing w:after="0" w:line="236" w:lineRule="auto"/>
        <w:tabs>
          <w:tab w:leader="none" w:pos="8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who (A) was a record owner of shares of the corporation both at the time of giving the notice provided for in this Section 2.11 and at the time of the meeting, (B) is entitled to vote at the meeting, and (C) has complied with this Section 2.11 as to such notice and nomination. For purposes of this Section 2.11, “present in person” shall mean that the stockholder nominating any person for election to the Board of Directors at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of Directors at an annual meeting or special meeting.</w:t>
      </w:r>
    </w:p>
    <w:p>
      <w:pPr>
        <w:spacing w:after="0" w:line="21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(b)(i) Without qualification, for a stockholder to make any nomination of a person or persons for election to the Board of Directors at an annual meeting, the stockholder must (A) provide Timely Notice (as defined in Section 2.10) thereof in writing and in proper form to the Secretary of the corporation, (B) provide the information, agreements and questionnaires with respect to such stockholder and its candidate for nomination as required to be</w:t>
      </w:r>
    </w:p>
    <w:p>
      <w:pPr>
        <w:sectPr>
          <w:pgSz w:w="11900" w:h="16838" w:orient="portrait"/>
          <w:cols w:equalWidth="0" w:num="1">
            <w:col w:w="11240"/>
          </w:cols>
          <w:pgMar w:left="320" w:top="14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set forth by this Section 2.11 and (C) provide any updates or supplements to such notice at the times and in the forms required by this Section 2.11.</w:t>
      </w:r>
    </w:p>
    <w:p>
      <w:pPr>
        <w:spacing w:after="0" w:line="239" w:lineRule="exact"/>
        <w:rPr>
          <w:sz w:val="20"/>
          <w:szCs w:val="20"/>
          <w:color w:val="auto"/>
        </w:rPr>
      </w:pPr>
    </w:p>
    <w:p>
      <w:pPr>
        <w:ind w:right="60" w:firstLine="656"/>
        <w:spacing w:after="0" w:line="237" w:lineRule="auto"/>
        <w:tabs>
          <w:tab w:leader="none" w:pos="9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of the corporation at the principal executive offices of the corporation, (B) provide the information with respect to such stockholder and its candidate for nomination as required by this Section 2.11 and (C) provide any updates or supplements to such notice at the times and in the forms required by this Section 2.11.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2.10) of the date of such special meeting was first made.</w:t>
      </w:r>
    </w:p>
    <w:p>
      <w:pPr>
        <w:spacing w:after="0" w:line="214" w:lineRule="exact"/>
        <w:rPr>
          <w:rFonts w:ascii="Times New Roman" w:cs="Times New Roman" w:eastAsia="Times New Roman" w:hAnsi="Times New Roman"/>
          <w:sz w:val="18"/>
          <w:szCs w:val="18"/>
          <w:color w:val="auto"/>
        </w:rPr>
      </w:pPr>
    </w:p>
    <w:p>
      <w:pPr>
        <w:ind w:right="240" w:firstLine="656"/>
        <w:spacing w:after="0" w:line="266" w:lineRule="auto"/>
        <w:tabs>
          <w:tab w:leader="none" w:pos="9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189" w:lineRule="exact"/>
        <w:rPr>
          <w:rFonts w:ascii="Times New Roman" w:cs="Times New Roman" w:eastAsia="Times New Roman" w:hAnsi="Times New Roman"/>
          <w:sz w:val="18"/>
          <w:szCs w:val="18"/>
          <w:color w:val="auto"/>
        </w:rPr>
      </w:pPr>
    </w:p>
    <w:p>
      <w:pPr>
        <w:ind w:right="40" w:firstLine="656"/>
        <w:spacing w:after="0" w:line="245" w:lineRule="auto"/>
        <w:tabs>
          <w:tab w:leader="none" w:pos="9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 Nominating Person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 (A) the conclusion of the time period for Timely Notice, (B) the date set forth in Section 2.11(b)(ii) or (C) the tenth day following the date of public disclosure (as defined in Section 2.10) of such increase.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To be in proper form for purposes of this Section 2.11, a stockholder’s notice to the Secretary shall set forth:</w:t>
      </w:r>
    </w:p>
    <w:p>
      <w:pPr>
        <w:spacing w:after="0" w:line="239" w:lineRule="exact"/>
        <w:rPr>
          <w:sz w:val="20"/>
          <w:szCs w:val="20"/>
          <w:color w:val="auto"/>
        </w:rPr>
      </w:pPr>
    </w:p>
    <w:p>
      <w:pPr>
        <w:ind w:right="260" w:firstLine="656"/>
        <w:spacing w:after="0" w:line="266" w:lineRule="auto"/>
        <w:tabs>
          <w:tab w:leader="none" w:pos="8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(as defined below), the Stockholder Information (as defined in Section 2.10(c)(ii), except that for purposes of this Section 2.11 the term “Nominating Person” shall be substituted for the term “Proposing Person” in all places it appears in Section 2.10(c)(ii));</w:t>
      </w:r>
    </w:p>
    <w:p>
      <w:pPr>
        <w:spacing w:after="0" w:line="189" w:lineRule="exact"/>
        <w:rPr>
          <w:rFonts w:ascii="Times New Roman" w:cs="Times New Roman" w:eastAsia="Times New Roman" w:hAnsi="Times New Roman"/>
          <w:sz w:val="18"/>
          <w:szCs w:val="18"/>
          <w:color w:val="auto"/>
        </w:rPr>
      </w:pPr>
    </w:p>
    <w:p>
      <w:pPr>
        <w:ind w:firstLine="656"/>
        <w:spacing w:after="0" w:line="237" w:lineRule="auto"/>
        <w:tabs>
          <w:tab w:leader="none" w:pos="9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2.10(c)(iii), except that for purposes of this Section 2.11 the term “Nominating Person” shall be substituted for the term “Proposing Person” in all places it appears in Section 2.10(c)(iii) and the disclosure with respect to the business to be brought before the meeting in Section 2.10(c)(iii) shall be made with respect to the election of directors at the meeting); and provided that, in lieu of including the information set forth in Section 2.10(c)(iii)(G), the Nominating Person’s notice for purposes of this Section 2.11 shall include a representation as to whether the Nominating Person intends or is part of a group which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w:t>
      </w:r>
    </w:p>
    <w:p>
      <w:pPr>
        <w:spacing w:after="0" w:line="216" w:lineRule="exact"/>
        <w:rPr>
          <w:rFonts w:ascii="Times New Roman" w:cs="Times New Roman" w:eastAsia="Times New Roman" w:hAnsi="Times New Roman"/>
          <w:sz w:val="18"/>
          <w:szCs w:val="18"/>
          <w:color w:val="auto"/>
        </w:rPr>
      </w:pPr>
    </w:p>
    <w:p>
      <w:pPr>
        <w:ind w:firstLine="656"/>
        <w:spacing w:after="0" w:line="236" w:lineRule="auto"/>
        <w:tabs>
          <w:tab w:leader="none" w:pos="9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shareholders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(C) a completed and signed written questionnaire (in the form provided by the corporation upon written request of any stockholder of record therefor) with respect to the background, qualifications, stock ownership and independence of such proposed nominee and (D) a written representation and agreement (in the form provided by the corporation upon written request of any stockholder of record therefor) that such candidate for nomination (1) is not and, if elected as a</w:t>
      </w:r>
    </w:p>
    <w:p>
      <w:pPr>
        <w:sectPr>
          <w:pgSz w:w="11900" w:h="16838" w:orient="portrait"/>
          <w:cols w:equalWidth="0" w:num="1">
            <w:col w:w="11240"/>
          </w:cols>
          <w:pgMar w:left="320" w:top="1404" w:right="339" w:bottom="1440" w:gutter="0" w:footer="0" w:header="0"/>
        </w:sectPr>
      </w:pPr>
    </w:p>
    <w:bookmarkStart w:id="17" w:name="page18"/>
    <w:bookmarkEnd w:id="17"/>
    <w:p>
      <w:pPr>
        <w:ind w:right="120"/>
        <w:spacing w:after="0" w:line="236" w:lineRule="auto"/>
        <w:rPr>
          <w:sz w:val="20"/>
          <w:szCs w:val="20"/>
          <w:color w:val="auto"/>
        </w:rPr>
      </w:pPr>
      <w:r>
        <w:rPr>
          <w:rFonts w:ascii="Times New Roman" w:cs="Times New Roman" w:eastAsia="Times New Roman" w:hAnsi="Times New Roman"/>
          <w:sz w:val="18"/>
          <w:szCs w:val="18"/>
          <w:color w:val="auto"/>
        </w:rPr>
        <w:t>director during his or her term of office, will not become a party to (x) any agreement, arrangement or understanding with, and has not given and will not give any commitment or assurance to, any person or entity as to how such proposed nominee, if elected as a director of the corporation, will act or vote on any issue or question (a “Voting Commitment”) or (y) any Voting Commitment that could limit or interfere with such proposed nominee’s ability to comply, if elected as a director of the corporation, with such proposed nominee’s fiduciary duties under applicable law, (2)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(3)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(4) if elected as a director of the corporation, intends to serve the entire term until the next meeting at which such candidate would face re-election.</w:t>
      </w:r>
    </w:p>
    <w:p>
      <w:pPr>
        <w:spacing w:after="0" w:line="21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For purposes of this Section 2.11,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208" w:lineRule="exact"/>
        <w:rPr>
          <w:sz w:val="20"/>
          <w:szCs w:val="20"/>
          <w:color w:val="auto"/>
        </w:rPr>
      </w:pPr>
    </w:p>
    <w:p>
      <w:pPr>
        <w:jc w:val="both"/>
        <w:ind w:right="360" w:firstLine="656"/>
        <w:spacing w:after="0" w:line="250"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w:t>
      </w:r>
    </w:p>
    <w:p>
      <w:pPr>
        <w:spacing w:after="0" w:line="203" w:lineRule="exact"/>
        <w:rPr>
          <w:rFonts w:ascii="Times New Roman" w:cs="Times New Roman" w:eastAsia="Times New Roman" w:hAnsi="Times New Roman"/>
          <w:sz w:val="18"/>
          <w:szCs w:val="18"/>
          <w:color w:val="auto"/>
        </w:rPr>
      </w:pPr>
    </w:p>
    <w:p>
      <w:pPr>
        <w:ind w:right="20" w:firstLine="656"/>
        <w:spacing w:after="0" w:line="237" w:lineRule="auto"/>
        <w:tabs>
          <w:tab w:leader="none" w:pos="8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Without limiting the generality of the foregoing, the Board of Directors may request such other information in order for the Board of Directors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(or any other office specified by the corporation in any public announcement) not later than five (5) business days after the request by the Board of Directors has been delivered to, or mailed and received by, the Nominating Person.</w:t>
      </w:r>
    </w:p>
    <w:p>
      <w:pPr>
        <w:spacing w:after="0" w:line="214" w:lineRule="exact"/>
        <w:rPr>
          <w:rFonts w:ascii="Times New Roman" w:cs="Times New Roman" w:eastAsia="Times New Roman" w:hAnsi="Times New Roman"/>
          <w:sz w:val="18"/>
          <w:szCs w:val="18"/>
          <w:color w:val="auto"/>
        </w:rPr>
      </w:pPr>
    </w:p>
    <w:p>
      <w:pPr>
        <w:ind w:firstLine="656"/>
        <w:spacing w:after="0" w:line="236" w:lineRule="auto"/>
        <w:tabs>
          <w:tab w:leader="none" w:pos="8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and any candidate for nomination as a director shall further update and supplement such notice or the materials delivered pursuant to this Section 2.11, as applicable, if necessary, so that the information provided or required to be provided in such notice or by such candidate, as applicable, pursuant to this Section 2.11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spacing w:after="0" w:line="215" w:lineRule="exact"/>
        <w:rPr>
          <w:rFonts w:ascii="Times New Roman" w:cs="Times New Roman" w:eastAsia="Times New Roman" w:hAnsi="Times New Roman"/>
          <w:sz w:val="18"/>
          <w:szCs w:val="18"/>
          <w:color w:val="auto"/>
        </w:rPr>
      </w:pPr>
    </w:p>
    <w:p>
      <w:pPr>
        <w:jc w:val="both"/>
        <w:ind w:right="80" w:firstLine="656"/>
        <w:spacing w:after="0" w:line="250"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2.11 with respect to any nomination proposed to be made at a meeting, each Nominating Person shall comply with all applicable requirements of the Exchange Act with respect to any such nominations. Notwithstanding the foregoing provisions of this Section 2.11, unless otherwise</w:t>
      </w:r>
    </w:p>
    <w:p>
      <w:pPr>
        <w:sectPr>
          <w:pgSz w:w="11900" w:h="16838" w:orient="portrait"/>
          <w:cols w:equalWidth="0" w:num="1">
            <w:col w:w="11240"/>
          </w:cols>
          <w:pgMar w:left="320" w:top="1404" w:right="339" w:bottom="1440" w:gutter="0" w:footer="0" w:header="0"/>
        </w:sectPr>
      </w:pPr>
    </w:p>
    <w:bookmarkStart w:id="18" w:name="page19"/>
    <w:bookmarkEnd w:id="18"/>
    <w:p>
      <w:pPr>
        <w:ind w:right="20"/>
        <w:spacing w:after="0" w:line="236" w:lineRule="auto"/>
        <w:rPr>
          <w:sz w:val="20"/>
          <w:szCs w:val="20"/>
          <w:color w:val="auto"/>
        </w:rPr>
      </w:pPr>
      <w:r>
        <w:rPr>
          <w:rFonts w:ascii="Times New Roman" w:cs="Times New Roman" w:eastAsia="Times New Roman" w:hAnsi="Times New Roman"/>
          <w:sz w:val="18"/>
          <w:szCs w:val="18"/>
          <w:color w:val="auto"/>
        </w:rPr>
        <w:t>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 (A) provides notice pursuant to Rule 14a-19(b) promulgated under the Exchange Act and (B) subsequently fails to comply with the requirements of Rule 14a-19(a)(2) and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217" w:lineRule="exact"/>
        <w:rPr>
          <w:sz w:val="20"/>
          <w:szCs w:val="20"/>
          <w:color w:val="auto"/>
        </w:rPr>
      </w:pPr>
    </w:p>
    <w:p>
      <w:pPr>
        <w:jc w:val="both"/>
        <w:ind w:right="140" w:firstLine="656"/>
        <w:spacing w:after="0" w:line="241" w:lineRule="auto"/>
        <w:tabs>
          <w:tab w:leader="none" w:pos="9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nominated pursuant to Section 2.11(a)(ii) shall be eligible for nomination as a director of the corporation unless such candidate for nomination and the Nominating Person seeking to place such candidate’s name in nomination has complied with this Section 2.11, as applicable. The presiding officer at the meeting shall, if the facts warrant, determine that a nomination was not properly made in accordance with this Section 2.11,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210" w:lineRule="exact"/>
        <w:rPr>
          <w:rFonts w:ascii="Times New Roman" w:cs="Times New Roman" w:eastAsia="Times New Roman" w:hAnsi="Times New Roman"/>
          <w:sz w:val="18"/>
          <w:szCs w:val="18"/>
          <w:color w:val="auto"/>
        </w:rPr>
      </w:pPr>
    </w:p>
    <w:p>
      <w:pPr>
        <w:ind w:right="440" w:firstLine="656"/>
        <w:spacing w:after="0" w:line="266" w:lineRule="auto"/>
        <w:tabs>
          <w:tab w:leader="none" w:pos="8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candidate for nomination nominated pursuant to Section 2.11(a)(ii) shall be eligible to be seated as a director of the corporation unless nominated and elected in accordance with this Section 2.11.</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III</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3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property, affairs and business of the corporation shall be managed under the direction of its Board of Directors, which may exercise all of the owners of the corporation, except such as are by law or by the Certificate of Incorporation or by these Bylaws expressly conferred upon or reserved to the stockholders.</w:t>
      </w:r>
    </w:p>
    <w:p>
      <w:pPr>
        <w:spacing w:after="0" w:line="20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and Term of Office Removal</w:t>
      </w:r>
      <w:r>
        <w:rPr>
          <w:rFonts w:ascii="Times New Roman" w:cs="Times New Roman" w:eastAsia="Times New Roman" w:hAnsi="Times New Roman"/>
          <w:sz w:val="18"/>
          <w:szCs w:val="18"/>
          <w:color w:val="auto"/>
        </w:rPr>
        <w:t>. The number of directors of the corporation shall be fixed from time to time as determined by resolution of the Board of Directors, but in no event shall the number of directors be less than three.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right="300" w:firstLine="656"/>
        <w:spacing w:after="0" w:line="266" w:lineRule="auto"/>
        <w:tabs>
          <w:tab w:leader="none" w:pos="8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the stockholders for the election of director, the directors to be elected at such meeting shall be elected by a plurality of votes given at such election.</w:t>
      </w:r>
    </w:p>
    <w:p>
      <w:pPr>
        <w:spacing w:after="0" w:line="189" w:lineRule="exact"/>
        <w:rPr>
          <w:rFonts w:ascii="Times New Roman" w:cs="Times New Roman" w:eastAsia="Times New Roman" w:hAnsi="Times New Roman"/>
          <w:sz w:val="18"/>
          <w:szCs w:val="18"/>
          <w:color w:val="auto"/>
        </w:rPr>
      </w:pPr>
    </w:p>
    <w:p>
      <w:pPr>
        <w:ind w:right="120" w:firstLine="656"/>
        <w:spacing w:after="0" w:line="266"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applicable requirements, only persons who are nominated in accordance with the procedures set forth in Section 2.11 shall be eligible for election as directors.</w:t>
      </w:r>
    </w:p>
    <w:p>
      <w:pPr>
        <w:spacing w:after="0" w:line="18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occurring in the Board of Directors for any cause other than by reason of an increase in the number of directors may be filled by a majority of the remaining members of the Board of Directors, although such majority is less than a quorum, or by the stockholders. Any vacancy occurring by reason of an increase in the number of directors may be filled by action of a majority of the entire Board of Director or by the stockholders. A director elected by the Board of Directors to fill a vacancy shall be elected to hold office until expiration of the term for which he or she was elected and until his successor shall have been elected and shall have qualified. A director elected by the stockholders to fill a vacancy shall be elected to hold office until the expiration</w:t>
      </w:r>
    </w:p>
    <w:p>
      <w:pPr>
        <w:sectPr>
          <w:pgSz w:w="11900" w:h="16838" w:orient="portrait"/>
          <w:cols w:equalWidth="0" w:num="1">
            <w:col w:w="11180"/>
          </w:cols>
          <w:pgMar w:left="320" w:top="1404" w:right="399" w:bottom="1440" w:gutter="0" w:footer="0" w:header="0"/>
        </w:sectPr>
      </w:pPr>
    </w:p>
    <w:bookmarkStart w:id="19" w:name="page20"/>
    <w:bookmarkEnd w:id="19"/>
    <w:p>
      <w:pPr>
        <w:ind w:right="60"/>
        <w:spacing w:after="0" w:line="266" w:lineRule="auto"/>
        <w:rPr>
          <w:sz w:val="20"/>
          <w:szCs w:val="20"/>
          <w:color w:val="auto"/>
        </w:rPr>
      </w:pPr>
      <w:r>
        <w:rPr>
          <w:rFonts w:ascii="Times New Roman" w:cs="Times New Roman" w:eastAsia="Times New Roman" w:hAnsi="Times New Roman"/>
          <w:sz w:val="18"/>
          <w:szCs w:val="18"/>
          <w:color w:val="auto"/>
        </w:rPr>
        <w:t>of the term for which he or she was elected and until his successor shall have been elected and shall have qualified. The provisions of this Section 3.4 shall not apply to directors governed by Section 3.12 of this ARTICLE III.</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 director may resign at any time by giving written notice to the Board of Directors or to the Secretary. Such resignation shall take effect at the time specified therein and, unless otherwise specified therein, the acceptance of such resignation shall not be necessary to make it effective.</w:t>
      </w:r>
    </w:p>
    <w:p>
      <w:pPr>
        <w:spacing w:after="0" w:line="20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In addition, in an uncontested election of directors of the corporation, any nominee who receives a greater number of votes “withheld” from his or her election than votes “for” his or her election shall, within 10 days following the certification of the stockholder vote, tender his or her written resignation to the Chairperson of the Board for consideration by the Nominating/Corporate Governance Committee of the Board of Directors (the “Committee”). As used in this Section 3.5, an “uncontested election of directors of the corporation” is an election in which the only nominees are persons nominated by the Board of Directors.</w:t>
      </w:r>
    </w:p>
    <w:p>
      <w:pPr>
        <w:spacing w:after="0" w:line="21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Committee shall consider such tendered resignation and, within 60 days following the certification of the stockholder vote, shall make a recommendation to the Board of Directors concerning the acceptance or rejection of such resignation. In determining its recommendation to the Board of Directors, the Committee shall consider all factors deemed relevant by the members of the Committee.</w:t>
      </w:r>
    </w:p>
    <w:p>
      <w:pPr>
        <w:spacing w:after="0" w:line="20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Committee also shall consider a range of possible alternatives concerning the director's tendered resignation as the members of the Committee deem appropriate, including, without limitation, acceptance of the resignation, rejection of the resignation or rejection of the resignation coupled with a commitment to seek to address and cure the underlying reasons reasonably believed by the Committee to have substantially resulted in the “withheld” votes.</w:t>
      </w:r>
    </w:p>
    <w:p>
      <w:pPr>
        <w:spacing w:after="0" w:line="208"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The Board of Directors shall take formal action on the Committee's recommendation no later than 90 days following the certification of the stockholder vote. In considering the Committee’s recommendation, the Board of Directors shall consider the information, factors and alternatives considered by the Committee and such additional information, factors and alternatives as the Board of Directors deems relevant.</w:t>
      </w:r>
    </w:p>
    <w:p>
      <w:pPr>
        <w:spacing w:after="0" w:line="19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Following the Board of Directors’ decision on the Committee’s recommendation, the corporation, within four business days after such decision is made, shall publicly disclose, in a Current Report on Form 8-K filed with the Securities and Exchange Commission, the Board of Directors’ decision, together with an explanation of the process by which the decision was made and, if applicable, the Board of Directors’ reason or reasons for its decision.</w:t>
      </w:r>
    </w:p>
    <w:p>
      <w:pPr>
        <w:spacing w:after="0" w:line="20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No director who, in accordance with this Section 3.5, is required to tender his or her resignation shall participate in the Committee’s deliberations or recommendation, or in the Board of Directors’ deliberations or determination, with respect to accepting or rejecting his or her resignation as a director. If a majority of the members of the Committee received a greater number of votes “withheld” from their election than votes “for” their election, then the independent directors then serving on the Board of Directors who received a greater number of votes “for” their election than votes “withheld” from their election, and the directors, if any, who were not standing for election, shall appoint an ad hoc committee of the Board of Directors from among themselves (the “Ad Hoc Committee”), consisting of such number of directors as they may determine to be appropriate, solely for the purpose of considering and making a recommendation to the Board of Directors with respect to the tendered resignations. The Ad Hoc Committee shall serve in place of the Committee and perform the Committee's duties for purposes of this Section 5.3. Notwithstanding the foregoing, if an Ad Hoc Committee would have been created, but fewer than three directors would be eligible to serve on it, the entire Board of Directors (other than those directors whose resignations are being considered) shall make the determination to accept or reject the tendered resignation without any recommendation from the Committee and without the creation of an Ad Hoc Committee.</w:t>
      </w:r>
    </w:p>
    <w:p>
      <w:pPr>
        <w:spacing w:after="0" w:line="21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places within or without the State of Delaware and at such times as the Board of Directors may from time to time determine, and if so determined notices thereof need not be given.</w:t>
      </w:r>
    </w:p>
    <w:p>
      <w:pPr>
        <w:spacing w:after="0" w:line="18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Notice. Special meetings of the Board of Directors may be held at any time or place within or without the State of Delaware whenever called by the Chairperson of the Board, if any, by the President or by a majority of the total number of directors constituting the Board of Directors. Two days’ notice of</w:t>
      </w:r>
    </w:p>
    <w:p>
      <w:pPr>
        <w:sectPr>
          <w:pgSz w:w="11900" w:h="16838" w:orient="portrait"/>
          <w:cols w:equalWidth="0" w:num="1">
            <w:col w:w="11220"/>
          </w:cols>
          <w:pgMar w:left="320" w:top="1404" w:right="359" w:bottom="1440" w:gutter="0" w:footer="0" w:header="0"/>
        </w:sectPr>
      </w:pPr>
    </w:p>
    <w:bookmarkStart w:id="20" w:name="page21"/>
    <w:bookmarkEnd w:id="20"/>
    <w:p>
      <w:pPr>
        <w:ind w:right="160"/>
        <w:spacing w:after="0" w:line="266" w:lineRule="auto"/>
        <w:rPr>
          <w:sz w:val="20"/>
          <w:szCs w:val="20"/>
          <w:color w:val="auto"/>
        </w:rPr>
      </w:pPr>
      <w:r>
        <w:rPr>
          <w:rFonts w:ascii="Times New Roman" w:cs="Times New Roman" w:eastAsia="Times New Roman" w:hAnsi="Times New Roman"/>
          <w:sz w:val="18"/>
          <w:szCs w:val="18"/>
          <w:color w:val="auto"/>
        </w:rPr>
        <w:t>special meeting shall be given by the person or persons calling the meeting. Notice may be given in writing by mail, telegram, telex, facsimile or personal delivery, or orally in person or by telephone.</w:t>
      </w:r>
    </w:p>
    <w:p>
      <w:pPr>
        <w:spacing w:after="0" w:line="189"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Telephonic Meetings Permitted</w:t>
      </w:r>
      <w:r>
        <w:rPr>
          <w:rFonts w:ascii="Times New Roman" w:cs="Times New Roman" w:eastAsia="Times New Roman" w:hAnsi="Times New Roman"/>
          <w:sz w:val="18"/>
          <w:szCs w:val="18"/>
          <w:color w:val="auto"/>
        </w:rPr>
        <w:t>. Members of the Board of Directors, or any committee designated by the Board of directors, may participate in a meeting of such Board of committee by means of conference telephone or similar communications equipment by means of which all persons participating in the meeting can hear each other, and participation in such a meeting shall constitute presence in person at such meeting.</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Quorum; Vote Required for Action</w:t>
      </w:r>
      <w:r>
        <w:rPr>
          <w:rFonts w:ascii="Times New Roman" w:cs="Times New Roman" w:eastAsia="Times New Roman" w:hAnsi="Times New Roman"/>
          <w:sz w:val="18"/>
          <w:szCs w:val="18"/>
          <w:color w:val="auto"/>
        </w:rPr>
        <w:t>. At all meetings of the Board of Directors, a majority of the whole Board of directors shall</w:t>
      </w:r>
    </w:p>
    <w:p>
      <w:pPr>
        <w:spacing w:after="0" w:line="16"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18"/>
          <w:szCs w:val="18"/>
          <w:color w:val="auto"/>
        </w:rPr>
        <w:t>constitute a quorum for the transaction of business. The vote of a majority of the directors present at a meeting at which a quorum is present shall be the act of the Board of Directors, except in cases in which the Certificate of Incorporation or these Bylaws require the vote of a greater number.</w:t>
      </w:r>
    </w:p>
    <w:p>
      <w:pPr>
        <w:spacing w:after="0" w:line="213"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the Board of Directors shall be presided over by the Chairperson of the Board of Directors, if any, or in his or her absence by the President, or in their absence by a chairperson chosen at the meeting. The Secretary shall act as secretary of the meeting, but in his or her absence the chairperson of the meeting may appoint any person to act as secretary of the meeting.</w:t>
      </w:r>
    </w:p>
    <w:p>
      <w:pPr>
        <w:spacing w:after="0" w:line="204"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and the writing or writings are filed with the minutes of proceedings of the Board of Director or committee.</w:t>
      </w:r>
    </w:p>
    <w:p>
      <w:pPr>
        <w:spacing w:after="0" w:line="20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Directors Elected by Special Class or Series</w:t>
      </w:r>
      <w:r>
        <w:rPr>
          <w:rFonts w:ascii="Times New Roman" w:cs="Times New Roman" w:eastAsia="Times New Roman" w:hAnsi="Times New Roman"/>
          <w:sz w:val="18"/>
          <w:szCs w:val="18"/>
          <w:color w:val="auto"/>
        </w:rPr>
        <w:t>. To the extent that any holder of any class or series of stock other than Common Stock issued by the corporation shall have the separate right, voting as a class or series, to elect directors, the directors elected by such class or series shall be deemed to constitute an additional class of directors and shall have a term of office for one year or such other period as may be designated by the provisions of such class or series providing such separate voting right to the holders of such class or series of stock, and any such class of directors shall be in addition to the classes otherwise provided for in the Certificate of Incorporation. Any directors so elected shall be subject to removal in such manner as may be provided by law or by the Certificate of Incorporation of this corporation.</w:t>
      </w:r>
    </w:p>
    <w:p>
      <w:pPr>
        <w:spacing w:after="0" w:line="21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ARTICLE IV</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39"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by resolution passed by a majority of the whole Board of Directors, designated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or she or they constitute a quorum, may unanimously appoint another member of the Board of Directors to act at the meeting in place of any such absent or disqualified member. Any such committee, to the extent provided in the resolution of the Board of Directors, shall have and may exercise all the powers and authority of the Board of Directors in the management of the business and affairs of the Directors in the management of the business and affairs of the corporation, and may authorize the seal of the corporation to be affixed to all papers which may require it; but no such committee shall have power or authority in reference to amending the Certificate of Incorporation of the corporation, adopting an agreement of merger or consolidation, recommending to the stockholders the sale, lease or exchange of all or substantially all of the corporation’s property and assets, recommending to the stockholders a dissolution of the corporation or a revocation of dissolution, or amending these Bylaws; and, unless the resolution expressly so provides, no such committee shall have the power or authority to declare a dividend or authorize the issuance of stock.</w:t>
      </w:r>
    </w:p>
    <w:p>
      <w:pPr>
        <w:spacing w:after="0" w:line="21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Committee Rules</w:t>
      </w:r>
      <w:r>
        <w:rPr>
          <w:rFonts w:ascii="Times New Roman" w:cs="Times New Roman" w:eastAsia="Times New Roman" w:hAnsi="Times New Roman"/>
          <w:sz w:val="18"/>
          <w:szCs w:val="18"/>
          <w:color w:val="auto"/>
        </w:rPr>
        <w:t>. Unless the Board of Directors otherwise provides, each committee designated by the Board may make, alter and repeal rules for the conduct of its business. In the absence of such rule</w:t>
      </w:r>
    </w:p>
    <w:p>
      <w:pPr>
        <w:sectPr>
          <w:pgSz w:w="11900" w:h="16838" w:orient="portrait"/>
          <w:cols w:equalWidth="0" w:num="1">
            <w:col w:w="11240"/>
          </w:cols>
          <w:pgMar w:left="320" w:top="1404" w:right="339" w:bottom="1440" w:gutter="0" w:footer="0" w:header="0"/>
        </w:sectPr>
      </w:pPr>
    </w:p>
    <w:bookmarkStart w:id="21" w:name="page22"/>
    <w:bookmarkEnd w:id="21"/>
    <w:p>
      <w:pPr>
        <w:jc w:val="center"/>
        <w:ind w:right="260"/>
        <w:spacing w:after="0"/>
        <w:rPr>
          <w:sz w:val="20"/>
          <w:szCs w:val="20"/>
          <w:color w:val="auto"/>
        </w:rPr>
      </w:pPr>
      <w:r>
        <w:rPr>
          <w:rFonts w:ascii="Times New Roman" w:cs="Times New Roman" w:eastAsia="Times New Roman" w:hAnsi="Times New Roman"/>
          <w:sz w:val="17"/>
          <w:szCs w:val="17"/>
          <w:color w:val="auto"/>
        </w:rPr>
        <w:t>each committee shall conduct its business in the same manner as the Board of Directors conducts its business pursuant to ARTICLE III of these Bylaws.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39"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Executive Officers; Election; Qualification; Term of Office; Removal; Vacancies</w:t>
      </w:r>
      <w:r>
        <w:rPr>
          <w:rFonts w:ascii="Times New Roman" w:cs="Times New Roman" w:eastAsia="Times New Roman" w:hAnsi="Times New Roman"/>
          <w:sz w:val="18"/>
          <w:szCs w:val="18"/>
          <w:color w:val="auto"/>
        </w:rPr>
        <w:t>. The Board of Directors shall choose a President and Secretary, and it may, if it so determines, choose a Chairperson of the Board from among its members. The Board of Directors may also choose one or more Vice Presidents, one or more Assistant Secretaries, a Treasurer and one or more Assistant Treasurers. Each such officer shall hold office until the first meeting of the Board of Directors after the annual meeting of stockholders next succeeding his or her election, and until his or her successor is elected and qualified or until his or her earlier resignation or removal. Any officer may resign at any time upon written notice to the corporation.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214" w:lineRule="exact"/>
        <w:rPr>
          <w:sz w:val="20"/>
          <w:szCs w:val="20"/>
          <w:color w:val="auto"/>
        </w:rPr>
      </w:pPr>
    </w:p>
    <w:p>
      <w:pPr>
        <w:ind w:right="100" w:firstLine="648"/>
        <w:spacing w:after="0" w:line="296"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Other Officers and Agents</w:t>
      </w:r>
      <w:r>
        <w:rPr>
          <w:rFonts w:ascii="Times New Roman" w:cs="Times New Roman" w:eastAsia="Times New Roman" w:hAnsi="Times New Roman"/>
          <w:sz w:val="17"/>
          <w:szCs w:val="17"/>
          <w:color w:val="auto"/>
        </w:rPr>
        <w:t>. The Board of Directors may appoint such other officers and agents as it may deem advisable, who shall hold their offices for such terms and shall exercise such powers and perform such duties as shall be determine from time to time by the Board of Directors.</w:t>
      </w:r>
    </w:p>
    <w:p>
      <w:pPr>
        <w:spacing w:after="0" w:line="16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The Chairperson of the Board of Directors, if there be one, shall preside at all meetings of the stockholders, if present thereat, and shall preside at all meetings of the Board of Directors, if present thereat, and he or she shall have and perform, such other duties as from time to time may be assigned to him or her by the Board of Directors. If there is no President, the Chairperson of the Board of Directors shall in addition be the chief executive officer of the corporation and shall have the powers and duties prescribed in Section 5.4.</w:t>
      </w:r>
    </w:p>
    <w:p>
      <w:pPr>
        <w:spacing w:after="0" w:line="208"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Subject to such supervisory powers, if any, as may be given by the Board of Directors to the Chairperson of the Board of Directors, if there be such an officer, the President shall be the chief executive officer of the corporation and shall, subject to the control of the Board of Directors, have the general powers and duties of supervision and management as generally pertain to the office of chief executive and as are usually vested in the chief executive officer of a corporation, including general supervision, direction and control of</w:t>
      </w:r>
    </w:p>
    <w:p>
      <w:pPr>
        <w:spacing w:after="0" w:line="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business and the officers of the corporation. The President shall have and perform such other powers and duties as may be assigned to him or her by the Board of Directors or the Chairperson.</w:t>
      </w:r>
    </w:p>
    <w:p>
      <w:pPr>
        <w:spacing w:after="0" w:line="20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Each Vice President shall have such powers and shall have and perform such duties as shall be assigned to him or her by the Board of Directors. In the absence or disability of the President, the Vice Presidents, in order of their rank as fixed by the Board of Directors or, if not ranked, a Vice President designated by the Board of Directors, shall perform all the duties of the President, and when so acting shall have all the powers of , and be subject to all the restrictions upon the President.</w:t>
      </w:r>
    </w:p>
    <w:p>
      <w:pPr>
        <w:spacing w:after="0" w:line="208"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be the Chief Financial Officer of the corporation and have the custody of the corporate funds and securities and shall keep full and accurate account of receipts and disbursement in books belonging to the corporation. He or she shall deposit all monies and other valuables in the name and to the credit of the corporation in such depositories as may be designated by the Board of Directors. The Treasurer shall disburse the funds of the corporation as may be ordered by the Board of Directors or the President, shall render to the President and Board of Directors at the regular meetings of the Board of Directors, or whenever they may request it, an account of all his or her transaction as Treasurer and of the financial condition of the corporation and shall have and perform such other powers and duties as may from time to time be assigned to him or her by the Board of Directors.</w:t>
      </w:r>
    </w:p>
    <w:p>
      <w:pPr>
        <w:spacing w:after="0" w:line="21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give, or cause to be given notice of all meetings of stockholders and directors, and all other notices required by law or by these Bylaws. He or she shall record, or cause to be recorded, minutes of the meetings of the stockholders, the Board of directors and committees of the Board of Directors in minute books to be kept by him or her for that purpose, and shall perform such other duties as may be</w:t>
      </w:r>
    </w:p>
    <w:p>
      <w:pPr>
        <w:sectPr>
          <w:pgSz w:w="11900" w:h="16838" w:orient="portrait"/>
          <w:cols w:equalWidth="0" w:num="1">
            <w:col w:w="11240"/>
          </w:cols>
          <w:pgMar w:left="320" w:top="1404" w:right="339" w:bottom="1440" w:gutter="0" w:footer="0" w:header="0"/>
        </w:sectPr>
      </w:pPr>
    </w:p>
    <w:bookmarkStart w:id="22" w:name="page23"/>
    <w:bookmarkEnd w:id="22"/>
    <w:p>
      <w:pPr>
        <w:ind w:right="200"/>
        <w:spacing w:after="0" w:line="242" w:lineRule="auto"/>
        <w:rPr>
          <w:sz w:val="20"/>
          <w:szCs w:val="20"/>
          <w:color w:val="auto"/>
        </w:rPr>
      </w:pPr>
      <w:r>
        <w:rPr>
          <w:rFonts w:ascii="Times New Roman" w:cs="Times New Roman" w:eastAsia="Times New Roman" w:hAnsi="Times New Roman"/>
          <w:sz w:val="18"/>
          <w:szCs w:val="18"/>
          <w:color w:val="auto"/>
        </w:rPr>
        <w:t>assigned to him or her by the Board of Directors. He or she shall keep, or cause to be kept, at the principal executive office or at the office of the corporation’s transfer agent or registrar, a share register or duplicate share register showing the names of all shareholders and their addresses, the number and classes of shares held by each, the number and date of certificate issued for the same, and the number and date of cancellation of every certificate surrendered for cancellation. He or she shall have the custody of the seal of the corporation and shall affix the same to all instruments requiring it, when authorized by the Board of Directors or the President, and attest the same.</w:t>
      </w:r>
    </w:p>
    <w:p>
      <w:pPr>
        <w:spacing w:after="0" w:line="21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Assistant Treasurers and Assistant Secretaries</w:t>
      </w:r>
      <w:r>
        <w:rPr>
          <w:rFonts w:ascii="Times New Roman" w:cs="Times New Roman" w:eastAsia="Times New Roman" w:hAnsi="Times New Roman"/>
          <w:sz w:val="18"/>
          <w:szCs w:val="18"/>
          <w:color w:val="auto"/>
        </w:rPr>
        <w:t>. Assistant Treasurers and Assistant Secretaries, if any, shall be elected and shall have such powers and shall perform such duties as shall be assigned to them, respectively, by the Board of Directors.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3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every holder of stock represented by certificates and, upon request, every holder of uncertificated shares, if any, shall be entitled to have a certificate signed by or in the name of the corporation by the Chairperson of the Board of Directors, if any, or the President or a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97"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The shares of stock of the corporation shall be transferable only upon its books by the holders thereof in person or by their duly authorized attorneys or legal representatives, and upon such transfer the old certificates shall be surrendered to the corporation by the delivery thereof to the person in charge of the stock transferred books and ledgers, or to such other person as the Board of Directors may designate, by whom they shall be cancelled, and new certificates shall thereupon be issued. A record shall be made of each transfer.</w:t>
      </w:r>
    </w:p>
    <w:p>
      <w:pPr>
        <w:spacing w:after="0" w:line="208"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Lost, Stolen or Destroyed Stock Certificates; Issuance of New Certificates</w:t>
      </w:r>
      <w:r>
        <w:rPr>
          <w:rFonts w:ascii="Times New Roman" w:cs="Times New Roman" w:eastAsia="Times New Roman" w:hAnsi="Times New Roman"/>
          <w:sz w:val="18"/>
          <w:szCs w:val="18"/>
          <w:color w:val="auto"/>
        </w:rPr>
        <w:t>. The corporation may issue a new certificate of stock in the place of any certificate theretofore issued by it, alleged to have been lost, stolen or destroyed, and the corporation may require the owner of the lost , stolen or destroyed certificate, or his or her legal representative, to give the corporation a bond sufficient to indemnify it against any claim that may be made against it on account of the alleged lost, theft or destruction of any such certificate or the issuance of such new certificate.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Indemnification of Directors and Officers</w:t>
      </w:r>
    </w:p>
    <w:p>
      <w:pPr>
        <w:spacing w:after="0" w:line="23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Right Indemnification</w:t>
      </w:r>
      <w:r>
        <w:rPr>
          <w:rFonts w:ascii="Times New Roman" w:cs="Times New Roman" w:eastAsia="Times New Roman" w:hAnsi="Times New Roman"/>
          <w:sz w:val="17"/>
          <w:szCs w:val="17"/>
          <w:color w:val="auto"/>
        </w:rPr>
        <w:t>. The corporation (a) shall indemnify and hold harmless each person who was or is a party to or involved in, or who was or is threatened to be made a party to or involved in any action, suite, or proceeding, whether civil, criminal, administrative or investigative (“proceeding”), by reason of the fact that he or she, or a person of whom he or she is the legal representative, is or was serving at the request of the corporation as a director, officer, or employee of another corporation, or of a partnership, joint venture, trust or other enterprise, including service with respect to employee benefit plans, in each case, whether the basis of such proceeding is alleged action in an official capacity as a director, officer, employee or agent or in any other capacity while serving as a director, officer, employee or an agent, to the fullest extent authorized by Delaware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expenses, liability, loss (including attorneys’ fees, judgments fines, ERISA excise taxes, or penalties), amounts paid or to be paid in settlement and amounts expended in seeing indemnification granted to such person under applicable law, these Bylaws or any agreement with the corporation reasonably incurred or suffered by such person in connection therewith, and such indemnification shall continue as to a person who has ceased to be a director, officer, employee or agent, and shall inure to the benefit or his or her heirs, executors, and administrators; provided, however, that, except as provided in Section 7.2 of this ARTICLE VII, the</w:t>
      </w:r>
    </w:p>
    <w:p>
      <w:pPr>
        <w:sectPr>
          <w:pgSz w:w="11900" w:h="16838" w:orient="portrait"/>
          <w:cols w:equalWidth="0" w:num="1">
            <w:col w:w="11220"/>
          </w:cols>
          <w:pgMar w:left="320" w:top="1404" w:right="359" w:bottom="1440" w:gutter="0" w:footer="0" w:header="0"/>
        </w:sectPr>
      </w:pPr>
    </w:p>
    <w:bookmarkStart w:id="23" w:name="page24"/>
    <w:bookmarkEnd w:id="23"/>
    <w:p>
      <w:pPr>
        <w:ind w:right="60"/>
        <w:spacing w:after="0" w:line="237" w:lineRule="auto"/>
        <w:rPr>
          <w:sz w:val="20"/>
          <w:szCs w:val="20"/>
          <w:color w:val="auto"/>
        </w:rPr>
      </w:pPr>
      <w:r>
        <w:rPr>
          <w:rFonts w:ascii="Times New Roman" w:cs="Times New Roman" w:eastAsia="Times New Roman" w:hAnsi="Times New Roman"/>
          <w:sz w:val="18"/>
          <w:szCs w:val="18"/>
          <w:color w:val="auto"/>
        </w:rPr>
        <w:t>corporation shall indemnify any such person seeking indemnity in connection with an action, suit, or proceeding (or part thereof) initiated by such person only if such action, suit, or proceeding (or part thereof) was authorized by the Board of Directors of the corporation. The corporation shall pay to any person having a right indemnification under this Section 7.1 and may pay to any person who may be indemnified under this Section 7.1 expenses incurred in defending any such proceeding in advance of its final disposition; provided, however, that, if the Delaware General Corporation Law then so requires, the payment of such expenses incurred by a director or officer of the corporation in his or her capacity as a director or officer (and not in any other capacity in which service was or is rendered by such person while a director or officer, including, without limitation, service to any employee benefit plan) in advance of the final disposition of such proceeding, shall be made only upon delivery to the corporation of an undertaking, by or on behalf of such director or officer, to repay all amounts so advanced if it should be determined ultimately that such director or officer is not entitled to be indemnified under this Section or otherwise.</w:t>
      </w:r>
    </w:p>
    <w:p>
      <w:pPr>
        <w:spacing w:after="0" w:line="212"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 to Sue</w:t>
      </w:r>
      <w:r>
        <w:rPr>
          <w:rFonts w:ascii="Times New Roman" w:cs="Times New Roman" w:eastAsia="Times New Roman" w:hAnsi="Times New Roman"/>
          <w:sz w:val="18"/>
          <w:szCs w:val="18"/>
          <w:color w:val="auto"/>
        </w:rPr>
        <w:t>. The right of any person having a right to indemnification under Section 7.1 of this ARTICLE VII shall be a contract right. If a claim for indemnification by a person having a right to indemnification under Section 7.1 is not paid in full by the corporation within twenty days after a written claim has been received by the corporation,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to any such action (other than an action brought to enforce a claim for such expenses incurred in defending any proceeding in advance to its final disposition where the required undertaking, if any, has been tendered to this corporation) that the claimant has not met the standards of conduct which make it permissible under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determination prior to the commencement of such action that indemnification of the claimant is proper in the circumstances because he or she has met the applicable standard of conduct set forth in the Delaware Corporation Law, nor an actual determination by the corporation (including its board of Directors, independent legal counsel, or</w:t>
      </w:r>
    </w:p>
    <w:p>
      <w:pPr>
        <w:spacing w:after="0" w:line="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its stockholders) that the claimant has not met such applicable standard of conduct, shall be a defense to the action or create a presumption that claimant has not met the applicable standard of conduct.</w:t>
      </w:r>
    </w:p>
    <w:p>
      <w:pPr>
        <w:spacing w:after="0" w:line="20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Not-Exclusivity of Rights</w:t>
      </w:r>
      <w:r>
        <w:rPr>
          <w:rFonts w:ascii="Times New Roman" w:cs="Times New Roman" w:eastAsia="Times New Roman" w:hAnsi="Times New Roman"/>
          <w:sz w:val="18"/>
          <w:szCs w:val="18"/>
          <w:color w:val="auto"/>
        </w:rPr>
        <w:t>. The rights conferred on any person in Section 7.1 and 7.2 shall not be exclusive of any other right which such persons may have or hereafter acquire under any statute, provision of the Certificate of Incorporation, these Bylaws, agreement, vote of stockholder or disinterested directors, or otherwise.</w:t>
      </w:r>
    </w:p>
    <w:p>
      <w:pPr>
        <w:spacing w:after="0" w:line="204"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Section 7.4 I</w:t>
      </w:r>
      <w:r>
        <w:rPr>
          <w:rFonts w:ascii="Times New Roman" w:cs="Times New Roman" w:eastAsia="Times New Roman" w:hAnsi="Times New Roman"/>
          <w:sz w:val="18"/>
          <w:szCs w:val="18"/>
          <w:u w:val="single" w:color="auto"/>
          <w:color w:val="auto"/>
        </w:rPr>
        <w:t>nsurance</w:t>
      </w:r>
      <w:r>
        <w:rPr>
          <w:rFonts w:ascii="Times New Roman" w:cs="Times New Roman" w:eastAsia="Times New Roman" w:hAnsi="Times New Roman"/>
          <w:sz w:val="18"/>
          <w:szCs w:val="18"/>
          <w:color w:val="auto"/>
        </w:rPr>
        <w:t>. The corporation shall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208" w:lineRule="exact"/>
        <w:rPr>
          <w:sz w:val="20"/>
          <w:szCs w:val="20"/>
          <w:color w:val="auto"/>
        </w:rPr>
      </w:pPr>
    </w:p>
    <w:p>
      <w:pPr>
        <w:jc w:val="both"/>
        <w:ind w:right="60" w:firstLine="648"/>
        <w:spacing w:after="0" w:line="239"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Any amendment, repeal or modification of any provision of this ARTICLE VII which reduces or eliminates the rights of any director, officer, employee or agent under this ARTICLE VII shall apply only to acts, omissions events or occurrences that take place after the effectiveness of such amendment, repeal or modification, regardless of when any action, suit or proceeding is commenced, and shall not affect the rights of any director, officer, employee or agent with respect to acts, omissions, events or occurrences that take place prior to the effectiveness of such amendment, repeal or modification.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resolution of the Board of Directors.</w:t>
      </w:r>
    </w:p>
    <w:p>
      <w:pPr>
        <w:spacing w:after="0" w:line="23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corporate seal shall have the name of the corporation inscribed thereon and shall be in such form as may be approved from time to time by the Board of Directors.</w:t>
      </w:r>
    </w:p>
    <w:p>
      <w:pPr>
        <w:sectPr>
          <w:pgSz w:w="11900" w:h="16838" w:orient="portrait"/>
          <w:cols w:equalWidth="0" w:num="1">
            <w:col w:w="11240"/>
          </w:cols>
          <w:pgMar w:left="320" w:top="1404" w:right="339" w:bottom="1440" w:gutter="0" w:footer="0" w:header="0"/>
        </w:sectPr>
      </w:pPr>
    </w:p>
    <w:bookmarkStart w:id="24" w:name="page25"/>
    <w:bookmarkEnd w:id="24"/>
    <w:p>
      <w:pPr>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Waiver of Notice of Meetings of Stockholders, Directors and Committees</w:t>
      </w:r>
      <w:r>
        <w:rPr>
          <w:rFonts w:ascii="Times New Roman" w:cs="Times New Roman" w:eastAsia="Times New Roman" w:hAnsi="Times New Roman"/>
          <w:sz w:val="18"/>
          <w:szCs w:val="18"/>
          <w:color w:val="auto"/>
        </w:rPr>
        <w:t>. Any written waiver of notice,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or notice.</w:t>
      </w:r>
    </w:p>
    <w:p>
      <w:pPr>
        <w:spacing w:after="0" w:line="21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Interested Directors</w:t>
      </w:r>
      <w:r>
        <w:rPr>
          <w:rFonts w:ascii="Times New Roman" w:cs="Times New Roman" w:eastAsia="Times New Roman" w:hAnsi="Times New Roman"/>
          <w:sz w:val="18"/>
          <w:szCs w:val="18"/>
          <w:color w:val="auto"/>
        </w:rPr>
        <w:t>. Any director or officer individually, or any partnership of which any director officer may be a member, or any corporation or association of which any director or officer may be an officer, director, trustee, employee or stockholder, may be party to, or may be pecuniarily or otherwise interested in, any contract or transaction of the corporation, and in the absence of fraud no contract or other transaction shall be thereby affected or invalidated. Any director of the corporation who is so interested, or who is also a director, officer, trustee, employee or stockholder of such other corporate or association or a member of such partnership which is so interested, may be counted in determining the existence of a quorum at any meeting of the Board of Directors of the corporation which shall authorize any such contract or transaction, and may vote thereat to authorize any such contraction or transaction, with like force and effect as if he or she were not such director, officer, trustee, employee or stockholder of such other corporation or association or not so interested or a member or a partnership so interested; provided that in case a director, or a partnership, corporation or association of which a director is a member, officer, director, trustee or employee is so interested, such fact shall be disclosed or shall have been known to the Board of Directors or a majority thereof. This paragraph shall not be construed to invalidate any such contract or transaction which would otherwise be valid under the common and statutory law applicable thereto.</w:t>
      </w:r>
    </w:p>
    <w:p>
      <w:pPr>
        <w:spacing w:after="0" w:line="218"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Form of Records</w:t>
      </w:r>
      <w:r>
        <w:rPr>
          <w:rFonts w:ascii="Times New Roman" w:cs="Times New Roman" w:eastAsia="Times New Roman" w:hAnsi="Times New Roman"/>
          <w:sz w:val="18"/>
          <w:szCs w:val="18"/>
          <w:color w:val="auto"/>
        </w:rPr>
        <w:t>. Any records maintained by the corporation in the regular course of its business, including its stock ledger, books of account, and minute books, may be kept on, or be in the form of, punch cards, magnetic tape, photographs, microphotographs, or any other information storage device, provided that the records so kept can be converted into clearly legible form within a reasonable time. The corporation shall so covert any records so kept upon the request of any person entitled to inspect the same.</w:t>
      </w:r>
    </w:p>
    <w:p>
      <w:pPr>
        <w:spacing w:after="0" w:line="194"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In furtherance and not in limitation of the powers conferred by the laws of the State of Delaware, the Board of Directors is expressly authorized and empowered to adopt, amend, alter, change, rescind and repeal the bylaws of the corporation in whole or in part. Except where the Certificate of Incorporation of the corporation requires a higher vote, the bylaws of the corporation may also be adopted, amended, altered, changed, rescind or repealed in whole or in part at any annual or special meeting of the stockholders by the affirmative vote of a majority of the shares of the corporation of outstanding and entitled to vote thereon.</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IX</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Forum Selection</w:t>
      </w:r>
    </w:p>
    <w:p>
      <w:pPr>
        <w:spacing w:after="0" w:line="239"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17"/>
          <w:szCs w:val="17"/>
          <w:color w:val="auto"/>
        </w:rPr>
        <w:t>Section 9.1 Unless the corporation consents in writing to the selection of an alternative forum, (a)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Delaware General Corporation Law or the Certificate of Incorporation or these Bylaws (as either may be amended from time to time) or</w:t>
      </w:r>
    </w:p>
    <w:p>
      <w:pPr>
        <w:spacing w:after="0" w:line="5" w:lineRule="exact"/>
        <w:rPr>
          <w:sz w:val="20"/>
          <w:szCs w:val="20"/>
          <w:color w:val="auto"/>
        </w:rPr>
      </w:pPr>
    </w:p>
    <w:p>
      <w:pPr>
        <w:ind w:right="20" w:firstLine="8"/>
        <w:spacing w:after="0" w:line="236" w:lineRule="auto"/>
        <w:tabs>
          <w:tab w:leader="none" w:pos="3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asserting a claim governed by the internal affairs doctrine; and (b) subject to the preceding provisions of this Section 9.1,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“Foreign Action”)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w:t>
      </w:r>
    </w:p>
    <w:p>
      <w:pPr>
        <w:sectPr>
          <w:pgSz w:w="11900" w:h="16838" w:orient="portrait"/>
          <w:cols w:equalWidth="0" w:num="1">
            <w:col w:w="11220"/>
          </w:cols>
          <w:pgMar w:left="320" w:top="140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stockholder in any such action by service upon such stockholder’s counsel in the Foreign Action as agent for such stockholder.</w:t>
      </w:r>
    </w:p>
    <w:p>
      <w:pPr>
        <w:spacing w:after="0" w:line="23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security of the corporation shall be deemed to have notice of and consented to this Section 9.1.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sectPr>
      <w:pgSz w:w="11900" w:h="16838" w:orient="portrait"/>
      <w:cols w:equalWidth="0" w:num="1">
        <w:col w:w="10960"/>
      </w:cols>
      <w:pgMar w:left="320" w:top="140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4"/>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upperLetter"/>
      <w:start w:val="1"/>
    </w:lvl>
  </w:abstractNum>
  <w:abstractNum w:abstractNumId="5">
    <w:nsid w:val="7FDCC233"/>
    <w:multiLevelType w:val="hybridMultilevel"/>
    <w:lvl w:ilvl="0">
      <w:lvlJc w:val="left"/>
      <w:lvlText w:val="(%1)"/>
      <w:numFmt w:val="lowerLetter"/>
      <w:start w:val="1"/>
    </w:lvl>
    <w:lvl w:ilvl="1">
      <w:lvlJc w:val="left"/>
      <w:lvlText w:val="(%2)"/>
      <w:numFmt w:val="decimal"/>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1)"/>
      <w:numFmt w:val="lowerLetter"/>
      <w:start w:val="4"/>
    </w:lvl>
  </w:abstractNum>
  <w:abstractNum w:abstractNumId="8">
    <w:nsid w:val="6B68079A"/>
    <w:multiLevelType w:val="hybridMultilevel"/>
    <w:lvl w:ilvl="0">
      <w:lvlJc w:val="left"/>
      <w:lvlText w:val="%1"/>
      <w:numFmt w:val="lowerLetter"/>
      <w:start w:val="1"/>
    </w:lvl>
    <w:lvl w:ilvl="1">
      <w:lvlJc w:val="left"/>
      <w:lvlText w:val="(%2)"/>
      <w:numFmt w:val="lowerLetter"/>
      <w:start w:val="7"/>
    </w:lvl>
  </w:abstractNum>
  <w:abstractNum w:abstractNumId="9">
    <w:nsid w:val="4E6AFB66"/>
    <w:multiLevelType w:val="hybridMultilevel"/>
    <w:lvl w:ilvl="0">
      <w:lvlJc w:val="left"/>
      <w:lvlText w:val="(%1)"/>
      <w:numFmt w:val="lowerLetter"/>
      <w:start w:val="9"/>
    </w:lvl>
    <w:lvl w:ilvl="1">
      <w:lvlJc w:val="left"/>
      <w:lvlText w:val="(%2)"/>
      <w:numFmt w:val="lowerLetter"/>
      <w:start w:val="8"/>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2"/>
    </w:lvl>
  </w:abstractNum>
  <w:abstractNum w:abstractNumId="12">
    <w:nsid w:val="431BD7B7"/>
    <w:multiLevelType w:val="hybridMultilevel"/>
    <w:lvl w:ilvl="0">
      <w:lvlJc w:val="left"/>
      <w:lvlText w:val="%1"/>
      <w:numFmt w:val="lowerRoman"/>
      <w:start w:val="1"/>
    </w:lvl>
    <w:lvl w:ilvl="1">
      <w:lvlJc w:val="left"/>
      <w:lvlText w:val="(%2)"/>
      <w:numFmt w:val="lowerRoman"/>
      <w:start w:val="1"/>
    </w:lvl>
  </w:abstractNum>
  <w:abstractNum w:abstractNumId="13">
    <w:nsid w:val="3F2DBA31"/>
    <w:multiLevelType w:val="hybridMultilevel"/>
    <w:lvl w:ilvl="0">
      <w:lvlJc w:val="left"/>
      <w:lvlText w:val="(%1)"/>
      <w:numFmt w:val="lowerRoman"/>
      <w:start w:val="10"/>
    </w:lvl>
    <w:lvl w:ilvl="1">
      <w:lvlJc w:val="left"/>
      <w:lvlText w:val="%2"/>
      <w:numFmt w:val="lowerRoman"/>
      <w:start w:val="1"/>
    </w:lvl>
  </w:abstractNum>
  <w:abstractNum w:abstractNumId="14">
    <w:nsid w:val="7C83E458"/>
    <w:multiLevelType w:val="hybridMultilevel"/>
    <w:lvl w:ilvl="0">
      <w:lvlJc w:val="left"/>
      <w:lvlText w:val="(%1)"/>
      <w:numFmt w:val="lowerLetter"/>
      <w:start w:val="4"/>
    </w:lvl>
  </w:abstractNum>
  <w:abstractNum w:abstractNumId="15">
    <w:nsid w:val="257130A3"/>
    <w:multiLevelType w:val="hybridMultilevel"/>
    <w:lvl w:ilvl="0">
      <w:lvlJc w:val="left"/>
      <w:lvlText w:val="(%1)"/>
      <w:numFmt w:val="lowerLetter"/>
      <w:start w:val="6"/>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Roman"/>
      <w:start w:val="2"/>
    </w:lvl>
  </w:abstractNum>
  <w:abstractNum w:abstractNumId="18">
    <w:nsid w:val="628C895D"/>
    <w:multiLevelType w:val="hybridMultilevel"/>
    <w:lvl w:ilvl="0">
      <w:lvlJc w:val="left"/>
      <w:lvlText w:val="(%1)"/>
      <w:numFmt w:val="lowerRoman"/>
      <w:start w:val="1"/>
    </w:lvl>
  </w:abstractNum>
  <w:abstractNum w:abstractNumId="19">
    <w:nsid w:val="333AB105"/>
    <w:multiLevelType w:val="hybridMultilevel"/>
    <w:lvl w:ilvl="0">
      <w:lvlJc w:val="left"/>
      <w:lvlText w:val="(%1)"/>
      <w:numFmt w:val="lowerLetter"/>
      <w:start w:val="4"/>
    </w:lvl>
  </w:abstractNum>
  <w:abstractNum w:abstractNumId="20">
    <w:nsid w:val="721DA317"/>
    <w:multiLevelType w:val="hybridMultilevel"/>
    <w:lvl w:ilvl="0">
      <w:lvlJc w:val="left"/>
      <w:lvlText w:val="(%1)"/>
      <w:numFmt w:val="lowerLetter"/>
      <w:start w:val="8"/>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2026-05-18T11:37:54Z</dcterms:created>
  <dcterms:modified xsi:type="dcterms:W3CDTF">2026-05-18T11:37:54Z</dcterms:modified>
</cp:coreProperties>
</file>