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ind w:left="3900" w:right="1040" w:hanging="2523"/>
        <w:spacing w:after="0" w:line="375" w:lineRule="auto"/>
        <w:tabs>
          <w:tab w:leader="none" w:pos="157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 or</w:t>
      </w:r>
    </w:p>
    <w:p>
      <w:pPr>
        <w:spacing w:after="0" w:line="1" w:lineRule="exact"/>
        <w:rPr>
          <w:sz w:val="24"/>
          <w:szCs w:val="24"/>
          <w:color w:val="auto"/>
        </w:rPr>
      </w:pPr>
    </w:p>
    <w:p>
      <w:pPr>
        <w:ind w:left="122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463" w:right="239" w:bottom="59" w:gutter="0" w:footer="0" w:header="0"/>
        </w:sectPr>
      </w:pPr>
    </w:p>
    <w:p>
      <w:pPr>
        <w:spacing w:after="0" w:line="129" w:lineRule="exact"/>
        <w:rPr>
          <w:sz w:val="24"/>
          <w:szCs w:val="24"/>
          <w:color w:val="auto"/>
        </w:rPr>
      </w:pPr>
    </w:p>
    <w:p>
      <w:pPr>
        <w:jc w:val="right"/>
        <w:ind w:right="4440"/>
        <w:spacing w:after="0"/>
        <w:tabs>
          <w:tab w:leader="none" w:pos="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right"/>
        <w:ind w:right="4500"/>
        <w:spacing w:after="0"/>
        <w:rPr>
          <w:sz w:val="20"/>
          <w:szCs w:val="20"/>
          <w:color w:val="auto"/>
        </w:rPr>
      </w:pPr>
      <w:r>
        <w:rPr>
          <w:rFonts w:ascii="Arial" w:cs="Arial" w:eastAsia="Arial" w:hAnsi="Arial"/>
          <w:sz w:val="18"/>
          <w:szCs w:val="18"/>
          <w:b w:val="1"/>
          <w:bCs w:val="1"/>
          <w:color w:val="auto"/>
        </w:rPr>
        <w:t>Commission File No. 001-34634</w:t>
      </w:r>
    </w:p>
    <w:p>
      <w:pPr>
        <w:sectPr>
          <w:pgSz w:w="11900" w:h="16838" w:orient="portrait"/>
          <w:cols w:equalWidth="0" w:num="1">
            <w:col w:w="11420"/>
          </w:cols>
          <w:pgMar w:left="240" w:top="463" w:right="239" w:bottom="59" w:gutter="0" w:footer="0" w:header="0"/>
          <w:type w:val="continuous"/>
        </w:sectPr>
      </w:pPr>
    </w:p>
    <w:p>
      <w:pPr>
        <w:spacing w:after="0" w:line="108" w:lineRule="exact"/>
        <w:rPr>
          <w:sz w:val="24"/>
          <w:szCs w:val="24"/>
          <w:color w:val="auto"/>
        </w:rPr>
      </w:pPr>
    </w:p>
    <w:tbl>
      <w:tblPr>
        <w:tblLayout w:type="fixed"/>
        <w:tblInd w:w="1240" w:type="dxa"/>
        <w:tblCellMar>
          <w:top w:w="0" w:type="dxa"/>
          <w:left w:w="0" w:type="dxa"/>
          <w:bottom w:w="0" w:type="dxa"/>
          <w:right w:w="0" w:type="dxa"/>
        </w:tblCellMar>
      </w:tblPr>
      <w:tr>
        <w:trPr>
          <w:trHeight w:val="391"/>
        </w:trPr>
        <w:tc>
          <w:tcPr>
            <w:tcW w:w="6420" w:type="dxa"/>
            <w:vAlign w:val="bottom"/>
          </w:tcPr>
          <w:p>
            <w:pPr>
              <w:jc w:val="center"/>
              <w:ind w:left="2441"/>
              <w:spacing w:after="0"/>
              <w:rPr>
                <w:sz w:val="20"/>
                <w:szCs w:val="20"/>
                <w:color w:val="auto"/>
              </w:rPr>
            </w:pPr>
            <w:r>
              <w:rPr>
                <w:rFonts w:ascii="Arial" w:cs="Arial" w:eastAsia="Arial" w:hAnsi="Arial"/>
                <w:sz w:val="32"/>
                <w:szCs w:val="32"/>
                <w:b w:val="1"/>
                <w:bCs w:val="1"/>
                <w:color w:val="auto"/>
              </w:rPr>
              <w:t>ICU MEDICAL, INC.</w:t>
            </w:r>
          </w:p>
        </w:tc>
        <w:tc>
          <w:tcPr>
            <w:tcW w:w="1400" w:type="dxa"/>
            <w:vAlign w:val="bottom"/>
          </w:tcPr>
          <w:p>
            <w:pPr>
              <w:spacing w:after="0"/>
              <w:rPr>
                <w:sz w:val="24"/>
                <w:szCs w:val="24"/>
                <w:color w:val="auto"/>
              </w:rPr>
            </w:pPr>
          </w:p>
        </w:tc>
      </w:tr>
      <w:tr>
        <w:trPr>
          <w:trHeight w:val="230"/>
        </w:trPr>
        <w:tc>
          <w:tcPr>
            <w:tcW w:w="6420" w:type="dxa"/>
            <w:vAlign w:val="bottom"/>
          </w:tcPr>
          <w:p>
            <w:pPr>
              <w:jc w:val="center"/>
              <w:ind w:left="2421"/>
              <w:spacing w:after="0"/>
              <w:rPr>
                <w:sz w:val="20"/>
                <w:szCs w:val="20"/>
                <w:color w:val="auto"/>
              </w:rPr>
            </w:pPr>
            <w:r>
              <w:rPr>
                <w:rFonts w:ascii="Arial" w:cs="Arial" w:eastAsia="Arial" w:hAnsi="Arial"/>
                <w:sz w:val="18"/>
                <w:szCs w:val="18"/>
                <w:color w:val="auto"/>
                <w:w w:val="90"/>
              </w:rPr>
              <w:t>(Exact name of Registrant as specified in its charter)</w:t>
            </w:r>
          </w:p>
        </w:tc>
        <w:tc>
          <w:tcPr>
            <w:tcW w:w="1400" w:type="dxa"/>
            <w:vAlign w:val="bottom"/>
          </w:tcPr>
          <w:p>
            <w:pPr>
              <w:spacing w:after="0"/>
              <w:rPr>
                <w:sz w:val="20"/>
                <w:szCs w:val="20"/>
                <w:color w:val="auto"/>
              </w:rPr>
            </w:pPr>
          </w:p>
        </w:tc>
      </w:tr>
      <w:tr>
        <w:trPr>
          <w:trHeight w:val="486"/>
        </w:trPr>
        <w:tc>
          <w:tcPr>
            <w:tcW w:w="6420" w:type="dxa"/>
            <w:vAlign w:val="bottom"/>
          </w:tcPr>
          <w:p>
            <w:pPr>
              <w:jc w:val="center"/>
              <w:ind w:right="3481"/>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420" w:type="dxa"/>
            <w:vAlign w:val="bottom"/>
          </w:tcPr>
          <w:p>
            <w:pPr>
              <w:jc w:val="center"/>
              <w:ind w:right="3481"/>
              <w:spacing w:after="0"/>
              <w:rPr>
                <w:sz w:val="20"/>
                <w:szCs w:val="20"/>
                <w:color w:val="auto"/>
              </w:rPr>
            </w:pPr>
            <w:r>
              <w:rPr>
                <w:rFonts w:ascii="Arial" w:cs="Arial" w:eastAsia="Arial" w:hAnsi="Arial"/>
                <w:sz w:val="18"/>
                <w:szCs w:val="18"/>
                <w:color w:val="auto"/>
                <w:w w:val="92"/>
              </w:rPr>
              <w:t>(State or other jurisdiction of</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70"/>
        </w:trPr>
        <w:tc>
          <w:tcPr>
            <w:tcW w:w="6420" w:type="dxa"/>
            <w:vAlign w:val="bottom"/>
          </w:tcPr>
          <w:p>
            <w:pPr>
              <w:jc w:val="center"/>
              <w:ind w:right="3481"/>
              <w:spacing w:after="0"/>
              <w:rPr>
                <w:sz w:val="20"/>
                <w:szCs w:val="20"/>
                <w:color w:val="auto"/>
              </w:rPr>
            </w:pPr>
            <w:r>
              <w:rPr>
                <w:rFonts w:ascii="Arial" w:cs="Arial" w:eastAsia="Arial" w:hAnsi="Arial"/>
                <w:sz w:val="18"/>
                <w:szCs w:val="18"/>
                <w:color w:val="auto"/>
                <w:w w:val="92"/>
              </w:rPr>
              <w:t>incorporation or organization)</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513"/>
        </w:trPr>
        <w:tc>
          <w:tcPr>
            <w:tcW w:w="6420" w:type="dxa"/>
            <w:vAlign w:val="bottom"/>
          </w:tcPr>
          <w:p>
            <w:pPr>
              <w:jc w:val="center"/>
              <w:ind w:right="3481"/>
              <w:spacing w:after="0"/>
              <w:rPr>
                <w:sz w:val="20"/>
                <w:szCs w:val="20"/>
                <w:color w:val="auto"/>
              </w:rPr>
            </w:pPr>
            <w:r>
              <w:rPr>
                <w:rFonts w:ascii="Arial" w:cs="Arial" w:eastAsia="Arial" w:hAnsi="Arial"/>
                <w:sz w:val="18"/>
                <w:szCs w:val="18"/>
                <w:b w:val="1"/>
                <w:bCs w:val="1"/>
                <w:color w:val="auto"/>
                <w:w w:val="91"/>
              </w:rPr>
              <w:t>951 Calle Amanecer</w:t>
            </w:r>
          </w:p>
        </w:tc>
        <w:tc>
          <w:tcPr>
            <w:tcW w:w="1400" w:type="dxa"/>
            <w:vAlign w:val="bottom"/>
          </w:tcPr>
          <w:p>
            <w:pPr>
              <w:spacing w:after="0"/>
              <w:rPr>
                <w:sz w:val="24"/>
                <w:szCs w:val="24"/>
                <w:color w:val="auto"/>
              </w:rPr>
            </w:pPr>
          </w:p>
        </w:tc>
      </w:tr>
      <w:tr>
        <w:trPr>
          <w:trHeight w:val="270"/>
        </w:trPr>
        <w:tc>
          <w:tcPr>
            <w:tcW w:w="6420" w:type="dxa"/>
            <w:vAlign w:val="bottom"/>
          </w:tcPr>
          <w:p>
            <w:pPr>
              <w:jc w:val="center"/>
              <w:ind w:right="3481"/>
              <w:spacing w:after="0"/>
              <w:rPr>
                <w:sz w:val="20"/>
                <w:szCs w:val="20"/>
                <w:color w:val="auto"/>
              </w:rPr>
            </w:pPr>
            <w:r>
              <w:rPr>
                <w:rFonts w:ascii="Arial" w:cs="Arial" w:eastAsia="Arial" w:hAnsi="Arial"/>
                <w:sz w:val="18"/>
                <w:szCs w:val="18"/>
                <w:b w:val="1"/>
                <w:bCs w:val="1"/>
                <w:color w:val="auto"/>
                <w:w w:val="92"/>
              </w:rPr>
              <w:t>San Clemente, California</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92673</w:t>
            </w:r>
          </w:p>
        </w:tc>
      </w:tr>
      <w:tr>
        <w:trPr>
          <w:trHeight w:val="270"/>
        </w:trPr>
        <w:tc>
          <w:tcPr>
            <w:tcW w:w="6420" w:type="dxa"/>
            <w:vAlign w:val="bottom"/>
          </w:tcPr>
          <w:p>
            <w:pPr>
              <w:jc w:val="center"/>
              <w:ind w:right="3481"/>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366-2183</w:t>
      </w:r>
    </w:p>
    <w:p>
      <w:pPr>
        <w:spacing w:after="0" w:line="12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56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Common stock, par value $0.10 per share</w:t>
            </w:r>
          </w:p>
        </w:tc>
        <w:tc>
          <w:tcPr>
            <w:tcW w:w="54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8"/>
                <w:szCs w:val="18"/>
                <w:color w:val="auto"/>
                <w:w w:val="92"/>
              </w:rPr>
              <w:t>(Global Select Market)</w:t>
            </w:r>
          </w:p>
        </w:tc>
      </w:tr>
    </w:tbl>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8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7"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1" w:lineRule="exact"/>
        <w:rPr>
          <w:sz w:val="24"/>
          <w:szCs w:val="24"/>
          <w:color w:val="auto"/>
        </w:rPr>
      </w:pPr>
    </w:p>
    <w:p>
      <w:pPr>
        <w:ind w:right="360" w:firstLine="324"/>
        <w:spacing w:after="0" w:line="22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20"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4840" w:type="dxa"/>
            <w:vAlign w:val="bottom"/>
          </w:tcPr>
          <w:p>
            <w:pPr>
              <w:jc w:val="center"/>
              <w:ind w:right="143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40"/>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30"/>
              <w:spacing w:after="0"/>
              <w:rPr>
                <w:sz w:val="20"/>
                <w:szCs w:val="20"/>
                <w:color w:val="auto"/>
              </w:rPr>
            </w:pPr>
            <w:r>
              <w:rPr>
                <w:rFonts w:ascii="Arial" w:cs="Arial" w:eastAsia="Arial" w:hAnsi="Arial"/>
                <w:sz w:val="18"/>
                <w:szCs w:val="18"/>
                <w:color w:val="auto"/>
                <w:w w:val="91"/>
              </w:rPr>
              <w:t>Small reporting company o</w:t>
            </w:r>
          </w:p>
        </w:tc>
      </w:tr>
      <w:tr>
        <w:trPr>
          <w:trHeight w:val="270"/>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121" w:lineRule="exact"/>
        <w:rPr>
          <w:sz w:val="24"/>
          <w:szCs w:val="24"/>
          <w:color w:val="auto"/>
        </w:rPr>
      </w:pPr>
    </w:p>
    <w:p>
      <w:pPr>
        <w:ind w:right="32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The aggregate market value of the voting stock held by non-affiliates of registrant as of June 30, 2017, the last business day of registrant’s most recently completed second fiscal quarter, was $3,127,790,010*.</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registrant’s common stock, $.10 par value, as of January 31, 2018 was 20,239,458.</w:t>
      </w:r>
    </w:p>
    <w:p>
      <w:pPr>
        <w:spacing w:after="0" w:line="11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Portions of the Proxy Statement for registrant’s 2018 Annual Meeting of Stockholders filed or to be filed pursuant to Regulation 14A within 120 days following registrant’s fiscal year ended December 31, 2017, are incorporated by reference into Part III of this Report.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w:t>
      </w:r>
    </w:p>
    <w:p>
      <w:pPr>
        <w:sectPr>
          <w:pgSz w:w="11900" w:h="16838" w:orient="portrait"/>
          <w:cols w:equalWidth="0" w:num="1">
            <w:col w:w="11420"/>
          </w:cols>
          <w:pgMar w:left="240" w:top="463" w:right="239" w:bottom="59" w:gutter="0" w:footer="0" w:header="0"/>
          <w:type w:val="continuous"/>
        </w:sectPr>
      </w:pPr>
    </w:p>
    <w:bookmarkStart w:id="1" w:name="page2"/>
    <w:bookmarkEnd w:id="1"/>
    <w:p>
      <w:pPr>
        <w:ind w:left="-8" w:firstLine="8"/>
        <w:spacing w:after="0" w:line="277" w:lineRule="auto"/>
        <w:tabs>
          <w:tab w:leader="none" w:pos="172"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Without acknowledging that any person other than Dr. George A. Lopez is an affiliate, all directors and executive officers have been included as affiliates solely for purposes of this computation.</w:t>
      </w:r>
    </w:p>
    <w:p>
      <w:pPr>
        <w:sectPr>
          <w:pgSz w:w="11900" w:h="16838" w:orient="portrait"/>
          <w:cols w:equalWidth="0" w:num="1">
            <w:col w:w="11232"/>
          </w:cols>
          <w:pgMar w:left="248" w:top="12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ICU Medical, Inc.</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6"/>
              </w:rPr>
              <w:t>Form 10-K</w:t>
            </w: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896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7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896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TABLE OF CONTENTS</w:t>
            </w:r>
          </w:p>
        </w:tc>
        <w:tc>
          <w:tcPr>
            <w:tcW w:w="740" w:type="dxa"/>
            <w:vAlign w:val="bottom"/>
          </w:tcPr>
          <w:p>
            <w:pPr>
              <w:spacing w:after="0"/>
              <w:rPr>
                <w:sz w:val="20"/>
                <w:szCs w:val="20"/>
                <w:color w:val="auto"/>
              </w:rPr>
            </w:pPr>
          </w:p>
        </w:tc>
      </w:tr>
      <w:tr>
        <w:trPr>
          <w:trHeight w:val="547"/>
        </w:trPr>
        <w:tc>
          <w:tcPr>
            <w:tcW w:w="10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9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w:t>
            </w:r>
          </w:p>
        </w:tc>
        <w:tc>
          <w:tcPr>
            <w:tcW w:w="8960" w:type="dxa"/>
            <w:vAlign w:val="bottom"/>
          </w:tcPr>
          <w:p>
            <w:pPr>
              <w:ind w:left="280"/>
              <w:spacing w:after="0"/>
              <w:rPr>
                <w:rFonts w:ascii="Arial" w:cs="Arial" w:eastAsia="Arial" w:hAnsi="Arial"/>
                <w:sz w:val="18"/>
                <w:szCs w:val="18"/>
                <w:color w:val="2C2C2C"/>
              </w:rPr>
            </w:pPr>
            <w:hyperlink w:anchor="page4">
              <w:r>
                <w:rPr>
                  <w:rFonts w:ascii="Arial" w:cs="Arial" w:eastAsia="Arial" w:hAnsi="Arial"/>
                  <w:sz w:val="18"/>
                  <w:szCs w:val="18"/>
                  <w:color w:val="2C2C2C"/>
                </w:rPr>
                <w:t>Business</w:t>
              </w:r>
            </w:hyperlink>
          </w:p>
        </w:tc>
        <w:tc>
          <w:tcPr>
            <w:tcW w:w="740" w:type="dxa"/>
            <w:vAlign w:val="bottom"/>
          </w:tcPr>
          <w:p>
            <w:pPr>
              <w:jc w:val="center"/>
              <w:spacing w:after="0"/>
              <w:rPr>
                <w:rFonts w:ascii="Arial" w:cs="Arial" w:eastAsia="Arial" w:hAnsi="Arial"/>
                <w:sz w:val="18"/>
                <w:szCs w:val="18"/>
                <w:color w:val="2C2C2C"/>
                <w:w w:val="99"/>
              </w:rPr>
            </w:pPr>
            <w:hyperlink w:anchor="page4">
              <w:r>
                <w:rPr>
                  <w:rFonts w:ascii="Arial" w:cs="Arial" w:eastAsia="Arial" w:hAnsi="Arial"/>
                  <w:sz w:val="18"/>
                  <w:szCs w:val="18"/>
                  <w:color w:val="2C2C2C"/>
                  <w:w w:val="99"/>
                </w:rPr>
                <w:t>3</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1A</w:t>
            </w:r>
          </w:p>
        </w:tc>
        <w:tc>
          <w:tcPr>
            <w:tcW w:w="8960" w:type="dxa"/>
            <w:vAlign w:val="bottom"/>
          </w:tcPr>
          <w:p>
            <w:pPr>
              <w:ind w:left="280"/>
              <w:spacing w:after="0"/>
              <w:rPr>
                <w:rFonts w:ascii="Arial" w:cs="Arial" w:eastAsia="Arial" w:hAnsi="Arial"/>
                <w:sz w:val="18"/>
                <w:szCs w:val="18"/>
                <w:color w:val="2C2C2C"/>
              </w:rPr>
            </w:pPr>
            <w:hyperlink w:anchor="page12">
              <w:r>
                <w:rPr>
                  <w:rFonts w:ascii="Arial" w:cs="Arial" w:eastAsia="Arial" w:hAnsi="Arial"/>
                  <w:sz w:val="18"/>
                  <w:szCs w:val="18"/>
                  <w:color w:val="2C2C2C"/>
                </w:rPr>
                <w:t>Risk Factors</w:t>
              </w:r>
            </w:hyperlink>
          </w:p>
        </w:tc>
        <w:tc>
          <w:tcPr>
            <w:tcW w:w="740" w:type="dxa"/>
            <w:vAlign w:val="bottom"/>
          </w:tcPr>
          <w:p>
            <w:pPr>
              <w:jc w:val="center"/>
              <w:spacing w:after="0"/>
              <w:rPr>
                <w:rFonts w:ascii="Arial" w:cs="Arial" w:eastAsia="Arial" w:hAnsi="Arial"/>
                <w:sz w:val="18"/>
                <w:szCs w:val="18"/>
                <w:color w:val="2C2C2C"/>
                <w:w w:val="89"/>
              </w:rPr>
            </w:pPr>
            <w:hyperlink w:anchor="page12">
              <w:r>
                <w:rPr>
                  <w:rFonts w:ascii="Arial" w:cs="Arial" w:eastAsia="Arial" w:hAnsi="Arial"/>
                  <w:sz w:val="18"/>
                  <w:szCs w:val="18"/>
                  <w:color w:val="2C2C2C"/>
                  <w:w w:val="89"/>
                </w:rPr>
                <w:t>11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1B</w:t>
            </w:r>
          </w:p>
        </w:tc>
        <w:tc>
          <w:tcPr>
            <w:tcW w:w="8960" w:type="dxa"/>
            <w:vAlign w:val="bottom"/>
          </w:tcPr>
          <w:p>
            <w:pPr>
              <w:ind w:left="280"/>
              <w:spacing w:after="0"/>
              <w:rPr>
                <w:rFonts w:ascii="Arial" w:cs="Arial" w:eastAsia="Arial" w:hAnsi="Arial"/>
                <w:sz w:val="18"/>
                <w:szCs w:val="18"/>
                <w:color w:val="2C2C2C"/>
              </w:rPr>
            </w:pPr>
            <w:hyperlink w:anchor="page25">
              <w:r>
                <w:rPr>
                  <w:rFonts w:ascii="Arial" w:cs="Arial" w:eastAsia="Arial" w:hAnsi="Arial"/>
                  <w:sz w:val="18"/>
                  <w:szCs w:val="18"/>
                  <w:color w:val="2C2C2C"/>
                </w:rPr>
                <w:t>Unresolved Staff Comments</w:t>
              </w:r>
            </w:hyperlink>
          </w:p>
        </w:tc>
        <w:tc>
          <w:tcPr>
            <w:tcW w:w="740" w:type="dxa"/>
            <w:vAlign w:val="bottom"/>
          </w:tcPr>
          <w:p>
            <w:pPr>
              <w:jc w:val="center"/>
              <w:spacing w:after="0"/>
              <w:rPr>
                <w:rFonts w:ascii="Arial" w:cs="Arial" w:eastAsia="Arial" w:hAnsi="Arial"/>
                <w:sz w:val="18"/>
                <w:szCs w:val="18"/>
                <w:color w:val="2C2C2C"/>
                <w:w w:val="89"/>
              </w:rPr>
            </w:pPr>
            <w:hyperlink w:anchor="page25">
              <w:r>
                <w:rPr>
                  <w:rFonts w:ascii="Arial" w:cs="Arial" w:eastAsia="Arial" w:hAnsi="Arial"/>
                  <w:sz w:val="18"/>
                  <w:szCs w:val="18"/>
                  <w:color w:val="2C2C2C"/>
                  <w:w w:val="89"/>
                </w:rPr>
                <w:t>24</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2</w:t>
            </w:r>
          </w:p>
        </w:tc>
        <w:tc>
          <w:tcPr>
            <w:tcW w:w="8960" w:type="dxa"/>
            <w:vAlign w:val="bottom"/>
          </w:tcPr>
          <w:p>
            <w:pPr>
              <w:ind w:left="280"/>
              <w:spacing w:after="0"/>
              <w:rPr>
                <w:rFonts w:ascii="Arial" w:cs="Arial" w:eastAsia="Arial" w:hAnsi="Arial"/>
                <w:sz w:val="18"/>
                <w:szCs w:val="18"/>
                <w:color w:val="2C2C2C"/>
              </w:rPr>
            </w:pPr>
            <w:hyperlink w:anchor="page25">
              <w:r>
                <w:rPr>
                  <w:rFonts w:ascii="Arial" w:cs="Arial" w:eastAsia="Arial" w:hAnsi="Arial"/>
                  <w:sz w:val="18"/>
                  <w:szCs w:val="18"/>
                  <w:color w:val="2C2C2C"/>
                </w:rPr>
                <w:t>Properties</w:t>
              </w:r>
            </w:hyperlink>
          </w:p>
        </w:tc>
        <w:tc>
          <w:tcPr>
            <w:tcW w:w="740" w:type="dxa"/>
            <w:vAlign w:val="bottom"/>
          </w:tcPr>
          <w:p>
            <w:pPr>
              <w:jc w:val="center"/>
              <w:spacing w:after="0"/>
              <w:rPr>
                <w:rFonts w:ascii="Arial" w:cs="Arial" w:eastAsia="Arial" w:hAnsi="Arial"/>
                <w:sz w:val="18"/>
                <w:szCs w:val="18"/>
                <w:color w:val="2C2C2C"/>
                <w:w w:val="89"/>
              </w:rPr>
            </w:pPr>
            <w:hyperlink w:anchor="page25">
              <w:r>
                <w:rPr>
                  <w:rFonts w:ascii="Arial" w:cs="Arial" w:eastAsia="Arial" w:hAnsi="Arial"/>
                  <w:sz w:val="18"/>
                  <w:szCs w:val="18"/>
                  <w:color w:val="2C2C2C"/>
                  <w:w w:val="89"/>
                </w:rPr>
                <w:t>24</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3</w:t>
            </w:r>
          </w:p>
        </w:tc>
        <w:tc>
          <w:tcPr>
            <w:tcW w:w="8960" w:type="dxa"/>
            <w:vAlign w:val="bottom"/>
          </w:tcPr>
          <w:p>
            <w:pPr>
              <w:ind w:left="280"/>
              <w:spacing w:after="0"/>
              <w:rPr>
                <w:rFonts w:ascii="Arial" w:cs="Arial" w:eastAsia="Arial" w:hAnsi="Arial"/>
                <w:sz w:val="18"/>
                <w:szCs w:val="18"/>
                <w:color w:val="2C2C2C"/>
              </w:rPr>
            </w:pPr>
            <w:hyperlink w:anchor="page26">
              <w:r>
                <w:rPr>
                  <w:rFonts w:ascii="Arial" w:cs="Arial" w:eastAsia="Arial" w:hAnsi="Arial"/>
                  <w:sz w:val="18"/>
                  <w:szCs w:val="18"/>
                  <w:color w:val="2C2C2C"/>
                </w:rPr>
                <w:t>Legal Proceedings</w:t>
              </w:r>
            </w:hyperlink>
          </w:p>
        </w:tc>
        <w:tc>
          <w:tcPr>
            <w:tcW w:w="740" w:type="dxa"/>
            <w:vAlign w:val="bottom"/>
          </w:tcPr>
          <w:p>
            <w:pPr>
              <w:jc w:val="center"/>
              <w:spacing w:after="0"/>
              <w:rPr>
                <w:rFonts w:ascii="Arial" w:cs="Arial" w:eastAsia="Arial" w:hAnsi="Arial"/>
                <w:sz w:val="18"/>
                <w:szCs w:val="18"/>
                <w:color w:val="2C2C2C"/>
                <w:w w:val="89"/>
              </w:rPr>
            </w:pPr>
            <w:hyperlink w:anchor="page26">
              <w:r>
                <w:rPr>
                  <w:rFonts w:ascii="Arial" w:cs="Arial" w:eastAsia="Arial" w:hAnsi="Arial"/>
                  <w:sz w:val="18"/>
                  <w:szCs w:val="18"/>
                  <w:color w:val="2C2C2C"/>
                  <w:w w:val="89"/>
                </w:rPr>
                <w:t>25</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4</w:t>
            </w:r>
          </w:p>
        </w:tc>
        <w:tc>
          <w:tcPr>
            <w:tcW w:w="8960" w:type="dxa"/>
            <w:vAlign w:val="bottom"/>
          </w:tcPr>
          <w:p>
            <w:pPr>
              <w:ind w:left="280"/>
              <w:spacing w:after="0"/>
              <w:rPr>
                <w:rFonts w:ascii="Arial" w:cs="Arial" w:eastAsia="Arial" w:hAnsi="Arial"/>
                <w:sz w:val="18"/>
                <w:szCs w:val="18"/>
                <w:color w:val="2C2C2C"/>
              </w:rPr>
            </w:pPr>
            <w:hyperlink w:anchor="page26">
              <w:r>
                <w:rPr>
                  <w:rFonts w:ascii="Arial" w:cs="Arial" w:eastAsia="Arial" w:hAnsi="Arial"/>
                  <w:sz w:val="18"/>
                  <w:szCs w:val="18"/>
                  <w:color w:val="2C2C2C"/>
                </w:rPr>
                <w:t>Mine Safety Disclosures</w:t>
              </w:r>
            </w:hyperlink>
          </w:p>
        </w:tc>
        <w:tc>
          <w:tcPr>
            <w:tcW w:w="740" w:type="dxa"/>
            <w:vAlign w:val="bottom"/>
          </w:tcPr>
          <w:p>
            <w:pPr>
              <w:jc w:val="center"/>
              <w:spacing w:after="0"/>
              <w:rPr>
                <w:rFonts w:ascii="Arial" w:cs="Arial" w:eastAsia="Arial" w:hAnsi="Arial"/>
                <w:sz w:val="18"/>
                <w:szCs w:val="18"/>
                <w:color w:val="2C2C2C"/>
                <w:w w:val="89"/>
              </w:rPr>
            </w:pPr>
            <w:hyperlink w:anchor="page26">
              <w:r>
                <w:rPr>
                  <w:rFonts w:ascii="Arial" w:cs="Arial" w:eastAsia="Arial" w:hAnsi="Arial"/>
                  <w:sz w:val="18"/>
                  <w:szCs w:val="18"/>
                  <w:color w:val="2C2C2C"/>
                  <w:w w:val="89"/>
                </w:rPr>
                <w:t>25</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5</w:t>
            </w:r>
          </w:p>
        </w:tc>
        <w:tc>
          <w:tcPr>
            <w:tcW w:w="8960" w:type="dxa"/>
            <w:vAlign w:val="bottom"/>
          </w:tcPr>
          <w:p>
            <w:pPr>
              <w:ind w:left="280"/>
              <w:spacing w:after="0"/>
              <w:rPr>
                <w:rFonts w:ascii="Arial" w:cs="Arial" w:eastAsia="Arial" w:hAnsi="Arial"/>
                <w:sz w:val="18"/>
                <w:szCs w:val="18"/>
                <w:color w:val="2C2C2C"/>
                <w:w w:val="93"/>
              </w:rPr>
            </w:pPr>
            <w:hyperlink w:anchor="page26">
              <w:r>
                <w:rPr>
                  <w:rFonts w:ascii="Arial" w:cs="Arial" w:eastAsia="Arial" w:hAnsi="Arial"/>
                  <w:sz w:val="18"/>
                  <w:szCs w:val="18"/>
                  <w:color w:val="2C2C2C"/>
                  <w:w w:val="93"/>
                </w:rPr>
                <w:t>Market for the Registrant’s Common Equity, Related Stockholder Matters, and Issuer Purchases of Equity Securities</w:t>
              </w:r>
            </w:hyperlink>
          </w:p>
        </w:tc>
        <w:tc>
          <w:tcPr>
            <w:tcW w:w="740" w:type="dxa"/>
            <w:vAlign w:val="bottom"/>
          </w:tcPr>
          <w:p>
            <w:pPr>
              <w:jc w:val="center"/>
              <w:spacing w:after="0"/>
              <w:rPr>
                <w:rFonts w:ascii="Arial" w:cs="Arial" w:eastAsia="Arial" w:hAnsi="Arial"/>
                <w:sz w:val="18"/>
                <w:szCs w:val="18"/>
                <w:color w:val="2C2C2C"/>
                <w:w w:val="89"/>
              </w:rPr>
            </w:pPr>
            <w:hyperlink w:anchor="page26">
              <w:r>
                <w:rPr>
                  <w:rFonts w:ascii="Arial" w:cs="Arial" w:eastAsia="Arial" w:hAnsi="Arial"/>
                  <w:sz w:val="18"/>
                  <w:szCs w:val="18"/>
                  <w:color w:val="2C2C2C"/>
                  <w:w w:val="89"/>
                </w:rPr>
                <w:t>25</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6</w:t>
            </w:r>
          </w:p>
        </w:tc>
        <w:tc>
          <w:tcPr>
            <w:tcW w:w="8960" w:type="dxa"/>
            <w:vAlign w:val="bottom"/>
          </w:tcPr>
          <w:p>
            <w:pPr>
              <w:ind w:left="280"/>
              <w:spacing w:after="0"/>
              <w:rPr>
                <w:rFonts w:ascii="Arial" w:cs="Arial" w:eastAsia="Arial" w:hAnsi="Arial"/>
                <w:sz w:val="18"/>
                <w:szCs w:val="18"/>
                <w:color w:val="2C2C2C"/>
              </w:rPr>
            </w:pPr>
            <w:hyperlink w:anchor="page29">
              <w:r>
                <w:rPr>
                  <w:rFonts w:ascii="Arial" w:cs="Arial" w:eastAsia="Arial" w:hAnsi="Arial"/>
                  <w:sz w:val="18"/>
                  <w:szCs w:val="18"/>
                  <w:color w:val="2C2C2C"/>
                </w:rPr>
                <w:t>Selected Financial Data</w:t>
              </w:r>
            </w:hyperlink>
          </w:p>
        </w:tc>
        <w:tc>
          <w:tcPr>
            <w:tcW w:w="740" w:type="dxa"/>
            <w:vAlign w:val="bottom"/>
          </w:tcPr>
          <w:p>
            <w:pPr>
              <w:jc w:val="center"/>
              <w:spacing w:after="0"/>
              <w:rPr>
                <w:rFonts w:ascii="Arial" w:cs="Arial" w:eastAsia="Arial" w:hAnsi="Arial"/>
                <w:sz w:val="18"/>
                <w:szCs w:val="18"/>
                <w:color w:val="2C2C2C"/>
                <w:w w:val="89"/>
              </w:rPr>
            </w:pPr>
            <w:hyperlink w:anchor="page29">
              <w:r>
                <w:rPr>
                  <w:rFonts w:ascii="Arial" w:cs="Arial" w:eastAsia="Arial" w:hAnsi="Arial"/>
                  <w:sz w:val="18"/>
                  <w:szCs w:val="18"/>
                  <w:color w:val="2C2C2C"/>
                  <w:w w:val="89"/>
                </w:rPr>
                <w:t>28</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7</w:t>
            </w:r>
          </w:p>
        </w:tc>
        <w:tc>
          <w:tcPr>
            <w:tcW w:w="8960" w:type="dxa"/>
            <w:vAlign w:val="bottom"/>
          </w:tcPr>
          <w:p>
            <w:pPr>
              <w:ind w:left="280"/>
              <w:spacing w:after="0"/>
              <w:rPr>
                <w:rFonts w:ascii="Arial" w:cs="Arial" w:eastAsia="Arial" w:hAnsi="Arial"/>
                <w:sz w:val="18"/>
                <w:szCs w:val="18"/>
                <w:color w:val="2C2C2C"/>
              </w:rPr>
            </w:pPr>
            <w:hyperlink w:anchor="page30">
              <w:r>
                <w:rPr>
                  <w:rFonts w:ascii="Arial" w:cs="Arial" w:eastAsia="Arial" w:hAnsi="Arial"/>
                  <w:sz w:val="18"/>
                  <w:szCs w:val="18"/>
                  <w:color w:val="2C2C2C"/>
                </w:rPr>
                <w:t>Management's Discussion and Analysis of Financial Condition and Results of Operations</w:t>
              </w:r>
            </w:hyperlink>
          </w:p>
        </w:tc>
        <w:tc>
          <w:tcPr>
            <w:tcW w:w="740" w:type="dxa"/>
            <w:vAlign w:val="bottom"/>
          </w:tcPr>
          <w:p>
            <w:pPr>
              <w:jc w:val="center"/>
              <w:spacing w:after="0"/>
              <w:rPr>
                <w:rFonts w:ascii="Arial" w:cs="Arial" w:eastAsia="Arial" w:hAnsi="Arial"/>
                <w:sz w:val="18"/>
                <w:szCs w:val="18"/>
                <w:color w:val="2C2C2C"/>
                <w:w w:val="89"/>
              </w:rPr>
            </w:pPr>
            <w:hyperlink w:anchor="page30">
              <w:r>
                <w:rPr>
                  <w:rFonts w:ascii="Arial" w:cs="Arial" w:eastAsia="Arial" w:hAnsi="Arial"/>
                  <w:sz w:val="18"/>
                  <w:szCs w:val="18"/>
                  <w:color w:val="2C2C2C"/>
                  <w:w w:val="89"/>
                </w:rPr>
                <w:t>29</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7A</w:t>
            </w:r>
          </w:p>
        </w:tc>
        <w:tc>
          <w:tcPr>
            <w:tcW w:w="8960" w:type="dxa"/>
            <w:vAlign w:val="bottom"/>
          </w:tcPr>
          <w:p>
            <w:pPr>
              <w:ind w:left="280"/>
              <w:spacing w:after="0"/>
              <w:rPr>
                <w:rFonts w:ascii="Arial" w:cs="Arial" w:eastAsia="Arial" w:hAnsi="Arial"/>
                <w:sz w:val="18"/>
                <w:szCs w:val="18"/>
                <w:color w:val="2C2C2C"/>
              </w:rPr>
            </w:pPr>
            <w:hyperlink w:anchor="page47">
              <w:r>
                <w:rPr>
                  <w:rFonts w:ascii="Arial" w:cs="Arial" w:eastAsia="Arial" w:hAnsi="Arial"/>
                  <w:sz w:val="18"/>
                  <w:szCs w:val="18"/>
                  <w:color w:val="2C2C2C"/>
                </w:rPr>
                <w:t>Quantitative and Qualitative Disclosures about Market Risk</w:t>
              </w:r>
            </w:hyperlink>
          </w:p>
        </w:tc>
        <w:tc>
          <w:tcPr>
            <w:tcW w:w="740" w:type="dxa"/>
            <w:vAlign w:val="bottom"/>
          </w:tcPr>
          <w:p>
            <w:pPr>
              <w:jc w:val="center"/>
              <w:spacing w:after="0"/>
              <w:rPr>
                <w:rFonts w:ascii="Arial" w:cs="Arial" w:eastAsia="Arial" w:hAnsi="Arial"/>
                <w:sz w:val="18"/>
                <w:szCs w:val="18"/>
                <w:color w:val="2C2C2C"/>
                <w:w w:val="89"/>
              </w:rPr>
            </w:pPr>
            <w:hyperlink w:anchor="page47">
              <w:r>
                <w:rPr>
                  <w:rFonts w:ascii="Arial" w:cs="Arial" w:eastAsia="Arial" w:hAnsi="Arial"/>
                  <w:sz w:val="18"/>
                  <w:szCs w:val="18"/>
                  <w:color w:val="2C2C2C"/>
                  <w:w w:val="89"/>
                </w:rPr>
                <w:t>46</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8</w:t>
            </w:r>
          </w:p>
        </w:tc>
        <w:tc>
          <w:tcPr>
            <w:tcW w:w="8960" w:type="dxa"/>
            <w:vAlign w:val="bottom"/>
          </w:tcPr>
          <w:p>
            <w:pPr>
              <w:ind w:left="280"/>
              <w:spacing w:after="0"/>
              <w:rPr>
                <w:rFonts w:ascii="Arial" w:cs="Arial" w:eastAsia="Arial" w:hAnsi="Arial"/>
                <w:sz w:val="18"/>
                <w:szCs w:val="18"/>
                <w:color w:val="2C2C2C"/>
              </w:rPr>
            </w:pPr>
            <w:hyperlink w:anchor="page48">
              <w:r>
                <w:rPr>
                  <w:rFonts w:ascii="Arial" w:cs="Arial" w:eastAsia="Arial" w:hAnsi="Arial"/>
                  <w:sz w:val="18"/>
                  <w:szCs w:val="18"/>
                  <w:color w:val="2C2C2C"/>
                </w:rPr>
                <w:t>Financial Statements and Supplementary Data</w:t>
              </w:r>
            </w:hyperlink>
          </w:p>
        </w:tc>
        <w:tc>
          <w:tcPr>
            <w:tcW w:w="740" w:type="dxa"/>
            <w:vAlign w:val="bottom"/>
          </w:tcPr>
          <w:p>
            <w:pPr>
              <w:jc w:val="center"/>
              <w:spacing w:after="0"/>
              <w:rPr>
                <w:rFonts w:ascii="Arial" w:cs="Arial" w:eastAsia="Arial" w:hAnsi="Arial"/>
                <w:sz w:val="18"/>
                <w:szCs w:val="18"/>
                <w:color w:val="2C2C2C"/>
                <w:w w:val="89"/>
              </w:rPr>
            </w:pPr>
            <w:hyperlink w:anchor="page48">
              <w:r>
                <w:rPr>
                  <w:rFonts w:ascii="Arial" w:cs="Arial" w:eastAsia="Arial" w:hAnsi="Arial"/>
                  <w:sz w:val="18"/>
                  <w:szCs w:val="18"/>
                  <w:color w:val="2C2C2C"/>
                  <w:w w:val="89"/>
                </w:rPr>
                <w:t>47</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Arial" w:cs="Arial" w:eastAsia="Arial" w:hAnsi="Arial"/>
                <w:sz w:val="18"/>
                <w:szCs w:val="18"/>
                <w:color w:val="2C2C2C"/>
              </w:rPr>
            </w:pPr>
            <w:hyperlink w:anchor="page49">
              <w:r>
                <w:rPr>
                  <w:rFonts w:ascii="Arial" w:cs="Arial" w:eastAsia="Arial" w:hAnsi="Arial"/>
                  <w:sz w:val="18"/>
                  <w:szCs w:val="18"/>
                  <w:color w:val="2C2C2C"/>
                </w:rPr>
                <w:t>Report of Independent Registered Public Accounting Firm</w:t>
              </w:r>
            </w:hyperlink>
          </w:p>
        </w:tc>
        <w:tc>
          <w:tcPr>
            <w:tcW w:w="740" w:type="dxa"/>
            <w:vAlign w:val="bottom"/>
          </w:tcPr>
          <w:p>
            <w:pPr>
              <w:jc w:val="center"/>
              <w:spacing w:after="0"/>
              <w:rPr>
                <w:rFonts w:ascii="Arial" w:cs="Arial" w:eastAsia="Arial" w:hAnsi="Arial"/>
                <w:sz w:val="18"/>
                <w:szCs w:val="18"/>
                <w:color w:val="2C2C2C"/>
                <w:w w:val="89"/>
              </w:rPr>
            </w:pPr>
            <w:hyperlink w:anchor="page49">
              <w:r>
                <w:rPr>
                  <w:rFonts w:ascii="Arial" w:cs="Arial" w:eastAsia="Arial" w:hAnsi="Arial"/>
                  <w:sz w:val="18"/>
                  <w:szCs w:val="18"/>
                  <w:color w:val="2C2C2C"/>
                  <w:w w:val="89"/>
                </w:rPr>
                <w:t>48</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w:t>
            </w:r>
          </w:p>
        </w:tc>
        <w:tc>
          <w:tcPr>
            <w:tcW w:w="8960" w:type="dxa"/>
            <w:vAlign w:val="bottom"/>
          </w:tcPr>
          <w:p>
            <w:pPr>
              <w:ind w:left="280"/>
              <w:spacing w:after="0"/>
              <w:rPr>
                <w:rFonts w:ascii="Arial" w:cs="Arial" w:eastAsia="Arial" w:hAnsi="Arial"/>
                <w:sz w:val="18"/>
                <w:szCs w:val="18"/>
                <w:color w:val="2C2C2C"/>
              </w:rPr>
            </w:pPr>
            <w:hyperlink w:anchor="page89">
              <w:r>
                <w:rPr>
                  <w:rFonts w:ascii="Arial" w:cs="Arial" w:eastAsia="Arial" w:hAnsi="Arial"/>
                  <w:sz w:val="18"/>
                  <w:szCs w:val="18"/>
                  <w:color w:val="2C2C2C"/>
                </w:rPr>
                <w:t>Changes in and Disagreements with Accountants on Accounting and Financial Disclosure</w:t>
              </w:r>
            </w:hyperlink>
          </w:p>
        </w:tc>
        <w:tc>
          <w:tcPr>
            <w:tcW w:w="740" w:type="dxa"/>
            <w:vAlign w:val="bottom"/>
          </w:tcPr>
          <w:p>
            <w:pPr>
              <w:jc w:val="center"/>
              <w:spacing w:after="0"/>
              <w:rPr>
                <w:rFonts w:ascii="Arial" w:cs="Arial" w:eastAsia="Arial" w:hAnsi="Arial"/>
                <w:sz w:val="18"/>
                <w:szCs w:val="18"/>
                <w:color w:val="2C2C2C"/>
                <w:w w:val="89"/>
              </w:rPr>
            </w:pPr>
            <w:hyperlink w:anchor="page89">
              <w:r>
                <w:rPr>
                  <w:rFonts w:ascii="Arial" w:cs="Arial" w:eastAsia="Arial" w:hAnsi="Arial"/>
                  <w:sz w:val="18"/>
                  <w:szCs w:val="18"/>
                  <w:color w:val="2C2C2C"/>
                  <w:w w:val="89"/>
                </w:rPr>
                <w:t>88</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9A</w:t>
            </w:r>
          </w:p>
        </w:tc>
        <w:tc>
          <w:tcPr>
            <w:tcW w:w="8960" w:type="dxa"/>
            <w:vAlign w:val="bottom"/>
          </w:tcPr>
          <w:p>
            <w:pPr>
              <w:ind w:left="280"/>
              <w:spacing w:after="0"/>
              <w:rPr>
                <w:rFonts w:ascii="Arial" w:cs="Arial" w:eastAsia="Arial" w:hAnsi="Arial"/>
                <w:sz w:val="18"/>
                <w:szCs w:val="18"/>
                <w:color w:val="2C2C2C"/>
              </w:rPr>
            </w:pPr>
            <w:hyperlink w:anchor="page90">
              <w:r>
                <w:rPr>
                  <w:rFonts w:ascii="Arial" w:cs="Arial" w:eastAsia="Arial" w:hAnsi="Arial"/>
                  <w:sz w:val="18"/>
                  <w:szCs w:val="18"/>
                  <w:color w:val="2C2C2C"/>
                </w:rPr>
                <w:t>Controls and Procedures</w:t>
              </w:r>
            </w:hyperlink>
          </w:p>
        </w:tc>
        <w:tc>
          <w:tcPr>
            <w:tcW w:w="740" w:type="dxa"/>
            <w:vAlign w:val="bottom"/>
          </w:tcPr>
          <w:p>
            <w:pPr>
              <w:jc w:val="center"/>
              <w:spacing w:after="0"/>
              <w:rPr>
                <w:rFonts w:ascii="Arial" w:cs="Arial" w:eastAsia="Arial" w:hAnsi="Arial"/>
                <w:sz w:val="18"/>
                <w:szCs w:val="18"/>
                <w:color w:val="2C2C2C"/>
                <w:w w:val="89"/>
              </w:rPr>
            </w:pPr>
            <w:hyperlink w:anchor="page90">
              <w:r>
                <w:rPr>
                  <w:rFonts w:ascii="Arial" w:cs="Arial" w:eastAsia="Arial" w:hAnsi="Arial"/>
                  <w:sz w:val="18"/>
                  <w:szCs w:val="18"/>
                  <w:color w:val="2C2C2C"/>
                  <w:w w:val="89"/>
                </w:rPr>
                <w:t>89</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9B</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Other Information</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III</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10</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Directors, Executive Officers and Corporate Governance</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11</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Executive Compensation</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12</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Security Ownership of Certain Beneficial Owners and Management and Related Stockholder Matters</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13</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Certain Relationships and Related Transactions, and Director Independence</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14</w:t>
            </w:r>
          </w:p>
        </w:tc>
        <w:tc>
          <w:tcPr>
            <w:tcW w:w="8960" w:type="dxa"/>
            <w:vAlign w:val="bottom"/>
          </w:tcPr>
          <w:p>
            <w:pPr>
              <w:ind w:left="280"/>
              <w:spacing w:after="0"/>
              <w:rPr>
                <w:rFonts w:ascii="Arial" w:cs="Arial" w:eastAsia="Arial" w:hAnsi="Arial"/>
                <w:sz w:val="18"/>
                <w:szCs w:val="18"/>
                <w:color w:val="2C2C2C"/>
              </w:rPr>
            </w:pPr>
            <w:hyperlink w:anchor="page92">
              <w:r>
                <w:rPr>
                  <w:rFonts w:ascii="Arial" w:cs="Arial" w:eastAsia="Arial" w:hAnsi="Arial"/>
                  <w:sz w:val="18"/>
                  <w:szCs w:val="18"/>
                  <w:color w:val="2C2C2C"/>
                </w:rPr>
                <w:t>Principal Accounting Fees and Services</w:t>
              </w:r>
            </w:hyperlink>
          </w:p>
        </w:tc>
        <w:tc>
          <w:tcPr>
            <w:tcW w:w="74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70"/>
        </w:trPr>
        <w:tc>
          <w:tcPr>
            <w:tcW w:w="1000" w:type="dxa"/>
            <w:vAlign w:val="bottom"/>
          </w:tcPr>
          <w:p>
            <w:pPr>
              <w:spacing w:after="0"/>
              <w:rPr>
                <w:sz w:val="20"/>
                <w:szCs w:val="20"/>
                <w:color w:val="auto"/>
              </w:rPr>
            </w:pPr>
            <w:r>
              <w:rPr>
                <w:rFonts w:ascii="Arial" w:cs="Arial" w:eastAsia="Arial" w:hAnsi="Arial"/>
                <w:sz w:val="18"/>
                <w:szCs w:val="18"/>
                <w:b w:val="1"/>
                <w:bCs w:val="1"/>
                <w:color w:val="2C2C2C"/>
              </w:rPr>
              <w:t>PART IV</w:t>
            </w:r>
          </w:p>
        </w:tc>
        <w:tc>
          <w:tcPr>
            <w:tcW w:w="896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2C2C2C"/>
              </w:rPr>
              <w:t>Item 15</w:t>
            </w:r>
          </w:p>
        </w:tc>
        <w:tc>
          <w:tcPr>
            <w:tcW w:w="8960" w:type="dxa"/>
            <w:vAlign w:val="bottom"/>
          </w:tcPr>
          <w:p>
            <w:pPr>
              <w:ind w:left="280"/>
              <w:spacing w:after="0"/>
              <w:rPr>
                <w:rFonts w:ascii="Arial" w:cs="Arial" w:eastAsia="Arial" w:hAnsi="Arial"/>
                <w:sz w:val="18"/>
                <w:szCs w:val="18"/>
                <w:color w:val="2C2C2C"/>
              </w:rPr>
            </w:pPr>
            <w:hyperlink w:anchor="page93">
              <w:r>
                <w:rPr>
                  <w:rFonts w:ascii="Arial" w:cs="Arial" w:eastAsia="Arial" w:hAnsi="Arial"/>
                  <w:sz w:val="18"/>
                  <w:szCs w:val="18"/>
                  <w:color w:val="2C2C2C"/>
                </w:rPr>
                <w:t>Exhibits and Financial Statement Schedules</w:t>
              </w:r>
            </w:hyperlink>
          </w:p>
        </w:tc>
        <w:tc>
          <w:tcPr>
            <w:tcW w:w="740" w:type="dxa"/>
            <w:vAlign w:val="bottom"/>
          </w:tcPr>
          <w:p>
            <w:pPr>
              <w:jc w:val="center"/>
              <w:spacing w:after="0"/>
              <w:rPr>
                <w:rFonts w:ascii="Arial" w:cs="Arial" w:eastAsia="Arial" w:hAnsi="Arial"/>
                <w:sz w:val="18"/>
                <w:szCs w:val="18"/>
                <w:color w:val="2C2C2C"/>
                <w:w w:val="89"/>
              </w:rPr>
            </w:pPr>
            <w:hyperlink w:anchor="page93">
              <w:r>
                <w:rPr>
                  <w:rFonts w:ascii="Arial" w:cs="Arial" w:eastAsia="Arial" w:hAnsi="Arial"/>
                  <w:sz w:val="18"/>
                  <w:szCs w:val="18"/>
                  <w:color w:val="2C2C2C"/>
                  <w:w w:val="89"/>
                </w:rPr>
                <w:t>92</w:t>
              </w:r>
            </w:hyperlink>
          </w:p>
        </w:tc>
      </w:tr>
      <w:tr>
        <w:trPr>
          <w:trHeight w:val="270"/>
        </w:trPr>
        <w:tc>
          <w:tcPr>
            <w:tcW w:w="1000" w:type="dxa"/>
            <w:vAlign w:val="bottom"/>
          </w:tcPr>
          <w:p>
            <w:pPr>
              <w:spacing w:after="0"/>
              <w:rPr>
                <w:sz w:val="23"/>
                <w:szCs w:val="23"/>
                <w:color w:val="auto"/>
              </w:rPr>
            </w:pPr>
          </w:p>
        </w:tc>
        <w:tc>
          <w:tcPr>
            <w:tcW w:w="8960" w:type="dxa"/>
            <w:vAlign w:val="bottom"/>
          </w:tcPr>
          <w:p>
            <w:pPr>
              <w:ind w:left="280"/>
              <w:spacing w:after="0"/>
              <w:rPr>
                <w:rFonts w:ascii="Arial" w:cs="Arial" w:eastAsia="Arial" w:hAnsi="Arial"/>
                <w:sz w:val="18"/>
                <w:szCs w:val="18"/>
                <w:color w:val="2C2C2C"/>
              </w:rPr>
            </w:pPr>
            <w:hyperlink w:anchor="page98">
              <w:r>
                <w:rPr>
                  <w:rFonts w:ascii="Arial" w:cs="Arial" w:eastAsia="Arial" w:hAnsi="Arial"/>
                  <w:sz w:val="18"/>
                  <w:szCs w:val="18"/>
                  <w:color w:val="2C2C2C"/>
                </w:rPr>
                <w:t>Signatures</w:t>
              </w:r>
            </w:hyperlink>
          </w:p>
        </w:tc>
        <w:tc>
          <w:tcPr>
            <w:tcW w:w="740" w:type="dxa"/>
            <w:vAlign w:val="bottom"/>
          </w:tcPr>
          <w:p>
            <w:pPr>
              <w:jc w:val="center"/>
              <w:spacing w:after="0"/>
              <w:rPr>
                <w:rFonts w:ascii="Arial" w:cs="Arial" w:eastAsia="Arial" w:hAnsi="Arial"/>
                <w:sz w:val="18"/>
                <w:szCs w:val="18"/>
                <w:color w:val="2C2C2C"/>
                <w:w w:val="89"/>
              </w:rPr>
            </w:pPr>
            <w:hyperlink w:anchor="page98">
              <w:r>
                <w:rPr>
                  <w:rFonts w:ascii="Arial" w:cs="Arial" w:eastAsia="Arial" w:hAnsi="Arial"/>
                  <w:sz w:val="18"/>
                  <w:szCs w:val="18"/>
                  <w:color w:val="2C2C2C"/>
                  <w:w w:val="89"/>
                </w:rPr>
                <w:t>97</w:t>
              </w:r>
            </w:hyperlink>
          </w:p>
        </w:tc>
      </w:tr>
    </w:tbl>
    <w:p>
      <w:pPr>
        <w:sectPr>
          <w:pgSz w:w="11900" w:h="16838" w:orient="portrait"/>
          <w:cols w:equalWidth="0" w:num="1">
            <w:col w:w="10700"/>
          </w:cols>
          <w:pgMar w:left="960" w:top="36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First person pronouns used in this Report, such as “we,” “us,” and “our,” refer to ICU Medical, Inc. ("ICU") and its subsidiaries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ICU was founded in 1984 and our initial public offering was in 1992. Our headquarters are in San Clemente, California. In 1993, we launched the Clave®, an innovative one-piece needlefree intravenous ("IV") connection device. Since the late 1990's, we have expanded our product offerings by introducing internally developed products and systems. Key developments have included the MicroClave Clear connector as an update to the Clave, Tego® needlefree connector for use in hemodialysis, products for handling hazardous drugs including the ChemoClave® and ChemoLock® CSTDs (“closed-system transfer devices”, the Diana™ hazardous drug compounding system, and the Neutron®, a catheter patency device.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Starting in the mid-2000s we began to also pursue acquisitions to broaden our product portfolio and/or our distribution network.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August 2009, we purchased all commercial rights and physical assets from Hospira Inc.'s critical care product line, which provided us control over all aspects of our critical care product line.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October 2015, we acquired Excelsior Medical Corporation’s SwabCap® disinfecting cap for needlefree IV connectors to enhance our direct and OEM infusion therapy product offerings and to open new customer opportunities globally.</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February 2017, we acquired Pfizer Inc.'s ("Pfizer") Hospira Infusion Systems ("HIS") business. The HIS acquisition complements our legacy non-dedicated infusion sets and oncology business by expanding our product portfolio to include a complete intravenous infusion therapy product-line from solutions to pumps to non-dedicated infusion sets. Also in February 2017, we acquired Fannin (UK) Limited ("Fannin") to improve our distribution for infusion therapy consumable products to the healthcare sector in the United Kingdom and Ireland. In November 2017, we acquired Medical Australia Limited ("MLA") to improve our distribution for infusion therapy consumable products to the healthcare sector in the Australia and New Zealand.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 of Business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95 countries throughout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product offerings are listed below, which we present in four product lines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Consumables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Infusion Therapy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Infusion therapy lines, used in hospitals and ambulatory clinics, consist of a tube running from a bottle or plastic bag containing a solution to a catheter inserted in a patient’s vein. Our primary Infusion Therapy products are:</w:t>
      </w:r>
    </w:p>
    <w:p>
      <w:pPr>
        <w:spacing w:after="0" w:line="170" w:lineRule="exact"/>
        <w:rPr>
          <w:sz w:val="20"/>
          <w:szCs w:val="20"/>
          <w:color w:val="auto"/>
        </w:rPr>
      </w:pPr>
    </w:p>
    <w:p>
      <w:pPr>
        <w:ind w:left="1300" w:right="260" w:hanging="320"/>
        <w:spacing w:after="0" w:line="277" w:lineRule="auto"/>
        <w:tabs>
          <w:tab w:leader="none" w:pos="13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w:t>
      </w:r>
      <w:r>
        <w:rPr>
          <w:rFonts w:ascii="Arial" w:cs="Arial" w:eastAsia="Arial" w:hAnsi="Arial"/>
          <w:sz w:val="18"/>
          <w:szCs w:val="18"/>
          <w:color w:val="auto"/>
        </w:rPr>
        <w:t>lave needlefree products, including the MicroClave, MicroClave Clear, and NanoClave brand of connectors, accessories, extension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sets used for the administration of IV fluids and medications.</w:t>
      </w:r>
    </w:p>
    <w:p>
      <w:pPr>
        <w:spacing w:after="0" w:line="170" w:lineRule="exact"/>
        <w:rPr>
          <w:rFonts w:ascii="Arial" w:cs="Arial" w:eastAsia="Arial" w:hAnsi="Arial"/>
          <w:sz w:val="18"/>
          <w:szCs w:val="18"/>
          <w:i w:val="1"/>
          <w:iCs w:val="1"/>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4" w:name="page5"/>
    <w:bookmarkEnd w:id="4"/>
    <w:p>
      <w:pPr>
        <w:ind w:left="1300" w:hanging="320"/>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SwabCap Disinfecting Cap, used to protect and disinfect any needlefree connector including, including competitive brands of connectors;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Closed System Transfer Devices (CSTD)</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Closed System Transfer Devices (CSTD) are used to prepare and deliver hazardous medications such as those used in chemotherapy, which, if released, can have harmful effects to the healthcare worker and environment. In 2007, we introduced the ChemoClave CSTD, which incorporates Clave technology, and in 2013, we introduced the ChemoLock CSTD.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products are:</w:t>
      </w:r>
    </w:p>
    <w:p>
      <w:pPr>
        <w:spacing w:after="0" w:line="225" w:lineRule="exact"/>
        <w:rPr>
          <w:sz w:val="20"/>
          <w:szCs w:val="20"/>
          <w:color w:val="auto"/>
        </w:rPr>
      </w:pPr>
    </w:p>
    <w:p>
      <w:pPr>
        <w:ind w:left="1300" w:right="10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ChemoLock CSTD, is a Pharmacy preferred CSTD used for the preparation and administration of hazardous drugs. ChemoLock limits the escape of hazardous drug or vapor concentrations, blocks the transfer of environmental contaminants into the system, and eliminates the risk of needlestick injury;</w:t>
      </w:r>
    </w:p>
    <w:p>
      <w:pPr>
        <w:spacing w:after="0" w:line="181" w:lineRule="exact"/>
        <w:rPr>
          <w:rFonts w:ascii="Arial" w:cs="Arial" w:eastAsia="Arial" w:hAnsi="Arial"/>
          <w:sz w:val="18"/>
          <w:szCs w:val="18"/>
          <w:color w:val="auto"/>
        </w:rPr>
      </w:pPr>
    </w:p>
    <w:p>
      <w:pPr>
        <w:ind w:left="1300" w:right="100" w:hanging="320"/>
        <w:spacing w:after="0" w:line="279"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ChemoClave CSTD, is an ISO standard and universally compatible CSTD used for the preparation and administration of hazardous drugs. ChemoClave utilizes standard ISO luer locking connections, making it compatible with all brands of needlefree connectors and pump delivery systems. ChemoClave also limits the escape of hazardous drug or vapor concentrations, blocks the transfer of environmental contaminants into the system, and eliminates the risk of needlestick injury;</w:t>
      </w:r>
    </w:p>
    <w:p>
      <w:pPr>
        <w:spacing w:after="0" w:line="171" w:lineRule="exact"/>
        <w:rPr>
          <w:rFonts w:ascii="Arial" w:cs="Arial" w:eastAsia="Arial" w:hAnsi="Arial"/>
          <w:sz w:val="17"/>
          <w:szCs w:val="17"/>
          <w:color w:val="auto"/>
        </w:rPr>
      </w:pPr>
    </w:p>
    <w:p>
      <w:pPr>
        <w:ind w:left="1300" w:right="120" w:hanging="320"/>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 Diana is an automated sterile compounding system that incorporates ChemoClave and ChemoLock consumables for the accurate, safe, and efficient preparation of hazardous drugs. It is a user-controlled automated system that provides repeatable accuracy of drug mixes, minimizes clinician exposure to hazardous drugs while helping to maintain the sterility of the drugs being mixed.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location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Pharmacy and on the nursing floors for the preparation and administration of hazardous drugs.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Ringers etc., used to replenish fluids and electrolytes by IV infusion.</w:t>
      </w:r>
    </w:p>
    <w:p>
      <w:pPr>
        <w:spacing w:after="0" w:line="225" w:lineRule="exact"/>
        <w:rPr>
          <w:rFonts w:ascii="Arial" w:cs="Arial" w:eastAsia="Arial" w:hAnsi="Arial"/>
          <w:sz w:val="18"/>
          <w:szCs w:val="18"/>
          <w:i w:val="1"/>
          <w:iCs w:val="1"/>
          <w:color w:val="auto"/>
        </w:rPr>
      </w:pPr>
    </w:p>
    <w:p>
      <w:pPr>
        <w:ind w:left="1300" w:hanging="320"/>
        <w:spacing w:after="0" w:line="277"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400" w:hanging="320"/>
        <w:spacing w:after="0" w:line="264" w:lineRule="auto"/>
        <w:tabs>
          <w:tab w:leader="none" w:pos="13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300" w:right="44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an ICU Medical MedNet™ ready large volume infusion pump with an extensive drug</w:t>
      </w:r>
      <w:r>
        <w:rPr>
          <w:rFonts w:ascii="Arial" w:cs="Arial" w:eastAsia="Arial" w:hAnsi="Arial"/>
          <w:sz w:val="18"/>
          <w:szCs w:val="18"/>
          <w:i w:val="1"/>
          <w:iCs w:val="1"/>
          <w:color w:val="auto"/>
        </w:rPr>
        <w:t xml:space="preserve"> </w:t>
      </w:r>
      <w:r>
        <w:rPr>
          <w:rFonts w:ascii="Arial" w:cs="Arial" w:eastAsia="Arial" w:hAnsi="Arial"/>
          <w:sz w:val="18"/>
          <w:szCs w:val="18"/>
          <w:color w:val="auto"/>
        </w:rPr>
        <w:t>library and wireless capability;</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5" w:name="page6"/>
    <w:bookmarkEnd w:id="5"/>
    <w:p>
      <w:pPr>
        <w:ind w:left="1300" w:right="300" w:hanging="320"/>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SapphirePlus™</w:t>
      </w:r>
      <w:r>
        <w:rPr>
          <w:rFonts w:ascii="Arial" w:cs="Arial" w:eastAsia="Arial" w:hAnsi="Arial"/>
          <w:sz w:val="17"/>
          <w:szCs w:val="17"/>
          <w:color w:val="auto"/>
        </w:rPr>
        <w:t>: The SapphirePlus™ infusion pump is an ICU Medical MedNet™ ready large volume infusion pump with an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drug library and wireless capability. The SapphirePlus is designed and manufactured by Q Core Medical Ltd ("Q Core");</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Sapphire™</w:t>
      </w:r>
      <w:r>
        <w:rPr>
          <w:rFonts w:ascii="Arial" w:cs="Arial" w:eastAsia="Arial" w:hAnsi="Arial"/>
          <w:sz w:val="17"/>
          <w:szCs w:val="17"/>
          <w:color w:val="auto"/>
        </w:rPr>
        <w:t>: The Sapphire™ infusion pump is a compact infusion system used in ambulatory and hospital settings. The Sapphire™ infusion</w:t>
      </w:r>
      <w:r>
        <w:rPr>
          <w:rFonts w:ascii="Arial" w:cs="Arial" w:eastAsia="Arial" w:hAnsi="Arial"/>
          <w:sz w:val="17"/>
          <w:szCs w:val="17"/>
          <w:i w:val="1"/>
          <w:iCs w:val="1"/>
          <w:color w:val="auto"/>
        </w:rPr>
        <w:t xml:space="preserve"> </w:t>
      </w:r>
      <w:r>
        <w:rPr>
          <w:rFonts w:ascii="Arial" w:cs="Arial" w:eastAsia="Arial" w:hAnsi="Arial"/>
          <w:sz w:val="17"/>
          <w:szCs w:val="17"/>
          <w:color w:val="auto"/>
        </w:rPr>
        <w:t>pump comes in multi-therapy and epidural-only configurations. The Sapphire is designed and manufactured by Q Core.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critical care products are hemodynamic monitoring systems used to monitor vital signs as well as specific physiological functions of key organ systems. Our primary Critical Care products are:</w:t>
      </w:r>
    </w:p>
    <w:p>
      <w:pPr>
        <w:spacing w:after="0" w:line="170"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Q2 Plus™ CCO/SvO</w:t>
      </w:r>
      <w:r>
        <w:rPr>
          <w:rFonts w:ascii="Arial" w:cs="Arial" w:eastAsia="Arial" w:hAnsi="Arial"/>
          <w:sz w:val="12"/>
          <w:szCs w:val="12"/>
          <w:color w:val="auto"/>
        </w:rPr>
        <w:t>2</w:t>
      </w:r>
      <w:r>
        <w:rPr>
          <w:rFonts w:ascii="Arial" w:cs="Arial" w:eastAsia="Arial" w:hAnsi="Arial"/>
          <w:sz w:val="18"/>
          <w:szCs w:val="18"/>
          <w:color w:val="auto"/>
        </w:rPr>
        <w:t xml:space="preserve"> (continuous cardiac output/oximetry).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Financial information relating to our reporting segment and primary product lines is set forth in Part I, Item 6. "Selected Financial Data" and Item 7. "Management Discussion and Analysis of Financial Condition and Results of Operations" in this Annual Report on Form 10-K,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February 1, 2017, we acquired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On February 3, 2017, we completed the acquisition of Pfizer's HIS business, a leading global provider of IV infusion therapy products to hospitals and alternate site providers, such as clinics, home health care providers and long-term care facilities. Our acquisition of the HIS business was strategic and provides us with an increase in scale and product portfolio that we believe will result in a stronger competitive position within the industry. We believe the HIS business acquisition was the natural evolution for us based on a long-term successful and productive partnership with HIS for over 20 years.</w:t>
      </w:r>
    </w:p>
    <w:p>
      <w:pPr>
        <w:spacing w:after="0" w:line="15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October 2015, we acquired Excelsior Medical Corporation’s SwabCap disinfecting cap for needlefree IV connectors to enhance our direct and OEM infusion therapy product offerings and to open new customer opportunities globally.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As of December 31, 2017, we operate four primary manufacturing facilities globally, which are detailed in Part I, Item 2 of this report. We operate four main service centers globally. We also rely on certain outside manufacturers for certain product lines in IV Systems and IV Solutions.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four primary manufacturing sites are: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8" w:right="279" w:bottom="1440" w:gutter="0" w:footer="0" w:header="0"/>
        </w:sectPr>
      </w:pPr>
    </w:p>
    <w:bookmarkStart w:id="6" w:name="page7"/>
    <w:bookmarkEnd w:id="6"/>
    <w:p>
      <w:pPr>
        <w:ind w:left="1300" w:right="64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 Aurora de Heredia, Costa Rica, which manufactures most of our infusion pumps and dedicated disposables and well as infusion consumables products;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Ensenada, Mexico, which manufactures infusion consumables products;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Salt Lake City, Utah, which produces primarily our Clave family of products and sends those products to Costa Rica or Mexico;</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Austin, Texas which produces our IV Solutions products.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also assemble compounders in our leased facility in Ludenscheid, Germany and Salt Lake City, Utah. The Sapphire™ family of pumps are manufactured by Q Core Medical, Ltd.</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During 2017, we discontinued operations at our manufacturing facilities in San Cristobal, Dominican Republic, which was part of the HIS acquisition and transferred the assets and the production of Infusion Consumables to our plants in Costa Rica and Mexico.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four main regional device service centers in San Jose, California; Sligo, Ireland; San Laurent, Quebec, Canada; and Botany, Australia.</w:t>
      </w:r>
    </w:p>
    <w:p>
      <w:pPr>
        <w:spacing w:after="0" w:line="2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part of our 2017 HIS business acquisition, we entered into two Manufacturing and Supply Agreements ("MSAs")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Administration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2017, we employed 703 people worldwide in sales, marketing and administration. We ship around the world with the majority of our sales denominated in U.S. dollars and Euro.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are marketed to medical product manufacturers, independent distributors and directly to end users.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U.S. distribution of solutions, IV sets and accessories is supported by a network of three owned distribution centers acquired in the HIS business acquisition, which include King of Prussia, Pennsylvania; Los Angeles, California; and Dallas, Texas. We also acquired as part of the HIS business a number of public warehouses.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also acquired as part of the HIS business a private fleet of tractors and trailers operated by contracted drivers that provide both over the road and local route needs.</w:t>
      </w:r>
    </w:p>
    <w:p>
      <w:pPr>
        <w:spacing w:after="0" w:line="17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Internationally, we manage our operations through the Netherlands, which utilizes international regional hubs and we also manage operations through independent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 approval monitoring and reporting and import and export of medical devices and combination drug/device products in the U.S. to assure the safety and effectiveness of medical products for their intended use. The Federal Trade Commission also regulates the advertising of our products. Further, we are subject to laws directed at preventing fraud and abuse, which subject our sales and marketing, training and other practices to government scrutiny.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Device Classification and Clearance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Unless an exemption applies, each new or significantly modified medical device we seek to commercially distribute in the U.S. will require either a premarket notification to the FDA requesting permission for commercial distribution under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68" w:right="279" w:bottom="1440" w:gutter="0" w:footer="0" w:header="0"/>
        </w:sectPr>
      </w:pPr>
    </w:p>
    <w:bookmarkStart w:id="7" w:name="page8"/>
    <w:bookmarkEnd w:id="7"/>
    <w:p>
      <w:pPr>
        <w:ind w:right="260"/>
        <w:spacing w:after="0" w:line="277" w:lineRule="auto"/>
        <w:rPr>
          <w:sz w:val="20"/>
          <w:szCs w:val="20"/>
          <w:color w:val="auto"/>
        </w:rPr>
      </w:pPr>
      <w:r>
        <w:rPr>
          <w:rFonts w:ascii="Arial" w:cs="Arial" w:eastAsia="Arial" w:hAnsi="Arial"/>
          <w:sz w:val="18"/>
          <w:szCs w:val="18"/>
          <w:color w:val="auto"/>
        </w:rPr>
        <w:t>Section 510(k) of the Federal Food, Drug and Cosmetic Act ("FDC Act") also referred to as a 510(k) clearance, or approval from the FDA of a pre-market approval ("PMA") application.</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the 510(k) process, applicants must demonstrate to the FDA that the device is as safe and effective as, or substantially equivalent to, a legally marketed device, the “predicate” device.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The FDA must issue a decision finding substantial equivalence before commercial distribution can occur. Changes to cleared devices that could not significantly affect the safety or effectiveness of the device can generally be made without additional 510(k) premarket notifications; otherwise, a new 510(k) is required.</w:t>
      </w:r>
    </w:p>
    <w:p>
      <w:pPr>
        <w:spacing w:after="0" w:line="2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The FDA will approve the PMA application if it finds that there is a reasonable assurance that the device is safe and effective for its intended purpose, and that the proposed manufacturing is in compliance with the Quality System Regulation (QSR). For novel technologies, the FDA will generally seek input from an advisory panel of medical experts and seek their views on the safety, effectiveness and benefit-risk of the device. The PMA process is generally more detailed, lengthier and more expensive than the 510(k) process, though both the 510(k) clearance and PMA processes can be expensive, and lengthy, and require payment of significant user fees, unless an exemption is available.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Regulation in the U.S.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the U.S., IV solutions are considered pharmaceutical products and subject to the same extensive pre- and post-market regulations by the FDA, as indicated above.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18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right="160" w:firstLine="683"/>
        <w:spacing w:after="0" w:line="253" w:lineRule="auto"/>
        <w:rPr>
          <w:sz w:val="20"/>
          <w:szCs w:val="20"/>
          <w:color w:val="auto"/>
        </w:rPr>
      </w:pPr>
      <w:r>
        <w:rPr>
          <w:rFonts w:ascii="Arial" w:cs="Arial" w:eastAsia="Arial" w:hAnsi="Arial"/>
          <w:sz w:val="18"/>
          <w:szCs w:val="18"/>
          <w:color w:val="auto"/>
        </w:rPr>
        <w:t>After the FDA permits a drug or device to enter commercial distribution, numerous regulatory requirements continue to apply. The FDA actively monitors regulations through review and inspection of design and manufacturing practices, recordkeeping, reporting of adverse events, labeling and promotional practices. 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can take action against a company that promotes "off-label" uses. The FDA may also enjoin and restrain a company for certain violations of the FDC Act and regulations pertaining to medical devices, or initiate action for criminal prosecution of such violations. Any adverse regulatory action, depending on its magnitude, may restrict a company from effectively marketing and selling its products, may limit a company's ability to obtain future premarket clearances or approvals, and could results in a substantial modification to the company's business practices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Regulation</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must also comply with FDA, International Organization for Standardization (“ISO”) and European Council Directive 93/42/EEC (“Medical Device Directive”) regulations governing medical device manufacturing practices. The FDA, state, foreign agencies and ISO require manufacturers to register and subject manufacturers to periodic FDA, state, foreign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368" w:right="2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t>agencies and ISO inspections of their manufacturing facilities. We are a FDA and ISO registered medical device manufacturer, and must demonstrate that we and our contract manufacturers comply with the FDA’s QSR and current Good Manufacturing Practices ("cGMPs"). The FDA and regulatory agencies outside the U.S. monitor compliance with these requirements through inspections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believe that our products and procedures are in compliance with all applicable FDA and international regulations. There is no assurance, however, that other products we are developing or products that we may develop in the future will be cleared by the FDA and classified as Class II products, or that additional regulations restricting the sale of our present or proposed products will not be promulgated by the FDA. In addition, changes in FDA, ISO or other federal or state health, environmental or safety regulations or their applications could adversely affect our business.</w:t>
      </w:r>
    </w:p>
    <w:p>
      <w:pPr>
        <w:spacing w:after="0" w:line="18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EN ISO 13485. Those quality standards are similar to the QSR regulations.</w:t>
      </w:r>
    </w:p>
    <w:p>
      <w:pPr>
        <w:spacing w:after="0" w:line="15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market our products in the European Community (“EC”), manufacturers of medical devices must also conform to EC Directives such as Council Directive 93/42/EEC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 be affixed to its devices. The CE Mark gives devices unobstructed entry to all the member countries of the EC.</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demonstrated conformity to the regulation of EN ISO 13485 and the Medical Device Directive and we affix the CE Mark to our device labeling for product sold in member countries of the EC.</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believe our products and systems are in compliance with all EC requirements. There can be no assurance, however, that other products we are developing or products that we may develop in the future will conform or that additional regulations restricting the sale of our present or proposed products will not be promulgated by the 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We are subject to additional healthcare regulation and enforcement by the federal government and by authorities in the states and foreign jurisdictions in which we conduct our business. These laws include:</w:t>
      </w:r>
    </w:p>
    <w:p>
      <w:pPr>
        <w:spacing w:after="0" w:line="170" w:lineRule="exact"/>
        <w:rPr>
          <w:sz w:val="20"/>
          <w:szCs w:val="20"/>
          <w:color w:val="auto"/>
        </w:rPr>
      </w:pPr>
    </w:p>
    <w:p>
      <w:pPr>
        <w:ind w:left="660" w:right="100" w:hanging="328"/>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78"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1"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9" w:name="page10"/>
    <w:bookmarkEnd w:id="9"/>
    <w:p>
      <w:pPr>
        <w:ind w:left="660" w:right="180" w:hanging="328"/>
        <w:spacing w:after="0" w:line="29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and teaching hospitals and ownership and investment interests held by the physicians described above and their immediate family members, and payments or other “transfers of value” to such physician owners; and</w:t>
      </w:r>
    </w:p>
    <w:p>
      <w:pPr>
        <w:spacing w:after="0" w:line="158" w:lineRule="exact"/>
        <w:rPr>
          <w:rFonts w:ascii="Arial" w:cs="Arial" w:eastAsia="Arial" w:hAnsi="Arial"/>
          <w:sz w:val="16"/>
          <w:szCs w:val="16"/>
          <w:color w:val="auto"/>
        </w:rPr>
      </w:pPr>
    </w:p>
    <w:p>
      <w:pPr>
        <w:ind w:left="660" w:right="6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and state laws governing the privacy and security of health information in certain circumstances, many of which differ from each other in significant ways and may not have the same effect, thus complicating compliance efforts.</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231F20"/>
        </w:rPr>
        <w:t xml:space="preserve">Due to the breadth of these laws, the absence of guidance in the form of regulations or court decisions, and the potential for additional legal or regulatory change in this area, it is possible that our sales and marketing practices and/or our relationships with physicians and other healthcare providers might be challenged under such laws. </w:t>
      </w:r>
      <w:r>
        <w:rPr>
          <w:rFonts w:ascii="Arial" w:cs="Arial" w:eastAsia="Arial" w:hAnsi="Arial"/>
          <w:sz w:val="16"/>
          <w:szCs w:val="16"/>
          <w:color w:val="000000"/>
        </w:rPr>
        <w:t>If our operations are found to violate any of the laws described above or any other laws and regulations that apply to us,</w:t>
      </w:r>
      <w:r>
        <w:rPr>
          <w:rFonts w:ascii="Arial" w:cs="Arial" w:eastAsia="Arial" w:hAnsi="Arial"/>
          <w:sz w:val="16"/>
          <w:szCs w:val="16"/>
          <w:color w:val="231F20"/>
        </w:rPr>
        <w:t xml:space="preserve"> </w:t>
      </w:r>
      <w:r>
        <w:rPr>
          <w:rFonts w:ascii="Arial" w:cs="Arial" w:eastAsia="Arial" w:hAnsi="Arial"/>
          <w:sz w:val="16"/>
          <w:szCs w:val="16"/>
          <w:color w:val="000000"/>
        </w:rPr>
        <w:t>we may be subject to penalties, including civil and criminal penalties, damages, fines, the curtailment or restructuring of our operations, the exclusion from our participation in federal and state healthcare programs and imprisonment, any of which could adversely affect our ability to market our products and materially adversely affect our business, results of operations and financial condition. Any action against us for violation of these laws, even if we successfully defend against it, could cause us to incur significant legal expenses and divert our management’s attention from the operation of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 Cost Containment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Third-party payors are increasingly reducing coverage and reimbursement for certain healthcare services and products and challenging prices charged for healthcare services and products.</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the U.S. government, state legislatures and foreign governments have continued implementing cost containment programs, including price controls, restrictions on reimbursement and coverage. Adoption of price controls and cost-containment measures, and adoption of more restrictive policies in jurisdictions with existing controls and measures, could further limit our net revenue and results. In the U.S., there has been an increase in political support for controlling significant price increases of drug products, in particular due to high-profile cases that have gained national attention and triggered Congressional inquiries. 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Our industry is highly competitive. We believe our ability to effectively compete in this industry will be determined by our ability to provide a wide breadth of cost-effective, high quality products. We believe the added breadth of our HIS business product portfolio has increased our competitiveness as we can now provide a one-stop shop for customers and offer more flexible competitive pricing. We believe the infusion pump will also enable us to pull through a larger volume of higher margin infusion consumables. In addition, we now have unified distribution channels after the 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4" w:right="25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Infusion Consumables</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B. Braun Medical, Inc. ("B. Braun), and Fresenius Kabi a division of Fresenius Group ("Fresenius"). Although we believe that our needlefree infusion devices and custom set manufacturing capabilities have distinct advantages over competing systems, there is no assurance that they will be able to compete successfully with these products. Our CSTD used for the production and safe handling of oncology drugs, compete with similar products from BD, and B. Braun. We believe that our current CSTD product offering provides benefits over these competing systems in several areas related to safety, ease of use, quality, and cost; however, on-going innovation in this market space will be required, and there is no assurance that these innovations will be able to sustain continued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participate in the IV solutions only in the United States and Canada. Our primary competitors in the United States include Baxter, B. Braun and Fresenius.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face strong global competitors including BD, Baxter, B. Braun, Smiths Medical and Fresenius. These competitors benefit from greater financial, research and development and marketing resources than we have. The smart pump market in recent years has been troubled with security concerns, and product recalls. We believe our ability to effectively compete in this market segment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Care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competitor in Critical Care is Edwards Lifesciences.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have U.S. and/or certain foreign patents relating to the technologies found in the Clave / MicroClave Connector, MicroClave Clear Connector, Neutron Connector, CLC2000 Connector, Tego Connector, ChemoClave Technologies, ChemoLock Technologies, Click Lock Technology, SwabCaps, Custom Set Design and Manufacturing Methods, and Diana Hazardous Drug Compounding System. We have applications pending for additional U.S. and/or foreign patents on MicroClave Connector, Neutron Connector, Tego Connector, Y-Clave Connector with Integral Check Valve, ChemoClave Technologies, ChemoLock Technologies, and Diana Hazardous Drug Compounding System.</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With the acquisition of HIS,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success may depend in part on our ability to obtain patent protection for our products and to operate without infringing the proprietary rights of third parties. While we have obtained certain patents and applied for additional U.S. and foreign patents covering certain of our products, there is no assurance that any additional patents will be issued, that the scope of any patent protection will prevent competitors from introducing similar devices or that any of our patents will be held valid if subsequently challenged. Our patents are important in preventing others from introducing competing products that are as effective as our products. The loss of patent protection on Clave/MicroClave, Neutron, ChemoClave and ChemoLock technologies, Custom Set Design and Manufacturing Systems could adversely affect our ability to exclude other manufacturers from producing effective competitive products and could have an adverse impact on our financial results.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368" w:right="279" w:bottom="1440" w:gutter="0" w:footer="0" w:header="0"/>
        </w:sectPr>
      </w:pPr>
    </w:p>
    <w:bookmarkStart w:id="11" w:name="page12"/>
    <w:bookmarkEnd w:id="11"/>
    <w:p>
      <w:pPr>
        <w:ind w:right="400" w:firstLine="648"/>
        <w:spacing w:after="0" w:line="277" w:lineRule="auto"/>
        <w:rPr>
          <w:sz w:val="20"/>
          <w:szCs w:val="20"/>
          <w:color w:val="auto"/>
        </w:rPr>
      </w:pPr>
      <w:r>
        <w:rPr>
          <w:rFonts w:ascii="Arial" w:cs="Arial" w:eastAsia="Arial" w:hAnsi="Arial"/>
          <w:sz w:val="18"/>
          <w:szCs w:val="18"/>
          <w:color w:val="auto"/>
        </w:rPr>
        <w:t>The fact that a patent is issued to us does not eliminate the possibility that patents owned by others may contain claims that are infringed by our products.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 has been substantial litigation regarding patent and other intellectual property rights in the medical device industry. Litigation, which would result in substantial cost to us and in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research and development costs include personnel costs and expenses related to the development of new products. Research and development costs were $51.3 million in 2017, $13.0 million in 2016 and $15.7 million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At December 31, 2017, we had 6,802 full-time employees, consisting of 5,817 in operations, quality control and regulatory, 703 engaged in sales, marketing and administration, and 282 in research and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Information regarding financial data by geography is set forth in Part II, Item 8. "Financial Statements and Supplementary Data" of this Form 10-K in Note 14 to the Consolidated Financial Statements,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website address is http://www.icumed.com. We make available our Annual Reports on Form 10-K, Quarterly Reports on Form 10-Q and Current Reports on Form 8-K, and amendments to those reports free of charge on our website as soon as reasonably practicable after filing them with the Securities and Exchange Commission ("SEC"). We also have our code of ethics posted on our website (http://www.icumed.com). The information on our website is not incorporated into this Annual Report.</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on its website (http://www.sec.gov).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following risk factors, as well as the other information contained in this Annual Report and our other reports and registration statements filed with the SEC. Any of the following risks, as well as additional risks and uncertainties not currently known to us or that we currently deem immaterial, could materially and adversely affect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Risks Related to our Strategic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anticipated benefits of the HIS acquisition, which could adversely impact our business and our operating results.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HIS acquisition that closed on February 3, 2017 was a significant transaction for us and the HIS business was one in which we did not operate directly prior to the closing of the transaction. The success of our business will depend, in part, on our ability to realize our anticipated benefits, opportunities and synergies from combining the businesses of our company and the HIS business. We can provide no assurance that the anticipated benefits of the HIS transaction will be fully realized in the time frame anticipated or at all. We have limited prior history of integrating acquired companies or businesses into our operations, much less one of this size and complexity. Integrating the operations of the HIS business with that of our own is a complex, costly and time-consuming process and the nature of a carve out acquisition makes it inherently more difficult to assume operations on closing day as well as to integrate activities, as certain systems, processes and people may not all have transferred with the acquired business to support such activities. In connection with the consummation of the acquisition, we entered into a number of arrangements with Pfizer, including a transitional services agreement, pursuant to which Pfizer agreed to provide us with certain significant and essential human resource, commercial, regulatory, finance, research and development and operational services on an interim basis, for a duration generally not to exceed eighteen (18) months from the date of the closing of the transaction, with respect to our operation of the HIS business.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17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preserving important strategic customer and other third-party relationships of both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maintaining employee morale and retaining or attracting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incompatibility of corporate cultures;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costs, delays and other difficulties (i) consolidating corporate and administrative infrastructures and information systems, (ii) implementing common systems and procedures including, in particular, our internal controls over financial reporting, and (iii) implementing the transitional services, manufacturing and other arrangements with Pfizer entered into at the closing of the HIS transaction; and</w:t>
      </w:r>
    </w:p>
    <w:p>
      <w:pPr>
        <w:ind w:left="660" w:right="3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coordinating and integrating a geographically dispersed organization, including operations in jurisdictions we did not operate in prior to the HIS transaction.</w:t>
      </w:r>
    </w:p>
    <w:p>
      <w:pPr>
        <w:spacing w:after="0" w:line="18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Any one or all of these factors may increase operating costs or lower anticipated financial performance. Additionally, any failure by Pfizer to deliver the services to be provided under our arrangements with Pfizer could have a material adverse effect on our business, financial condition and results of operations. Achieving the anticipated benefits and the potential benefits underlying our reasons for the HIS business acquisition will depend on successful integration of the businesses. Because of the significance of the HIS business acquisition to us, our failure to successfully integrate the HIS business with that of our own could have a material adverse impact on our business, financial condition and results of operations.</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The HIS business acquisition has resulted in organizational change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181"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HIS business has resulted in significant growth in our personnel and operations, adding approximately 4,000 employees to our headcount, bringing our total headcount as of December 31, 2017 to approximately 6,800 employees. In addition, the acquisition process and other events prior to our acquisition put a significant strain on certain HIS business customer relationships. We will continue to incur significant expenditures and the allocation of management time to assimilate the HIS business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actual impact of the HIS acquisition on our financial results may be worse than the assumptions we have used.</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have made certain assumptions relating to the impact on our financial results of the HIS acquisition. These assumptions relate to numerous matters, including the acquisition costs, including transaction and integration costs, and other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64" w:right="279" w:bottom="1440" w:gutter="0" w:footer="0" w:header="0"/>
        </w:sectPr>
      </w:pPr>
    </w:p>
    <w:bookmarkStart w:id="13" w:name="page14"/>
    <w:bookmarkEnd w:id="13"/>
    <w:p>
      <w:pPr>
        <w:ind w:right="20"/>
        <w:spacing w:after="0" w:line="277" w:lineRule="auto"/>
        <w:rPr>
          <w:sz w:val="20"/>
          <w:szCs w:val="20"/>
          <w:color w:val="auto"/>
        </w:rPr>
      </w:pPr>
      <w:r>
        <w:rPr>
          <w:rFonts w:ascii="Arial" w:cs="Arial" w:eastAsia="Arial" w:hAnsi="Arial"/>
          <w:sz w:val="18"/>
          <w:szCs w:val="18"/>
          <w:color w:val="auto"/>
        </w:rPr>
        <w:t>financial and strategic risks of the acquisition. If one or more of these assumptions are incorrect, it could have an adverse effect on our business and operating results, and the perceived benefits from the acquisition may not be realized.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If we are unable to effectively manage our internal growth or growth through acquisitions of companies, assets or products, our financial performance may be adversely affected.</w:t>
      </w:r>
    </w:p>
    <w:p>
      <w:pPr>
        <w:spacing w:after="0" w:line="170" w:lineRule="exact"/>
        <w:rPr>
          <w:sz w:val="20"/>
          <w:szCs w:val="20"/>
          <w:color w:val="auto"/>
        </w:rPr>
      </w:pPr>
    </w:p>
    <w:p>
      <w:pPr>
        <w:ind w:right="80" w:firstLine="621"/>
        <w:spacing w:after="0" w:line="255" w:lineRule="auto"/>
        <w:rPr>
          <w:sz w:val="20"/>
          <w:szCs w:val="20"/>
          <w:color w:val="auto"/>
        </w:rPr>
      </w:pPr>
      <w:r>
        <w:rPr>
          <w:rFonts w:ascii="Arial" w:cs="Arial" w:eastAsia="Arial" w:hAnsi="Arial"/>
          <w:sz w:val="18"/>
          <w:szCs w:val="18"/>
          <w:color w:val="auto"/>
        </w:rPr>
        <w:t>We intend to continue to expand our marketing and distribution capability, which may include external expansion through acquisitions both in the U.S. and foreign markets. We may also consider expanding our product offerings through acquisitions of companies or product lines. We can provide no assurance that we will be able to identify, acquire, develop or profitably manage additional companies or operations or successfully integrate such companies or operations into our existing operations without substantial costs, delays or other problems. We recently acquired the HIS business, which includes IV pumps, solutions, and devices in order to create a leading pure-play infusion therapy company, but we have significant integration efforts to achieve the anticipated benefits. See “-</w:t>
      </w:r>
      <w:r>
        <w:rPr>
          <w:rFonts w:ascii="Arial" w:cs="Arial" w:eastAsia="Arial" w:hAnsi="Arial"/>
          <w:sz w:val="18"/>
          <w:szCs w:val="18"/>
          <w:i w:val="1"/>
          <w:iCs w:val="1"/>
          <w:color w:val="auto"/>
        </w:rPr>
        <w:t>We may not realize the anticipated benefits of the HIS transaction, which could adversely impact our business and our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results.”</w:t>
      </w:r>
    </w:p>
    <w:p>
      <w:pPr>
        <w:spacing w:after="0" w:line="189" w:lineRule="exact"/>
        <w:rPr>
          <w:sz w:val="20"/>
          <w:szCs w:val="20"/>
          <w:color w:val="auto"/>
        </w:rPr>
      </w:pPr>
    </w:p>
    <w:p>
      <w:pPr>
        <w:ind w:firstLine="621"/>
        <w:spacing w:after="0" w:line="312" w:lineRule="auto"/>
        <w:rPr>
          <w:sz w:val="20"/>
          <w:szCs w:val="20"/>
          <w:color w:val="auto"/>
        </w:rPr>
      </w:pPr>
      <w:r>
        <w:rPr>
          <w:rFonts w:ascii="Arial" w:cs="Arial" w:eastAsia="Arial" w:hAnsi="Arial"/>
          <w:sz w:val="16"/>
          <w:szCs w:val="16"/>
          <w:color w:val="auto"/>
        </w:rPr>
        <w:t>We have additional production facilities outside the U.S. to reduce labor costs.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147" w:lineRule="exact"/>
        <w:rPr>
          <w:sz w:val="20"/>
          <w:szCs w:val="20"/>
          <w:color w:val="auto"/>
        </w:rPr>
      </w:pPr>
    </w:p>
    <w:p>
      <w:pPr>
        <w:ind w:right="20" w:firstLine="621"/>
        <w:spacing w:after="0" w:line="257" w:lineRule="auto"/>
        <w:rPr>
          <w:sz w:val="20"/>
          <w:szCs w:val="20"/>
          <w:color w:val="auto"/>
        </w:rPr>
      </w:pPr>
      <w:r>
        <w:rPr>
          <w:rFonts w:ascii="Arial" w:cs="Arial" w:eastAsia="Arial" w:hAnsi="Arial"/>
          <w:sz w:val="18"/>
          <w:szCs w:val="18"/>
          <w:color w:val="auto"/>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Risks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dependent on single and limited source suppliers, which subjects our business and results of operations to risks of supplier business interruptions.</w:t>
      </w:r>
    </w:p>
    <w:p>
      <w:pPr>
        <w:spacing w:after="0" w:line="2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Although we have risk mitigation plans in place with key suppliers, we have materials (such as resins) that are critical to our ability to manufacture our products, the supply of which is currently from a sole supplier. We cannot be certain that our current suppliers will continue to provide us with the quantities of materials that we require or satisfy our anticipated specifications and quality requirements. Any supply interruption in limited or sole sourced raw materials could materially harm our ability to manufacture our products until a new source of supply, if any, could be identified and qualified. Although we believe there are other suppliers of these raw materials, we may be unable to find a sufficient alternative supply channel in a reasonable time or on commercially reasonable terms. Additionally, we are subject to FDA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we may be unable to pass along cost increases for any key components or raw materials increases through higher prices to our customers. If the cost of key components or raw materials increases and we are unable fully to recover those increased costs through price increases or offset these increases through other cost reductions, we could experience an adverse effect on our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Damage to any of our manufacturing facilities could impair our ability to produce our products.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 severe weather event, other natural or man-made disaster, or any other significant disruption affecting one of our manufacturing facilities could materially and adversely impact our business, financial condition and results of operations.</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have a single manufacturing facility for our Clave products located in Salt Lake City, Utah. Our Salt Lake City facility also produces other components on which our manufacturing operations in Mexico and Costa Rica rely.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Damage to any of our facilities could render us unable to manufacture our products or require us to reduce the output of products at the damaged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Expansion of our manufacturing facilities may result in inefficiencies that could have an adverse effect on our operations and financial results.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the fourth quarter of 2006, we experienced significant production inefficiencies following a large increase in production volume in Mexico and the transfer of San Clemente production to Salt Lake City. In 2007, we expanded our Mexico facility and, anticipating further increases in volume at that facility, increased the workforce. An additional expansion of our Mexico facility was completed in January 2011. Turnover among new employees was unusually high in Mexico, and the additional time spent in classroom training and on the job training could create production inefficiencies in Mexico in the future. The addition of new products will require additional molding in Salt Lake City and manual assembly work in Mexico. Expansions of our production capacity will require significant management attention to avoid inefficiencies of the type experienced in 2006, and the effect of any inefficiencies can be particularly expensive in Salt Lake City because of the high fixed costs in this highly automated facility.</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may be unable to realize any benefit from our cost reduction and restructuring efforts and our profitability may be hurt or our business otherwise might be adversely affected.</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have engaged in restructuring activities in the past and may engage in other restructuring activities in the future. These types of cost reduction and restructuring activities are complex. If we do not successfully manage our current restructuring activities, or any other restructuring activities that we may take in the future, any expected efficiencies and benefits might be delayed or not realized, and our operations and business could be disrupted. In addition, the costs associated with implementing restructuring activities might exceed expectations, which could result in additional future charges.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Other External Risks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Because we are dependent on Clave products for a significant portion of our sales, any decline in sales of Clave products could result in a significant reduction in our sales and profits.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depend heavily on sales of Clave products, which have decreased in previous years. Most of our sales of Clave products are in the U.S. Future sales increases for Clave products may depend on increases in sales of infusion systems, expansion in the international markets or acquisition of new customers in the U.S. We cannot give any assurance that sales of Clave products will increase or that we can sustain current profit margins on Clave products indefinitely.</w:t>
      </w:r>
    </w:p>
    <w:p>
      <w:pPr>
        <w:spacing w:after="0" w:line="18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believe that the success of the Clave has motivated, and will continue to motivate, competitors to develop one piece needleless connectors. If other manufacturers successfully develop and market effective products that are competitive with Clave products, Clave sales could decline, we could lose market share, and we could encounter sustained price and profit margin erosion.</w:t>
      </w:r>
    </w:p>
    <w:p>
      <w:pPr>
        <w:spacing w:after="0" w:line="18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If we are unable to compete successfully on the basis of product innovation, quality, convenience, price and rapid delivery with larger companies that have substantially greater resources and larger distribution networks than us, we may be unable to maintain market share, in which case our sales may not grow and our profitability may be adversely affected.</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consumable medical device segment of the health care industry and in particular the infusion products market is intensely competitive and is experiencing both horizontal and vertical consolidation. We believe that our ability to compete depends upon continued product innovation, the quality, convenience and reliability of our products, access to distribution channels, patent protection and pricing. The ability to compete effectively depends on our ability to differentiate our products based on safety features, product quality, cost effectiveness, ease of use and convenience,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organizing buy-in groups may reduce market prices for our products thereby affecting our profitability. While having a contract with a GPO or IDN can facilitate sales to members of that GPO or IDN, it is no assurance that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any such new products will be successful or that they will be accepted in the marketplace.</w:t>
      </w:r>
    </w:p>
    <w:p>
      <w:pPr>
        <w:spacing w:after="0" w:line="188" w:lineRule="exact"/>
        <w:rPr>
          <w:sz w:val="20"/>
          <w:szCs w:val="20"/>
          <w:color w:val="auto"/>
        </w:rPr>
      </w:pPr>
    </w:p>
    <w:p>
      <w:pPr>
        <w:ind w:right="3080"/>
        <w:spacing w:after="0" w:line="277" w:lineRule="auto"/>
        <w:rPr>
          <w:sz w:val="20"/>
          <w:szCs w:val="20"/>
          <w:color w:val="auto"/>
        </w:rPr>
      </w:pPr>
      <w:r>
        <w:rPr>
          <w:rFonts w:ascii="Arial" w:cs="Arial" w:eastAsia="Arial" w:hAnsi="Arial"/>
          <w:sz w:val="18"/>
          <w:szCs w:val="18"/>
          <w:i w:val="1"/>
          <w:iCs w:val="1"/>
          <w:color w:val="auto"/>
        </w:rPr>
        <w:t>Product development requires substantial investment that may be difficult for us to fund and may be challenging to recover through commercial product sales.</w:t>
      </w:r>
    </w:p>
    <w:p>
      <w:pPr>
        <w:spacing w:after="0" w:line="1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customers'/patients’ needs, obtain timely regulatory approvals or clearances, and manufacture quality products in an economic and timely manner. Even if we are able to develop successfully new products or enhancements, we may not produce sales exceeding the costs of development, and we may not avoid infringing the proprietary rights of third parties. Further, those new or enhanced products may be quickly rendered obsolete by changing customer preferences or the introduction by competitors of products embodying new technologies or features. Moreover, innovations may not be successful due to difficulties encountered in achieving positive clinical outcomes, meeting safety, efficacy or other regulatory requirements of government</w:t>
      </w:r>
    </w:p>
    <w:p>
      <w:pPr>
        <w:spacing w:after="0" w:line="3" w:lineRule="exact"/>
        <w:rPr>
          <w:sz w:val="20"/>
          <w:szCs w:val="20"/>
          <w:color w:val="auto"/>
        </w:rPr>
      </w:pPr>
    </w:p>
    <w:p>
      <w:pPr>
        <w:ind w:right="2960"/>
        <w:spacing w:after="0" w:line="255" w:lineRule="auto"/>
        <w:rPr>
          <w:sz w:val="20"/>
          <w:szCs w:val="20"/>
          <w:color w:val="auto"/>
        </w:rPr>
      </w:pPr>
      <w:r>
        <w:rPr>
          <w:rFonts w:ascii="Arial" w:cs="Arial" w:eastAsia="Arial" w:hAnsi="Arial"/>
          <w:sz w:val="18"/>
          <w:szCs w:val="18"/>
          <w:color w:val="auto"/>
        </w:rPr>
        <w:t>agencies, or obtaining favorable pricing on those products. Finally, innovations may not be accepted quickly in the marketplace because of, among other things, entrenched patterns of clinical practice and uncertainty over third-party reimbursement.</w:t>
      </w:r>
    </w:p>
    <w:p>
      <w:pPr>
        <w:spacing w:after="0" w:line="19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been and will be ordering production molds and equipment for our new products. We expect to order semi-automated or fully automated assembly machines for other new products in 2018. If we do not achieve significant sales of these new 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368" w:right="299" w:bottom="1440" w:gutter="0" w:footer="0" w:header="0"/>
        </w:sectPr>
      </w:pPr>
    </w:p>
    <w:bookmarkStart w:id="16" w:name="page17"/>
    <w:bookmarkEnd w:id="16"/>
    <w:p>
      <w:pPr>
        <w:ind w:right="200"/>
        <w:spacing w:after="0" w:line="277" w:lineRule="auto"/>
        <w:rPr>
          <w:sz w:val="20"/>
          <w:szCs w:val="20"/>
          <w:color w:val="auto"/>
        </w:rPr>
      </w:pPr>
      <w:r>
        <w:rPr>
          <w:rFonts w:ascii="Arial" w:cs="Arial" w:eastAsia="Arial" w:hAnsi="Arial"/>
          <w:sz w:val="18"/>
          <w:szCs w:val="18"/>
          <w:i w:val="1"/>
          <w:iCs w:val="1"/>
          <w:color w:val="auto"/>
        </w:rPr>
        <w:t>Our operating results may be adversely affected by unfavorable economic conditions that affect our customers’ ability to buy our products and could affect our relationships with our suppliers.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Disruptions in financial markets worldwide and other worldwide macro-economic challenges may cause our customers and suppliers to experience cash flow concerns. If job losses and the resulting loss of health insurance and personal savings cause individuals to forgo or postpone 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Any inability of current and/or potential customers to pay us for our products or any demands by suppliers for different payment terms may adversely affect our earnings and cash flow.</w:t>
      </w:r>
    </w:p>
    <w:p>
      <w:pPr>
        <w:spacing w:after="0" w:line="16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Continuing pressures to reduce healthcare costs and inadequate coverage and reimbursement may adversely affect our prices. If we cannot reduce manufacturing costs of existing and new products, our sales may not grow and our profitability may decline.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Increasing awareness of healthcare costs, public interest in healthcare reform and continuing pressure from Medicare, Medicaid, group purchasing organizations and other payers,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Clave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spacing w:after="0" w:line="17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 security related incidents continue to evolve, and regulatory focus on these issues continues to expand, additional investment in protective measures, and vulnerability remediation, may be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Expiring patents may affect our future sales.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Most of our products are covered by patents that, if valid, give us a degree of market exclusivity during the term of the patent. Our patents will expire at various dates through 2032. Upon patent expiration, our competitors may introduce products using the same technology. As a result of this possible increase in competition, we may need to reduce our prices to maintain sales of our products, which would make them less profitable. 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7" w:name="page18"/>
    <w:bookmarkEnd w:id="17"/>
    <w:p>
      <w:pPr>
        <w:ind w:right="80" w:firstLine="648"/>
        <w:spacing w:after="0" w:line="259" w:lineRule="auto"/>
        <w:rPr>
          <w:sz w:val="20"/>
          <w:szCs w:val="20"/>
          <w:color w:val="auto"/>
        </w:rPr>
      </w:pPr>
      <w:r>
        <w:rPr>
          <w:rFonts w:ascii="Arial" w:cs="Arial" w:eastAsia="Arial" w:hAnsi="Arial"/>
          <w:sz w:val="18"/>
          <w:szCs w:val="18"/>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the cost of petroleum-based and natural gas-based products or loss of supply could have an adverse effect on our profitability.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Most of the materials used in our products are resins, plastics and other material that depend upon oil or natural gas as their raw material. Crude oil markets are affected by political uncertainty in the Middle East, and there is no assurance that crude oil supplies will not be interrupted in the future. Any such interruption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if we lose the services of key personnel.</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been and may continue to be highly volatile due to many factors.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market for small and mid-market capitalization companies can be highly volatile, and we have experienced significant volatility in the price of our common stock in the past. From January 2015 through December 2017, our trading price ranged from a high of $225.38 per share to a low of $79.44 per share.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and substantial product orders could contribute to the volatility in the price of our common stock. General economic trends unrelated to our performance such as recessionary cycles and changing interest rates may also adversely affect the market price of our common stock; the recent macroeconomic downturn could depress our stock price for some time.</w:t>
      </w:r>
    </w:p>
    <w:p>
      <w:pPr>
        <w:spacing w:after="0" w:line="1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40% of our outstanding shares at the end of 2017. If one or more of the institutions or if our other large stockholders should decide to reduce or eliminate their position in our common stock, it could cause a significant decrease in the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regulation and reform measures could adversely affect our revenue and financial condition.</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healthcare industry is highly regulated and in recent years, there have been numerous changes in initiatives, laws and regulations. The federal government and all states and jurisdictions in which we currently operate regulate various aspects of our business. Changes in law or new interpretation of existing laws can have a material effect on our permissible activities and the relative costs associated with doing business. The laws and regulations that may affect our ability to operate include, without limitation, anti-kickback laws that prohibit payments or other remuneration that could be considered to induce hospitals, physicians or other potential purchasers of our products either to refer patients or to purchase, lease or order, or arrange for or recommend the purchase, lease or order, of healthcare products or services for which payment may be made under federal and state healthcare programs as well as false claims laws that prohibit filing of false or improper claims for payment. Federal laws apply to federal and state healthcare programs, such as Medicare and Medicaid, and several states have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368" w:right="259" w:bottom="1440" w:gutter="0" w:footer="0" w:header="0"/>
        </w:sectPr>
      </w:pPr>
    </w:p>
    <w:bookmarkStart w:id="18" w:name="page19"/>
    <w:bookmarkEnd w:id="18"/>
    <w:p>
      <w:pPr>
        <w:ind w:right="60"/>
        <w:spacing w:after="0" w:line="286" w:lineRule="auto"/>
        <w:rPr>
          <w:sz w:val="20"/>
          <w:szCs w:val="20"/>
          <w:color w:val="auto"/>
        </w:rPr>
      </w:pPr>
      <w:r>
        <w:rPr>
          <w:rFonts w:ascii="Arial" w:cs="Arial" w:eastAsia="Arial" w:hAnsi="Arial"/>
          <w:sz w:val="16"/>
          <w:szCs w:val="16"/>
          <w:color w:val="auto"/>
        </w:rPr>
        <w:t xml:space="preserve">similar laws that may apply more broadly to all payors. Although we would not submit claims directly to government payors, manufacturers can be held liable under the federal and state false claim act if they are deemed to “cause” the submission of false or fraudulent claims by, for example, providing inaccurate billing or coding information to customers, price reporting, or promoting a product off-label. </w:t>
      </w:r>
      <w:r>
        <w:rPr>
          <w:rFonts w:ascii="Arial" w:cs="Arial" w:eastAsia="Arial" w:hAnsi="Arial"/>
          <w:sz w:val="16"/>
          <w:szCs w:val="16"/>
          <w:color w:val="231F20"/>
        </w:rPr>
        <w:t>In addition, our activities relating to the reporting of</w:t>
      </w:r>
      <w:r>
        <w:rPr>
          <w:rFonts w:ascii="Arial" w:cs="Arial" w:eastAsia="Arial" w:hAnsi="Arial"/>
          <w:sz w:val="16"/>
          <w:szCs w:val="16"/>
          <w:color w:val="auto"/>
        </w:rPr>
        <w:t xml:space="preserve"> </w:t>
      </w:r>
      <w:r>
        <w:rPr>
          <w:rFonts w:ascii="Arial" w:cs="Arial" w:eastAsia="Arial" w:hAnsi="Arial"/>
          <w:sz w:val="16"/>
          <w:szCs w:val="16"/>
          <w:color w:val="231F20"/>
        </w:rPr>
        <w:t>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federal and state false claims laws. A</w:t>
      </w:r>
      <w:r>
        <w:rPr>
          <w:rFonts w:ascii="Arial" w:cs="Arial" w:eastAsia="Arial" w:hAnsi="Arial"/>
          <w:sz w:val="16"/>
          <w:szCs w:val="16"/>
          <w:color w:val="000000"/>
        </w:rPr>
        <w:t>s a manufacturer of U.S. FDA-approved products reimbursable by federal healthcare programs, we are subject to the Physician Payments</w:t>
      </w:r>
      <w:r>
        <w:rPr>
          <w:rFonts w:ascii="Arial" w:cs="Arial" w:eastAsia="Arial" w:hAnsi="Arial"/>
          <w:sz w:val="16"/>
          <w:szCs w:val="16"/>
          <w:color w:val="231F20"/>
        </w:rPr>
        <w:t xml:space="preserve"> </w:t>
      </w:r>
      <w:r>
        <w:rPr>
          <w:rFonts w:ascii="Arial" w:cs="Arial" w:eastAsia="Arial" w:hAnsi="Arial"/>
          <w:sz w:val="16"/>
          <w:szCs w:val="16"/>
          <w:color w:val="000000"/>
        </w:rPr>
        <w:t>Sunshine Act, which requires us to annually report certain payments and other transfers of value we make to U.S.-licensed physicians or U.S. teaching hospitals and any ownership or investment interests held by physicians and their immediate family members. These laws may affect our sales, marketing and other promotional activities by limiting the kinds of financial arrangements we may have with hospitals, physicians and other potential purchasers of our products. These laws are broadly written and are subject to evolving interpretations, and it is often difficult to determine how these laws will be applied to specific circumstances. In addition,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or regulations that apply to us, we may be subject to penalties, including civil and criminal penalties, damages, fines, the exclusion from participation in federal and state healthcare programs, imprisonment, or the curtailment or restructuring of our operations, any of which could adversely affect our ability to operate our business and our financial results.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Patient Protection and Affordable Care Act and the Health Care and Education Reconciliation Act (“Affordable Care Act”) were signed into law introducing comprehensive health insurance and healthcare reforms in the U.S. Among the provisions of such legislation that may have an adverse impact on us is a 2.3% excise tax imposed on medical device manufacturers for the sale of certain medical devices to U.S. customers. The excise tax, which became effective January 1, 2013, resulted in additional expense of $2.0 million in 2015 recorded in Selling, General and Administrative expenses. Congress has temporarily suspended this medical device excise tax for two years commencing January 2018. Unless Congress changes the current law, we expect this tax to resume beginning in 2020.</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We expect that the new Presidential Administration and U.S. Congress will seek to modify, repeal, or otherwise invalidate all, or certain provisions of, the Affordable Care Act. The House and Senate have recently passed a budget resolution that authorizes congressional committees to draft legislation to repeal all or portions of the Affordable Care Act and permits such legislation to pass with a majority vote in the Senate. President Trump has also recently issued an executive order in which he stated that it is his Administration’s policy to seek the prompt repeal of the Affordable Care Act and directed executive departments and federal agencies to waive, defer, grant exemptions from, or delay the implementation of burdensome provisions of the Affordable Care Act to the maximum extent permitted by law. There is still uncertainty with respect to the impact President Trump’s administration and the U.S. Congress may have, if any, and any changes will likely take time to unfold, and could have an impact on coverage and reimbursement for healthcare items and services covered by plans that were authorized by the Affordable Care Act. In addition, other legislative changes have been proposed and adopted in the U.S. since the Affordable Care Act was enacted that reduced payments to Medicare providers. </w:t>
      </w:r>
      <w:r>
        <w:rPr>
          <w:rFonts w:ascii="Arial" w:cs="Arial" w:eastAsia="Arial" w:hAnsi="Arial"/>
          <w:sz w:val="16"/>
          <w:szCs w:val="16"/>
          <w:color w:val="231F20"/>
        </w:rPr>
        <w:t>Recently, there has also been heightened governmental scrutiny over the</w:t>
      </w:r>
      <w:r>
        <w:rPr>
          <w:rFonts w:ascii="Arial" w:cs="Arial" w:eastAsia="Arial" w:hAnsi="Arial"/>
          <w:sz w:val="16"/>
          <w:szCs w:val="16"/>
          <w:color w:val="auto"/>
        </w:rPr>
        <w:t xml:space="preserve"> </w:t>
      </w:r>
      <w:r>
        <w:rPr>
          <w:rFonts w:ascii="Arial" w:cs="Arial" w:eastAsia="Arial" w:hAnsi="Arial"/>
          <w:sz w:val="16"/>
          <w:szCs w:val="16"/>
          <w:color w:val="231F20"/>
        </w:rPr>
        <w:t xml:space="preserve">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w:t>
      </w:r>
      <w:r>
        <w:rPr>
          <w:rFonts w:ascii="Arial" w:cs="Arial" w:eastAsia="Arial" w:hAnsi="Arial"/>
          <w:sz w:val="16"/>
          <w:szCs w:val="16"/>
          <w:color w:val="000000"/>
        </w:rPr>
        <w:t>The ultimate implementation of any healthcare reform legislation and any new laws</w:t>
      </w:r>
      <w:r>
        <w:rPr>
          <w:rFonts w:ascii="Arial" w:cs="Arial" w:eastAsia="Arial" w:hAnsi="Arial"/>
          <w:sz w:val="16"/>
          <w:szCs w:val="16"/>
          <w:color w:val="231F20"/>
        </w:rPr>
        <w:t xml:space="preserve"> </w:t>
      </w:r>
      <w:r>
        <w:rPr>
          <w:rFonts w:ascii="Arial" w:cs="Arial" w:eastAsia="Arial" w:hAnsi="Arial"/>
          <w:sz w:val="16"/>
          <w:szCs w:val="16"/>
          <w:color w:val="000000"/>
        </w:rPr>
        <w:t>and regulations, and its impact on us, is impossible to predict. Any significant reforms made to the healthcare system in the U.S., or in other jurisdictions, may have an adverse effect on our financial condition and results of operations.</w:t>
      </w:r>
    </w:p>
    <w:p>
      <w:pPr>
        <w:spacing w:after="0" w:line="1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Our business could be materially and adversely affected if we fail to defend and enforce our patents, if our products are found to infringe patents owned by others or if the cost of patent litigation becomes excessive or as our key patents expire.</w:t>
      </w:r>
    </w:p>
    <w:p>
      <w:pPr>
        <w:spacing w:after="0" w:line="170" w:lineRule="exact"/>
        <w:rPr>
          <w:sz w:val="20"/>
          <w:szCs w:val="20"/>
          <w:color w:val="auto"/>
        </w:rPr>
      </w:pPr>
    </w:p>
    <w:p>
      <w:pPr>
        <w:ind w:right="60" w:firstLine="716"/>
        <w:spacing w:after="0" w:line="259" w:lineRule="auto"/>
        <w:rPr>
          <w:sz w:val="20"/>
          <w:szCs w:val="20"/>
          <w:color w:val="auto"/>
        </w:rPr>
      </w:pPr>
      <w:r>
        <w:rPr>
          <w:rFonts w:ascii="Arial" w:cs="Arial" w:eastAsia="Arial" w:hAnsi="Arial"/>
          <w:sz w:val="18"/>
          <w:szCs w:val="18"/>
          <w:color w:val="auto"/>
        </w:rPr>
        <w:t>We rely on a combination of patents, trademarks, copyrights, trade secrets, business methods, software and nondisclosure agreements to protect our proprietary intellectual property. Our efforts to protect our intellectual proprietary and proprietary rights may not be sufficient. Further, there is no assurance that patents pending will issue or that the protection from patents which have issued or may issue in the future will be broad enough to prevent competitors from introducing similar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devices, that such patents, if challenged, will be upheld by the courts or that we will be able to prove infringement and damages in litigation.</w:t>
      </w:r>
    </w:p>
    <w:p>
      <w:pPr>
        <w:spacing w:after="0" w:line="225" w:lineRule="exact"/>
        <w:rPr>
          <w:sz w:val="20"/>
          <w:szCs w:val="20"/>
          <w:color w:val="auto"/>
        </w:rPr>
      </w:pPr>
    </w:p>
    <w:p>
      <w:pPr>
        <w:ind w:right="160" w:firstLine="702"/>
        <w:spacing w:after="0" w:line="255" w:lineRule="auto"/>
        <w:rPr>
          <w:sz w:val="20"/>
          <w:szCs w:val="20"/>
          <w:color w:val="auto"/>
        </w:rPr>
      </w:pPr>
      <w:r>
        <w:rPr>
          <w:rFonts w:ascii="Arial" w:cs="Arial" w:eastAsia="Arial" w:hAnsi="Arial"/>
          <w:sz w:val="18"/>
          <w:szCs w:val="18"/>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similar to ours, which could adversely affect our business. 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19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47" w:lineRule="exact"/>
        <w:rPr>
          <w:sz w:val="20"/>
          <w:szCs w:val="20"/>
          <w:color w:val="auto"/>
        </w:rPr>
      </w:pPr>
    </w:p>
    <w:p>
      <w:pPr>
        <w:ind w:firstLine="702"/>
        <w:spacing w:after="0" w:line="264" w:lineRule="auto"/>
        <w:rPr>
          <w:sz w:val="20"/>
          <w:szCs w:val="20"/>
          <w:color w:val="auto"/>
        </w:rPr>
      </w:pPr>
      <w:r>
        <w:rPr>
          <w:rFonts w:ascii="Arial" w:cs="Arial" w:eastAsia="Arial" w:hAnsi="Arial"/>
          <w:sz w:val="18"/>
          <w:szCs w:val="18"/>
          <w:color w:val="auto"/>
        </w:rPr>
        <w:t>In the past, we have faced patent infringement claims related to the Clave, the CLC2000 and Tego. We believe these claims had no merit, and all have been settled or dismissed. We may also face claims in the future. Any adverse determination on these claims related to our products, if any, could have a material adverse effect on our business.</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147" w:lineRule="exact"/>
        <w:rPr>
          <w:sz w:val="20"/>
          <w:szCs w:val="20"/>
          <w:color w:val="auto"/>
        </w:rPr>
      </w:pPr>
    </w:p>
    <w:p>
      <w:pPr>
        <w:ind w:firstLine="702"/>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Our ability to market our products in the U.S. and other countries may be adversely affected if our products fail to comply with the applicable standards of the FDA and regulatory agencies in other countries.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Government regulation is a significant factor in the development, marketing and manufacturing of our products. For example, our device products are subject to clearance by the U.S. FDA under a number of statutes including the Food Drug and Cosmetics Act (“FDC Act”). In the U.S., before we can market a new medical device, or a new use of, new claim for, or significant modification to, an existing product, we must first receive either clearance under Section 510(k) of the FDC Act or approval of a premarket approval, or PMA, application from the FDA, unless an exemption applies. Under the 510(k) process, the manufacturer must submit to the FDA a premarket notification, demonstrating that the device is "substantially equivalent," as defined in the statute,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7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Each of our current products has qualified, and we anticipate that any new products we are likely to market will qualify for clearance under the FDA’s expedited pre-market notification procedure pursuant to Section 510(k) of the FDC Act.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qualify for expedited clearance rather than a more time consuming pre-market approval procedure or that, in any case, they will receive clearance from the FDA. FDA regulatory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8" w:right="25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processes are time consuming and expensive. Uncertainties as to the time required to obtain FDA clearances or approvals could adversely affect the timing and expense of new product introductions.</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or approval to market a product,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510(k) clearances, PMA approvals or foreign regulatory approvals of new products, new intended uses, or modifications to existing products;</w:t>
      </w: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withdrawals or suspensions of current 510(k) clearances or PMAs or foreign regulatory approvals, resulting in prohibitions on sales of our products;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1"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requirement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If we or our component manufacturers fail to comply with the FDA's Quality System Regulation or Good Manufacturing Practice regulations, our manufacturing operations could be interrupted, and our product sales and operating results could suffer.</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some of our component manufacturers are required to comply with regulatory requirements known as the FDA's Quality System Regulation, or QSR, which covers the procedures and documentation of the design, testing, production, control, quality assurance, inspection, complaint handling, recordkeeping, management review, labeling, packaging, sterilization, storage and shipping of our device products. The FDA's current Good Manufacturing Practices, or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could take enforcement action, including any of the following sanctions:</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refusing or delaying our requests for clearance or approval of new products or modified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368" w:right="279" w:bottom="1440" w:gutter="0" w:footer="0" w:header="0"/>
        </w:sectPr>
      </w:pPr>
    </w:p>
    <w:bookmarkStart w:id="21" w:name="page22"/>
    <w:bookmarkEnd w:id="21"/>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Any of these sanctions could adversely affect our business, financial conditions and operating results.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ISO 13485 (2012). Those quality standards are similar to the FDA’s Quality System Regulations. Manufacturers of medical devices must also be in conformance with EC Directives such as Council Directive 93/42/EEC (“Medical Device Directive”)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maybe affixed to its devices. The CE Mark gives devices an unobstructed entry to all the member countries of the EC. There is no assurance that we will continue to meet the requirements for distribution of our products in Europe.</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Distribution of our products in other countries may be subject to regulation in those countries, and there is no assurance that we will obtain necessary approvals in countries in which we want to introduce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claims could be costly to defend and could expose us to loss.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use of our products exposes us to an inherent risk of product liability. Patients, healthcare workers or healthcare providers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$10,000,000 per occurrence. There is no assurance that we will successfully defend claims, if any, arising with respect to products or that the insurance we carry will be sufficient. A successful claim against us in excess of insurance coverage could materially and adversely affect us. Furthermore, there is no assurance that product liability insurance will continue to be available to us on acceptable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costs or losses relating to other litigation.</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may from time to time be involved in litigation. Legal proceedings are inherently unpredictable, and the outcome can result in judgments that affect how we operate our business, or we may enter into settlements of claims for monetary damages that exceed our insurance coverage, if any is available. Any such proceedings, regardless of merits, may result in substantial costs, the diversion of management's attention from other business concerns and additional restrictions on our business, which could disrupt our business and have an adverse effect on our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implement a costly product recall.</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the event that any of our products proves to be defective, we can voluntarily recall, or the FDA or other regulatory agencies could require us to redesign or implement a recall of, any of our products. We believe that any recall could result in significant costs to us and significant adverse publicity, which could harm our ability to market our products in the future. Though it may not be possible to quantify the economic impact of a recall, it could have a material adverse effect on our business, financial condition and results of operations.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doing business outside of the U.S.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operate in a global market and global operations are subject to a number of risks. Sales to customers outside of the U.S. made up approximately 25% of our revenue in 2017 and as our operations and sales located in Europe and other areas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t>outside the U.S. increase, we may face new challenges and uncertainties, although we can give no assurance that such operations and sales will increase. The risks associated with our operations outside the U.S. include:</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medical reimbursement policies and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non-U.S. government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that could restrict our ability to manufacture and sell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possible failure to comply with anti-bribery laws such as the U.S. Foreign Corrupt Practices Act and similar anti-bribery laws in other jurisdictions;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local medical practices, product preferences and product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failure to comply with trade protection and restriction measures and 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establishing, staffing and managing non-U.S.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labor regulations or work stoppages or strikes;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environmental, health and safety laws;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or interpretations of tax laws, including changes regarding taxation of income earned outside the U.S.;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instability, including the European financial crisis or other economic instability in other parts of the world and the impact on interest rates, inflation and the credit worthiness of our customers;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regarding judicial systems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minimal or diminished protection of intellectual property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government controls;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changes that may place our products at a disadvantage.</w:t>
      </w:r>
    </w:p>
    <w:p>
      <w:pPr>
        <w:spacing w:after="0" w:line="21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Any significant changes in U.S trade, tax or other policies that restrict imports or increase import tariffs could have a material adverse effect on our results of operations.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significant amount of our products are manufactured outside of the U.S. The new Presidential administration has called for substantial changes to U.S. trade and tax policies, which may include import restrictions or increased import tariffs. Restrictions on imports could prevent or make it difficult for us to obtain the components needed for new products which would affect our sales. Increased tariffs would require us to increase our prices which likely would decrease customer and consumer demand for our products. Other countries might retaliate through the imposition of their own restrictions and or increased tariffs which would affect our ability to export products and therefore adversely affect our sales. Any significant changes in current U.S. trade, tax or other policies could have a material adverse effect upon our results of operations.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International sales pose additional risks related to competition with larger international companies and established local companies and our possibly higher cost structure.</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from the U.S. and Mexico.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 to some local markets as well as our competitors’ lower local labor costs in some markets.</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i w:val="1"/>
          <w:iCs w:val="1"/>
          <w:color w:val="auto"/>
        </w:rPr>
        <w:t>We are increasingly dependent on manufacturing in Mexico, and could be adversely affected by increased labor costs and any economic, social or political disruptions.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continue to expand our production in Mexico. Most of the material we use in manufacturing is imported into Mexico, and substantially all of the products we manufacture in Mexico are exported.</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of December 31, 2017, we employed 1,845 people in operations and product development in our plant in Ensenada, Mexico. Business activity in the Ensenada area has expanded significantly, providing increased employment opportunities. This could have an adverse effect on our ability to hire or retain necessary personnel and result in an increase in labor rates. We continue to take steps to compete for labor through attractive employment conditions and benefits, but there is no assurance that these steps will continue to be successful or that we will not face increasing labor costs in the future.</w:t>
      </w:r>
    </w:p>
    <w:p>
      <w:pPr>
        <w:spacing w:after="0" w:line="15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Any political or economic disruption in Mexico or a change in the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by our exposure to risks related to foreign currency exchange rates.</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market our products in certain foreign markets through our subsidiaries and other international distributors. The related sales agreements may provide for payments in a foreign currency. Accordingly, our operating results are subject to fluctuations in foreign currency exchange rates. When the U.S. dollar weakens against these currencies, the dollar value of foreign-currency denominated revenue and expense increases, and when the dollar strengthens against these currencies, the dollar value of foreign-currency denominated revenue and expense decreases. We are exposed to foreign currency risk on outstanding foreign currency denominated receivables and payables. Changes in exchange rates may adversely affect our results of operations. Our primary foreign currency exchange rate exposures are currently with the Euro, Mexican Peso, Costa Rican Colón, and the Canadian Dollar against the U.S. dollar.</w:t>
      </w:r>
    </w:p>
    <w:p>
      <w:pPr>
        <w:spacing w:after="0" w:line="16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currently do not hedge against our foreign currency exchange rate risks, other than the Mexican Peso and therefore believe our exposure to these risks may be higher than if we entered into hedging transactions, including forward exchange contracts or similar instruments. If we decide in the future to enter into forward foreign exchange contracts to attempt to reduce the risk related to foreign currency exchange rates, these contracts may not mitigate the potential adverse impact on our financial results due to the variability of timing and amount of payments under these contracts. In addition, these types of contracts may themselves cause financial harm to us and have inherent levels of counter-party risk over which we would have no control.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could be adversely affected by violations of the U.S. Foreign Corrupt Practices Act and other worldwide anti-bribery laws.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and unanticipated tax liabilities could adversely affect the Company's effective income tax rate and profitability.</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Company is subject to income taxes in the United States and numerous foreign jurisdictions. Although comprehensive U.S. tax legislation commonly referred to as the Tax Cuts and Jobs Act (“the Tax Act”) enacted in December 2017 lowered the U.S. corporate income tax rate to 21%, the Company's effective income tax rate in the future could be adversely affected by a number of factors, including: changes in the mix of earnings in countries with differing statutory tax rates, changes in the valuation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of deferred tax assets and liabilities, changes in tax laws, the outcome of income tax audits in various jurisdictions around the world, and any repatriation of non-US earnings for which the Company has not previously provided for U.S. taxes. The Company regularly assesses all of these matters to determine the adequacy of its tax provision, which is subject to significant discretion.</w:t>
      </w:r>
    </w:p>
    <w:p>
      <w:pPr>
        <w:spacing w:after="0" w:line="18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The Tax Act is unclear in certain respects and could be subject to potential amendments and technical corrections, as well as interpretations and implementing regulations by the Treasury and Internal Revenue Service (IRS),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While some of the changes made by the tax legislation may adversely affect the Company in one or more reporting periods and prospectively, other changes may be beneficial on a going forward basis. The Company is still evaluating certain provisions included in the Tax Act and therefore has not completed its full assessment. As such, there may be material adverse effects resulting from the Tax Act that the Company has not yet identified.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corporate headquarters and the locations and uses of our principal manufacturing and other properties as of December 31, 2017,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gridSpan w:val="2"/>
          </w:tcPr>
          <w:p>
            <w:pPr>
              <w:ind w:left="1360"/>
              <w:spacing w:after="0"/>
              <w:rPr>
                <w:sz w:val="20"/>
                <w:szCs w:val="20"/>
                <w:color w:val="auto"/>
              </w:rPr>
            </w:pPr>
            <w:r>
              <w:rPr>
                <w:rFonts w:ascii="Arial" w:cs="Arial" w:eastAsia="Arial" w:hAnsi="Arial"/>
                <w:sz w:val="16"/>
                <w:szCs w:val="16"/>
                <w:b w:val="1"/>
                <w:bCs w:val="1"/>
                <w:color w:val="auto"/>
              </w:rPr>
              <w:t>Location</w:t>
            </w:r>
          </w:p>
        </w:tc>
        <w:tc>
          <w:tcPr>
            <w:tcW w:w="278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Square Footage</w:t>
            </w:r>
          </w:p>
        </w:tc>
        <w:tc>
          <w:tcPr>
            <w:tcW w:w="3360" w:type="dxa"/>
            <w:vAlign w:val="bottom"/>
            <w:gridSpan w:val="2"/>
          </w:tcPr>
          <w:p>
            <w:pPr>
              <w:ind w:left="1220"/>
              <w:spacing w:after="0"/>
              <w:rPr>
                <w:sz w:val="20"/>
                <w:szCs w:val="20"/>
                <w:color w:val="auto"/>
              </w:rPr>
            </w:pPr>
            <w:r>
              <w:rPr>
                <w:rFonts w:ascii="Arial" w:cs="Arial" w:eastAsia="Arial" w:hAnsi="Arial"/>
                <w:sz w:val="16"/>
                <w:szCs w:val="16"/>
                <w:b w:val="1"/>
                <w:bCs w:val="1"/>
                <w:color w:val="auto"/>
              </w:rPr>
              <w:t>Primary Use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Owned/Leased</w:t>
            </w:r>
          </w:p>
        </w:tc>
      </w:tr>
      <w:tr>
        <w:trPr>
          <w:trHeight w:val="33"/>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 Clemente, California, U.S.</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39,000</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Corporate Headquarters and R&amp;D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 Clemente, California,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19,858</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Corporate Headquarters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 Diego, California, U.S.</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44,779</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Corporate Offices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Lake Forest, Illinois,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137,498</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Corporate Offices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Montreal, Canada</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48,065</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Corporate Offices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Chennai, India</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36,879</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Corporate Offices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Austin, Texas,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594,602</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0"/>
        </w:trPr>
        <w:tc>
          <w:tcPr>
            <w:tcW w:w="3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308,000 sq ft building and approximately</w:t>
            </w:r>
          </w:p>
        </w:tc>
        <w:tc>
          <w:tcPr>
            <w:tcW w:w="3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Ensenada, Baja California, Mexico</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94 acres of land</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La Aurora, Costa Rica</w:t>
            </w:r>
          </w:p>
        </w:tc>
        <w:tc>
          <w:tcPr>
            <w:tcW w:w="2780" w:type="dxa"/>
            <w:vAlign w:val="bottom"/>
          </w:tcPr>
          <w:p>
            <w:pPr>
              <w:jc w:val="center"/>
              <w:spacing w:after="0"/>
              <w:rPr>
                <w:sz w:val="20"/>
                <w:szCs w:val="20"/>
                <w:color w:val="auto"/>
              </w:rPr>
            </w:pPr>
            <w:r>
              <w:rPr>
                <w:rFonts w:ascii="Arial" w:cs="Arial" w:eastAsia="Arial" w:hAnsi="Arial"/>
                <w:sz w:val="16"/>
                <w:szCs w:val="16"/>
                <w:color w:val="auto"/>
                <w:w w:val="95"/>
              </w:rPr>
              <w:t>58,238 SM*</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Salt Lake City, Utah, U.S.</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450,000</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Manufacturing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 Cristobal, Dominican Republic**</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13,000</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Farmers Branch, Texas,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66,060</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King of Prussia, Pennsylvania, U.S.</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105,571</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Distribution Warehouse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Round Rock, Texas,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71,960</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Owned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Santa Fe Springs, California, U.S.</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76,794</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Distribution Warehouse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Owned</w:t>
            </w:r>
          </w:p>
        </w:tc>
      </w:tr>
      <w:tr>
        <w:trPr>
          <w:trHeight w:val="297"/>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Botony, NSW Australia</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330SM*</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Device service center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San Jose, California, U.S.</w:t>
            </w: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78,119</w:t>
            </w:r>
          </w:p>
        </w:tc>
        <w:tc>
          <w:tcPr>
            <w:tcW w:w="3360" w:type="dxa"/>
            <w:vAlign w:val="bottom"/>
            <w:gridSpan w:val="2"/>
          </w:tcPr>
          <w:p>
            <w:pPr>
              <w:ind w:left="80"/>
              <w:spacing w:after="0"/>
              <w:rPr>
                <w:sz w:val="20"/>
                <w:szCs w:val="20"/>
                <w:color w:val="auto"/>
              </w:rPr>
            </w:pPr>
            <w:r>
              <w:rPr>
                <w:rFonts w:ascii="Arial" w:cs="Arial" w:eastAsia="Arial" w:hAnsi="Arial"/>
                <w:sz w:val="16"/>
                <w:szCs w:val="16"/>
                <w:color w:val="auto"/>
              </w:rPr>
              <w:t>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Sligo, Ireland</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26,000</w:t>
            </w:r>
          </w:p>
        </w:tc>
        <w:tc>
          <w:tcPr>
            <w:tcW w:w="33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Device service center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191"/>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________________________</w:t>
            </w: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97"/>
        </w:trPr>
        <w:tc>
          <w:tcPr>
            <w:tcW w:w="3460" w:type="dxa"/>
            <w:vAlign w:val="bottom"/>
            <w:gridSpan w:val="2"/>
          </w:tcPr>
          <w:p>
            <w:pPr>
              <w:ind w:left="40"/>
              <w:spacing w:after="0"/>
              <w:rPr>
                <w:sz w:val="20"/>
                <w:szCs w:val="20"/>
                <w:color w:val="auto"/>
              </w:rPr>
            </w:pPr>
            <w:r>
              <w:rPr>
                <w:rFonts w:ascii="Arial" w:cs="Arial" w:eastAsia="Arial" w:hAnsi="Arial"/>
                <w:sz w:val="14"/>
                <w:szCs w:val="14"/>
                <w:i w:val="1"/>
                <w:iCs w:val="1"/>
                <w:color w:val="auto"/>
              </w:rPr>
              <w:t>*SM - Square Meters</w:t>
            </w:r>
          </w:p>
        </w:tc>
        <w:tc>
          <w:tcPr>
            <w:tcW w:w="27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i w:val="1"/>
          <w:iCs w:val="1"/>
          <w:color w:val="auto"/>
        </w:rPr>
        <w:t>** We are in the process of selling our Dominican Republic manufacturing facility</w:t>
      </w:r>
    </w:p>
    <w:p>
      <w:pPr>
        <w:spacing w:after="0" w:line="30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3" w:lineRule="exact"/>
        <w:rPr>
          <w:sz w:val="20"/>
          <w:szCs w:val="20"/>
          <w:color w:val="auto"/>
        </w:rPr>
      </w:pPr>
    </w:p>
    <w:p>
      <w:pPr>
        <w:ind w:right="20" w:firstLine="648"/>
        <w:spacing w:after="0" w:line="324" w:lineRule="auto"/>
        <w:rPr>
          <w:sz w:val="20"/>
          <w:szCs w:val="20"/>
          <w:color w:val="auto"/>
        </w:rPr>
      </w:pPr>
      <w:r>
        <w:rPr>
          <w:rFonts w:ascii="Arial" w:cs="Arial" w:eastAsia="Arial" w:hAnsi="Arial"/>
          <w:sz w:val="17"/>
          <w:szCs w:val="17"/>
          <w:color w:val="auto"/>
        </w:rPr>
        <w:t>Certain legal proceedings in which we are involved are discussed in Part II, Item 8. "Financial Statements and Supplementary Data" of this Form 10-K in Note 16. Commitments and Contingencies to the Consolidated Financial Statements,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for Common Stock</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Our common stock has been traded on the NASDAQ Global Select Market under the symbol “ICUI” since our initial public offering on March 31, 1992. The following table sets forth, for the quarters indicated, the high and low sales price per share for our common stock quoted by NASDAQ:</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Low</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175.73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144.25</w:t>
            </w:r>
          </w:p>
        </w:tc>
      </w:tr>
      <w:tr>
        <w:trPr>
          <w:trHeight w:val="27"/>
        </w:trPr>
        <w:tc>
          <w:tcPr>
            <w:tcW w:w="8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225.38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180.45</w:t>
            </w:r>
          </w:p>
        </w:tc>
      </w:tr>
      <w:tr>
        <w:trPr>
          <w:trHeight w:val="642"/>
        </w:trPr>
        <w:tc>
          <w:tcPr>
            <w:tcW w:w="8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Low</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98.10</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108.51</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154.80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124.85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never paid dividends and do not anticipate paying dividends in the foreseeable future as the Board of Directors intends to retain future earnings for use in our business or to purchase our shares. Any future determination as to payment of dividends or purchase of our shares will depend upon our financial condition, results of operations and such other factors as the Board of Directors deems relevant.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of January 31, 2018, we had 59 stockholders of record. This does not include persons whose stock is in nominee or “street name” accounts through brokers.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Securities authorized for issuance under equity compensation plans are discussed in Part III, Item 12 of this Annual Report on Form 10-K.</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fourth quarter of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dollar value that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as part of a</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publicly</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price paid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8"/>
              </w:rPr>
              <w:t>announced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0"/>
              </w:rPr>
              <w:t>purchased</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8"/>
              </w:rPr>
              <w:t>per share</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5"/>
              </w:rPr>
              <w:t>program</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10/01/2017 - 10/31/2017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11/01/2017 - 11/30/2017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12/01/2017 - 12/31/2017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Fourth quarter 2017 total</w:t>
            </w:r>
          </w:p>
        </w:tc>
        <w:tc>
          <w:tcPr>
            <w:tcW w:w="10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26" w:right="239" w:bottom="1440" w:gutter="0" w:footer="0" w:header="0"/>
        </w:sectPr>
      </w:pPr>
    </w:p>
    <w:bookmarkStart w:id="27" w:name="page28"/>
    <w:bookmarkEnd w:id="27"/>
    <w:p>
      <w:pPr>
        <w:jc w:val="center"/>
        <w:spacing w:after="0" w:line="277" w:lineRule="auto"/>
        <w:rPr>
          <w:sz w:val="20"/>
          <w:szCs w:val="20"/>
          <w:color w:val="auto"/>
        </w:rPr>
      </w:pPr>
      <w:r>
        <w:rPr>
          <w:rFonts w:ascii="Arial" w:cs="Arial" w:eastAsia="Arial" w:hAnsi="Arial"/>
          <w:sz w:val="18"/>
          <w:szCs w:val="18"/>
          <w:color w:val="auto"/>
        </w:rPr>
        <w:t>COMPARISON OF CUMULATIVE TOTAL RETURN FROM DECEMBER 31, 2012 TO DECEMBER 31, 2017 OF ICU MEDICAL, INC., NASDAQ AND NASDAQ MEDICAL SUPPLIES INDEX</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following graph shows the total stockholder return on our common stock based on the market price of the common stock from December 31, 2012 to December 31, 2017 and the total returns of the NASDAQ U.S. Index and NASDAQ Medical Supplies Index for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87630</wp:posOffset>
            </wp:positionV>
            <wp:extent cx="5848985" cy="4116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12/31/2012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12/31/2014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12/31/2015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12/31/2016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12/31/2017</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ICU Medical,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354.51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NASDAQ U.S. Index</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150.12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150.84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206.91</w:t>
            </w:r>
          </w:p>
        </w:tc>
      </w:tr>
      <w:tr>
        <w:trPr>
          <w:trHeight w:val="27"/>
        </w:trPr>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Medical Supplies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Index</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122.44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147.13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162.69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173.78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243.25</w:t>
            </w:r>
          </w:p>
        </w:tc>
      </w:tr>
      <w:tr>
        <w:trPr>
          <w:trHeight w:val="27"/>
        </w:trPr>
        <w:tc>
          <w:tcPr>
            <w:tcW w:w="2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Assumes $100 invested on December 31, 2012 in ICU Medical Inc.’s common stock, the NASDAQ U.S. Index and the NASDAQ Medical Supplies Index and that all dividends, if any, were reinvested.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00" w:firstLine="648"/>
        <w:spacing w:after="0" w:line="329" w:lineRule="auto"/>
        <w:rPr>
          <w:sz w:val="20"/>
          <w:szCs w:val="20"/>
          <w:color w:val="auto"/>
        </w:rPr>
      </w:pPr>
      <w:r>
        <w:rPr>
          <w:rFonts w:ascii="Arial" w:cs="Arial" w:eastAsia="Arial" w:hAnsi="Arial"/>
          <w:sz w:val="17"/>
          <w:szCs w:val="17"/>
          <w:color w:val="auto"/>
        </w:rPr>
        <w:t>The following selected consolidated financial data (presented in thousands, except per share amounts) is derived from our Consolidated Financial Statements. During 2017, we acquired HIS (see Note 2 to the consolidated financial statements in Part II, Item 8 of this Form 10-K). Our historical operating results are not necessarily indicative of future operating results and should be read in conjunction with the Consolidated Financial Statements and notes thereto, and with Item 7, Management’s Discussion and Analysis of Financial Condition and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44"/>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6"/>
          </w:tcPr>
          <w:p>
            <w:pPr>
              <w:jc w:val="center"/>
              <w:ind w:left="51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5"/>
        </w:trPr>
        <w:tc>
          <w:tcPr>
            <w:tcW w:w="4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DATA:</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1,292,166</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379,339</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341,254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313,056</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660</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313,716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866,518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160,871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157,859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158,984</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154,732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303,953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89,426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83,216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88,939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89,006</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Gain on sale of assets</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of assets held for sale</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441,173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102,783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(LOSS) INCOME FROM OPERATIONS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82,941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68,565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51,949</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BARGAIN PURCHASE GAIN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51,283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85,164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69,699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52,714</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17,361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(12,296)</w:t>
            </w:r>
          </w:p>
        </w:tc>
      </w:tr>
      <w:tr>
        <w:trPr>
          <w:trHeight w:val="29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63,084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44,985</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26,335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40,418</w:t>
            </w:r>
          </w:p>
        </w:tc>
      </w:tr>
      <w:tr>
        <w:trPr>
          <w:trHeight w:val="210"/>
        </w:trPr>
        <w:tc>
          <w:tcPr>
            <w:tcW w:w="412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440" w:type="dxa"/>
            <w:vAlign w:val="bottom"/>
            <w:gridSpan w:val="2"/>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14,688</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16,496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15,274</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 DATA:</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flows from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154,423</w:t>
            </w:r>
          </w:p>
        </w:tc>
        <w:tc>
          <w:tcPr>
            <w:tcW w:w="44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89,941</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72,692</w:t>
            </w:r>
          </w:p>
        </w:tc>
      </w:tr>
      <w:tr>
        <w:trPr>
          <w:trHeight w:val="7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28</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29" w:name="page30"/>
    <w:bookmarkEnd w:id="29"/>
    <w:p>
      <w:pPr>
        <w:jc w:val="center"/>
        <w:ind w:left="41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23495</wp:posOffset>
            </wp:positionV>
            <wp:extent cx="4631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8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Cash, cash equivalents and short-term investment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445,082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377,397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346,764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296,891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654,370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528,560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462,389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403,801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367,410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1,496,951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499,643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1,198,254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660,155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579,871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508,252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464,725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Notes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Highlights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3, 2017, we completed the acquisition of Pfizer's HIS business. See "Acquisitions" below for additional detail regarding the acquisition. HIS was a leading global provider of IV products to hospitals and alternate site providers, such as clinics, home health care providers and long-term care facilities. Our acquisition of the HIS business was strategic and provides us with an increase in scale and product portfolio that we believe will result in a stronger competitive position within the industry. We believe the HIS business acquisition was the natural evolution for us based on a long-term successful and productive partnership with HIS for over 20 years.</w:t>
      </w:r>
    </w:p>
    <w:p>
      <w:pPr>
        <w:spacing w:after="0" w:line="188"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Following the HIS business acquisition, 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restructured our product lines to integrate the HIS business product portfolio and have presented our financial results in accordance with the following four product lines with our primary products listed: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Infusion Therapy</w:t>
      </w:r>
    </w:p>
    <w:p>
      <w:pPr>
        <w:spacing w:after="0" w:line="225" w:lineRule="exact"/>
        <w:rPr>
          <w:sz w:val="20"/>
          <w:szCs w:val="20"/>
          <w:color w:val="auto"/>
        </w:rPr>
      </w:pPr>
    </w:p>
    <w:p>
      <w:pPr>
        <w:ind w:left="1960" w:right="520" w:hanging="331"/>
        <w:spacing w:after="0" w:line="277"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w:t>
      </w:r>
      <w:r>
        <w:rPr>
          <w:rFonts w:ascii="Arial" w:cs="Arial" w:eastAsia="Arial" w:hAnsi="Arial"/>
          <w:sz w:val="18"/>
          <w:szCs w:val="18"/>
          <w:color w:val="auto"/>
        </w:rPr>
        <w:t>lave® needlefree products, including the MicroClave, MicroClave Clear, and NanoClave brand of connectors, accessories,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extension and administration sets used for the administration of IV fluids and medications.</w:t>
      </w:r>
    </w:p>
    <w:p>
      <w:pPr>
        <w:spacing w:after="0" w:line="170" w:lineRule="exact"/>
        <w:rPr>
          <w:rFonts w:ascii="Arial" w:cs="Arial" w:eastAsia="Arial" w:hAnsi="Arial"/>
          <w:sz w:val="18"/>
          <w:szCs w:val="18"/>
          <w:i w:val="1"/>
          <w:iCs w:val="1"/>
          <w:color w:val="auto"/>
        </w:rPr>
      </w:pPr>
    </w:p>
    <w:p>
      <w:pPr>
        <w:ind w:left="1960" w:hanging="331"/>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25" w:lineRule="exact"/>
        <w:rPr>
          <w:rFonts w:ascii="Arial" w:cs="Arial" w:eastAsia="Arial" w:hAnsi="Arial"/>
          <w:sz w:val="18"/>
          <w:szCs w:val="18"/>
          <w:color w:val="auto"/>
        </w:rPr>
      </w:pPr>
    </w:p>
    <w:p>
      <w:pPr>
        <w:ind w:left="1960" w:right="280" w:hanging="331"/>
        <w:spacing w:after="0" w:line="277" w:lineRule="auto"/>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SwabCap® Disinfecting Cap, used to protect and disinfect any needlefree connector including, including competitive brands of connectors.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Closed System Transfer Devices (CSTD)</w:t>
      </w:r>
    </w:p>
    <w:p>
      <w:pPr>
        <w:spacing w:after="0" w:line="225" w:lineRule="exact"/>
        <w:rPr>
          <w:sz w:val="20"/>
          <w:szCs w:val="20"/>
          <w:color w:val="auto"/>
        </w:rPr>
      </w:pPr>
    </w:p>
    <w:p>
      <w:pPr>
        <w:ind w:left="1960" w:right="40" w:hanging="331"/>
        <w:spacing w:after="0" w:line="277"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ChemoLock® Closed System Transfer Device (CSTD), is a pharmacy preferred CSTD used for the preparation and administration of hazardous drugs.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9" w:right="239" w:bottom="1440" w:gutter="0" w:footer="0" w:header="0"/>
        </w:sectPr>
      </w:pPr>
    </w:p>
    <w:bookmarkStart w:id="30" w:name="page31"/>
    <w:bookmarkEnd w:id="30"/>
    <w:p>
      <w:pPr>
        <w:ind w:left="1960" w:right="600" w:hanging="331"/>
        <w:spacing w:after="0" w:line="277" w:lineRule="auto"/>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ChemoClave® CSTD, is an ISO standard and universally compatible CSTD used for the preparation and administration of hazardous drugs.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Ringers etc., used to replenish fluids and electrolytes by IV infusion.</w:t>
      </w:r>
    </w:p>
    <w:p>
      <w:pPr>
        <w:spacing w:after="0" w:line="225" w:lineRule="exact"/>
        <w:rPr>
          <w:rFonts w:ascii="Arial" w:cs="Arial" w:eastAsia="Arial" w:hAnsi="Arial"/>
          <w:sz w:val="18"/>
          <w:szCs w:val="18"/>
          <w:i w:val="1"/>
          <w:iCs w:val="1"/>
          <w:color w:val="auto"/>
        </w:rPr>
      </w:pPr>
    </w:p>
    <w:p>
      <w:pPr>
        <w:ind w:left="1300" w:right="20" w:hanging="320"/>
        <w:spacing w:after="0" w:line="277" w:lineRule="auto"/>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420" w:hanging="320"/>
        <w:spacing w:after="0" w:line="264" w:lineRule="auto"/>
        <w:tabs>
          <w:tab w:leader="none" w:pos="13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960" w:right="180" w:hanging="331"/>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Plum 360™: The Plum 360™ </w:t>
      </w:r>
      <w:r>
        <w:rPr>
          <w:rFonts w:ascii="Arial" w:cs="Arial" w:eastAsia="Arial" w:hAnsi="Arial"/>
          <w:sz w:val="18"/>
          <w:szCs w:val="18"/>
          <w:color w:val="auto"/>
        </w:rPr>
        <w:t>infusion pump is an ICU Medical MedNet™ ready large volume infusion pump with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drug library and wireless capability.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LifeCare PCA™: The LifeCare PCA™ </w:t>
      </w:r>
      <w:r>
        <w:rPr>
          <w:rFonts w:ascii="Arial" w:cs="Arial" w:eastAsia="Arial" w:hAnsi="Arial"/>
          <w:sz w:val="17"/>
          <w:szCs w:val="17"/>
          <w:color w:val="auto"/>
        </w:rPr>
        <w:t>infusion pump is an ICU Medical MedNet™ ready patient-controlled analgesia pump.</w:t>
      </w:r>
    </w:p>
    <w:p>
      <w:pPr>
        <w:spacing w:after="0" w:line="236" w:lineRule="exact"/>
        <w:rPr>
          <w:rFonts w:ascii="Arial" w:cs="Arial" w:eastAsia="Arial" w:hAnsi="Arial"/>
          <w:sz w:val="17"/>
          <w:szCs w:val="17"/>
          <w:color w:val="auto"/>
        </w:rPr>
      </w:pPr>
    </w:p>
    <w:p>
      <w:pPr>
        <w:ind w:left="1960" w:right="380" w:hanging="331"/>
        <w:spacing w:after="0" w:line="308" w:lineRule="auto"/>
        <w:tabs>
          <w:tab w:leader="none" w:pos="19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SapphirePlus™: The SapphirePlus™ </w:t>
      </w:r>
      <w:r>
        <w:rPr>
          <w:rFonts w:ascii="Arial" w:cs="Arial" w:eastAsia="Arial" w:hAnsi="Arial"/>
          <w:sz w:val="17"/>
          <w:szCs w:val="17"/>
          <w:color w:val="auto"/>
        </w:rPr>
        <w:t>infusion pump is an ICU Medical MedNet™ ready large volume infusion pump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extensive drug library and wireless capability. The SapphirePlus is designed and manufactured by Q Core.</w:t>
      </w:r>
    </w:p>
    <w:p>
      <w:pPr>
        <w:spacing w:after="0" w:line="146" w:lineRule="exact"/>
        <w:rPr>
          <w:rFonts w:ascii="Arial" w:cs="Arial" w:eastAsia="Arial" w:hAnsi="Arial"/>
          <w:sz w:val="17"/>
          <w:szCs w:val="17"/>
          <w:color w:val="auto"/>
        </w:rPr>
      </w:pPr>
    </w:p>
    <w:p>
      <w:pPr>
        <w:ind w:left="1960" w:hanging="331"/>
        <w:spacing w:after="0" w:line="342" w:lineRule="auto"/>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Sapphire™: The Sapphire™ </w:t>
      </w:r>
      <w:r>
        <w:rPr>
          <w:rFonts w:ascii="Arial" w:cs="Arial" w:eastAsia="Arial" w:hAnsi="Arial"/>
          <w:sz w:val="16"/>
          <w:szCs w:val="16"/>
          <w:color w:val="auto"/>
        </w:rPr>
        <w:t>infusion pump is a compact infusion system used in ambulatory and hospital settings. The Sapphire™</w:t>
      </w:r>
      <w:r>
        <w:rPr>
          <w:rFonts w:ascii="Arial" w:cs="Arial" w:eastAsia="Arial" w:hAnsi="Arial"/>
          <w:sz w:val="16"/>
          <w:szCs w:val="16"/>
          <w:i w:val="1"/>
          <w:iCs w:val="1"/>
          <w:color w:val="auto"/>
        </w:rPr>
        <w:t xml:space="preserve"> </w:t>
      </w:r>
      <w:r>
        <w:rPr>
          <w:rFonts w:ascii="Arial" w:cs="Arial" w:eastAsia="Arial" w:hAnsi="Arial"/>
          <w:sz w:val="16"/>
          <w:szCs w:val="16"/>
          <w:color w:val="auto"/>
        </w:rPr>
        <w:t>infusion pump comes in multi-therapy and epidural-only configurations. The Sapphire is designed and manufactured by Q Core.</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Q2 Plus™ CCO/SvO</w:t>
      </w:r>
      <w:r>
        <w:rPr>
          <w:rFonts w:ascii="Arial" w:cs="Arial" w:eastAsia="Arial" w:hAnsi="Arial"/>
          <w:sz w:val="12"/>
          <w:szCs w:val="12"/>
          <w:color w:val="auto"/>
        </w:rPr>
        <w:t>2</w:t>
      </w:r>
      <w:r>
        <w:rPr>
          <w:rFonts w:ascii="Arial" w:cs="Arial" w:eastAsia="Arial" w:hAnsi="Arial"/>
          <w:sz w:val="18"/>
          <w:szCs w:val="18"/>
          <w:color w:val="auto"/>
        </w:rPr>
        <w:t xml:space="preserve"> (continuous cardiac output/oximetry).</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1" w:name="page32"/>
    <w:bookmarkEnd w:id="31"/>
    <w:p>
      <w:pPr>
        <w:ind w:right="540"/>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2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11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179"/>
              <w:spacing w:after="0"/>
              <w:rPr>
                <w:sz w:val="20"/>
                <w:szCs w:val="20"/>
                <w:color w:val="auto"/>
              </w:rPr>
            </w:pPr>
            <w:r>
              <w:rPr>
                <w:rFonts w:ascii="Arial" w:cs="Arial" w:eastAsia="Arial" w:hAnsi="Arial"/>
                <w:sz w:val="16"/>
                <w:szCs w:val="16"/>
                <w:b w:val="1"/>
                <w:bCs w:val="1"/>
                <w:color w:val="auto"/>
              </w:rPr>
              <w:t>2015</w:t>
            </w:r>
          </w:p>
        </w:tc>
      </w:tr>
      <w:tr>
        <w:trPr>
          <w:trHeight w:val="33"/>
        </w:trPr>
        <w:tc>
          <w:tcPr>
            <w:tcW w:w="2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2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 of Revenue</w:t>
            </w:r>
          </w:p>
        </w:tc>
      </w:tr>
      <w:tr>
        <w:trPr>
          <w:trHeight w:val="217"/>
        </w:trPr>
        <w:tc>
          <w:tcPr>
            <w:tcW w:w="2620" w:type="dxa"/>
            <w:vAlign w:val="bottom"/>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980.0</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266.0</w:t>
            </w:r>
          </w:p>
        </w:tc>
        <w:tc>
          <w:tcPr>
            <w:tcW w:w="12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241.9</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2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312.6</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4"/>
        </w:trPr>
        <w:tc>
          <w:tcPr>
            <w:tcW w:w="2620" w:type="dxa"/>
            <w:vAlign w:val="bottom"/>
          </w:tcPr>
          <w:p>
            <w:pPr>
              <w:ind w:left="1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1,292.6</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1"/>
                <w:szCs w:val="21"/>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341.7</w:t>
            </w:r>
          </w:p>
        </w:tc>
        <w:tc>
          <w:tcPr>
            <w:tcW w:w="100" w:type="dxa"/>
            <w:vAlign w:val="bottom"/>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 line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6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IV Solutions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gridSpan w:val="2"/>
          </w:tcPr>
          <w:p>
            <w:pPr>
              <w:ind w:left="40"/>
              <w:spacing w:after="0"/>
              <w:rPr>
                <w:sz w:val="20"/>
                <w:szCs w:val="20"/>
                <w:color w:val="auto"/>
              </w:rPr>
            </w:pPr>
            <w:r>
              <w:rPr>
                <w:rFonts w:ascii="Arial" w:cs="Arial" w:eastAsia="Arial" w:hAnsi="Arial"/>
                <w:sz w:val="18"/>
                <w:szCs w:val="18"/>
                <w:color w:val="auto"/>
              </w:rPr>
              <w:t>Critical Care</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our products could have a material adverse effect on our operating results.</w:t>
      </w:r>
    </w:p>
    <w:p>
      <w:pPr>
        <w:spacing w:after="0" w:line="193"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32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February 3, 2017, we acquired 100% interest in Pfizer's HIS business for total consideration of approximately $260.0 million in cash (net of estimated working capital adjustments paid at closing) and the issuance of 3.2 million shares of our common stock. We partially funded the cash portion of the consideration paid with a $75 million three-year interest-only seller note.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 Pfizer also may be entitled up to an additional $225 million in cash contingent consideration based on the achievement of performance targets for the combined company for the three years ending December 31, 2019.</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November 29, 2017, we acquired 100% interest in Medical Australia Limited for total consideration of $9.0 million. Medical Australia Limited manufactures and distributes quality medical devices and equipment for the healthcare industry.</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October 2015, we acquired Excelsior Medical Corporation’s SwabCap disinfecting cap for needlefree IV connectors to enhance our direct and OEM infusion therapy product offerings and to open new customer opportunities globally.</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the consolidated financial statements in Part II, Item 8 of this Form 10-K for further details of our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Revolving Credit Facility ("Credit Facility")</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On November 8, 2017, we entered into a five-year Revolving Credit Facility ("Credit Facility") with various lenders for $150 million, with Wells Fargo Bank, N.A. as the administrative agent. The Credit Facility has an accordion feature that would enable us to increase the borrowing capacity of the credit facility by the greater of (i) $100 million and (ii) 2.00x Total Leverage (as defined in our Credit Facility). Under the terms of the facility we will be subject to certain financial covenants pertaining to leverage and fixed charge coverage ratios, see below under "Liquidity and Capital Resources" for further details. Borrowings under the Credit Facility will bear interest, at our option, based on the Base Rate plus applicable margin or LIBOR plus an applicable margin, both tied to the leverage ratio in effect. The unused portion of the Credit Facility will be subject to a per annum commitment fee which is also calculated using the leverage ratio in effect. The Credit Facility was entered into in order to provide us with flexible funding for future acquisition and operational needs.</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Credit Facility, for the year ended December 31, 2017, we incurred $1.4 million in financing costs, which will be amortized to interest expense over the remaining term of the Credit Facility.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 12 to the consolidated financial statements in Part II, Item 8 of this Form 10-K for further information regarding the Credit Facility.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6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present summarized income statement data in Item 6. Selected Financial Data. The following table shows, for the three most recent years, the percentages of each income statement caption in relation to total revenues.</w:t>
      </w:r>
    </w:p>
    <w:p>
      <w:pPr>
        <w:spacing w:after="0" w:line="392"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Percentage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gridSpan w:val="2"/>
          </w:tcPr>
          <w:p>
            <w:pPr>
              <w:ind w:left="7420"/>
              <w:spacing w:after="0"/>
              <w:rPr>
                <w:sz w:val="20"/>
                <w:szCs w:val="20"/>
                <w:color w:val="auto"/>
              </w:rPr>
            </w:pPr>
            <w:r>
              <w:rPr>
                <w:rFonts w:ascii="Arial" w:cs="Arial" w:eastAsia="Arial" w:hAnsi="Arial"/>
                <w:sz w:val="16"/>
                <w:szCs w:val="16"/>
                <w:b w:val="1"/>
                <w:bCs w:val="1"/>
                <w:color w:val="auto"/>
                <w:w w:val="95"/>
              </w:rPr>
              <w:t>2017</w:t>
            </w:r>
          </w:p>
        </w:tc>
        <w:tc>
          <w:tcPr>
            <w:tcW w:w="15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Arial" w:cs="Arial" w:eastAsia="Arial" w:hAnsi="Arial"/>
                <w:sz w:val="16"/>
                <w:szCs w:val="16"/>
                <w:b w:val="1"/>
                <w:bCs w:val="1"/>
                <w:color w:val="auto"/>
              </w:rPr>
              <w:t>2015</w:t>
            </w:r>
          </w:p>
        </w:tc>
      </w:tr>
      <w:tr>
        <w:trPr>
          <w:trHeight w:val="47"/>
        </w:trPr>
        <w:tc>
          <w:tcPr>
            <w:tcW w:w="68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Net sales</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Restructuring and transaction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earn-out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Gain on sale of building</w:t>
            </w:r>
          </w:p>
        </w:tc>
        <w:tc>
          <w:tcPr>
            <w:tcW w:w="1560" w:type="dxa"/>
            <w:vAlign w:val="bottom"/>
            <w:gridSpan w:val="3"/>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settlements</w:t>
            </w:r>
          </w:p>
        </w:tc>
        <w:tc>
          <w:tcPr>
            <w:tcW w:w="156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Impairment of assets held for sale</w:t>
            </w:r>
          </w:p>
        </w:tc>
        <w:tc>
          <w:tcPr>
            <w:tcW w:w="1560" w:type="dxa"/>
            <w:vAlign w:val="bottom"/>
            <w:gridSpan w:val="3"/>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8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1560" w:type="dxa"/>
            <w:vAlign w:val="bottom"/>
            <w:gridSpan w:val="3"/>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9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3"/>
            <w:shd w:val="clear" w:color="auto" w:fill="CCEEFF"/>
          </w:tcPr>
          <w:p>
            <w:pPr>
              <w:jc w:val="right"/>
              <w:ind w:right="108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6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6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for 2017, 2016 and 2015 were $1.3 billion, $379.4 million and $341.7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49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r>
      <w:tr>
        <w:trPr>
          <w:trHeight w:val="231"/>
        </w:trPr>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4"/>
          </w:tcPr>
          <w:p>
            <w:pPr>
              <w:ind w:left="540"/>
              <w:spacing w:after="0"/>
              <w:rPr>
                <w:sz w:val="20"/>
                <w:szCs w:val="20"/>
                <w:color w:val="auto"/>
              </w:rPr>
            </w:pPr>
            <w:r>
              <w:rPr>
                <w:rFonts w:ascii="Arial" w:cs="Arial" w:eastAsia="Arial" w:hAnsi="Arial"/>
                <w:sz w:val="16"/>
                <w:szCs w:val="16"/>
                <w:b w:val="1"/>
                <w:bCs w:val="1"/>
                <w:color w:val="auto"/>
              </w:rPr>
              <w:t>2017 over 2016</w:t>
            </w:r>
          </w:p>
        </w:tc>
        <w:tc>
          <w:tcPr>
            <w:tcW w:w="2260" w:type="dxa"/>
            <w:vAlign w:val="bottom"/>
            <w:gridSpan w:val="2"/>
          </w:tcPr>
          <w:p>
            <w:pPr>
              <w:ind w:left="52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365.6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40.7</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  $</w:t>
            </w:r>
          </w:p>
        </w:tc>
        <w:tc>
          <w:tcPr>
            <w:tcW w:w="1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38.7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2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2017, our Infusion Consumables revenue included our acquired revenue from the HIS business, which year-to-date includes approximately eleven months of revenue from the point of closing of the transaction to the end of the current year. Additionally, the Infusion Consumables market segment includes our legacy Infusion Therapy and Oncology businesses.</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In 2016 and 2015, our Infusion Consumables revenue as presented above consisted of our legacy Infusion Therapy and Oncology businesses. In 2016, as compared to 2015, the increased revenue was primarily related to our Swabcap product-line, which was acquired in the last quarter of 2015, and our Clave, ChemoClave and ChemoLock products as a result of sales to new customers and an increase in sales to existing customers.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jc w:val="center"/>
              <w:ind w:left="36"/>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2017 over 2016</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IV Solutions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522.0</w:t>
            </w:r>
          </w:p>
        </w:tc>
        <w:tc>
          <w:tcPr>
            <w:tcW w:w="1140" w:type="dxa"/>
            <w:vAlign w:val="bottom"/>
            <w:shd w:val="clear" w:color="auto" w:fill="CCEEFF"/>
          </w:tcPr>
          <w:p>
            <w:pPr>
              <w:jc w:val="right"/>
              <w:ind w:right="46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63"/>
              <w:spacing w:after="0"/>
              <w:rPr>
                <w:sz w:val="20"/>
                <w:szCs w:val="20"/>
                <w:color w:val="auto"/>
              </w:rPr>
            </w:pPr>
            <w:r>
              <w:rPr>
                <w:rFonts w:ascii="Arial" w:cs="Arial" w:eastAsia="Arial" w:hAnsi="Arial"/>
                <w:sz w:val="14"/>
                <w:szCs w:val="14"/>
                <w:color w:val="auto"/>
              </w:rPr>
              <w:t>*</w:t>
            </w:r>
          </w:p>
        </w:tc>
      </w:tr>
      <w:tr>
        <w:trPr>
          <w:trHeight w:val="197"/>
        </w:trPr>
        <w:tc>
          <w:tcPr>
            <w:tcW w:w="2740" w:type="dxa"/>
            <w:vAlign w:val="bottom"/>
          </w:tcPr>
          <w:p>
            <w:pPr>
              <w:spacing w:after="0" w:line="197" w:lineRule="exact"/>
              <w:rPr>
                <w:sz w:val="20"/>
                <w:szCs w:val="20"/>
                <w:color w:val="auto"/>
              </w:rPr>
            </w:pPr>
            <w:r>
              <w:rPr>
                <w:rFonts w:ascii="Arial" w:cs="Arial" w:eastAsia="Arial" w:hAnsi="Arial"/>
                <w:sz w:val="18"/>
                <w:szCs w:val="18"/>
                <w:color w:val="auto"/>
                <w:w w:val="90"/>
              </w:rPr>
              <w:t>______________________________</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Not Applicable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29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IV Solutions revenue is a result of the acquisition of the HIS business and also includes $68.9 million of revenue related to contract manufacturing to Pfizer at cost in accordance with a Manufacturing and Supply Agreement. The year-to-date revenue represents approximately eleven months of revenue from the point of closing of the transaction to the end of the current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jc w:val="center"/>
              <w:ind w:left="36"/>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2017 over 2016</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290.2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290.2</w:t>
            </w:r>
          </w:p>
        </w:tc>
        <w:tc>
          <w:tcPr>
            <w:tcW w:w="1140" w:type="dxa"/>
            <w:vAlign w:val="bottom"/>
            <w:shd w:val="clear" w:color="auto" w:fill="CCEEFF"/>
          </w:tcPr>
          <w:p>
            <w:pPr>
              <w:jc w:val="right"/>
              <w:ind w:right="46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63"/>
              <w:spacing w:after="0"/>
              <w:rPr>
                <w:sz w:val="20"/>
                <w:szCs w:val="20"/>
                <w:color w:val="auto"/>
              </w:rPr>
            </w:pPr>
            <w:r>
              <w:rPr>
                <w:rFonts w:ascii="Arial" w:cs="Arial" w:eastAsia="Arial" w:hAnsi="Arial"/>
                <w:sz w:val="14"/>
                <w:szCs w:val="14"/>
                <w:color w:val="auto"/>
              </w:rPr>
              <w:t>*</w:t>
            </w:r>
          </w:p>
        </w:tc>
      </w:tr>
      <w:tr>
        <w:trPr>
          <w:trHeight w:val="197"/>
        </w:trPr>
        <w:tc>
          <w:tcPr>
            <w:tcW w:w="2740" w:type="dxa"/>
            <w:vAlign w:val="bottom"/>
          </w:tcPr>
          <w:p>
            <w:pPr>
              <w:spacing w:after="0" w:line="197" w:lineRule="exact"/>
              <w:rPr>
                <w:sz w:val="20"/>
                <w:szCs w:val="20"/>
                <w:color w:val="auto"/>
              </w:rPr>
            </w:pPr>
            <w:r>
              <w:rPr>
                <w:rFonts w:ascii="Arial" w:cs="Arial" w:eastAsia="Arial" w:hAnsi="Arial"/>
                <w:sz w:val="18"/>
                <w:szCs w:val="18"/>
                <w:color w:val="auto"/>
                <w:w w:val="90"/>
              </w:rPr>
              <w:t>______________________________</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Not Applicable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Infusion Systems revenue is a result of the acquisition of the HIS business. The year-to-date revenue represents approximately eleven months of revenue from the point of closing of the transaction to the end of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1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ind w:left="540"/>
              <w:spacing w:after="0"/>
              <w:rPr>
                <w:sz w:val="20"/>
                <w:szCs w:val="20"/>
                <w:color w:val="auto"/>
              </w:rPr>
            </w:pPr>
            <w:r>
              <w:rPr>
                <w:rFonts w:ascii="Arial" w:cs="Arial" w:eastAsia="Arial" w:hAnsi="Arial"/>
                <w:sz w:val="16"/>
                <w:szCs w:val="16"/>
                <w:b w:val="1"/>
                <w:bCs w:val="1"/>
                <w:color w:val="auto"/>
              </w:rPr>
              <w:t>2017 over 2016</w:t>
            </w:r>
          </w:p>
        </w:tc>
        <w:tc>
          <w:tcPr>
            <w:tcW w:w="2300" w:type="dxa"/>
            <w:vAlign w:val="bottom"/>
            <w:gridSpan w:val="2"/>
          </w:tcPr>
          <w:p>
            <w:pPr>
              <w:ind w:left="54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Critical Care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(3.6)</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  $</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(0.7)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2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2017, Critical Care revenue, as compared to 2016, slightly decreased due to timing of orders. In 2016, Critical Care revenue decreased, as compared to 2015, due to temporary production constraints that impacted the first part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Deferred Close Entities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part of the HIS business acquisition, the closing of certain foreign jurisdictions were deferred, as such, we entered into a Net Economic Benefit agreement with Pfizer (see Note 2 to the consolidated financial statements in Part II, Item 8 of this Form 10-K for additional information). The revenue data related to these deferred closing entities is not available by product line, therefore our revenue by product line above does not include amounts related to these entities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from our deferred close entities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80" w:type="dxa"/>
            <w:vAlign w:val="bottom"/>
            <w:gridSpan w:val="6"/>
          </w:tcPr>
          <w:p>
            <w:pPr>
              <w:jc w:val="center"/>
              <w:ind w:left="36"/>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 change</w:t>
            </w:r>
          </w:p>
        </w:tc>
        <w:tc>
          <w:tcPr>
            <w:tcW w:w="20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6"/>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ind w:left="500"/>
              <w:spacing w:after="0"/>
              <w:rPr>
                <w:sz w:val="20"/>
                <w:szCs w:val="20"/>
                <w:color w:val="auto"/>
              </w:rPr>
            </w:pPr>
            <w:r>
              <w:rPr>
                <w:rFonts w:ascii="Arial" w:cs="Arial" w:eastAsia="Arial" w:hAnsi="Arial"/>
                <w:sz w:val="16"/>
                <w:szCs w:val="16"/>
                <w:b w:val="1"/>
                <w:bCs w:val="1"/>
                <w:color w:val="auto"/>
              </w:rPr>
              <w:t>2017 over 2016</w:t>
            </w:r>
          </w:p>
        </w:tc>
        <w:tc>
          <w:tcPr>
            <w:tcW w:w="200" w:type="dxa"/>
            <w:vAlign w:val="bottom"/>
          </w:tcPr>
          <w:p>
            <w:pPr>
              <w:spacing w:after="0"/>
              <w:rPr>
                <w:sz w:val="20"/>
                <w:szCs w:val="20"/>
                <w:color w:val="auto"/>
              </w:rPr>
            </w:pPr>
          </w:p>
        </w:tc>
        <w:tc>
          <w:tcPr>
            <w:tcW w:w="2180" w:type="dxa"/>
            <w:vAlign w:val="bottom"/>
            <w:gridSpan w:val="2"/>
          </w:tcPr>
          <w:p>
            <w:pPr>
              <w:ind w:left="48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from Deferred Close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Entities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64.4</w:t>
            </w:r>
          </w:p>
        </w:tc>
        <w:tc>
          <w:tcPr>
            <w:tcW w:w="11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22"/>
          <w:szCs w:val="22"/>
          <w:color w:val="auto"/>
        </w:rPr>
        <w:t>______________________________</w:t>
      </w:r>
    </w:p>
    <w:p>
      <w:pPr>
        <w:spacing w:after="0" w:line="1"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for 2017, 2016 and 2015 were 33.0%, 53.1%, and 52.9%, respectively.</w:t>
      </w:r>
    </w:p>
    <w:p>
      <w:pPr>
        <w:spacing w:after="0" w:line="225"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The decrease in gross margin in 2017, as compared to 2016, was primarily due to the integration of HIS, which has historically had lower gross margins than our legacy business. Additionally, there was an impact of approximately five percentage points related to the step-up of inventory from our purchase accounting and also a temporary negative impact on absorption due to our planned inventory reduction.</w:t>
      </w:r>
    </w:p>
    <w:p>
      <w:pPr>
        <w:spacing w:after="0" w:line="166"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20 basis point increase in gross margin in 2016, as compared to 2015, was primarily due to favorable foreign exchange rates on our operations expenses due to the decline in the Mexican Peso and favorable product mix partially offset by the impact of certain manufacturing constraints in the earlier part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SG&amp;A expenses (in millions, except percentages):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48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tcPr>
          <w:p>
            <w:pPr>
              <w:jc w:val="right"/>
              <w:ind w:right="17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r>
      <w:tr>
        <w:trPr>
          <w:trHeight w:val="231"/>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2017 over 2016</w:t>
            </w:r>
          </w:p>
        </w:tc>
        <w:tc>
          <w:tcPr>
            <w:tcW w:w="2240" w:type="dxa"/>
            <w:vAlign w:val="bottom"/>
            <w:gridSpan w:val="2"/>
          </w:tcPr>
          <w:p>
            <w:pPr>
              <w:jc w:val="right"/>
              <w:ind w:right="614"/>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214.6</w:t>
            </w:r>
          </w:p>
        </w:tc>
        <w:tc>
          <w:tcPr>
            <w:tcW w:w="1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240.0%  $</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2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Consolidated SG&amp;A expense increased $214.6 million in 2017, as compared to 2016, primarily due to the impact of the HIS acquisition. Compensation increased $83.7 million, accounting and information technology fees increased $72.4 million, depreciation expense increased $16.0 million, computer hardware and software increased $11.5 million, travel and related expenses increased $5.8 million and rent expense increased $3.3 million. Compensation increased primarily due to an increase in headcount related to the HIS acquisition, and from new employees hired to support the company post-acquisition. Accounting and information technology fees increased due to the expenses incurred under the transition services agreement with Pfizer. Depreciation expense increased due to the depreciation of the HIS assets acquired. Computer hardware and software increases were due to the post-acquisition needs to stand up the company. Travel and related expenses increased primarily due to the integration of the HIS acquisition and the post-acquisition operational activity. Rent expense increased due to the operating leases assumed on acquired HIS properties.</w:t>
      </w:r>
    </w:p>
    <w:p>
      <w:pPr>
        <w:spacing w:after="0" w:line="1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Consolidated SG&amp;A expense increased in 2016, as compared to 2015, primarily due to an increase of $3.6 million in compensation, $1.5 million in higher dealer fees, $1.3 million in commissions and $0.7 million in depreciation and amortization partially offset by $1.9 million in lower medical device excise taxes and a $0.6 million decrease in legal fees. The increase in compensation was in part due to filling positions that were open during 2015, additional employees retained as part of the acquired SwabCap product line, the general hiring and recruitment of new employees and increases in stock-based compensation issued to attract these employees. The increases in dealer fees and commissions were related to an increase in revenue on which they are calculated. The increase in depreciation and amortization was primarily driven by amortization of acquired intangible assets related to our 2015 acquisition of EXC Holding Corp ("EXC"). The decrease in medical device excise tax expense was due to the elimination of the tax in the current period due to Congress temporarily suspending this tax for the 2016-2017 two-year period and the decrease in legal expenses were a result of fewer litigations.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total R&amp;D Expenses (in millions,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6"/>
          </w:tcPr>
          <w:p>
            <w:pPr>
              <w:jc w:val="center"/>
              <w:ind w:left="47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50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 change</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214"/>
              <w:spacing w:after="0"/>
              <w:rPr>
                <w:sz w:val="20"/>
                <w:szCs w:val="20"/>
                <w:color w:val="auto"/>
              </w:rPr>
            </w:pPr>
            <w:r>
              <w:rPr>
                <w:rFonts w:ascii="Arial" w:cs="Arial" w:eastAsia="Arial" w:hAnsi="Arial"/>
                <w:sz w:val="16"/>
                <w:szCs w:val="16"/>
                <w:b w:val="1"/>
                <w:bCs w:val="1"/>
                <w:color w:val="auto"/>
              </w:rPr>
              <w:t>% change</w:t>
            </w:r>
          </w:p>
        </w:tc>
      </w:tr>
      <w:tr>
        <w:trPr>
          <w:trHeight w:val="33"/>
        </w:trPr>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r>
      <w:tr>
        <w:trPr>
          <w:trHeight w:val="231"/>
        </w:trPr>
        <w:tc>
          <w:tcPr>
            <w:tcW w:w="2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4"/>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4"/>
          </w:tcPr>
          <w:p>
            <w:pPr>
              <w:ind w:left="520"/>
              <w:spacing w:after="0"/>
              <w:rPr>
                <w:sz w:val="20"/>
                <w:szCs w:val="20"/>
                <w:color w:val="auto"/>
              </w:rPr>
            </w:pPr>
            <w:r>
              <w:rPr>
                <w:rFonts w:ascii="Arial" w:cs="Arial" w:eastAsia="Arial" w:hAnsi="Arial"/>
                <w:sz w:val="16"/>
                <w:szCs w:val="16"/>
                <w:b w:val="1"/>
                <w:bCs w:val="1"/>
                <w:color w:val="auto"/>
              </w:rPr>
              <w:t>2017 over 2016</w:t>
            </w:r>
          </w:p>
        </w:tc>
        <w:tc>
          <w:tcPr>
            <w:tcW w:w="2320" w:type="dxa"/>
            <w:vAlign w:val="bottom"/>
            <w:gridSpan w:val="2"/>
          </w:tcPr>
          <w:p>
            <w:pPr>
              <w:ind w:left="560"/>
              <w:spacing w:after="0"/>
              <w:rPr>
                <w:sz w:val="20"/>
                <w:szCs w:val="20"/>
                <w:color w:val="auto"/>
              </w:rPr>
            </w:pPr>
            <w:r>
              <w:rPr>
                <w:rFonts w:ascii="Arial" w:cs="Arial" w:eastAsia="Arial" w:hAnsi="Arial"/>
                <w:sz w:val="16"/>
                <w:szCs w:val="16"/>
                <w:b w:val="1"/>
                <w:bCs w:val="1"/>
                <w:color w:val="auto"/>
              </w:rPr>
              <w:t>2016 over 2015</w:t>
            </w:r>
          </w:p>
        </w:tc>
      </w:tr>
      <w:tr>
        <w:trPr>
          <w:trHeight w:val="33"/>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38.3</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294.6%  $</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2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as compared to 2016, R&amp;D expenses increased due to the acquisition of HIS.</w:t>
      </w:r>
    </w:p>
    <w:p>
      <w:pPr>
        <w:spacing w:after="0" w:line="22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2016, as compared to 2015, R&amp;D expenses declined primarily from decreasing R&amp;D project expenses related to the development of our Cogent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2-in-1 hemodynamic monitoring system, which received FDA 510(k) clearance during 2016.</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Restructuring and Strategic Transaction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Restructuring and strategic transaction expenses were $78.0 million, $15.3 million and $8.5 million in 2017, 2016 and 2015,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2017, restructuring charges were $18.8 million. These charges were related to (i) severance costs from the reduction in our workforce needed to eliminate duplicative positions created as a result of the HIS acquisition and (ii) we are also in the process of closing our Dominican Republic manufacturing facilities and have incurred expenses associated with the closure and transfer of assets and production to our Costa Rica and Mexico manufacturing facilities. We have $0.9 million in unpaid restructuring charges related to the year-ended December 31, 2017.</w:t>
      </w:r>
    </w:p>
    <w:p>
      <w:pPr>
        <w:spacing w:after="0" w:line="198" w:lineRule="exact"/>
        <w:rPr>
          <w:sz w:val="20"/>
          <w:szCs w:val="20"/>
          <w:color w:val="auto"/>
        </w:rPr>
      </w:pPr>
    </w:p>
    <w:p>
      <w:pPr>
        <w:ind w:right="680" w:firstLine="648"/>
        <w:spacing w:after="0" w:line="324" w:lineRule="auto"/>
        <w:rPr>
          <w:sz w:val="20"/>
          <w:szCs w:val="20"/>
          <w:color w:val="auto"/>
        </w:rPr>
      </w:pPr>
      <w:r>
        <w:rPr>
          <w:rFonts w:ascii="Arial" w:cs="Arial" w:eastAsia="Arial" w:hAnsi="Arial"/>
          <w:sz w:val="18"/>
          <w:szCs w:val="18"/>
          <w:color w:val="auto"/>
        </w:rPr>
        <w:t>In 2016, restructuring charges were $1.0 million. These charges were primarily related to residual expenses for the closure of our Slovakian manufacturing facility and we incurred $0.2 million related to other restructuring activities.</w:t>
      </w:r>
    </w:p>
    <w:p>
      <w:pPr>
        <w:spacing w:after="0" w:line="14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2015, restructuring charges were $6.7 million. These charges were related to: (i) an agreement with Dr. Lopez, a member of our Board of Directors and a former employee in our research and development department, pursuant to which we bought out Dr. Lopez's right to employment under his then-existing employment agreement; (ii) the reorganization of our corporate infrastructure, resulting in one-time employee termination benefits and other associated costs; and (iii) a commitment to a plan to sell our Slovakia manufacturing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2017, we incurred $59.2 million in strategic transaction and integration expenses primarily related to our acquisition of the HIS business.</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In 2016, we incurred $14.3 million in strategic transaction expenses related to our acquisition of the HIS business, our second quarter 2016 acquisition of Tangent and expenses related to our acquisition of EXC.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incurred $1.8 million in strategic transaction expenses related to the acquisition of EXC.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2017, the fair value revaluation of our HIS contingent earn-out liability resulted in a loss of $8.0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building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recognized a gain of $1.1 million in 2015 from the sale of one of our buildings in San Clemente to Dr. Lopez,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we recorded a net settlement charge of $1.8 million, less than 1% of revenues, due to the following claims: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An arbitrator ruled on a breach of contract claim between us and a service provider, awarding us a gross settlement of $8.8 million. Our legal counsel for this matter represented us under a contingency fee agreement. We recorded a settlement award, net of legal fees and costs, of $5.3 million; and</w:t>
      </w:r>
    </w:p>
    <w:p>
      <w:pPr>
        <w:spacing w:after="0" w:line="1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An arbitrator ruled on a breach of contract claim between us and a customer, Hospira, awarding Hospira a settlement and that we pay 75% of Hospira's legal fees and expenses, resulting in a $7.1 million legal settlement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 Held-for-Sale</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2016, we completed the closure of our Slovakia manufacturing facility and sold the land and building held-for-sale for $3.3 million, net of costs to sell, resulting in an additional impairment loss of $0.7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8" w:right="259" w:bottom="1440" w:gutter="0" w:footer="0" w:header="0"/>
        </w:sectPr>
      </w:pPr>
    </w:p>
    <w:bookmarkStart w:id="37" w:name="page38"/>
    <w:bookmarkEnd w:id="37"/>
    <w:p>
      <w:pPr>
        <w:ind w:right="120" w:firstLine="648"/>
        <w:spacing w:after="0" w:line="257" w:lineRule="auto"/>
        <w:rPr>
          <w:sz w:val="20"/>
          <w:szCs w:val="20"/>
          <w:color w:val="auto"/>
        </w:rPr>
      </w:pPr>
      <w:r>
        <w:rPr>
          <w:rFonts w:ascii="Arial" w:cs="Arial" w:eastAsia="Arial" w:hAnsi="Arial"/>
          <w:sz w:val="18"/>
          <w:szCs w:val="18"/>
          <w:color w:val="auto"/>
        </w:rPr>
        <w:t>During 2015, our Board of Directors authorized us to close our Vrable, Slovakia manufacturing facility. The closure was to enable for greater efficiency of our Ensenada, Mexico facility. After receiving the Board of Director's authorization, we reclassified the assets related to the Slovakia facility as held-for-sale, and recorded the value of those assets at the lower of their carrying value or their estimated fair value, less costs to sell, which was based on a third party fair market valuation. As the estimated fair value, less cost to sell was lower than the carrying value of the assets held-for-sale we recorded an impairment charge of $4.1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2017, in connection with the HIS acquisition, we recognized a bargain purchase gain of $70.9 million. The bargain purchase gain represented the excess of the estimated fair market value of the identifiable tangible and intangible assets acquired and liabilities assumed, net of deferred tax liabilities over the total purchase consideration.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2016, we recognized a bargain purchase gain of $1.5 million in connection with the Tangent acquisition. The bargain purchase gain represented the excess of the estimated fair market value of the identifiable tangible and intangible assets acquired and liabilities assumed, net of deferred tax assets over the total purchase consideration. The bargain purchase was driven by our ability to realize acquired deferred tax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expense was $2.0 million, $0.1 million and $0.0 million in 2017, 2016 and 2015, respectively. In 2017, the interest expense was related to (i) the $75 million seller note from Pfizer as part of the HIS business acquisition and (ii) the per annum commitment fee charged on the unused portion of our revolver under the new five-year $150 million Credit Facility.</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three-year interest only seller note bore interest based on the London Interbank Offered Rate ("LIBOR") plus (i) 2.25% per year for the first 12 months, and (ii) 2.50% per annum thereafter. On November 8, 2017, we fully repaid the $75 million in outstanding principal under the senior note payable to Pfizer.</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per annum commitment fee is based on consolidated total leverage ratio in effect and can range between 0.15% to 0.30% on the unused portion of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income was $(2.5) million, $0.9 million and $1.2 million in 2017,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were accrued at an estimated annual effective tax rate of (34%), 26% and 35% in 2017, 2016 and 2015, respectively.</w:t>
      </w:r>
    </w:p>
    <w:p>
      <w:pPr>
        <w:spacing w:after="0" w:line="225"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The effective tax rate for 2017 differs from the federal statutory rate of 35% principally because of the effect of the mix of U.S. and foreign incomes, state income taxes, tax credits and the impact of the gain on bargain purchase. The effective tax rate during 2017 also included a material tax benefit of $20.8 million related to the excess tax benefits recognized on stock option exercises and the vesting of restricted stock units during the period.</w:t>
      </w:r>
    </w:p>
    <w:p>
      <w:pPr>
        <w:spacing w:after="0" w:line="14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As of December 31, 2017, we recorded income tax expense of $3.1 million as a result of the Tax Act, which is comprised of $1.1 million of income tax expense as a result of the re-measurement of deferred tax assets and liabilities at the new lower statutory tax rate of 21%, and a net tax expense of $2.0 million as a result of the mandatory deemed repatriation on earnings and profits of U.S.-owned foreign subsidiaries. We elected to record the mandatory repatriation and re-measurement of deferred taxes as a provisional amount for the year ended December 31, 2017, which we believe is a reasonable estimate in accordance with the Tax Act. However, due to the complexity and considerable amount of changes in tax law, we will adjust our estimates and further refine our tax calculations, if necessary, as changes to interpretations and further guidance around the newly enacted provisions are issued by the Internal Revenue Service. We are still evaluating various international provisions included in the Tax Act and have therefore not completed our assessment. These provisions will be effective for us beginning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8" w:name="page39"/>
    <w:bookmarkEnd w:id="38"/>
    <w:p>
      <w:pPr>
        <w:ind w:right="720"/>
        <w:spacing w:after="0" w:line="277" w:lineRule="auto"/>
        <w:rPr>
          <w:sz w:val="20"/>
          <w:szCs w:val="20"/>
          <w:color w:val="auto"/>
        </w:rPr>
      </w:pPr>
      <w:r>
        <w:rPr>
          <w:rFonts w:ascii="Arial" w:cs="Arial" w:eastAsia="Arial" w:hAnsi="Arial"/>
          <w:sz w:val="18"/>
          <w:szCs w:val="18"/>
          <w:color w:val="auto"/>
        </w:rPr>
        <w:t>on January 1, 2018, and may materially impact our effective tax rate in future years. For further discussion, see Note 13 to the consolidated financial statements in Part II, Item 8 of this Form 10-K.</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effective tax rate for 2016 differs from the federal statutory rate principally because of the effect of foreign and state income taxes, tax credits, deductions for domestic production activities, and included material discrete tax benefit of $7.6 million related to the excess tax benefits recognized on stock option exercises and the vesting of restricted stock units during the period, which is treated as a discrete item when determining our annual estimated effective tax rate.</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Included in the 2015 estimated annual effective tax rate are the effects of foreign and state income taxes, tax credits, deductions for domestic production activities and discrete tax items related to the conclusion of state tax examinations, one-time tax effects related to the acquisition of EXC, and tax impact related to the proposed shut down of our Slovakia plant.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primary sources of cash are cash flows from operating activities, proceeds from the exercise of employee options and available borrowings under our Credit Facility (as defined above). Our primary uses of cash are to meet working capital requirements, finance capital expenditures and acquisitions along with acquisition-related incremental transaction and integration costs.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2017, our cash, cash equivalents and short-term investment securities decreased by $144.9 million from $445.1 million at December 31, 2016 to $300.1 million at December 31, 2017. The decrease was due to our 2017 acquisitions and the incremental costs such as transaction and integration costs related to those acquisitions.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December 31, 2017, we have $153.2 million of cash and cash equivalents held in local currency by our foreign subsidiaries. We expect to permanently reinvest these funds outside of the U.S. and, based on our current plans, we do not presently anticipate a need to repatriate them to fund our U.S.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mentioned above, we entered into a five-year $150 million Credit Facility. The Credit Facility provides us with fast, flexible funding for future acquisition and operational needs.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 portfolio is invested in corporate bonds and our primary investment goal is capital preservation.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While we can provide no assurances, we estimate that our capital expenditures in 2018 will approximate $80 million to $90 million. We anticipate making additional investments in machinery and equipment in our manufacturing operations in Costa Rica, the U.S. and Mexico to support new and existing products, in infusion products that get placed with customers outside the U.S., and in IT to benefit world-wide operations. We expect to use our cash and cash equivalents to fund our capital purchases. Amounts of spending are estimates and actual spending may substantially differ from those amounts.</w:t>
      </w:r>
    </w:p>
    <w:p>
      <w:pPr>
        <w:spacing w:after="0" w:line="15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that our existing cash, cash equivalents along with funds expected to be generated from future operations will provide us with sufficient funds to finance our current operations for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long-term liquidity needs include interest/commitment payments on the Credit Facility, capital expenditures related to the expansion of our business and potential acquisitions in accordance with our growth strategy.</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are unable to project with certainty whether our long-term cash flow from operations and amounts available to us under our Credit Facility will be sufficient to fund our future capital expenditures and acquisitions as they arise. In the event that we experience illiquidity in our investment securities,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As mentioned above, we entered into a five-year Credit Facility that includes $150 million borrowing capacity available for revolving credit loans and may also be used to borrow, on same-day notice under a swingline, the lesser of $10 million and the aggregate unused amount of the revolving credit available. As of December 31, 2017, we had no borrowings and $150 million of availability under the revolving credit facility.</w:t>
      </w:r>
    </w:p>
    <w:p>
      <w:pPr>
        <w:spacing w:after="0" w:line="166"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All of our obligations under the Credit Facility are guaranteed by ICU Medical, Inc. and certain of our existing subsidiaries. The obligations under the Credit Facility are secured by a pledge of 100% of the capital stock of certain subsidiaries owned by us and a security interest in substantially all of our tangible and intangible assets and the tangible and intangible assets of each guarantor.</w:t>
      </w:r>
    </w:p>
    <w:p>
      <w:pPr>
        <w:spacing w:after="0" w:line="18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Credit Facility contains certain financial covenants pertaining to Consolidated Fixed Charge Coverage and Consolidated Total Leverage ratios, see below under "Financial Covenants".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i w:val="1"/>
          <w:iCs w:val="1"/>
          <w:color w:val="auto"/>
        </w:rPr>
        <w:t>:</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cash provided by operations was $154.4 million in 2017. Net income plus adjustments for non-cash net expenses contributed $98.5 million to cash provided by operations. Net cash provided by operations as a result of changes in operating assets and liabilities was $55.9 million. The changes in operating assets and liabilities included a $181.7 million decrease in inventories, a $46.6 million increase in accounts payable, and a $33.8 million increase in accrued liabilities. Offsetting these cash inflows was a $95.3 million increase in related-party receivables, a $54.5 million increase in accounts receivable, a $31.8 million increase in prepaid expenses and other assets, and a $24.6 million net change in prepaid and deferred income taxes. The decrease in inventory was due to a planned inventory reduction of our acquired inventory to manage working capital needs. The increase in accounts payable was due to the increase in expenses related to the post-acquisition operations. The increase in accrued liabilities was primarily a result of increased salary and benefits due to a larger workforce. The increase in related-party receivables was primarily due to amounts paid for transitional service arrangement fees, working capital adjustments and other HIS-related amounts. The increase in prepaid expenses and other assets was primarily due to HIS post-acquisition operations. The increase in accounts receivable is due to the increase in revenue. The net changes in income taxes was a result of the timing of payments.</w:t>
      </w:r>
    </w:p>
    <w:p>
      <w:pPr>
        <w:spacing w:after="0" w:line="16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cash provided by operations was $89.9 million in 2016. Net income plus adjustments for non-cash net expenses contributed $98.7 million to cash provided by operations. Net cash used by operations as a result of changes in operating assets and liabilities was $8.8 million. The changes in operating assets and liabilities included a $5.5 million increase in inventories, a $3.0 million increase in prepaid expenses and other assets, a $1.2 million decrease in accrued liabilities, and a $0.5 million decrease in accounts payable, partially offset by a $0.7 million decrease in accounts receivable and a $0.7 million net change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0" w:name="page41"/>
    <w:bookmarkEnd w:id="40"/>
    <w:p>
      <w:pPr>
        <w:spacing w:after="0" w:line="291" w:lineRule="auto"/>
        <w:rPr>
          <w:sz w:val="20"/>
          <w:szCs w:val="20"/>
          <w:color w:val="auto"/>
        </w:rPr>
      </w:pPr>
      <w:r>
        <w:rPr>
          <w:rFonts w:ascii="Arial" w:cs="Arial" w:eastAsia="Arial" w:hAnsi="Arial"/>
          <w:sz w:val="16"/>
          <w:szCs w:val="16"/>
          <w:color w:val="auto"/>
        </w:rPr>
        <w:t>prepaid and deferred income taxes. The increase in inventories was primarily due to building finished good safety stock, to support better customer deliveries, raw materials related to our Slovakia plant closure, and related transfer to our Mexico plant, and inventory associated with the acquired SwabCap product-line. The increase in prepaid expenses and other assets was primarily due to repayment of state aid and interest related to the closure of our Slovakian manufacturing facilities. The decrease in accrued liabilities was primarily due to the payment of accrued restructuring charges related to the closure of our Slovakian manufacturing facility and the payment of acquisition-related accruals from our 2015 EXC acquisition. The decrease in accounts payable was a result of the timing of disbursements. The decrease in accounts receivable was due to collection efforts on our past due accounts. The net changes in income taxes was a result of the timing of payments for cash tax purposes, which includes true-ups for 2015 overpayment and 2016 estimated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ectPr>
          <w:pgSz w:w="11900" w:h="16838" w:orient="portrait"/>
          <w:cols w:equalWidth="0" w:num="1">
            <w:col w:w="11380"/>
          </w:cols>
          <w:pgMar w:left="240" w:top="368" w:right="279" w:bottom="144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4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8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(74,479)</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(23,361)</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(51,118)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the disposal of assets held-for-sale, net</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Intangible asset additions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(162,448)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(159,864)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54,202</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w w:val="91"/>
              </w:rPr>
              <w:t>Proceeds from sale of assets acquired in a business combination</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28,970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93,641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(62,247)</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2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158,534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83,054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(158,534)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75,480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(266,871)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16,281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27,523</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22"/>
                <w:szCs w:val="22"/>
                <w:color w:val="auto"/>
              </w:rPr>
              <w:t>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-1565910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-1223010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-880110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140" w:firstLine="8"/>
        <w:spacing w:after="0" w:line="287" w:lineRule="auto"/>
        <w:tabs>
          <w:tab w:leader="none" w:pos="178" w:val="left"/>
        </w:tabs>
        <w:numPr>
          <w:ilvl w:val="0"/>
          <w:numId w:val="26"/>
        </w:numPr>
        <w:rPr>
          <w:rFonts w:ascii="Arial" w:cs="Arial" w:eastAsia="Arial" w:hAnsi="Arial"/>
          <w:sz w:val="20"/>
          <w:szCs w:val="20"/>
          <w:color w:val="auto"/>
          <w:vertAlign w:val="superscript"/>
        </w:rPr>
      </w:pPr>
      <w:r>
        <w:rPr>
          <w:rFonts w:ascii="Arial" w:cs="Arial" w:eastAsia="Arial" w:hAnsi="Arial"/>
          <w:sz w:val="15"/>
          <w:szCs w:val="15"/>
          <w:color w:val="auto"/>
        </w:rPr>
        <w:t>Our purchases of property, plant and equipment will vary from period to period based on additional investments needed to support new and existing products and expansion of our manufacturing facilities. The purchases during 2017 primarily related to HIS entities.</w:t>
      </w:r>
    </w:p>
    <w:p>
      <w:pPr>
        <w:spacing w:after="0" w:line="122" w:lineRule="exact"/>
        <w:rPr>
          <w:rFonts w:ascii="Arial" w:cs="Arial" w:eastAsia="Arial" w:hAnsi="Arial"/>
          <w:sz w:val="20"/>
          <w:szCs w:val="20"/>
          <w:color w:val="auto"/>
          <w:vertAlign w:val="superscript"/>
        </w:rPr>
      </w:pPr>
    </w:p>
    <w:p>
      <w:pPr>
        <w:ind w:left="200" w:hanging="192"/>
        <w:spacing w:after="0"/>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In 2015, we sold an office building for $3.6 million.</w:t>
      </w:r>
    </w:p>
    <w:p>
      <w:pPr>
        <w:spacing w:after="0" w:line="167" w:lineRule="exact"/>
        <w:rPr>
          <w:rFonts w:ascii="Arial" w:cs="Arial" w:eastAsia="Arial" w:hAnsi="Arial"/>
          <w:sz w:val="23"/>
          <w:szCs w:val="23"/>
          <w:color w:val="auto"/>
          <w:vertAlign w:val="superscript"/>
        </w:rPr>
      </w:pPr>
    </w:p>
    <w:p>
      <w:pPr>
        <w:ind w:left="200" w:hanging="192"/>
        <w:spacing w:after="0"/>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In 2016, we sold our Slovakian manufacturing facilities for $3.3 million, net of costs to sell of $0.1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208" w:lineRule="exact"/>
        <w:rPr>
          <w:sz w:val="20"/>
          <w:szCs w:val="20"/>
          <w:color w:val="auto"/>
        </w:rPr>
      </w:pPr>
    </w:p>
    <w:p>
      <w:pPr>
        <w:sectPr>
          <w:pgSz w:w="11900" w:h="16838" w:orient="portrait"/>
          <w:cols w:equalWidth="0" w:num="2">
            <w:col w:w="10980" w:space="20"/>
            <w:col w:w="380"/>
          </w:cols>
          <w:pgMar w:left="240" w:top="368" w:right="279" w:bottom="1440" w:gutter="0" w:footer="0" w:header="0"/>
          <w:type w:val="continuous"/>
        </w:sectPr>
      </w:pPr>
    </w:p>
    <w:p>
      <w:pPr>
        <w:spacing w:after="0" w:line="2" w:lineRule="exact"/>
        <w:rPr>
          <w:sz w:val="20"/>
          <w:szCs w:val="20"/>
          <w:color w:val="auto"/>
        </w:rPr>
      </w:pPr>
    </w:p>
    <w:p>
      <w:pPr>
        <w:ind w:right="60" w:firstLine="8"/>
        <w:spacing w:after="0" w:line="268"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In 2017, we acquired HIS for $260 million in cash consideration (net of working capital adjustments), financed with existing cash balances and a three-year interest-only seller note of $75 million and we delivered 3.2 million shares of our common stock to Pfizer and we acquired Fannin for $1.5 million and MLA for $9.0 million in cash consideration. In 2016, we acquired Tangent for $2.6 million in cash. In 2015, we acquired EXC for $56.8 million in cash.</w:t>
      </w:r>
    </w:p>
    <w:p>
      <w:pPr>
        <w:spacing w:after="0" w:line="170"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In 2015, we sold certain assets from the EXC acquisition for $29.0 million in cash to Excelsior Medical, LLC.</w:t>
      </w:r>
    </w:p>
    <w:p>
      <w:pPr>
        <w:spacing w:after="0" w:line="201" w:lineRule="exact"/>
        <w:rPr>
          <w:rFonts w:ascii="Arial" w:cs="Arial" w:eastAsia="Arial" w:hAnsi="Arial"/>
          <w:sz w:val="21"/>
          <w:szCs w:val="21"/>
          <w:color w:val="auto"/>
          <w:vertAlign w:val="superscript"/>
        </w:rPr>
      </w:pPr>
    </w:p>
    <w:p>
      <w:pPr>
        <w:ind w:right="180" w:firstLine="8"/>
        <w:spacing w:after="0" w:line="294" w:lineRule="auto"/>
        <w:tabs>
          <w:tab w:leader="none" w:pos="178" w:val="left"/>
        </w:tabs>
        <w:numPr>
          <w:ilvl w:val="0"/>
          <w:numId w:val="27"/>
        </w:numPr>
        <w:rPr>
          <w:rFonts w:ascii="Arial" w:cs="Arial" w:eastAsia="Arial" w:hAnsi="Arial"/>
          <w:sz w:val="20"/>
          <w:szCs w:val="20"/>
          <w:color w:val="auto"/>
          <w:vertAlign w:val="superscript"/>
        </w:rPr>
      </w:pPr>
      <w:r>
        <w:rPr>
          <w:rFonts w:ascii="Arial" w:cs="Arial" w:eastAsia="Arial" w:hAnsi="Arial"/>
          <w:sz w:val="15"/>
          <w:szCs w:val="15"/>
          <w:color w:val="auto"/>
        </w:rPr>
        <w:t>Our purchases of investment securities will vary from period to period based on current cash needs, planning for known future transactions and due to changes in our investment strategy. In 2016, we amended our investment policy to allow for the purchase of securities with final maturities in excess of one year. Accordingly, we adjusted our investment strategy to take advantage of the higher yields available on these longer term securities. Our longer term securities have maturities up to three years.</w:t>
      </w:r>
    </w:p>
    <w:p>
      <w:pPr>
        <w:spacing w:after="0" w:line="164" w:lineRule="exact"/>
        <w:rPr>
          <w:rFonts w:ascii="Arial" w:cs="Arial" w:eastAsia="Arial" w:hAnsi="Arial"/>
          <w:sz w:val="20"/>
          <w:szCs w:val="20"/>
          <w:color w:val="auto"/>
          <w:vertAlign w:val="superscript"/>
        </w:rPr>
      </w:pPr>
    </w:p>
    <w:p>
      <w:pPr>
        <w:ind w:right="140" w:firstLine="8"/>
        <w:spacing w:after="0" w:line="252"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The proceeds from the sale of our investment securities increased significantly during 2016, as compared to the comparable prior year periods, due to the liquidation of all of our short-term and long-term investment securities, which were used to fund the 2017 acquisition of HIS.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68" w:right="2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changes in our financing cash flows (in thousands):</w:t>
      </w:r>
    </w:p>
    <w:p>
      <w:pPr>
        <w:sectPr>
          <w:pgSz w:w="11900" w:h="16838" w:orient="portrait"/>
          <w:cols w:equalWidth="0" w:num="1">
            <w:col w:w="11400"/>
          </w:cols>
          <w:pgMar w:left="240" w:top="368"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20" w:type="dxa"/>
            <w:vAlign w:val="bottom"/>
            <w:gridSpan w:val="8"/>
          </w:tcPr>
          <w:p>
            <w:pPr>
              <w:ind w:left="26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Financing Cash Flows: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Repayment of long-term obligations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Proceeds from employee stock purchase plan</w:t>
            </w:r>
          </w:p>
        </w:tc>
        <w:tc>
          <w:tcPr>
            <w:tcW w:w="2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(15,712)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80" w:type="dxa"/>
            <w:vAlign w:val="bottom"/>
          </w:tcPr>
          <w:p>
            <w:pPr>
              <w:ind w:left="14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(44,349)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15,681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8890</wp:posOffset>
            </wp:positionV>
            <wp:extent cx="391033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428" w:lineRule="exact"/>
        <w:rPr>
          <w:sz w:val="20"/>
          <w:szCs w:val="20"/>
          <w:color w:val="auto"/>
        </w:rPr>
      </w:pPr>
    </w:p>
    <w:p>
      <w:pPr>
        <w:sectPr>
          <w:pgSz w:w="11900" w:h="16838" w:orient="portrait"/>
          <w:cols w:equalWidth="0" w:num="2">
            <w:col w:w="11080" w:space="20"/>
            <w:col w:w="300"/>
          </w:cols>
          <w:pgMar w:left="240" w:top="368" w:right="25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______________________________</w:t>
      </w:r>
    </w:p>
    <w:p>
      <w:pPr>
        <w:ind w:left="220" w:hanging="212"/>
        <w:spacing w:after="0" w:line="204" w:lineRule="auto"/>
        <w:tabs>
          <w:tab w:leader="none" w:pos="220" w:val="left"/>
        </w:tabs>
        <w:numPr>
          <w:ilvl w:val="0"/>
          <w:numId w:val="28"/>
        </w:numPr>
        <w:rPr>
          <w:rFonts w:ascii="Arial" w:cs="Arial" w:eastAsia="Arial" w:hAnsi="Arial"/>
          <w:sz w:val="26"/>
          <w:szCs w:val="26"/>
          <w:color w:val="auto"/>
          <w:vertAlign w:val="superscript"/>
        </w:rPr>
      </w:pPr>
      <w:r>
        <w:rPr>
          <w:rFonts w:ascii="Arial" w:cs="Arial" w:eastAsia="Arial" w:hAnsi="Arial"/>
          <w:sz w:val="16"/>
          <w:szCs w:val="16"/>
          <w:color w:val="auto"/>
        </w:rPr>
        <w:t>The repayment of long-term obligations is related to the repayment of the $75 million seller note from Pfizer.</w:t>
      </w:r>
    </w:p>
    <w:p>
      <w:pPr>
        <w:spacing w:after="0" w:line="15" w:lineRule="exact"/>
        <w:rPr>
          <w:rFonts w:ascii="Arial" w:cs="Arial" w:eastAsia="Arial" w:hAnsi="Arial"/>
          <w:sz w:val="26"/>
          <w:szCs w:val="26"/>
          <w:color w:val="auto"/>
          <w:vertAlign w:val="superscript"/>
        </w:rPr>
      </w:pPr>
    </w:p>
    <w:p>
      <w:pPr>
        <w:ind w:right="100" w:firstLine="8"/>
        <w:spacing w:after="0" w:line="278" w:lineRule="auto"/>
        <w:tabs>
          <w:tab w:leader="none" w:pos="178"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Proceeds from the exercise of stock options will vary from period to period based on the volume of options exercised and the exercise price of the specific options exercised.</w:t>
      </w:r>
    </w:p>
    <w:p>
      <w:pPr>
        <w:spacing w:after="0" w:line="166" w:lineRule="exact"/>
        <w:rPr>
          <w:rFonts w:ascii="Arial" w:cs="Arial" w:eastAsia="Arial" w:hAnsi="Arial"/>
          <w:sz w:val="20"/>
          <w:szCs w:val="20"/>
          <w:color w:val="auto"/>
          <w:vertAlign w:val="superscript"/>
        </w:rPr>
      </w:pPr>
    </w:p>
    <w:p>
      <w:pPr>
        <w:ind w:right="500" w:firstLine="8"/>
        <w:spacing w:after="0" w:line="266" w:lineRule="auto"/>
        <w:tabs>
          <w:tab w:leader="none" w:pos="178"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In 2017, our employees surrendered 27,636 shares of our common stock from vested restricted stock awards as consideration for approximately $4.1 million in minimum statutory withholding obligations paid on their behalf.</w:t>
      </w:r>
    </w:p>
    <w:p>
      <w:pPr>
        <w:ind w:right="12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In 2016, we purchased 174,885 shares of our common stock under our share purchase plan on the open market for $15.3 million. Additionally in 2016, our employees surrendered 20,261 shares of our common stock from vested restricted stock awards as consideration for approximately $1.9 million in minimum statutory withholding obligations paid on their behalf.</w:t>
      </w:r>
    </w:p>
    <w:p>
      <w:pPr>
        <w:spacing w:after="0" w:line="1" w:lineRule="exact"/>
        <w:rPr>
          <w:rFonts w:ascii="Arial" w:cs="Arial" w:eastAsia="Arial" w:hAnsi="Arial"/>
          <w:sz w:val="20"/>
          <w:szCs w:val="20"/>
          <w:color w:val="auto"/>
          <w:vertAlign w:val="superscript"/>
        </w:rPr>
      </w:pPr>
    </w:p>
    <w:p>
      <w:pPr>
        <w:ind w:right="120"/>
        <w:spacing w:after="0" w:line="261" w:lineRule="auto"/>
        <w:rPr>
          <w:rFonts w:ascii="Arial" w:cs="Arial" w:eastAsia="Arial" w:hAnsi="Arial"/>
          <w:sz w:val="20"/>
          <w:szCs w:val="20"/>
          <w:color w:val="auto"/>
          <w:vertAlign w:val="superscript"/>
        </w:rPr>
      </w:pPr>
      <w:r>
        <w:rPr>
          <w:rFonts w:ascii="Arial" w:cs="Arial" w:eastAsia="Arial" w:hAnsi="Arial"/>
          <w:sz w:val="18"/>
          <w:szCs w:val="18"/>
          <w:color w:val="auto"/>
        </w:rPr>
        <w:t>In 2015, our employees surrendered 17,299 shares of our common stock from vested restricted stock awards as consideration for approximately $1.5 million in minimum statutory withholding obligations paid on their behalf.</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common stock purchase plan, which authorized the repurchase of up to $40.0 million of our common stock, was authorized by our Board of Directors and publicly announced on July 19, 2010. To date, we have purchased a total of $32.8 million of our stock from this plan, leaving a balance of $7.2 million available for future purchases. This plan has no expiration date. We are currently limited on share purchases in accordance with the terms and conditions of our Credit Facility (see Note 12 to the consolidated financial statements in Part II, Item 8 of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the consolidated financial statements in Part II,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68" w:right="2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40" w:firstLine="648"/>
        <w:spacing w:after="0" w:line="291" w:lineRule="auto"/>
        <w:rPr>
          <w:sz w:val="20"/>
          <w:szCs w:val="20"/>
          <w:color w:val="auto"/>
        </w:rPr>
      </w:pPr>
      <w:r>
        <w:rPr>
          <w:rFonts w:ascii="Arial" w:cs="Arial" w:eastAsia="Arial" w:hAnsi="Arial"/>
          <w:sz w:val="16"/>
          <w:szCs w:val="16"/>
          <w:color w:val="auto"/>
        </w:rPr>
        <w:t>We have contractual obligations, at December 31, 2017, of approximately the amount set forth in the table below. This amount excludes inventory-related purchase orders for goods and services for current delivery and other open orders for purchases that support normal operations. The majority of our inventory purchase orders are blanket purchase orders that represent an estimated forecast of goods and services. We do not have a commitment liability on the blanket purchase orders. Since we do not have the ability to separate out blanket purchase orders from non-blanket purchase orders for inventory-related goods and services for current delivery, amounts related to such purchase orders are excluded from the table below. We have excluded from the table below pursuant to ASC 740-10-25 (formerly FIN 48), an interpretation of ASC 740-10 (formerly SFAS 109), a non-current income tax liability of $4.6 million due to the high degree of uncertainty regarding the timing of future cash outflows associated with the liabilities.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3"/>
        </w:trPr>
        <w:tc>
          <w:tcPr>
            <w:tcW w:w="22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22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73"/>
              <w:spacing w:after="0"/>
              <w:rPr>
                <w:sz w:val="20"/>
                <w:szCs w:val="20"/>
                <w:color w:val="auto"/>
              </w:rPr>
            </w:pPr>
            <w:r>
              <w:rPr>
                <w:rFonts w:ascii="Arial" w:cs="Arial" w:eastAsia="Arial" w:hAnsi="Arial"/>
                <w:sz w:val="16"/>
                <w:szCs w:val="16"/>
                <w:b w:val="1"/>
                <w:bCs w:val="1"/>
                <w:color w:val="auto"/>
                <w:w w:val="99"/>
              </w:rPr>
              <w:t>Thereafter</w:t>
            </w:r>
          </w:p>
        </w:tc>
      </w:tr>
      <w:tr>
        <w:trPr>
          <w:trHeight w:val="33"/>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Commitment fee on Credit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Facility</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31,506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4,059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6,446</w:t>
            </w: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Warehouse service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agreements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92,456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14,005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34,756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39,218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55"/>
        </w:trPr>
        <w:tc>
          <w:tcPr>
            <w:tcW w:w="20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128,758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15,865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21,443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39,044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42,660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6"/>
                <w:szCs w:val="16"/>
                <w:color w:val="auto"/>
              </w:rPr>
              <w:t>3,300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6,446</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w:t>
      </w:r>
    </w:p>
    <w:p>
      <w:pPr>
        <w:spacing w:after="0" w:line="103" w:lineRule="exact"/>
        <w:rPr>
          <w:sz w:val="20"/>
          <w:szCs w:val="20"/>
          <w:color w:val="auto"/>
        </w:rPr>
      </w:pPr>
    </w:p>
    <w:p>
      <w:pPr>
        <w:ind w:right="220" w:firstLine="8"/>
        <w:spacing w:after="0" w:line="301" w:lineRule="auto"/>
        <w:tabs>
          <w:tab w:leader="none" w:pos="178"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Purchase obligations includes agreements to purchase goods that are enforceable and legally binding. These amounts are not accrued as of December 31, 2017. It does not include milestone payments where payments may be refundable unless regulatory approval is obtained.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investment securities, revenue recognition, accounts receivable, inventories, property, plant and equipment and related depreciation, income taxes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investment securities consist of corporate bonds, which are classified as available-for-sale. Available-for-sale securities are recorded at fair value, and unrealized holding gains and losses are recorded, net of tax, as a component of accumulated other comprehensive income. Unrealized gains and losses on items for which the fair value option has been elected are reported in earnings at each subsequent reporting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record sales and related costs when ownership of the product transfers to the customer, persuasive evidence of an arrangement exists, collectability is reasonably assured and the sales price is determinable. Under the terms of all our purchase orders, ownership transfers on shipment. If there are significant doubts at the time of shipment as to the collectability of the receivable, we defer recognition of the sale in revenue until the receivable is collected. Our customers are medical product manufacturers, distributors and end-users. Our only post-sale obligations are warranty and certain rebates. We warrant products against defects and have a policy permitting the return of defective products. We accrue for warranty and product returns based on historical experience. We accrue rebates as a reduction in revenue based on agreements and historical experience.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3" w:name="page44"/>
    <w:bookmarkEnd w:id="43"/>
    <w:p>
      <w:pPr>
        <w:ind w:left="1300"/>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may include infusion pumps, Mednet software, implementation services, extended warranty and consumables. We first separate the deliverables into different units of accounting and then allocate the arrangement consideration to those separate units of accounting based on their relative selling price. When applying the relative selling price method, the selling price for each deliverable shall be determined using the following hierarchy: (i) vendor-specific objective evidence of selling price; (ii) third-party evidence of selling price; or (iii) best estimate of the selling price. We record revenue related to these multiple deliverables as products are delivered and services have been performed.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Accounts receivable are stated at net realizable value. An allowance is provided for estimated collection losses based on the age of the receivable or on specific past due accounts for which we consider collection to be doubtful. We rely on prior payment trends, financial status and other factors to estimate the cash which ultimately will be received. Such amounts cannot be known with certainty at the financial statement date. We regularly review individual past due balances for collectability. Loss exposure is principally with international customers for whom normal payment terms are long in comparison to those of our other customers and, to a lesser extent, domestic distributors. Many of these distributors are relatively small and we are vulnerable to adverse developments in their businesses that can hinder our collection of amounts due. If actual collection losses exceed expectations, we could be required to accrue additional bad debt expense, which could have an adverse effect on our operating results in the period in which the accrual occurs.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Inventories are stated at the lower of cost (first in, first out) or net realizable value. We need to carry many components to accommodate our rapid product delivery, and if we mis-estimate demand or if customer requirements change, we may have components in inventory that we may not be able to use. Most finished products are made only after we receive orders except for certain standard (non-custom) products which we will carry in inventory in expectation of future orders. For finished products in inventory, we need to estimate what may not be saleable. We regularly review inventory and reserve for slow moving items, and write off all items that we do not expect to use in manufacturing, and finished products that we do not expect to sell. If actual usage of components or sales of finished goods inventory is less than our estimates, we could be required to write off additional inventory, which could have an adverse effect on our operating results in the period in which the write-off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equipment/depreciation</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Property, plant and equipment is carried at cost and depreciated on the straight-line method over the estimated useful lives. The estimates of useful lives are significant judgments in accounting for property, plant and equipment, particularly for molds and automated assembly machines that are custom made for us. We may retire them on an accelerated basis if we replace them with larger or more technologically advanced tooling. The remaining useful lives of all property, plant and equipment are reviewed regularly and lives are adjusted or assets written off based on current estimates of future use. As part of that review, property, plant and equipment is reviewed for other indicators of impairment. An unexpected shortening of useful lives of property, plant and equipment that significantly increases depreciation provisions, or other circumstances causing us to record an impairment loss on such assets, could have an adverse effect on our operating results in the period in which the related charges are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utilize the asset and liability method of accounting for income taxes as set forth in 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we consider projected future taxable income and the availability of tax planning strategies. If in the future we determine that we would not be able to realize our recorded deferred tax assets, an increase in the valuation allowance would be recorded, decreasing earnings in the period in which such determination is made.</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are subject to income taxes throughout the U.S. and in numerous foreign jurisdictions. We recognize the financial statement benefits for uncertain tax positions as set forth in ASC 740 only if it is more-likely-than-not to be sustained in the event of challenges by relevant taxing authorities based on the technical merit of each tax position. The amounts of uncertain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4" w:name="page45"/>
    <w:bookmarkEnd w:id="44"/>
    <w:p>
      <w:pPr>
        <w:ind w:right="740"/>
        <w:spacing w:after="0" w:line="277" w:lineRule="auto"/>
        <w:rPr>
          <w:sz w:val="20"/>
          <w:szCs w:val="20"/>
          <w:color w:val="auto"/>
        </w:rPr>
      </w:pPr>
      <w:r>
        <w:rPr>
          <w:rFonts w:ascii="Arial" w:cs="Arial" w:eastAsia="Arial" w:hAnsi="Arial"/>
          <w:sz w:val="18"/>
          <w:szCs w:val="18"/>
          <w:color w:val="auto"/>
        </w:rPr>
        <w:t>tax positions recognized are the largest benefits that have a greater than 50 percent likelihood of being realized upon settlement with the relevant tax authorities.</w:t>
      </w:r>
    </w:p>
    <w:p>
      <w:pPr>
        <w:spacing w:after="0" w:line="170" w:lineRule="exact"/>
        <w:rPr>
          <w:sz w:val="20"/>
          <w:szCs w:val="20"/>
          <w:color w:val="auto"/>
        </w:rPr>
      </w:pPr>
    </w:p>
    <w:p>
      <w:pPr>
        <w:ind w:right="60" w:firstLine="392"/>
        <w:spacing w:after="0" w:line="286" w:lineRule="auto"/>
        <w:rPr>
          <w:sz w:val="20"/>
          <w:szCs w:val="20"/>
          <w:color w:val="auto"/>
        </w:rPr>
      </w:pPr>
      <w:r>
        <w:rPr>
          <w:rFonts w:ascii="Arial" w:cs="Arial" w:eastAsia="Arial" w:hAnsi="Arial"/>
          <w:sz w:val="16"/>
          <w:szCs w:val="16"/>
          <w:color w:val="auto"/>
        </w:rPr>
        <w:t>On December 22, 2017, the U.S. government enacted comprehensive tax legislation referred to as the Tax Cuts and Jobs Act (the “Tax Act”). Shortly after the Tax Act was enacted, the SEC issued Staff Accounting Bulletin No. 118, Income Tax Accounting Implications of the Tax Cuts and Jobs Act ("SAB 118"), which provides guidance on accounting for the Tax Act’s impact. SAB 118 provides a measurement period, which should not extend beyond one year from the Tax Act enactment date, during which a company acting in good faith may complete the accounting for the impacts of the Tax Act under ASC Topic</w:t>
      </w:r>
    </w:p>
    <w:p>
      <w:pPr>
        <w:spacing w:after="0" w:line="2" w:lineRule="exact"/>
        <w:rPr>
          <w:sz w:val="20"/>
          <w:szCs w:val="20"/>
          <w:color w:val="auto"/>
        </w:rPr>
      </w:pPr>
    </w:p>
    <w:p>
      <w:pPr>
        <w:ind w:right="40" w:firstLine="8"/>
        <w:spacing w:after="0" w:line="261"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accordance with SAB 118, we must reflect the income tax effects of the Tax Act in the reporting period in which the accounting under ASC Topic 740 is complete.</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the extent that our accounting for certain income tax effects of the Tax Act is incomplete, we can determine a reasonable estimate for those effects and record a provisional estimate in the consolidated financial statements in the first reporting period in which a reasonable estimate can be determined. If we cannot determine a provisional estimate to be included in the consolidated financial statements, we should continue to apply ASC Topic 740 based on the provisions of the tax laws that were in effect immediately prior to the Tax Act being enacted. If we are unable to provide a reasonable estimate of the impacts of the Tax Act in a reporting period, a provisional amount must be recorded in the first reporting period in which a reasonable estimate can be determined. For further information, see Note 13 to the consolidated financial statements in Part II, Item 8 of this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 firms, and are inherently uncertain.</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Examples of critical estimates in valuing certain of the tangible and intangible assets we have acquired, and certain liabilities assumed include but are not limited to:</w:t>
      </w:r>
    </w:p>
    <w:p>
      <w:pPr>
        <w:spacing w:after="0" w:line="170" w:lineRule="exact"/>
        <w:rPr>
          <w:sz w:val="20"/>
          <w:szCs w:val="20"/>
          <w:color w:val="auto"/>
        </w:rPr>
      </w:pPr>
    </w:p>
    <w:p>
      <w:pPr>
        <w:ind w:left="660" w:right="100" w:hanging="328"/>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used the comparative sales method, which estimates the selling price of finished goods and work-in-progress inventory, reduced by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71" w:lineRule="exact"/>
        <w:rPr>
          <w:rFonts w:ascii="Arial" w:cs="Arial" w:eastAsia="Arial" w:hAnsi="Arial"/>
          <w:sz w:val="17"/>
          <w:szCs w:val="17"/>
          <w:color w:val="auto"/>
        </w:rPr>
      </w:pPr>
    </w:p>
    <w:p>
      <w:pPr>
        <w:ind w:left="660" w:right="140" w:hanging="328"/>
        <w:spacing w:after="0" w:line="27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the fair value estimate of acquired property, plant and equipment is determined based upon the nature of the asset</w:t>
      </w:r>
      <w:r>
        <w:rPr>
          <w:rFonts w:ascii="Arial" w:cs="Arial" w:eastAsia="Arial" w:hAnsi="Arial"/>
          <w:sz w:val="17"/>
          <w:szCs w:val="17"/>
          <w:i w:val="1"/>
          <w:iCs w:val="1"/>
          <w:color w:val="auto"/>
        </w:rPr>
        <w:t xml:space="preserve"> </w:t>
      </w:r>
      <w:r>
        <w:rPr>
          <w:rFonts w:ascii="Arial" w:cs="Arial" w:eastAsia="Arial" w:hAnsi="Arial"/>
          <w:sz w:val="17"/>
          <w:szCs w:val="17"/>
          <w:color w:val="auto"/>
        </w:rPr>
        <w:t>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177" w:lineRule="exact"/>
        <w:rPr>
          <w:rFonts w:ascii="Arial" w:cs="Arial" w:eastAsia="Arial" w:hAnsi="Arial"/>
          <w:sz w:val="17"/>
          <w:szCs w:val="17"/>
          <w:color w:val="auto"/>
        </w:rPr>
      </w:pPr>
    </w:p>
    <w:p>
      <w:pPr>
        <w:ind w:left="660" w:right="60" w:hanging="328"/>
        <w:spacing w:after="0" w:line="31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Identifiable Intangible Assets - </w:t>
      </w:r>
      <w:r>
        <w:rPr>
          <w:rFonts w:ascii="Arial" w:cs="Arial" w:eastAsia="Arial" w:hAnsi="Arial"/>
          <w:sz w:val="16"/>
          <w:szCs w:val="16"/>
          <w:color w:val="auto"/>
        </w:rPr>
        <w:t>The fair value of the significant acquired identifiable intangible assets generally is determined using varying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w:t>
      </w:r>
    </w:p>
    <w:p>
      <w:pPr>
        <w:spacing w:after="0" w:line="146"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Earnout Liability - </w:t>
      </w:r>
      <w:r>
        <w:rPr>
          <w:rFonts w:ascii="Arial" w:cs="Arial" w:eastAsia="Arial" w:hAnsi="Arial"/>
          <w:sz w:val="18"/>
          <w:szCs w:val="18"/>
          <w:color w:val="auto"/>
        </w:rPr>
        <w:t>The fair value of the earnout was valued using a Monte Carlo simulation (see Note 9 to the consolidated financial statements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Part II, Item 8 of this Form 10-K for details).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7"/>
          <w:szCs w:val="17"/>
          <w:color w:val="auto"/>
        </w:rPr>
        <w:t>Unanticipated events and circumstances may occur which may affect the accuracy or validity of such assumptions, estimates or actual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78" w:lineRule="exact"/>
        <w:rPr>
          <w:sz w:val="20"/>
          <w:szCs w:val="20"/>
          <w:color w:val="auto"/>
        </w:rPr>
      </w:pPr>
    </w:p>
    <w:p>
      <w:pPr>
        <w:ind w:left="1300" w:right="80" w:hanging="320"/>
        <w:spacing w:after="0" w:line="293"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hanging="320"/>
        <w:spacing w:after="0" w:line="286"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SwabCap (EXC) and Tangent;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71" w:lineRule="exact"/>
        <w:rPr>
          <w:rFonts w:ascii="Arial" w:cs="Arial" w:eastAsia="Arial" w:hAnsi="Arial"/>
          <w:sz w:val="16"/>
          <w:szCs w:val="16"/>
          <w:color w:val="auto"/>
        </w:rPr>
      </w:pPr>
    </w:p>
    <w:p>
      <w:pPr>
        <w:ind w:left="1300" w:right="80" w:hanging="320"/>
        <w:spacing w:after="0" w:line="269"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8" w:right="259" w:bottom="1440" w:gutter="0" w:footer="0" w:header="0"/>
        </w:sectPr>
      </w:pPr>
    </w:p>
    <w:bookmarkStart w:id="46" w:name="page47"/>
    <w:bookmarkEnd w:id="46"/>
    <w:p>
      <w:pPr>
        <w:ind w:right="4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Item 1A of this Annual Report on Form 10-K. Also, actual future operating results are subject to other important factors and risks that we cannot predict or control, including without limitation, the following:</w:t>
      </w:r>
    </w:p>
    <w:p>
      <w:pPr>
        <w:spacing w:after="0" w:line="18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our arrangements with our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211"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forward 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In our European operations, our net Euro asset position at December 31, 2017 was approximately €72.7 million. A 10% change in the conversion of the Euro to the U.S. dollar for our cash, accounts receivable, accounts payable and accrued liabilities from the December 31, 2017 spot rate would impact our consolidated amounts on these balance sheet items by approximately $8.7 million, or 4.5% of these net assets. We currently do not hedge our Euro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368" w:right="2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280" w:type="dxa"/>
            <w:vAlign w:val="bottom"/>
          </w:tcPr>
          <w:p>
            <w:pPr>
              <w:spacing w:after="0"/>
              <w:rPr>
                <w:sz w:val="20"/>
                <w:szCs w:val="20"/>
                <w:color w:val="auto"/>
              </w:rPr>
            </w:pPr>
          </w:p>
        </w:tc>
      </w:tr>
      <w:tr>
        <w:trPr>
          <w:trHeight w:val="594"/>
        </w:trPr>
        <w:tc>
          <w:tcPr>
            <w:tcW w:w="9140" w:type="dxa"/>
            <w:vAlign w:val="bottom"/>
          </w:tcPr>
          <w:p>
            <w:pPr>
              <w:ind w:left="2640"/>
              <w:spacing w:after="0"/>
              <w:rPr>
                <w:sz w:val="20"/>
                <w:szCs w:val="20"/>
                <w:color w:val="auto"/>
              </w:rPr>
            </w:pPr>
            <w:r>
              <w:rPr>
                <w:rFonts w:ascii="Arial" w:cs="Arial" w:eastAsia="Arial" w:hAnsi="Arial"/>
                <w:sz w:val="18"/>
                <w:szCs w:val="18"/>
                <w:b w:val="1"/>
                <w:bCs w:val="1"/>
                <w:color w:val="auto"/>
              </w:rPr>
              <w:t>INDEX TO CONSOLIDATED FINANCIAL STATEMENTS AND SCHEDULE</w:t>
            </w:r>
          </w:p>
        </w:tc>
        <w:tc>
          <w:tcPr>
            <w:tcW w:w="2280" w:type="dxa"/>
            <w:vAlign w:val="bottom"/>
          </w:tcPr>
          <w:p>
            <w:pPr>
              <w:spacing w:after="0"/>
              <w:rPr>
                <w:sz w:val="24"/>
                <w:szCs w:val="24"/>
                <w:color w:val="auto"/>
              </w:rPr>
            </w:pPr>
          </w:p>
        </w:tc>
      </w:tr>
      <w:tr>
        <w:trPr>
          <w:trHeight w:val="270"/>
        </w:trPr>
        <w:tc>
          <w:tcPr>
            <w:tcW w:w="9140" w:type="dxa"/>
            <w:vAlign w:val="bottom"/>
          </w:tcPr>
          <w:p>
            <w:pPr>
              <w:spacing w:after="0"/>
              <w:rPr>
                <w:sz w:val="23"/>
                <w:szCs w:val="23"/>
                <w:color w:val="auto"/>
              </w:rPr>
            </w:pPr>
          </w:p>
        </w:tc>
        <w:tc>
          <w:tcPr>
            <w:tcW w:w="2280" w:type="dxa"/>
            <w:vAlign w:val="bottom"/>
          </w:tcPr>
          <w:p>
            <w:pPr>
              <w:jc w:val="right"/>
              <w:ind w:right="710"/>
              <w:spacing w:after="0"/>
              <w:rPr>
                <w:sz w:val="20"/>
                <w:szCs w:val="20"/>
                <w:color w:val="auto"/>
              </w:rPr>
            </w:pPr>
            <w:r>
              <w:rPr>
                <w:rFonts w:ascii="Arial" w:cs="Arial" w:eastAsia="Arial" w:hAnsi="Arial"/>
                <w:sz w:val="18"/>
                <w:szCs w:val="18"/>
                <w:b w:val="1"/>
                <w:bCs w:val="1"/>
                <w:color w:val="auto"/>
              </w:rPr>
              <w:t>Page No.</w:t>
            </w:r>
          </w:p>
        </w:tc>
      </w:tr>
      <w:tr>
        <w:trPr>
          <w:trHeight w:val="27"/>
        </w:trPr>
        <w:tc>
          <w:tcPr>
            <w:tcW w:w="91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61"/>
        </w:trPr>
        <w:tc>
          <w:tcPr>
            <w:tcW w:w="9140" w:type="dxa"/>
            <w:vAlign w:val="bottom"/>
          </w:tcPr>
          <w:p>
            <w:pPr>
              <w:ind w:left="180"/>
              <w:spacing w:after="0"/>
              <w:rPr>
                <w:rFonts w:ascii="Arial" w:cs="Arial" w:eastAsia="Arial" w:hAnsi="Arial"/>
                <w:sz w:val="18"/>
                <w:szCs w:val="18"/>
                <w:color w:val="auto"/>
              </w:rPr>
            </w:pPr>
            <w:hyperlink w:anchor="page49">
              <w:r>
                <w:rPr>
                  <w:rFonts w:ascii="Arial" w:cs="Arial" w:eastAsia="Arial" w:hAnsi="Arial"/>
                  <w:sz w:val="18"/>
                  <w:szCs w:val="18"/>
                  <w:color w:val="auto"/>
                </w:rPr>
                <w:t>Report of Independent Registered Public Accounting Firm</w:t>
              </w:r>
            </w:hyperlink>
          </w:p>
        </w:tc>
        <w:tc>
          <w:tcPr>
            <w:tcW w:w="228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50">
              <w:r>
                <w:rPr>
                  <w:rFonts w:ascii="Arial" w:cs="Arial" w:eastAsia="Arial" w:hAnsi="Arial"/>
                  <w:sz w:val="18"/>
                  <w:szCs w:val="18"/>
                  <w:color w:val="auto"/>
                </w:rPr>
                <w:t>Consolidated Balance Sheets at December 31, 2017 and 2016</w:t>
              </w:r>
            </w:hyperlink>
          </w:p>
        </w:tc>
        <w:tc>
          <w:tcPr>
            <w:tcW w:w="228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70"/>
        </w:trPr>
        <w:tc>
          <w:tcPr>
            <w:tcW w:w="91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 December 31, 2017, 2016 and 2015</w:t>
            </w:r>
          </w:p>
        </w:tc>
        <w:tc>
          <w:tcPr>
            <w:tcW w:w="22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51">
              <w:r>
                <w:rPr>
                  <w:rFonts w:ascii="Arial" w:cs="Arial" w:eastAsia="Arial" w:hAnsi="Arial"/>
                  <w:sz w:val="18"/>
                  <w:szCs w:val="18"/>
                  <w:color w:val="auto"/>
                </w:rPr>
                <w:t xml:space="preserve">Consolidated Statements of Comprehensive Income for the Years Ended December 31, </w:t>
              </w:r>
            </w:hyperlink>
            <w:r>
              <w:rPr>
                <w:rFonts w:ascii="Arial" w:cs="Arial" w:eastAsia="Arial" w:hAnsi="Arial"/>
                <w:sz w:val="18"/>
                <w:szCs w:val="18"/>
                <w:color w:val="auto"/>
              </w:rPr>
              <w:t>2017, 2016 and 2015</w:t>
            </w:r>
          </w:p>
        </w:tc>
        <w:tc>
          <w:tcPr>
            <w:tcW w:w="22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53">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2017, 2016 and 2015</w:t>
            </w:r>
          </w:p>
        </w:tc>
        <w:tc>
          <w:tcPr>
            <w:tcW w:w="22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2017, 2016 and 2015</w:t>
            </w:r>
          </w:p>
        </w:tc>
        <w:tc>
          <w:tcPr>
            <w:tcW w:w="228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53</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56">
              <w:r>
                <w:rPr>
                  <w:rFonts w:ascii="Arial" w:cs="Arial" w:eastAsia="Arial" w:hAnsi="Arial"/>
                  <w:sz w:val="18"/>
                  <w:szCs w:val="18"/>
                  <w:color w:val="auto"/>
                </w:rPr>
                <w:t>Notes to Consolidated Financial Statements</w:t>
              </w:r>
            </w:hyperlink>
          </w:p>
        </w:tc>
        <w:tc>
          <w:tcPr>
            <w:tcW w:w="228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70"/>
        </w:trPr>
        <w:tc>
          <w:tcPr>
            <w:tcW w:w="9140" w:type="dxa"/>
            <w:vAlign w:val="bottom"/>
          </w:tcPr>
          <w:p>
            <w:pPr>
              <w:ind w:left="180"/>
              <w:spacing w:after="0"/>
              <w:rPr>
                <w:rFonts w:ascii="Arial" w:cs="Arial" w:eastAsia="Arial" w:hAnsi="Arial"/>
                <w:sz w:val="18"/>
                <w:szCs w:val="18"/>
                <w:color w:val="auto"/>
              </w:rPr>
            </w:pPr>
            <w:hyperlink w:anchor="page97">
              <w:r>
                <w:rPr>
                  <w:rFonts w:ascii="Arial" w:cs="Arial" w:eastAsia="Arial" w:hAnsi="Arial"/>
                  <w:sz w:val="18"/>
                  <w:szCs w:val="18"/>
                  <w:color w:val="auto"/>
                </w:rPr>
                <w:t>Schedule II-Valuation and Qualifying Accounts</w:t>
              </w:r>
            </w:hyperlink>
          </w:p>
        </w:tc>
        <w:tc>
          <w:tcPr>
            <w:tcW w:w="22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ICU Medical, Inc. and subsidiaries (the "Company") as of December 31, 2017 and 2016, and the related consolidated statements of operations, comprehensive income, stockholders' equity, and cash flows, for each of the three years in the period ended December 31, 2017,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March 16,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16, 2018</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7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par value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96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Short-term investment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CASH EQUIVALENTS AND SHORT-TERM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445,082</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1"/>
              </w:rPr>
              <w:t>Accounts receivable, net of allowance for doubtful accounts of $3,311 and $1,073 at December 31, 2017 and 2016,</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112,696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56,161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Related-party receivable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98,807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 held-for-sale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864,662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569,097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398,684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85,696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5,577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21,935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1,496,951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704,688</w:t>
            </w:r>
          </w:p>
        </w:tc>
      </w:tr>
      <w:tr>
        <w:trPr>
          <w:trHeight w:val="210"/>
        </w:trPr>
        <w:tc>
          <w:tcPr>
            <w:tcW w:w="8580" w:type="dxa"/>
            <w:vAlign w:val="bottom"/>
            <w:tcBorders>
              <w:bottom w:val="single" w:sz="8" w:color="CCEEFF"/>
            </w:tcBorders>
            <w:shd w:val="clear" w:color="auto" w:fill="CCEEFF"/>
          </w:tcPr>
          <w:p>
            <w:pPr>
              <w:ind w:left="2440"/>
              <w:spacing w:after="0" w:line="203" w:lineRule="exact"/>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132,064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40,537</w:t>
            </w:r>
          </w:p>
        </w:tc>
      </w:tr>
      <w:tr>
        <w:trPr>
          <w:trHeight w:val="284"/>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EARN-OUT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55,326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 LIABILITY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Convertible preferred stock, $1.00 par value Authorized—500 shares; Issued and outstanding— none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0"/>
              </w:rPr>
              <w:t>Common stock, $0.10 par value — Authorized—80,000 shares; Issued and outstanding, 20,210 shares at December</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31, 2017 and 16,338 shares at December 31, 2016</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625,568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162,828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Treasury stock, at cost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585,624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(21,272)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1,198,254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660,155</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1,496,951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704,688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1,292,166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379,339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341,254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1,292,613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379,372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341,668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866,518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160,871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426,095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201,398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180,797</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303,953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83,216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15,714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15,348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8,451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Gain on sale of building</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Impairment of assets held for sale</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441,173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112,232</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(LOSS) INCOME FROM OPERATIONS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68,565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51,283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69,699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(24,714)</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63,084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44,985</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15,848</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20,858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17,254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16,496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 adjustments, net of tax of $224 for the year ended December 31, 2017</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5"/>
              </w:rPr>
              <w:t>Foreign currency translation adjustment, net of taxes of $56, $185 and ($2,680) for the years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ended December 31, 2017, 2016 and 2015, respectively</w:t>
            </w:r>
          </w:p>
        </w:tc>
        <w:tc>
          <w:tcPr>
            <w:tcW w:w="3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(11,204)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 net of tax of $0 for the year ended December 31, 2017</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74,957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62,570</w:t>
            </w: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33,781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ICU MEDICAL, INC. AND SUBSIDIARIES</w:t>
            </w:r>
          </w:p>
        </w:tc>
        <w:tc>
          <w:tcPr>
            <w:tcW w:w="2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8300" w:type="dxa"/>
            <w:vAlign w:val="bottom"/>
            <w:gridSpan w:val="16"/>
          </w:tcPr>
          <w:p>
            <w:pPr>
              <w:jc w:val="center"/>
              <w:ind w:left="3030"/>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5"/>
          </w:tcPr>
          <w:p>
            <w:pPr>
              <w:jc w:val="center"/>
              <w:ind w:left="111"/>
              <w:spacing w:after="0"/>
              <w:rPr>
                <w:sz w:val="20"/>
                <w:szCs w:val="20"/>
                <w:color w:val="auto"/>
              </w:rPr>
            </w:pPr>
            <w:r>
              <w:rPr>
                <w:rFonts w:ascii="Arial" w:cs="Arial" w:eastAsia="Arial" w:hAnsi="Arial"/>
                <w:sz w:val="16"/>
                <w:szCs w:val="16"/>
                <w:color w:val="auto"/>
                <w:w w:val="92"/>
              </w:rPr>
              <w:t>(Amounts in thousands)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4"/>
            <w:vMerge w:val="restart"/>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Paid-In</w:t>
            </w:r>
          </w:p>
        </w:tc>
        <w:tc>
          <w:tcPr>
            <w:tcW w:w="820" w:type="dxa"/>
            <w:vAlign w:val="bottom"/>
            <w:gridSpan w:val="4"/>
          </w:tcPr>
          <w:p>
            <w:pPr>
              <w:ind w:left="40"/>
              <w:spacing w:after="0"/>
              <w:rPr>
                <w:sz w:val="20"/>
                <w:szCs w:val="20"/>
                <w:color w:val="auto"/>
              </w:rPr>
            </w:pPr>
            <w:r>
              <w:rPr>
                <w:rFonts w:ascii="Arial" w:cs="Arial" w:eastAsia="Arial" w:hAnsi="Arial"/>
                <w:sz w:val="16"/>
                <w:szCs w:val="16"/>
                <w:b w:val="1"/>
                <w:bCs w:val="1"/>
                <w:color w:val="auto"/>
              </w:rPr>
              <w:t>Treasury</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7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Balance, December 31, 2014</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15,595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107,336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87"/>
              </w:rPr>
              <w:t>$ 408,911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508,252</w:t>
            </w:r>
          </w:p>
        </w:tc>
        <w:tc>
          <w:tcPr>
            <w:tcW w:w="0" w:type="dxa"/>
            <w:vAlign w:val="bottom"/>
          </w:tcPr>
          <w:p>
            <w:pPr>
              <w:spacing w:after="0"/>
              <w:rPr>
                <w:sz w:val="1"/>
                <w:szCs w:val="1"/>
                <w:color w:val="auto"/>
              </w:rPr>
            </w:pPr>
          </w:p>
        </w:tc>
      </w:tr>
      <w:tr>
        <w:trPr>
          <w:trHeight w:val="229"/>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including excess income tax benefits of $9,330</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1,611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Purchase of treasury stock, treasury stock acquired in lieu of</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payment on stock option exercises and income tax</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withholding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(11,204)</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44,985</w:t>
            </w:r>
          </w:p>
        </w:tc>
        <w:tc>
          <w:tcPr>
            <w:tcW w:w="0" w:type="dxa"/>
            <w:vAlign w:val="bottom"/>
          </w:tcPr>
          <w:p>
            <w:pPr>
              <w:spacing w:after="0"/>
              <w:rPr>
                <w:sz w:val="1"/>
                <w:szCs w:val="1"/>
                <w:color w:val="auto"/>
              </w:rPr>
            </w:pPr>
          </w:p>
        </w:tc>
      </w:tr>
      <w:tr>
        <w:trPr>
          <w:trHeight w:val="237"/>
        </w:trPr>
        <w:tc>
          <w:tcPr>
            <w:tcW w:w="4740" w:type="dxa"/>
            <w:vAlign w:val="bottom"/>
            <w:gridSpan w:val="3"/>
          </w:tcPr>
          <w:p>
            <w:pPr>
              <w:ind w:left="180"/>
              <w:spacing w:after="0"/>
              <w:rPr>
                <w:sz w:val="20"/>
                <w:szCs w:val="20"/>
                <w:color w:val="auto"/>
              </w:rPr>
            </w:pPr>
            <w:r>
              <w:rPr>
                <w:rFonts w:ascii="Arial" w:cs="Arial" w:eastAsia="Arial" w:hAnsi="Arial"/>
                <w:sz w:val="18"/>
                <w:szCs w:val="18"/>
                <w:b w:val="1"/>
                <w:bCs w:val="1"/>
                <w:color w:val="auto"/>
              </w:rPr>
              <w:t>Balance, December 31, 2015</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16,086</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1,608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5"/>
              </w:rPr>
              <w:t>145,125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453,896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(20,758)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579,871</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29"/>
        </w:trPr>
        <w:tc>
          <w:tcPr>
            <w:tcW w:w="4740" w:type="dxa"/>
            <w:vAlign w:val="bottom"/>
            <w:gridSpan w:val="3"/>
          </w:tcPr>
          <w:p>
            <w:pPr>
              <w:ind w:left="40"/>
              <w:spacing w:after="0"/>
              <w:rPr>
                <w:sz w:val="20"/>
                <w:szCs w:val="20"/>
                <w:color w:val="auto"/>
              </w:rPr>
            </w:pPr>
            <w:r>
              <w:rPr>
                <w:rFonts w:ascii="Arial" w:cs="Arial" w:eastAsia="Arial" w:hAnsi="Arial"/>
                <w:sz w:val="18"/>
                <w:szCs w:val="18"/>
                <w:color w:val="auto"/>
                <w:w w:val="97"/>
              </w:rPr>
              <w:t>Purchase of treasury stock, treasury stock acquired in lieu of</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cash payment on stock option exercises and income tax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withholding obligations</w:t>
            </w: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(17,235)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(17,235)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15,242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Balance, December 31, 2016</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16,338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162,828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516,980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660,155</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Issuance of restricted stock and exercise of stock options</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4,071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32,003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Purchase of treasury stock, treasury stock acquired in lieu of</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payment on stock option exercises and income tax</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withholding obligations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(4,057)</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Issuance of common stock for acquisitions</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412,819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Stock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43"/>
        </w:trPr>
        <w:tc>
          <w:tcPr>
            <w:tcW w:w="474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68,644</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Balance, December 31, 2017</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20,210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$2,021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625,568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3"/>
              </w:rPr>
              <w:t>$585,624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1,198,254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68,644</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63,084</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44,985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66,569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18,073</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doubtful accounts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Provision for warranty and returns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52</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12,827</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Loss (gain) on disposal of property, plant and equipment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(1,106)</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Bond premium amortization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Debt issuance cost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assets held-for-sale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4,139</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Bargain purchase gain</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(70,890)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contingent earn-out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(54,533)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(20,515)</w:t>
            </w: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181,699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(8,337)</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(31,807)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Related-party receivables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(95,309)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46,648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3,118</w:t>
            </w:r>
          </w:p>
        </w:tc>
      </w:tr>
      <w:tr>
        <w:trPr>
          <w:trHeight w:val="276"/>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9,454</w:t>
            </w:r>
          </w:p>
        </w:tc>
      </w:tr>
      <w:tr>
        <w:trPr>
          <w:trHeight w:val="264"/>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(24,625)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1,613</w:t>
            </w:r>
          </w:p>
        </w:tc>
      </w:tr>
      <w:tr>
        <w:trPr>
          <w:trHeight w:val="25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154,423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89,941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64,195</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(74,479)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(12,984)</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sale of assets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3,592</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disposal of assets held-for-sale, net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Intangible asset additions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(951)</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acquisitions, net of cash acquired</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(162,448)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(56,786)</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sale of assets acquired in a business acquisition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28,970</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(24,743)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(56,137)</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sale of investment securities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158,534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83,054</w:t>
            </w:r>
          </w:p>
        </w:tc>
      </w:tr>
      <w:tr>
        <w:trPr>
          <w:trHeight w:val="25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provided by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(266,871)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(11,242)</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long-term obligations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32,003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17,346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15,042</w:t>
            </w:r>
          </w:p>
        </w:tc>
      </w:tr>
      <w:tr>
        <w:trPr>
          <w:trHeight w:val="27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employee stock purchase plan</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2,162</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Purchase of treasury stock</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w:t>
            </w:r>
          </w:p>
        </w:tc>
      </w:tr>
      <w:tr>
        <w:trPr>
          <w:trHeight w:val="25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(44,349)</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15,681</w:t>
            </w:r>
          </w:p>
        </w:tc>
      </w:tr>
      <w:tr>
        <w:trPr>
          <w:trHeight w:val="250"/>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(8,282)</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(155,010)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108,918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60,352</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445,082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336,164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275,812</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290,072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445,082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336,164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364"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64"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5,109</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21,101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22,998</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during the year for interest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32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7080" w:type="dxa"/>
            <w:vAlign w:val="bottom"/>
          </w:tcPr>
          <w:p>
            <w:pPr>
              <w:ind w:left="100"/>
              <w:spacing w:after="0"/>
              <w:rPr>
                <w:sz w:val="20"/>
                <w:szCs w:val="20"/>
                <w:color w:val="auto"/>
              </w:rPr>
            </w:pPr>
            <w:r>
              <w:rPr>
                <w:rFonts w:ascii="Arial" w:cs="Arial" w:eastAsia="Arial" w:hAnsi="Arial"/>
                <w:sz w:val="16"/>
                <w:szCs w:val="16"/>
                <w:color w:val="auto"/>
              </w:rPr>
              <w:t>Accounts payable for property, plant and equipment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5,376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182</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6"/>
                <w:szCs w:val="16"/>
                <w:color w:val="auto"/>
              </w:rPr>
              <w:t>Detail of assets acquired and liabilities assumed in acquisitions: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Fair value of assets acquired</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886,569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60,693</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(162,448)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(56,786)</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seller note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Estimated working capital adjustment</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4,253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Issuance of common stock for acquisitions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(413,139)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Goodwill, acquired during period</w:t>
            </w:r>
          </w:p>
        </w:tc>
        <w:tc>
          <w:tcPr>
            <w:tcW w:w="34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Liabilities assumed/Adjustments to liabilities assumed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Preparation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ICU Medical, Inc. ("ICU"), a Delaware corporation, operates in one business segment engaged in the development, manufacturing and sale of innovative medical devices used in vascular therapy, and critical care applications. ICU's product portfolio includes intravenous smart pumps, sets, connectors, closed transfer devices for hazardous drugs, cardiac monitoring systems, along with pain management and safety software technology. We sell the majority of our products through our direct sales force and through independent distributors throughout the U. S. and internationally. Additionally, we sell our products on an original equipment manufacturer basis to other medical device manufacturers. The manufacturing for all product groups occurs in Salt Lake City, Utah, Austin, Texas, Mexico and Costa Rica.</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our opinion, the consolidated financial statements reflect all adjustments, which are normal and recurring in nature, necessary for fair financial statement presentation. These consolidated financial statements were prepared in accordance with accounting principles generally accepted in the United States of America ("GAAP"). 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Cash Equivalents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known amounts of cash and have original maturities of three months or less from the date of purchase as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Accounts receivable are stated at net realizable value. An allowance is provided for estimated collection losses based on an assessment of various factors. We consider prior payment trends, the age of the accounts receivable balances, financial status and other factors to estimate the cash which ultimately will be received. Such amounts cannot be known with certainty at the financial statement date. We regularly review individual past due balances for collectability.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include material, labor and overhead related to the manufacturing of medical devices.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at December 31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5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28,435</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5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42,304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5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163,956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57"/>
        </w:trPr>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288,657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49,264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140" w:type="dxa"/>
            <w:vAlign w:val="bottom"/>
            <w:vMerge w:val="restart"/>
          </w:tcPr>
          <w:p>
            <w:pPr>
              <w:jc w:val="right"/>
              <w:ind w:right="267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 of the following at December 31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220,999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96,536</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63,524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39,014</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26,458</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8C56EE"/>
              </w:rPr>
              <w:t>—</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Total property, plant and equipment, cost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608,823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243,955</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(158,259)</w:t>
            </w:r>
          </w:p>
        </w:tc>
        <w:tc>
          <w:tcPr>
            <w:tcW w:w="0" w:type="dxa"/>
            <w:vAlign w:val="bottom"/>
          </w:tcPr>
          <w:p>
            <w:pPr>
              <w:spacing w:after="0"/>
              <w:rPr>
                <w:sz w:val="1"/>
                <w:szCs w:val="1"/>
                <w:color w:val="auto"/>
              </w:rPr>
            </w:pPr>
          </w:p>
        </w:tc>
      </w:tr>
      <w:tr>
        <w:trPr>
          <w:trHeight w:val="257"/>
        </w:trPr>
        <w:tc>
          <w:tcPr>
            <w:tcW w:w="8560" w:type="dxa"/>
            <w:vAlign w:val="bottom"/>
          </w:tcPr>
          <w:p>
            <w:pPr>
              <w:ind w:left="180"/>
              <w:spacing w:after="0"/>
              <w:rPr>
                <w:sz w:val="20"/>
                <w:szCs w:val="20"/>
                <w:color w:val="auto"/>
              </w:rPr>
            </w:pPr>
            <w:r>
              <w:rPr>
                <w:rFonts w:ascii="Arial" w:cs="Arial" w:eastAsia="Arial" w:hAnsi="Arial"/>
                <w:sz w:val="18"/>
                <w:szCs w:val="18"/>
                <w:color w:val="auto"/>
              </w:rPr>
              <w:t>Net property, plant and equipment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398,684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85,696</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*Instruments placed with customers consist of drug-delivery and monitoring systems placed with customer under operating leases.</w:t>
      </w:r>
    </w:p>
    <w:p>
      <w:pPr>
        <w:spacing w:after="0" w:line="2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All property, plant and equipment are stated at cost. We use the straight-line method for depreciating property, plant and equipment over their estimated useful lives. Estimated useful lives are: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5060" w:type="dxa"/>
            <w:vAlign w:val="bottom"/>
            <w:gridSpan w:val="2"/>
            <w:shd w:val="clear" w:color="auto" w:fill="CCEEFF"/>
          </w:tcPr>
          <w:p>
            <w:pPr>
              <w:ind w:left="3720"/>
              <w:spacing w:after="0"/>
              <w:rPr>
                <w:sz w:val="20"/>
                <w:szCs w:val="20"/>
                <w:color w:val="auto"/>
              </w:rPr>
            </w:pPr>
            <w:r>
              <w:rPr>
                <w:rFonts w:ascii="Arial" w:cs="Arial" w:eastAsia="Arial" w:hAnsi="Arial"/>
                <w:sz w:val="18"/>
                <w:szCs w:val="18"/>
                <w:color w:val="auto"/>
              </w:rPr>
              <w:t>15 - 30 years</w:t>
            </w: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Building improvements</w:t>
            </w:r>
          </w:p>
        </w:tc>
        <w:tc>
          <w:tcPr>
            <w:tcW w:w="5060" w:type="dxa"/>
            <w:vAlign w:val="bottom"/>
            <w:gridSpan w:val="2"/>
          </w:tcPr>
          <w:p>
            <w:pPr>
              <w:ind w:left="37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8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color w:val="auto"/>
                <w:w w:val="79"/>
              </w:rPr>
              <w:t>2</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- 10 years</w:t>
            </w: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Furniture, fixtures and molds</w:t>
            </w:r>
          </w:p>
        </w:tc>
        <w:tc>
          <w:tcPr>
            <w:tcW w:w="3820" w:type="dxa"/>
            <w:vAlign w:val="bottom"/>
          </w:tcPr>
          <w:p>
            <w:pPr>
              <w:ind w:left="3720"/>
              <w:spacing w:after="0"/>
              <w:rPr>
                <w:sz w:val="20"/>
                <w:szCs w:val="20"/>
                <w:color w:val="auto"/>
              </w:rPr>
            </w:pPr>
            <w:r>
              <w:rPr>
                <w:rFonts w:ascii="Arial" w:cs="Arial" w:eastAsia="Arial" w:hAnsi="Arial"/>
                <w:sz w:val="18"/>
                <w:szCs w:val="18"/>
                <w:color w:val="auto"/>
                <w:w w:val="79"/>
              </w:rPr>
              <w:t>2</w:t>
            </w:r>
          </w:p>
        </w:tc>
        <w:tc>
          <w:tcPr>
            <w:tcW w:w="1240" w:type="dxa"/>
            <w:vAlign w:val="bottom"/>
          </w:tcPr>
          <w:p>
            <w:pPr>
              <w:ind w:left="40"/>
              <w:spacing w:after="0"/>
              <w:rPr>
                <w:sz w:val="20"/>
                <w:szCs w:val="20"/>
                <w:color w:val="auto"/>
              </w:rPr>
            </w:pPr>
            <w:r>
              <w:rPr>
                <w:rFonts w:ascii="Arial" w:cs="Arial" w:eastAsia="Arial" w:hAnsi="Arial"/>
                <w:sz w:val="18"/>
                <w:szCs w:val="18"/>
                <w:color w:val="auto"/>
              </w:rPr>
              <w:t>- 5 years</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382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color w:val="auto"/>
                <w:w w:val="79"/>
              </w:rPr>
              <w:t>3</w:t>
            </w:r>
          </w:p>
        </w:tc>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 years</w:t>
            </w: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3820" w:type="dxa"/>
            <w:vAlign w:val="bottom"/>
            <w:vMerge w:val="restart"/>
          </w:tcPr>
          <w:p>
            <w:pPr>
              <w:ind w:left="3720"/>
              <w:spacing w:after="0"/>
              <w:rPr>
                <w:sz w:val="20"/>
                <w:szCs w:val="20"/>
                <w:color w:val="auto"/>
              </w:rPr>
            </w:pPr>
            <w:r>
              <w:rPr>
                <w:rFonts w:ascii="Arial" w:cs="Arial" w:eastAsia="Arial" w:hAnsi="Arial"/>
                <w:sz w:val="18"/>
                <w:szCs w:val="18"/>
                <w:color w:val="auto"/>
                <w:w w:val="79"/>
              </w:rPr>
              <w:t>3</w:t>
            </w:r>
          </w:p>
        </w:tc>
        <w:tc>
          <w:tcPr>
            <w:tcW w:w="1240" w:type="dxa"/>
            <w:vAlign w:val="bottom"/>
            <w:vMerge w:val="restart"/>
          </w:tcPr>
          <w:p>
            <w:pPr>
              <w:ind w:left="40"/>
              <w:spacing w:after="0"/>
              <w:rPr>
                <w:sz w:val="20"/>
                <w:szCs w:val="20"/>
                <w:color w:val="auto"/>
              </w:rPr>
            </w:pPr>
            <w:r>
              <w:rPr>
                <w:rFonts w:ascii="Arial" w:cs="Arial" w:eastAsia="Arial" w:hAnsi="Arial"/>
                <w:sz w:val="18"/>
                <w:szCs w:val="18"/>
                <w:color w:val="auto"/>
              </w:rPr>
              <w:t>- 7 years</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income at the time of disposal. Depreciation expense was $51.6 million, $16.3 million and $15.9 million in the years ended December 31,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test goodwill for impairment on an annual basis in the month of November. If the carrying amount of goodwill exceeds the implied estimated fair value, an impairment charge to current operations is recorded to reduce the carrying value to the implied estimated fair value. There were no accumulated impairment losses as of December 31, 2017 and 2016.</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8800" w:type="dxa"/>
            <w:vAlign w:val="bottom"/>
          </w:tcPr>
          <w:p>
            <w:pPr>
              <w:ind w:left="120"/>
              <w:spacing w:after="0"/>
              <w:rPr>
                <w:sz w:val="20"/>
                <w:szCs w:val="20"/>
                <w:color w:val="auto"/>
              </w:rPr>
            </w:pPr>
            <w:r>
              <w:rPr>
                <w:rFonts w:ascii="Arial" w:cs="Arial" w:eastAsia="Arial" w:hAnsi="Arial"/>
                <w:sz w:val="18"/>
                <w:szCs w:val="18"/>
                <w:color w:val="auto"/>
                <w:w w:val="95"/>
              </w:rPr>
              <w:t>The following table presents the changes in the carrying amount of our goodwill for 2017 and 2016 (in thousands):</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7"/>
        </w:trPr>
        <w:tc>
          <w:tcPr>
            <w:tcW w:w="8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6,463</w:t>
            </w:r>
          </w:p>
        </w:tc>
      </w:tr>
      <w:tr>
        <w:trPr>
          <w:trHeight w:val="270"/>
        </w:trPr>
        <w:tc>
          <w:tcPr>
            <w:tcW w:w="880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5,577</w:t>
            </w:r>
          </w:p>
        </w:tc>
      </w:tr>
      <w:tr>
        <w:trPr>
          <w:trHeight w:val="270"/>
        </w:trPr>
        <w:tc>
          <w:tcPr>
            <w:tcW w:w="8800" w:type="dxa"/>
            <w:vAlign w:val="bottom"/>
          </w:tcPr>
          <w:p>
            <w:pPr>
              <w:ind w:left="160"/>
              <w:spacing w:after="0" w:line="270" w:lineRule="exact"/>
              <w:rPr>
                <w:sz w:val="20"/>
                <w:szCs w:val="20"/>
                <w:color w:val="auto"/>
              </w:rPr>
            </w:pPr>
            <w:r>
              <w:rPr>
                <w:rFonts w:ascii="Arial" w:cs="Arial" w:eastAsia="Arial" w:hAnsi="Arial"/>
                <w:sz w:val="18"/>
                <w:szCs w:val="18"/>
                <w:color w:val="auto"/>
              </w:rPr>
              <w:t>Goodwill acquired</w:t>
            </w:r>
            <w:r>
              <w:rPr>
                <w:rFonts w:ascii="Arial" w:cs="Arial" w:eastAsia="Arial" w:hAnsi="Arial"/>
                <w:sz w:val="25"/>
                <w:szCs w:val="25"/>
                <w:color w:val="auto"/>
                <w:vertAlign w:val="superscript"/>
              </w:rPr>
              <w:t>(2)</w:t>
            </w:r>
          </w:p>
        </w:tc>
        <w:tc>
          <w:tcPr>
            <w:tcW w:w="500" w:type="dxa"/>
            <w:vAlign w:val="bottom"/>
          </w:tcPr>
          <w:p>
            <w:pPr>
              <w:spacing w:after="0"/>
              <w:rPr>
                <w:sz w:val="23"/>
                <w:szCs w:val="23"/>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6,536</w:t>
            </w:r>
          </w:p>
        </w:tc>
      </w:tr>
      <w:tr>
        <w:trPr>
          <w:trHeight w:val="270"/>
        </w:trPr>
        <w:tc>
          <w:tcPr>
            <w:tcW w:w="88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5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r>
      <w:tr>
        <w:trPr>
          <w:trHeight w:val="250"/>
        </w:trPr>
        <w:tc>
          <w:tcPr>
            <w:tcW w:w="880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12,357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8890</wp:posOffset>
            </wp:positionV>
            <wp:extent cx="1397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-130175</wp:posOffset>
            </wp:positionV>
            <wp:extent cx="1397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125" w:right="2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43"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 2016, "other" relates to measurement period adjustments on the net assets of our 2015 acquisition of EXC Holding Corp. ("EXC").</w:t>
      </w:r>
    </w:p>
    <w:p>
      <w:pPr>
        <w:spacing w:after="0" w:line="201" w:lineRule="exact"/>
        <w:rPr>
          <w:rFonts w:ascii="Arial" w:cs="Arial" w:eastAsia="Arial" w:hAnsi="Arial"/>
          <w:sz w:val="21"/>
          <w:szCs w:val="21"/>
          <w:color w:val="auto"/>
          <w:vertAlign w:val="superscript"/>
        </w:rPr>
      </w:pPr>
    </w:p>
    <w:p>
      <w:pPr>
        <w:ind w:right="380" w:firstLine="8"/>
        <w:spacing w:after="0" w:line="252" w:lineRule="auto"/>
        <w:tabs>
          <w:tab w:leader="none" w:pos="192"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In 2017, our Fannin (UK) Limited ("Fannin") acquisition resulted in $1.0 million of goodwill and our Medical Australia Limited ("MLA") acquisition resulted in $5.5 million of goodwill. The goodwill related to MLA is preliminary and subject to adjustment.</w:t>
      </w:r>
    </w:p>
    <w:p>
      <w:pPr>
        <w:spacing w:after="0" w:line="17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In 2017, "other" relates to foreign currency translation.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2017</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600" w:type="dxa"/>
            <w:vAlign w:val="bottom"/>
          </w:tcPr>
          <w:p>
            <w:pPr>
              <w:spacing w:after="0"/>
              <w:rPr>
                <w:sz w:val="9"/>
                <w:szCs w:val="9"/>
                <w:color w:val="auto"/>
              </w:rPr>
            </w:pPr>
          </w:p>
        </w:tc>
        <w:tc>
          <w:tcPr>
            <w:tcW w:w="1480" w:type="dxa"/>
            <w:vAlign w:val="bottom"/>
            <w:gridSpan w:val="2"/>
          </w:tcPr>
          <w:p>
            <w:pPr>
              <w:jc w:val="center"/>
              <w:ind w:right="100"/>
              <w:spacing w:after="0" w:line="111" w:lineRule="exact"/>
              <w:rPr>
                <w:sz w:val="20"/>
                <w:szCs w:val="20"/>
                <w:color w:val="auto"/>
              </w:rPr>
            </w:pPr>
            <w:r>
              <w:rPr>
                <w:rFonts w:ascii="Arial" w:cs="Arial" w:eastAsia="Arial" w:hAnsi="Arial"/>
                <w:sz w:val="12"/>
                <w:szCs w:val="12"/>
                <w:b w:val="1"/>
                <w:bCs w:val="1"/>
                <w:color w:val="auto"/>
              </w:rPr>
              <w:t>Average</w:t>
            </w:r>
          </w:p>
        </w:tc>
        <w:tc>
          <w:tcPr>
            <w:tcW w:w="3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2"/>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6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4"/>
                <w:szCs w:val="14"/>
                <w:color w:val="auto"/>
              </w:rPr>
            </w:pPr>
          </w:p>
        </w:tc>
        <w:tc>
          <w:tcPr>
            <w:tcW w:w="10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48,518</w:t>
            </w:r>
          </w:p>
        </w:tc>
        <w:tc>
          <w:tcPr>
            <w:tcW w:w="0" w:type="dxa"/>
            <w:vAlign w:val="bottom"/>
          </w:tcPr>
          <w:p>
            <w:pPr>
              <w:spacing w:after="0"/>
              <w:rPr>
                <w:sz w:val="1"/>
                <w:szCs w:val="1"/>
                <w:color w:val="auto"/>
              </w:rPr>
            </w:pPr>
          </w:p>
        </w:tc>
      </w:tr>
      <w:tr>
        <w:trPr>
          <w:trHeight w:val="261"/>
        </w:trPr>
        <w:tc>
          <w:tcPr>
            <w:tcW w:w="56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81,846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74,275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amortized intangible assets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167,044</w:t>
            </w:r>
          </w:p>
        </w:tc>
        <w:tc>
          <w:tcPr>
            <w:tcW w:w="12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31,516</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135,528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2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175,269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31,516</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December 31, 2016</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600" w:type="dxa"/>
            <w:vAlign w:val="bottom"/>
          </w:tcPr>
          <w:p>
            <w:pPr>
              <w:spacing w:after="0"/>
              <w:rPr>
                <w:sz w:val="13"/>
                <w:szCs w:val="13"/>
                <w:color w:val="auto"/>
              </w:rPr>
            </w:pP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3"/>
                <w:szCs w:val="13"/>
                <w:color w:val="auto"/>
              </w:rPr>
            </w:pPr>
          </w:p>
        </w:tc>
        <w:tc>
          <w:tcPr>
            <w:tcW w:w="10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MCDA contract *</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Non-contractual 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6,701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57"/>
        </w:trPr>
        <w:tc>
          <w:tcPr>
            <w:tcW w:w="560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46,925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24,542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22,383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______________________________</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*MCDA contract: Manufacturing, Commercialization and Development Agreement with Hospira, Inc., dated May 1, 2005 (the "MCDA”). The MCDA was terminated in connection with the acquisition of the HIS business on February 3,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in 2017, 2016 and 2015 was $15.0 million, $2.8 million and $2.2 million, respectively.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estimated annual amortization for our intangible assets for each of the next five years is approximately (in thousands):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00"/>
          </w:cols>
          <w:pgMar w:left="240" w:top="125" w:right="25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8140" w:type="dxa"/>
            <w:vAlign w:val="bottom"/>
            <w:gridSpan w:val="2"/>
          </w:tcPr>
          <w:p>
            <w:pPr>
              <w:jc w:val="right"/>
              <w:ind w:right="2540"/>
              <w:spacing w:after="0"/>
              <w:rPr>
                <w:sz w:val="20"/>
                <w:szCs w:val="20"/>
                <w:color w:val="auto"/>
              </w:rPr>
            </w:pPr>
            <w:r>
              <w:rPr>
                <w:rFonts w:ascii="Arial" w:cs="Arial" w:eastAsia="Arial" w:hAnsi="Arial"/>
                <w:sz w:val="18"/>
                <w:szCs w:val="18"/>
                <w:b w:val="1"/>
                <w:bCs w:val="1"/>
                <w:color w:val="auto"/>
              </w:rPr>
              <w:t>ICU MEDICAL, INC. AND SUBSIDIARIES</w:t>
            </w:r>
          </w:p>
        </w:tc>
        <w:tc>
          <w:tcPr>
            <w:tcW w:w="142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8140" w:type="dxa"/>
            <w:vAlign w:val="bottom"/>
            <w:gridSpan w:val="2"/>
          </w:tcPr>
          <w:p>
            <w:pPr>
              <w:jc w:val="right"/>
              <w:ind w:right="1420"/>
              <w:spacing w:after="0"/>
              <w:rPr>
                <w:sz w:val="20"/>
                <w:szCs w:val="20"/>
                <w:color w:val="auto"/>
              </w:rPr>
            </w:pPr>
            <w:r>
              <w:rPr>
                <w:rFonts w:ascii="Arial" w:cs="Arial" w:eastAsia="Arial" w:hAnsi="Arial"/>
                <w:sz w:val="18"/>
                <w:szCs w:val="18"/>
                <w:b w:val="1"/>
                <w:bCs w:val="1"/>
                <w:color w:val="auto"/>
              </w:rPr>
              <w:t>NOTES TO CONSOLIDATED FINANCIAL STATEMENTS (Continued)</w:t>
            </w:r>
          </w:p>
        </w:tc>
        <w:tc>
          <w:tcPr>
            <w:tcW w:w="1420" w:type="dxa"/>
            <w:vAlign w:val="bottom"/>
          </w:tcPr>
          <w:p>
            <w:pPr>
              <w:spacing w:after="0"/>
              <w:rPr>
                <w:sz w:val="20"/>
                <w:szCs w:val="20"/>
                <w:color w:val="auto"/>
              </w:rPr>
            </w:pPr>
          </w:p>
        </w:tc>
      </w:tr>
      <w:tr>
        <w:trPr>
          <w:trHeight w:val="594"/>
        </w:trPr>
        <w:tc>
          <w:tcPr>
            <w:tcW w:w="18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14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15,996</w:t>
            </w: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2019</w:t>
            </w:r>
          </w:p>
        </w:tc>
        <w:tc>
          <w:tcPr>
            <w:tcW w:w="7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15,582</w:t>
            </w:r>
          </w:p>
        </w:tc>
      </w:tr>
      <w:tr>
        <w:trPr>
          <w:trHeight w:val="27"/>
        </w:trPr>
        <w:tc>
          <w:tcPr>
            <w:tcW w:w="18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15,444</w:t>
            </w: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2021</w:t>
            </w:r>
          </w:p>
        </w:tc>
        <w:tc>
          <w:tcPr>
            <w:tcW w:w="7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15,361</w:t>
            </w:r>
          </w:p>
        </w:tc>
      </w:tr>
      <w:tr>
        <w:trPr>
          <w:trHeight w:val="27"/>
        </w:trPr>
        <w:tc>
          <w:tcPr>
            <w:tcW w:w="18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15,242</w:t>
            </w: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57,903</w:t>
            </w:r>
          </w:p>
        </w:tc>
      </w:tr>
      <w:tr>
        <w:trPr>
          <w:trHeight w:val="27"/>
        </w:trPr>
        <w:tc>
          <w:tcPr>
            <w:tcW w:w="1820" w:type="dxa"/>
            <w:vAlign w:val="bottom"/>
            <w:tcBorders>
              <w:bottom w:val="single" w:sz="8" w:color="CCEEFF"/>
            </w:tcBorders>
          </w:tcPr>
          <w:p>
            <w:pPr>
              <w:spacing w:after="0"/>
              <w:rPr>
                <w:sz w:val="2"/>
                <w:szCs w:val="2"/>
                <w:color w:val="auto"/>
              </w:rPr>
            </w:pPr>
          </w:p>
        </w:tc>
        <w:tc>
          <w:tcPr>
            <w:tcW w:w="7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135,528</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jc w:val="both"/>
        <w:ind w:right="620" w:firstLine="648"/>
        <w:spacing w:after="0" w:line="312" w:lineRule="auto"/>
        <w:rPr>
          <w:sz w:val="20"/>
          <w:szCs w:val="20"/>
          <w:color w:val="auto"/>
        </w:rPr>
      </w:pPr>
      <w:r>
        <w:rPr>
          <w:rFonts w:ascii="Arial" w:cs="Arial" w:eastAsia="Arial" w:hAnsi="Arial"/>
          <w:sz w:val="16"/>
          <w:szCs w:val="16"/>
          <w:color w:val="auto"/>
        </w:rPr>
        <w:t>Short-term investments, exclusive of cash equivalents, are marketable securities intended to be sold within one year and may include trading securities, available-for-sale securities, and held-to-maturity securities (if maturing within one year). Long-term investments are marketable securities intended to be sold after one year and may include trading securities, available-for-sale securities, and held-to-maturity securities.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investment securities are considered available-for-sale and are “investment grade” and carried at fair value. Our investments currently consist of corporate bonds.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For debt securities, management also evaluates whether we have the intent to sell or will likely be required to sell before its anticipated recovery. Realized gains and losses are accounted for on the specific identification method. There have been no realized gains or losses on their disposal. The scheduled maturities of the equity securities are between 2018 and 2020. All short-term investment securities are all callable within one year.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our investment securities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Holding Gains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7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2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1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14,579</w:t>
            </w: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25"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income,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statements of operations in other (expense) income, net. Foreign currency transaction losses, net were $1.8 million in 2017, $0.3 million in 2016 and less than $0.2 million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Most of our product sales are free on board shipping point and ownership of the product transfers to the customer on shipment. We record sales and related costs when ownership of the product transfers to the customer, persuasive evidence of an arrangement exists, collectability is reasonably assured and the sales price is determinable. Our customers are distributors, medical product manufacturers and end-users. Our only post-sale obligations are warranty and certain rebates. We warrant products against defects and have a policy permitting the return of defective products. We reserve for warranty and returns based on historical experience. We accrue rebates based on agreements and on historical experience as a reduction in revenue at the time of sale.</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revenue consists of license, royalty and revenue sharing payments. Payments expected to be received are estimated and recorded in the period earned and adjusted to actual amounts when reports are received from payers; if there is insufficient data to make such estimates, payments are not recorded until reported by the payers.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may include infusion pumps, Mednet software, implementation services, extended warranty and consumables. We first separate the deliverables into different units of accounting and then allocate the arrangement consideration to those separate units of accounting based on their relative selling price. When applying the relative selling price method, the selling price for each deliverable shall be determined using the following hierarchy: (i) vendor-specific objective evidence of selling price; (ii) third-part evidence of selling price; or (iii) best estimate of the selling price. We record revenue related to these multiple deliverables as products are delivered and services have been performed.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to ship finished goods to our customers are included in cost of goods sold on the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Advertising expenses are expensed as incurred and reflected in selling, general and administrative expenses in our consolidated statements of operations and were $0.2 million in 2017, $0.1 million in 2016 and $0.2 million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and Post-employment Benefits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sponsor a Section 401(k) retirement plan ("plan") for employees. Our contributions to our 401(k) plan were approximately $2.0 million in 2017, $1.5 million in 2016 and $1.3 million in 2015. As a result of the HIS acquisition, we assumed certain post-retirement and post-employment obligations related to employees located in certain international countries. These obligations are immaterial to our financial statements taken as a whole.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related benefits, consulting fees, production supplies, samples, travel costs, utilities and other miscellaneous administrative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Per Share</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Net income per share is computed by dividing net income by the weighted average number of common shares outstanding. Diluted net income per share is computed by dividing net income by the weighted average number of common shares outstanding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337 anti-dilutive shares in 2017. There were no anti-dilutive shares in 2016 or 2015.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114935</wp:posOffset>
            </wp:positionV>
            <wp:extent cx="2735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9"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Year ended December 31,</w:t>
      </w:r>
    </w:p>
    <w:p>
      <w:pPr>
        <w:spacing w:after="0" w:line="4"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13335</wp:posOffset>
            </wp:positionV>
            <wp:extent cx="2735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68,644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63,084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44,985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outstanding (basic)</w:t>
            </w:r>
          </w:p>
        </w:tc>
        <w:tc>
          <w:tcPr>
            <w:tcW w:w="3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19,614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15,848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Dilutive securities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648</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and common equivalent shares outstanding (diluted)</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20,858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17,254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16,496</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2.73</w:t>
            </w:r>
          </w:p>
        </w:tc>
      </w:tr>
      <w:tr>
        <w:trPr>
          <w:trHeight w:val="294"/>
        </w:trPr>
        <w:tc>
          <w:tcPr>
            <w:tcW w:w="7080" w:type="dxa"/>
            <w:vAlign w:val="bottom"/>
          </w:tcPr>
          <w:p>
            <w:pPr>
              <w:ind w:left="60"/>
              <w:spacing w:after="0"/>
              <w:rPr>
                <w:sz w:val="20"/>
                <w:szCs w:val="20"/>
                <w:color w:val="auto"/>
              </w:rPr>
            </w:pPr>
            <w:r>
              <w:rPr>
                <w:rFonts w:ascii="Arial" w:cs="Arial" w:eastAsia="Arial" w:hAnsi="Arial"/>
                <w:sz w:val="22"/>
                <w:szCs w:val="22"/>
                <w:color w:val="auto"/>
              </w:rPr>
              <w:t>______________________________</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38" w:lineRule="exact"/>
        <w:rPr>
          <w:sz w:val="20"/>
          <w:szCs w:val="20"/>
          <w:color w:val="auto"/>
        </w:rPr>
      </w:pPr>
    </w:p>
    <w:p>
      <w:pPr>
        <w:ind w:right="60" w:firstLine="8"/>
        <w:spacing w:after="0" w:line="278" w:lineRule="auto"/>
        <w:tabs>
          <w:tab w:leader="none" w:pos="222" w:val="left"/>
        </w:tabs>
        <w:numPr>
          <w:ilvl w:val="0"/>
          <w:numId w:val="35"/>
        </w:numPr>
        <w:rPr>
          <w:rFonts w:ascii="Arial" w:cs="Arial" w:eastAsia="Arial" w:hAnsi="Arial"/>
          <w:sz w:val="26"/>
          <w:szCs w:val="26"/>
          <w:color w:val="auto"/>
          <w:vertAlign w:val="superscript"/>
        </w:rPr>
      </w:pPr>
      <w:r>
        <w:rPr>
          <w:rFonts w:ascii="Arial" w:cs="Arial" w:eastAsia="Arial" w:hAnsi="Arial"/>
          <w:sz w:val="16"/>
          <w:szCs w:val="16"/>
          <w:color w:val="auto"/>
        </w:rPr>
        <w:t>During the second quarter of 2016, we early adopted ASU 2016-09, Compensation - Stock Compensation (Topic 718): Improvements to Employee Share-Based Payment Accounting. Under this ASU, the change to the treasury stock method impacted weighted average common and common equivalent shares outstanding by 413,000 shares for the year ended December 31, 2016.</w:t>
      </w:r>
    </w:p>
    <w:p>
      <w:pPr>
        <w:spacing w:after="0" w:line="186"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On February 3, 2017, as part of the purchase price for the acquisition of Pfizer Inc.'s ("Pfizer") Hospira Infusion Systems ("HIS") business, we delivered to Pfizer 3.2 million newly issued common shares (see Note 2: Acquisitions, Strategic Transaction and Integration Expenses).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July 2015, the Financial Accounting Standards Board ("FASB") issued Accounting Standard Update ("ASU") No. 2015-11 Inventory (Topic 330): Simplifying the Measurement of Inventory. ASU 2015-11 changes the measurement of inventory within the scope of the ASU (e.g. FIFO or average cost) from lower of cost or market to lower of cost and net realizable value ("NRV"). NRV is defined as estimated selling prices in the ordinary course of business, less reasonably predictable costs of completion, disposal, and transportation. Prior to the ASU, U.S. generally accepted accounting principles required an entity to measure inventory at the lower of cost or market. Market is measured using replacement cost unless it is above NRV (commonly referred to as “ceiling”) or below NRV less an approximately normal profit margin (commonly referred to as “floor”). For inventory within its scope, the ASU eliminates the notions of replacement cost and NRV less a normal profit margin, which is intended to simplify the accounting for inventory. The amendments are effective prospectively for the fiscal years, and interim reporting periods within those years, beginning on or after December 15, 2016. We adopted this ASU on January 1, 2017. This ASU did not have a material impact on our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August, 2017, the FASB issued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We early-adopted this ASU on January 1, 2018. The adoption of this ASU will not materially impact our first quarter 2018 consolidated financial statements or related footnotes.</w:t>
      </w:r>
    </w:p>
    <w:p>
      <w:pPr>
        <w:spacing w:after="0" w:line="16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December 15, 2017. This adoption of this ASU is not expected to have a material impact on our consolidated financial statements or related footnote disclosures.</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 amendments in this update provide a screen to determine when a set (integrated set of assets and activities) is not a business. If the screen is not met, it (1) requires that to be considered a business, a set must include, at a minimum, an input and 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This adoption of this ASU is not expected to have a material impact on our consolidated financial statements or related disclosures.</w:t>
      </w:r>
    </w:p>
    <w:p>
      <w:pPr>
        <w:spacing w:after="0" w:line="171"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October 2016, the FASB issued No. ASU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The adoption of this ASU is not expected to have a material impact on our consolidated financial statements or related disclosures.</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August 2016, the FASB issued No. ASU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Early adoption is permitted. If adopted in an interim period, any adjustments should be reflected as of the beginning of the fiscal year that includes the interim period. Amendments should be applied using a retrospective transition method to each period presented. The adoption of this ASU is not expected to have a material impact on the consolidated financial statements and related disclosures.</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June 2016, the FASB issued No. ASU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for-sale debt securities and purchased financial assets with credit deterioration. The amendments in this update will be effective for fiscal years beginning after December 15, 2019. Early adoption is permitted as of the fiscal years beginning after December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15, 2018. The updated guidance requires a modified retrospective adoption. We are currently evaluating the impact of this ASU on the consolidated financial statements and related disclosures.</w:t>
      </w:r>
    </w:p>
    <w:p>
      <w:pPr>
        <w:spacing w:after="0" w:line="18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February 2016, the FASB issued No. ASU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amendments in this update will be effective for fiscal years beginning after December 15, 2019. Early adoption is permitted. The updated guidance requires a modified retrospective adoption. We are currently evaluating the impact of this ASU on the consolidated financial statements and related disclosures.</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January 2016, the FASB issued No. ASU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Early adoption of the amendments is not permitted with the exception of the provision requiring the recognition in other comprehensive income the fair value change from instrument-specific credit risk measured using the fair value option for financial instruments. The adoption of this ASU is not expected to have a material impact on the consolidated financial statements and related disclosures.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Early adoption is permitted beginning after December 31, 2016, the original effective date in ASU 2014-09.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dates mentioned above.</w:t>
      </w:r>
    </w:p>
    <w:p>
      <w:pPr>
        <w:spacing w:after="0" w:line="16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adopted the standard effective January 1, 2018 using the modified retrospective method applied to those contracts that were not completed as of January 1, 2018. Results for reporting beginning after January 1, 2018 are presented under ASC 606, while prior period amounts are not adjusted and will continue to be reported in accordance with our historic accounting under ASC 605. Due to the cumulative impact of adopting ASC 606, we will record a net increase of $9.0 million to opening retained earnings as of January 1, 2018. The impact is primarily related to our bundled arrangements where we sell software licenses and implementation services, in addition to equipment and other consumables and solutions.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evaluated the effect ASU 2014-09 on our consolidated financial statements by reviewing each of the significant revenue streams. The following is the result of that evaluation:</w:t>
      </w:r>
    </w:p>
    <w:p>
      <w:pPr>
        <w:spacing w:after="0" w:line="170" w:lineRule="exact"/>
        <w:rPr>
          <w:sz w:val="20"/>
          <w:szCs w:val="20"/>
          <w:color w:val="auto"/>
        </w:rPr>
      </w:pPr>
    </w:p>
    <w:p>
      <w:pPr>
        <w:ind w:left="660" w:right="120" w:hanging="328"/>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Bundled arrangements </w:t>
      </w:r>
      <w:r>
        <w:rPr>
          <w:rFonts w:ascii="Arial" w:cs="Arial" w:eastAsia="Arial" w:hAnsi="Arial"/>
          <w:sz w:val="18"/>
          <w:szCs w:val="18"/>
          <w:color w:val="auto"/>
        </w:rPr>
        <w:t>- The timing of revenue recognition changed under ASC 606 for arrangements that include the sale of equipment,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software implementation services, for which revenue is recognized over time, as the related implementation services are delivered. This results in a delay in the recognition of related revenue over the implementation period, and an acceleration of software related revenue when compared to ASC 605.</w:t>
      </w:r>
    </w:p>
    <w:p>
      <w:pPr>
        <w:spacing w:after="0" w:line="186"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Software renewals </w:t>
      </w:r>
      <w:r>
        <w:rPr>
          <w:rFonts w:ascii="Arial" w:cs="Arial" w:eastAsia="Arial" w:hAnsi="Arial"/>
          <w:sz w:val="18"/>
          <w:szCs w:val="18"/>
          <w:color w:val="auto"/>
        </w:rPr>
        <w:t>- The timing of revenue recognition for software license renewals changed under ASC 606. As functional IP, the license is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the customer at a point in time, at the start of each annual renewal period. As a result, under ASC 606, revenue related to our annual software license renewals is accelerated compared to ASC 605.</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In addition to the impact as mentioned above, we expect to have enhanced disclosures in our 2018 first quarter report on Form 10-Q.</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STRATEGIC TRANSACTION AND INTEGRATION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Acquisitions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February 1, 2017, we acquired 100% interest in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February 3, 2017, we acquired 100% interest in Pfizer's HIS business for total cash consideration of approximately $260.0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closing date, discounted to reflect a contractual lock-up period whereby Pfizer cannot transfer the shares, subject to certain exceptions, until the earlier of (i) the expiration of Pfizer’s services to us in the related transitional services agreement or (ii) 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acquisition of HIS, pre-existing long-term supply and distribution contracts between ICU and HIS were effectively terminated.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Closings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HIS Purchase Agreement, we agreed with Pfizer to defer the local closing of the HIS business in certain foreign jurisdictions (the “Deferred Closing Businesses”) for periods ranging by jurisdiction from 3 to 12 months after the February 3, 2017 closing date (the "Deferred Closing Period"). The net assets in these jurisdictions represent an immaterial portion of the total HIS business net assets.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February 3, 2017 HIS business transaction closing, we entered into a Net Economic Benefit Agreement with Pfizer under which we agreed that (i) during the Deferred Closing Period, the economic benefits and burdens of the Deferred Closing Businesses are for our account, and we are to be treated as the beneficial owner of the Deferred Closing Businesses and (ii) Pfizer would continue to operate the Deferred Closing Businesses under our direction.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all of the deferred closing businesses were effectively closed.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consideration for acquired assets</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180,785</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Fair value of Seller Note</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contingent consideration payable to Pfizer (long-term)</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Issuance of ICU Medical, Inc. common shares: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Market price of ICU shares issued to Pfizer</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Discount due to lack of marketability of 8.3%</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926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8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Purchase Price Allocation:</w:t>
            </w:r>
          </w:p>
        </w:tc>
        <w:tc>
          <w:tcPr>
            <w:tcW w:w="8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417,622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288,134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29,270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8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37"/>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Total identifiable net assets acquired</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783,894</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net</w:t>
            </w: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Estimated Gain on Bargain Purchase</w:t>
            </w:r>
          </w:p>
        </w:tc>
        <w:tc>
          <w:tcPr>
            <w:tcW w:w="8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(70,890)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Purchase Consideration</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10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8"/>
        <w:spacing w:after="0" w:line="296" w:lineRule="auto"/>
        <w:tabs>
          <w:tab w:leader="none" w:pos="178" w:val="left"/>
        </w:tabs>
        <w:numPr>
          <w:ilvl w:val="0"/>
          <w:numId w:val="37"/>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for the total identifiable assets is approximately nine years, for customer relationships the weighted amortization period is eight years, for the developed technology - pumps and dedicated sets the weighted amortization period is ten years and for the developed technology - consumables the weighted amortization period is twelve years. The IPR&amp;D is non-amortizing until the associated research and development efforts are complete.</w:t>
      </w:r>
    </w:p>
    <w:p>
      <w:pPr>
        <w:spacing w:after="0" w:line="150"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37"/>
        </w:numPr>
        <w:rPr>
          <w:rFonts w:ascii="Arial" w:cs="Arial" w:eastAsia="Arial" w:hAnsi="Arial"/>
          <w:sz w:val="21"/>
          <w:szCs w:val="21"/>
          <w:color w:val="auto"/>
          <w:vertAlign w:val="superscript"/>
        </w:rPr>
      </w:pPr>
      <w:r>
        <w:rPr>
          <w:rFonts w:ascii="Arial" w:cs="Arial" w:eastAsia="Arial" w:hAnsi="Arial"/>
          <w:sz w:val="15"/>
          <w:szCs w:val="15"/>
          <w:color w:val="auto"/>
        </w:rPr>
        <w:t>Long-term liabilities primarily consisted of contract liabilities, product liabilities and long-term employee benefits.</w:t>
      </w:r>
    </w:p>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was considerably lower than the forecast contemplated in initial negotiations with Pfizer, which resulted in an estimated fair value of $19 million related to the $225 million earn out. Restructuring costs, if incurred, will be expensed in future periods (see Note 3: Restructuring Charges). The bargain purchase gain is separately stated below income from operations in the accompanying consolidated statements of operations for the year ended December 31, 2017.</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a nominal profit and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pro forma financial information in the table below summarizes the combined results of operations for ICU and HIS as though the companies were combined as of the beginning of fiscal 2016. The pro forma financial information for all periods presented also includes the business combination accounting effects resulting from this acquisition including our amortization charges from acquired intangible assets, nonrecurring expense related to the fair value adjustment to acquisition-date inventory, acquisition and integration-related costs, interest expense on the Pfizer seller note and the related tax effects as though the aforementioned companies were combined as of the beginning of fiscal 2016. The pro forma financial information as presented below is for informational purposes only and is not indicative of the results of operations that would have been achieved if the acquisitions had taken place at the beginning of fiscal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420" w:type="dxa"/>
            <w:vAlign w:val="bottom"/>
          </w:tcPr>
          <w:p>
            <w:pPr>
              <w:spacing w:after="0"/>
              <w:rPr>
                <w:sz w:val="20"/>
                <w:szCs w:val="20"/>
                <w:color w:val="auto"/>
              </w:rPr>
            </w:pPr>
          </w:p>
        </w:tc>
        <w:tc>
          <w:tcPr>
            <w:tcW w:w="1840" w:type="dxa"/>
            <w:vAlign w:val="bottom"/>
            <w:gridSpan w:val="2"/>
          </w:tcPr>
          <w:p>
            <w:pPr>
              <w:ind w:left="320"/>
              <w:spacing w:after="0"/>
              <w:rPr>
                <w:sz w:val="20"/>
                <w:szCs w:val="20"/>
                <w:color w:val="auto"/>
              </w:rPr>
            </w:pPr>
            <w:r>
              <w:rPr>
                <w:rFonts w:ascii="Arial" w:cs="Arial" w:eastAsia="Arial" w:hAnsi="Arial"/>
                <w:sz w:val="18"/>
                <w:szCs w:val="18"/>
                <w:b w:val="1"/>
                <w:bCs w:val="1"/>
                <w:color w:val="auto"/>
              </w:rPr>
              <w:t>Revenue</w:t>
            </w:r>
          </w:p>
        </w:tc>
        <w:tc>
          <w:tcPr>
            <w:tcW w:w="420" w:type="dxa"/>
            <w:vAlign w:val="bottom"/>
          </w:tcPr>
          <w:p>
            <w:pPr>
              <w:spacing w:after="0"/>
              <w:rPr>
                <w:sz w:val="20"/>
                <w:szCs w:val="20"/>
                <w:color w:val="auto"/>
              </w:rPr>
            </w:pPr>
          </w:p>
        </w:tc>
        <w:tc>
          <w:tcPr>
            <w:tcW w:w="1740" w:type="dxa"/>
            <w:vAlign w:val="bottom"/>
          </w:tcPr>
          <w:p>
            <w:pPr>
              <w:jc w:val="right"/>
              <w:ind w:right="650"/>
              <w:spacing w:after="0"/>
              <w:rPr>
                <w:sz w:val="20"/>
                <w:szCs w:val="20"/>
                <w:color w:val="auto"/>
              </w:rPr>
            </w:pPr>
            <w:r>
              <w:rPr>
                <w:rFonts w:ascii="Arial" w:cs="Arial" w:eastAsia="Arial" w:hAnsi="Arial"/>
                <w:sz w:val="18"/>
                <w:szCs w:val="18"/>
                <w:b w:val="1"/>
                <w:bCs w:val="1"/>
                <w:color w:val="auto"/>
              </w:rPr>
              <w:t>Earnings</w:t>
            </w:r>
          </w:p>
        </w:tc>
      </w:tr>
      <w:tr>
        <w:trPr>
          <w:trHeight w:val="27"/>
        </w:trPr>
        <w:tc>
          <w:tcPr>
            <w:tcW w:w="7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Actual from 2/3/2017 - 12/31/2017</w:t>
            </w:r>
            <w:r>
              <w:rPr>
                <w:rFonts w:ascii="Arial" w:cs="Arial" w:eastAsia="Arial" w:hAnsi="Arial"/>
                <w:sz w:val="25"/>
                <w:szCs w:val="25"/>
                <w:color w:val="auto"/>
                <w:vertAlign w:val="superscript"/>
              </w:rPr>
              <w:t>(3)</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2017 supplemental pro forma from 1/1/2017 - 12/31/2017</w:t>
            </w:r>
            <w:r>
              <w:rPr>
                <w:rFonts w:ascii="Arial" w:cs="Arial" w:eastAsia="Arial" w:hAnsi="Arial"/>
                <w:sz w:val="25"/>
                <w:szCs w:val="25"/>
                <w:color w:val="auto"/>
                <w:vertAlign w:val="superscript"/>
              </w:rPr>
              <w:t>(1)(2)</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2016 supplemental pro forma from 1/1/2016 - 12/31/2016</w:t>
            </w:r>
            <w:r>
              <w:rPr>
                <w:rFonts w:ascii="Arial" w:cs="Arial" w:eastAsia="Arial" w:hAnsi="Arial"/>
                <w:sz w:val="25"/>
                <w:szCs w:val="25"/>
                <w:color w:val="auto"/>
                <w:vertAlign w:val="superscript"/>
              </w:rPr>
              <w:t>(1)(2)</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5"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16"/>
          <w:szCs w:val="16"/>
          <w:color w:val="auto"/>
        </w:rPr>
      </w:pPr>
      <w:r>
        <w:rPr>
          <w:rFonts w:ascii="Arial" w:cs="Arial" w:eastAsia="Arial" w:hAnsi="Arial"/>
          <w:sz w:val="18"/>
          <w:szCs w:val="18"/>
          <w:color w:val="auto"/>
        </w:rPr>
        <w:t>Impracticable to calculate.</w:t>
      </w:r>
    </w:p>
    <w:p>
      <w:pPr>
        <w:spacing w:after="0" w:line="22" w:lineRule="exact"/>
        <w:rPr>
          <w:sz w:val="20"/>
          <w:szCs w:val="20"/>
          <w:color w:val="auto"/>
        </w:rPr>
      </w:pPr>
    </w:p>
    <w:p>
      <w:pPr>
        <w:jc w:val="both"/>
        <w:ind w:right="220" w:firstLine="8"/>
        <w:spacing w:after="0" w:line="292" w:lineRule="auto"/>
        <w:tabs>
          <w:tab w:leader="none" w:pos="153" w:val="left"/>
        </w:tabs>
        <w:numPr>
          <w:ilvl w:val="0"/>
          <w:numId w:val="39"/>
        </w:numPr>
        <w:rPr>
          <w:rFonts w:ascii="Arial" w:cs="Arial" w:eastAsia="Arial" w:hAnsi="Arial"/>
          <w:sz w:val="17"/>
          <w:szCs w:val="17"/>
          <w:color w:val="auto"/>
          <w:vertAlign w:val="superscript"/>
        </w:rPr>
      </w:pPr>
      <w:r>
        <w:rPr>
          <w:rFonts w:ascii="Arial" w:cs="Arial" w:eastAsia="Arial" w:hAnsi="Arial"/>
          <w:sz w:val="14"/>
          <w:szCs w:val="14"/>
          <w:color w:val="auto"/>
        </w:rPr>
        <w:t>2017 supplemental pro forma earnings were adjusted to exclude $66.3 million of nonrecurring expense related to the fair value adjustment to acquisition-date inventory and $69.5 million of acquisition and integration-related costs. 2016 supplemental pro forma earnings were adjusted to include these charges.</w:t>
      </w:r>
    </w:p>
    <w:p>
      <w:pPr>
        <w:ind w:left="180" w:hanging="172"/>
        <w:spacing w:after="0" w:line="214" w:lineRule="auto"/>
        <w:tabs>
          <w:tab w:leader="none" w:pos="18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Unaudited.</w:t>
      </w:r>
    </w:p>
    <w:p>
      <w:pPr>
        <w:spacing w:after="0" w:line="2" w:lineRule="exact"/>
        <w:rPr>
          <w:rFonts w:ascii="Arial" w:cs="Arial" w:eastAsia="Arial" w:hAnsi="Arial"/>
          <w:sz w:val="21"/>
          <w:szCs w:val="21"/>
          <w:color w:val="auto"/>
          <w:vertAlign w:val="superscript"/>
        </w:rPr>
      </w:pPr>
    </w:p>
    <w:p>
      <w:pPr>
        <w:ind w:left="200" w:hanging="192"/>
        <w:spacing w:after="0" w:line="194" w:lineRule="auto"/>
        <w:tabs>
          <w:tab w:leader="none" w:pos="200" w:val="left"/>
        </w:tabs>
        <w:numPr>
          <w:ilvl w:val="0"/>
          <w:numId w:val="39"/>
        </w:numPr>
        <w:rPr>
          <w:rFonts w:ascii="Arial" w:cs="Arial" w:eastAsia="Arial" w:hAnsi="Arial"/>
          <w:sz w:val="23"/>
          <w:szCs w:val="23"/>
          <w:color w:val="auto"/>
          <w:vertAlign w:val="superscript"/>
        </w:rPr>
      </w:pPr>
      <w:r>
        <w:rPr>
          <w:rFonts w:ascii="Arial" w:cs="Arial" w:eastAsia="Arial" w:hAnsi="Arial"/>
          <w:sz w:val="17"/>
          <w:szCs w:val="17"/>
          <w:color w:val="auto"/>
        </w:rPr>
        <w:t>Amount represents activity of HIS from the date of the acquisition.</w:t>
      </w:r>
    </w:p>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On November 29, 2017, we acquired all of the outstanding shares of MLA. Total cash consideration paid was approximately $9.0 million. MLA delivers similar consumable Infusion products as our current businesses to Australia and surrounding regions. The purchase price allocation is preliminary and subject to future revision as the acquired assets and liabilities assumed are dependent upon the finalization of the related valuations.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Acquisitions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April 4, 2016, we acquired all of the outstanding shares of Tangent Medical Technologies, Inc. ("Tangent") for $2.6 million in cash. Tangent designs, develops, and commercializes intravenous catheters and associated products for the improvement of infusion therapy. Tangent's products enhance our infusion therapy product offering. For the year ended December 31, 2016, we recognized a $1.5 million bargain purchase gain related to the acquisition, which is separately stated in our consolidated statements of income. The bargain purchase gain represents the excess of the estimated fair market value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identifiable tangible and intangible assets acquired, liabilities assumed and deferred tax assets over the total purchase consideration. The bargain purchase was driven by our ability to realize acquired deferred tax assets. The purchase price allocation is final.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Acquisitions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October 6, 2015, we acquired 100% of the outstanding shares of EXC, for approximately $59.5 million in cash. Immediately following the completion of the acquisition of EXC, we sold certain assets to Excelsior Medical, LLC for a final purchase price including working capital adjustments of $29.0 million in cash. We retained all of the assets related to the business of manufacturing and selling the needleless connector disinfection cap. The acquisition of EXC's SwabCap business enhances our infusion therapy product offering across our existing direct and original equipment manufacturer business lines. The goodwill recognized for this acquisition is attributable to the benefits expected to be derived from product line expansion, new customers and operational synergies. The goodwill is nondeductible for income tax purposes. The following table summarizes the final purchase price and the allocation of the purchase price related to the assets and liabilities retained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207645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Cash, net of cash acquired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10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Allocation of the Purchase Price:</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sold to Excelsior Medical, LLC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asset/liabilities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Identifiable intangible assets</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Assumed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56,786</w:t>
            </w:r>
          </w:p>
        </w:tc>
        <w:tc>
          <w:tcPr>
            <w:tcW w:w="0" w:type="dxa"/>
            <w:vAlign w:val="bottom"/>
          </w:tcPr>
          <w:p>
            <w:pPr>
              <w:spacing w:after="0"/>
              <w:rPr>
                <w:sz w:val="1"/>
                <w:szCs w:val="1"/>
                <w:color w:val="auto"/>
              </w:rPr>
            </w:pPr>
          </w:p>
        </w:tc>
      </w:tr>
      <w:tr>
        <w:trPr>
          <w:trHeight w:val="20"/>
        </w:trPr>
        <w:tc>
          <w:tcPr>
            <w:tcW w:w="10040" w:type="dxa"/>
            <w:vAlign w:val="bottom"/>
            <w:gridSpan w:val="2"/>
            <w:vMerge w:val="restart"/>
          </w:tcPr>
          <w:p>
            <w:pPr>
              <w:jc w:val="right"/>
              <w:ind w:right="7250"/>
              <w:spacing w:after="0"/>
              <w:rPr>
                <w:sz w:val="20"/>
                <w:szCs w:val="20"/>
                <w:color w:val="auto"/>
              </w:rPr>
            </w:pPr>
            <w:r>
              <w:rPr>
                <w:rFonts w:ascii="Arial" w:cs="Arial" w:eastAsia="Arial" w:hAnsi="Arial"/>
                <w:sz w:val="18"/>
                <w:szCs w:val="18"/>
                <w:color w:val="auto"/>
                <w:w w:val="89"/>
              </w:rPr>
              <w:t>______________________________</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firstLine="8"/>
        <w:spacing w:after="0" w:line="260" w:lineRule="auto"/>
        <w:tabs>
          <w:tab w:leader="none" w:pos="192"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Identifiable intangible assets included $7.1 million of non-contractual customer relationships, $3.7 million of developed technology and $7.3 million of trade name. The weighted-average amortization period for the total identifiable intangible assets is approximately fourteen years. The weighted-average amortization period for customer relationships and trade name is fifteen years and the weighted-average amortization period for the developed technology is ten years.</w:t>
      </w:r>
    </w:p>
    <w:p>
      <w:pPr>
        <w:spacing w:after="0" w:line="200" w:lineRule="exact"/>
        <w:rPr>
          <w:sz w:val="20"/>
          <w:szCs w:val="20"/>
          <w:color w:val="auto"/>
        </w:rPr>
      </w:pPr>
    </w:p>
    <w:p>
      <w:pPr>
        <w:spacing w:after="0" w:line="20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identifiable intangible assets and other long-lived assets acquired have been valued as Level 3 assets at fair market The estimated fair value of identifiable intangible assets was developed using the income approach and is based on critical estimates, judgments and assumptions derived from: analysis of market conditions; discount rate; discounted cash flows; royalty rates; customer retention rates; and estimated useful lives. The prepaid expenses and other current assets and assumed liabilities were recorded at their carrying values as of the date of the acquisition, as their carrying values approximated their fair values due to their short-term nature.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Transaction and Integration Expenses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2017, we incurred $59.2 million in transaction and integration costs primarily related to our acquisition of HIS. In 2016, we incurred $14.3 million in transaction costs related to our 2017 acquisition of HIS, our acquisition of Tangent and our acquisition of EXC. In 2015, we incurred $1.8 million in charges primarily associated with the acquisition of EXC. Transaction expenses are presented on a separate line item on our statements of income and are combined with restructuring charges.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CHARGES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2017, we incurred restructuring charges related to the acquisition of the HIS business (see Note 2: Acquisitions, Strategic Transaction and Integration Expenses). The restructuring charges were incurred as a result of integrating the acquired operations into our business and include severance costs related to involuntary employee terminations and facility exit costs related to the closure of the Dominican Republic manufacturing facilities acquired from Pfizer. All material charges in regard to these restructuring activities have been paid as of December 31, 2017.</w:t>
      </w:r>
    </w:p>
    <w:p>
      <w:pPr>
        <w:spacing w:after="0" w:line="17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2016, we incurred an additional $0.8 million related to the closure of the Slovakian manufacturing facility, described below. Additionally, we incurred $0.2 million related to a one-time charge unrelated to the events disclosed in the table below.</w:t>
      </w:r>
    </w:p>
    <w:p>
      <w:pPr>
        <w:spacing w:after="0" w:line="170" w:lineRule="exact"/>
        <w:rPr>
          <w:sz w:val="20"/>
          <w:szCs w:val="20"/>
          <w:color w:val="auto"/>
        </w:rPr>
      </w:pPr>
    </w:p>
    <w:p>
      <w:pPr>
        <w:ind w:right="380" w:firstLine="648"/>
        <w:spacing w:after="0" w:line="256" w:lineRule="auto"/>
        <w:rPr>
          <w:sz w:val="20"/>
          <w:szCs w:val="20"/>
          <w:color w:val="auto"/>
        </w:rPr>
      </w:pPr>
      <w:r>
        <w:rPr>
          <w:rFonts w:ascii="Arial" w:cs="Arial" w:eastAsia="Arial" w:hAnsi="Arial"/>
          <w:sz w:val="18"/>
          <w:szCs w:val="18"/>
          <w:color w:val="auto"/>
        </w:rPr>
        <w:t>In 2015, we incurred $6.7 million in total restructuring charges related to: (i) a commitment to a plan to sell our Slovakia manufacturing facility, which was sold during 2016. The plan to sell the facility resulted in a pre-tax restructuring charge of $4.2 million for employee termination benefits, government incentive repayments and other associated costs; (ii) an</w:t>
      </w:r>
    </w:p>
    <w:p>
      <w:pPr>
        <w:ind w:right="140"/>
        <w:spacing w:after="0" w:line="271" w:lineRule="auto"/>
        <w:rPr>
          <w:sz w:val="20"/>
          <w:szCs w:val="20"/>
          <w:color w:val="auto"/>
        </w:rPr>
      </w:pPr>
      <w:r>
        <w:rPr>
          <w:rFonts w:ascii="Arial" w:cs="Arial" w:eastAsia="Arial" w:hAnsi="Arial"/>
          <w:sz w:val="17"/>
          <w:szCs w:val="17"/>
          <w:color w:val="auto"/>
        </w:rPr>
        <w:t>agreement with Dr. Lopez, a member of our Board of Directors and a former employee in our research and development department, pursuant to which we bought out Dr. Lopez's right to employment under his then-existing employment agreement-the $1.9 million buy-out, including payroll taxes, will be paid in equal monthly installments until December 2020 and payments that will exceed one year have been accrued under long-term liabilities in our consolidated balance sheet; and (iii) the reorganization of our corporate infrastructure, resulting in one-time employee termination benefits and other associated costs and corporate restructuring actions resulted in a total charge of $0.6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for the restructuring-related charges discussed above and related accrual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Accrued Balance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Accrued Balance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gridSpan w:val="2"/>
          </w:tcPr>
          <w:p>
            <w:pPr>
              <w:jc w:val="center"/>
              <w:ind w:left="5"/>
              <w:spacing w:after="0"/>
              <w:rPr>
                <w:sz w:val="20"/>
                <w:szCs w:val="20"/>
                <w:color w:val="auto"/>
              </w:rPr>
            </w:pPr>
            <w:r>
              <w:rPr>
                <w:rFonts w:ascii="Arial" w:cs="Arial" w:eastAsia="Arial" w:hAnsi="Arial"/>
                <w:sz w:val="13"/>
                <w:szCs w:val="13"/>
                <w:b w:val="1"/>
                <w:bCs w:val="1"/>
                <w:color w:val="auto"/>
                <w:w w:val="87"/>
              </w:rPr>
              <w:t>Accrued Balance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Charges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Currency</w:t>
            </w: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Charges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303"/>
              <w:spacing w:after="0" w:line="135" w:lineRule="exact"/>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1"/>
                <w:szCs w:val="11"/>
                <w:color w:val="auto"/>
              </w:rPr>
            </w:pPr>
          </w:p>
        </w:tc>
        <w:tc>
          <w:tcPr>
            <w:tcW w:w="88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incurred</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8"/>
              </w:rPr>
              <w:t>Translation</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8"/>
              </w:rPr>
              <w:t>Adjustments</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incurred</w:t>
            </w:r>
          </w:p>
        </w:tc>
        <w:tc>
          <w:tcPr>
            <w:tcW w:w="8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Payments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3"/>
              <w:spacing w:after="0"/>
              <w:rPr>
                <w:sz w:val="20"/>
                <w:szCs w:val="20"/>
                <w:color w:val="auto"/>
              </w:rPr>
            </w:pPr>
            <w:r>
              <w:rPr>
                <w:rFonts w:ascii="Arial" w:cs="Arial" w:eastAsia="Arial" w:hAnsi="Arial"/>
                <w:sz w:val="13"/>
                <w:szCs w:val="13"/>
                <w:b w:val="1"/>
                <w:bCs w:val="1"/>
                <w:color w:val="auto"/>
                <w:w w:val="88"/>
              </w:rPr>
              <w:t>Adjustments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89"/>
              </w:rPr>
              <w:t>2017</w:t>
            </w:r>
          </w:p>
        </w:tc>
        <w:tc>
          <w:tcPr>
            <w:tcW w:w="0" w:type="dxa"/>
            <w:vAlign w:val="bottom"/>
          </w:tcPr>
          <w:p>
            <w:pPr>
              <w:spacing w:after="0"/>
              <w:rPr>
                <w:sz w:val="1"/>
                <w:szCs w:val="1"/>
                <w:color w:val="auto"/>
              </w:rPr>
            </w:pPr>
          </w:p>
        </w:tc>
      </w:tr>
      <w:tr>
        <w:trPr>
          <w:trHeight w:val="143"/>
        </w:trPr>
        <w:tc>
          <w:tcPr>
            <w:tcW w:w="12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9"/>
              </w:rPr>
              <w:t>Severance pay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2,505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15,983</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 (15,104)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w:t>
            </w: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Government</w:t>
            </w:r>
          </w:p>
        </w:tc>
        <w:tc>
          <w:tcPr>
            <w:tcW w:w="140" w:type="dxa"/>
            <w:vAlign w:val="bottom"/>
          </w:tcPr>
          <w:p>
            <w:pPr>
              <w:spacing w:after="0"/>
              <w:rPr>
                <w:sz w:val="13"/>
                <w:szCs w:val="13"/>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6"/>
                <w:szCs w:val="16"/>
                <w:color w:val="auto"/>
              </w:rPr>
              <w:t>1,884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(1,769)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43"/>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w w:val="95"/>
              </w:rPr>
              <w:t>incentive repayment</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Employment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1,845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agreement buyout</w:t>
            </w: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Other corporate</w:t>
            </w:r>
          </w:p>
        </w:tc>
        <w:tc>
          <w:tcPr>
            <w:tcW w:w="140" w:type="dxa"/>
            <w:vAlign w:val="bottom"/>
          </w:tcPr>
          <w:p>
            <w:pPr>
              <w:spacing w:after="0"/>
              <w:rPr>
                <w:sz w:val="13"/>
                <w:szCs w:val="13"/>
                <w:color w:val="auto"/>
              </w:rPr>
            </w:pPr>
          </w:p>
        </w:tc>
        <w:tc>
          <w:tcPr>
            <w:tcW w:w="920" w:type="dxa"/>
            <w:vAlign w:val="bottom"/>
            <w:vMerge w:val="restart"/>
          </w:tcPr>
          <w:p>
            <w:pPr>
              <w:jc w:val="right"/>
              <w:ind w:right="43"/>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ind w:right="43"/>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restructuring</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Retention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facility closure</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43"/>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2,789</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6,539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18,772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 (18,256)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2,029</w:t>
            </w: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GAIN ON SALE OF BUILDING</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During 2015, we sold an office building in our San Clemente location to George A. Lopez, M.D., a member of our Board of Directors. The building was sold for $3.6 million, its fair market value as determined by a third party. The net book value of the land and building was $2.5 million resulting in a gain on the sale of the land and building of $1.1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LEGAL SETTLEMENTS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we recorded a net settlement charge of $1.8 million due to the following claims: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An arbitrator ruled on a breach of contract claim between us and a service provider, awarding us a gross settlement of $8.8 million. Our legal counsel for this matter represented us under a contingency fee agreement. We recorded a settlement award, net of legal fees and costs, of $5.3 million;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An arbitrator ruled on a breach of contract claim between us and a customer, Hospira, Inc., awarding Hospira $8.2 million Canadian dollars ($6.5 million U.S. dollars). The arbitrator also ruled that we pay 75% of Hospira's legal fees and expenses, which were $0.7 million U.S. dollars. We made a $7.5 million U.S. dollars settlement payment during 2015, which includes a foreign exchange transaction adjustment to Canadian dollars at the time of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IMPAIRMENT OF ASSETS HELD FOR SALE</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2015, our Board of Directors authorized us to close our Vrable, Slovakia manufacturing facility. The closure was to enable for greater efficiency of our Ensenada, Mexico facility. After receiving the Board of Director's authorization, we reclassified the land and building related to the Slovakia facility as held-for-sale, and recorded the value of those assets at the lower of their carrying value or their estimated fair value less costs to sell, which was based on a third party fair market valuation. As the estimated fair value less cost to sell was lower than the carrying value of the assets held-for-sale, we recorded an impairment charge of $4.1 million in 2015.</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During 2016, we completed the closure of our Slovakia manufacturing facility and sold the land and building held-for- sale for $3.3 million, net of costs to sell, resulting in an additional $0.7 million impairment charge on those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impairment charges are separately stated in our consolidated statements of operations above income from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 BASED AWARDS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a stock incentive plan for employees and directors and an employee stock purchase plan. Shares to be issued under these plans will be issued either from authorized but unissued shares or from treasury shares.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incur stock compensation expense for stock options, restricted stock units ("RSU"), performance restricted stock units ("PRSU") and stock purchased under our employee stock purchase plan ("ESPP"). We receive a tax benefit on stock compensation expense and direct tax benefits from the exercise of stock options. We also have indirect tax benefits upon exercise of stock options related to research and development tax credits which are recorded as a reduction of income tax expense. The table below summarizes compensation costs and related tax benefits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8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90"/>
              </w:rPr>
              <w:t>Year ended December 31,</w:t>
            </w:r>
          </w:p>
        </w:tc>
        <w:tc>
          <w:tcPr>
            <w:tcW w:w="1060" w:type="dxa"/>
            <w:vAlign w:val="bottom"/>
          </w:tcPr>
          <w:p>
            <w:pPr>
              <w:spacing w:after="0"/>
              <w:rPr>
                <w:sz w:val="18"/>
                <w:szCs w:val="18"/>
                <w:color w:val="auto"/>
              </w:rPr>
            </w:pPr>
          </w:p>
        </w:tc>
      </w:tr>
      <w:tr>
        <w:trPr>
          <w:trHeight w:val="33"/>
        </w:trPr>
        <w:tc>
          <w:tcPr>
            <w:tcW w:w="70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8"/>
        </w:trPr>
        <w:tc>
          <w:tcPr>
            <w:tcW w:w="69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12,827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Tax benefit from stock-based compensation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7,247</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4,922</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Indirect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1,997</w:t>
            </w:r>
          </w:p>
        </w:tc>
      </w:tr>
      <w:tr>
        <w:trPr>
          <w:trHeight w:val="27"/>
        </w:trPr>
        <w:tc>
          <w:tcPr>
            <w:tcW w:w="6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December 31, 2017, we had $23.3 million of unamortized stock compensation cost which we will recognize as an expense over approximately 0.8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and Stock Option Plans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2011 Stock Incentive Plan ("2011 Plan") replaced our 2003 Stock Option Plan (“2003 Plan”). Our 2011 Plan initially had 650,000 shares available for issuance, plus the remaining available shares for grant from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In addition, any forfeited, terminated or expired shares that would otherwise return to the 2003 Plan are available under the 2011 Plan. As of December 31, 2017,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 Upon exercise of non-statutory stock options, we are generally entitled to a tax deduction on the exercise of the option for an amount equal to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excess over the exercise price of the fair market value of the shares at the date of exercise; we are generally not entitled to any tax deduction on the exercise of an incentive stock option. The 2011 Plan includes conditions whereby unvested options are cancelled if employment is terminated.</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In 2014, our Compensation Committee of the Board of Directors awarded our then new Chief Executive Officer an employment inducement option to purchase 182,366 shares of our common stock and an employment inducement grant of restricted stock units with respect to 68,039 shares of our common stock. The inducement grants were made out of our 2014 Inducement Incentive Plan ("2014 Plan").</w:t>
      </w:r>
    </w:p>
    <w:p>
      <w:pPr>
        <w:spacing w:after="0" w:line="18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Our 2001 Directors’ Stock Option Plan (the “Directors’ Plan”), initially had 750,000 shares reserved for issuance to members of our Board of Directors, expired in November 2011. Although no new grants may be made under the Director's Plan, grants made under the Director's Plan prior to its expiration continue to remain outstanding. Options not vested terminate if the directorship is terminated.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To date, all options granted under the 2014 Plan, 2011 Plan, 2003 Plan and Directors' Plan have been non-statutory stock options. The majority of the time-based outstanding employee option grants vest 25% after one year from the grant date and the balance vests ratably on a monthly basis over 36 months. The majority of the outstanding options granted to non-employee directors vest one year from the grant date. The options generally expire 10 years from the grant date.</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 The table below summarizes the total time-based stock options granted, total valuation and the weighted average assumptions (dollars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time-based options granted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22,816</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Grant date fair value of options granted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375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590</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Weighted average assumptions for stock option valuation:</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160" w:type="dxa"/>
            <w:vAlign w:val="bottom"/>
            <w:tcBorders>
              <w:top w:val="single" w:sz="8" w:color="auto"/>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5.6</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Weighted average grant price per option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158.20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101.32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93.30</w:t>
            </w:r>
          </w:p>
        </w:tc>
      </w:tr>
      <w:tr>
        <w:trPr>
          <w:trHeight w:val="27"/>
        </w:trPr>
        <w:tc>
          <w:tcPr>
            <w:tcW w:w="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option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42.51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25.86</w:t>
            </w:r>
          </w:p>
        </w:tc>
      </w:tr>
      <w:tr>
        <w:trPr>
          <w:trHeight w:val="27"/>
        </w:trPr>
        <w:tc>
          <w:tcPr>
            <w:tcW w:w="4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2015, we granted performance stock option grants which are exercisable if the common stock price condition and the time-based vesting have been met. The 2015 performance based stock option grants vest ratably at 33% per year over three years. For the 2015 grants, the vested performance stock options became exercisable when the closing price of our common stock was equal to or more than 130% of the exercise price for 30 consecutive trading days during the term of the grant. All of the 2015 performance stock option grant's common stock price conditions have been met.</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fair value of performance option grants is calculated using the Monte Carlo Simulation. The expected term of the performance option grants is based on the expected number of years to achieve the exercisable goal trigger and assumes that the vested option will be immediately exercised or cancelled, if underwater. We estimate the volatility of our common stock at the date of grant based on the historical volatility of our common stock over a 10-year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summarizes the performance stock options granted, the total valuation and the weighted average assumptions (dollars in thousands).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performance option grants in 2017 or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1"/>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860" w:type="dxa"/>
            <w:vAlign w:val="bottom"/>
            <w:tcBorders>
              <w:bottom w:val="single" w:sz="8" w:color="CCEEFF"/>
            </w:tcBorders>
            <w:gridSpan w:val="3"/>
          </w:tcPr>
          <w:p>
            <w:pPr>
              <w:spacing w:after="0"/>
              <w:rPr>
                <w:sz w:val="22"/>
                <w:szCs w:val="22"/>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Number of performance options granted</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244,825</w:t>
            </w:r>
          </w:p>
        </w:tc>
      </w:tr>
      <w:tr>
        <w:trPr>
          <w:trHeight w:val="243"/>
        </w:trPr>
        <w:tc>
          <w:tcPr>
            <w:tcW w:w="2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Number of performance options earned</w:t>
            </w:r>
          </w:p>
        </w:tc>
        <w:tc>
          <w:tcPr>
            <w:tcW w:w="1440" w:type="dxa"/>
            <w:vAlign w:val="bottom"/>
            <w:gridSpan w:val="2"/>
          </w:tcPr>
          <w:p>
            <w:pPr>
              <w:jc w:val="right"/>
              <w:ind w:right="48"/>
              <w:spacing w:after="0"/>
              <w:rPr>
                <w:sz w:val="20"/>
                <w:szCs w:val="20"/>
                <w:color w:val="auto"/>
              </w:rPr>
            </w:pPr>
            <w:r>
              <w:rPr>
                <w:rFonts w:ascii="Arial" w:cs="Arial" w:eastAsia="Arial" w:hAnsi="Arial"/>
                <w:sz w:val="18"/>
                <w:szCs w:val="18"/>
                <w:color w:val="auto"/>
              </w:rPr>
              <w:t>244,825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349,812</w:t>
            </w: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Grant date fair value of options granted (in thousands)</w:t>
            </w:r>
          </w:p>
        </w:tc>
        <w:tc>
          <w:tcPr>
            <w:tcW w:w="1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6,087</w:t>
            </w:r>
          </w:p>
        </w:tc>
      </w:tr>
      <w:tr>
        <w:trPr>
          <w:trHeight w:val="203"/>
        </w:trPr>
        <w:tc>
          <w:tcPr>
            <w:tcW w:w="20" w:type="dxa"/>
            <w:vAlign w:val="bottom"/>
          </w:tcPr>
          <w:p>
            <w:pPr>
              <w:spacing w:after="0"/>
              <w:rPr>
                <w:sz w:val="17"/>
                <w:szCs w:val="17"/>
                <w:color w:val="auto"/>
              </w:rPr>
            </w:pPr>
          </w:p>
        </w:tc>
        <w:tc>
          <w:tcPr>
            <w:tcW w:w="8180" w:type="dxa"/>
            <w:vAlign w:val="bottom"/>
            <w:gridSpan w:val="3"/>
          </w:tcPr>
          <w:p>
            <w:pPr>
              <w:spacing w:after="0" w:line="202" w:lineRule="exact"/>
              <w:rPr>
                <w:sz w:val="20"/>
                <w:szCs w:val="20"/>
                <w:color w:val="auto"/>
              </w:rPr>
            </w:pPr>
            <w:r>
              <w:rPr>
                <w:rFonts w:ascii="Arial" w:cs="Arial" w:eastAsia="Arial" w:hAnsi="Arial"/>
                <w:sz w:val="18"/>
                <w:szCs w:val="18"/>
                <w:color w:val="auto"/>
              </w:rPr>
              <w:t>Weighted average assumptions for stock option valuation:</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18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w:t>
            </w:r>
          </w:p>
        </w:tc>
      </w:tr>
      <w:tr>
        <w:trPr>
          <w:trHeight w:val="243"/>
        </w:trPr>
        <w:tc>
          <w:tcPr>
            <w:tcW w:w="2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Expected stock price volatility</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30.86%</w:t>
            </w: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grant price per option</w:t>
            </w:r>
          </w:p>
        </w:tc>
        <w:tc>
          <w:tcPr>
            <w:tcW w:w="18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91.88</w:t>
            </w:r>
          </w:p>
        </w:tc>
      </w:tr>
      <w:tr>
        <w:trPr>
          <w:trHeight w:val="243"/>
        </w:trPr>
        <w:tc>
          <w:tcPr>
            <w:tcW w:w="20" w:type="dxa"/>
            <w:vAlign w:val="bottom"/>
          </w:tcPr>
          <w:p>
            <w:pPr>
              <w:spacing w:after="0"/>
              <w:rPr>
                <w:sz w:val="21"/>
                <w:szCs w:val="21"/>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Weighted average grant date fair value per option</w:t>
            </w:r>
          </w:p>
        </w:tc>
        <w:tc>
          <w:tcPr>
            <w:tcW w:w="18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24.86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option activity as of and for the year ended December 31, 2017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3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(Years)</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Value (in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2,018,290</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8,825</w:t>
            </w:r>
          </w:p>
        </w:tc>
        <w:tc>
          <w:tcPr>
            <w:tcW w:w="4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(610,316)</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 or 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1,416,727</w:t>
            </w:r>
          </w:p>
        </w:tc>
        <w:tc>
          <w:tcPr>
            <w:tcW w:w="4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217,749</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1,133,734</w:t>
            </w:r>
          </w:p>
        </w:tc>
        <w:tc>
          <w:tcPr>
            <w:tcW w:w="4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0"/>
                <w:szCs w:val="20"/>
                <w:color w:val="auto"/>
              </w:rPr>
            </w:pPr>
          </w:p>
        </w:tc>
        <w:tc>
          <w:tcPr>
            <w:tcW w:w="3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176,721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December 31, 2017</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1,416,727</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217,749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20" w:type="dxa"/>
            <w:vAlign w:val="bottom"/>
            <w:gridSpan w:val="14"/>
          </w:tcPr>
          <w:p>
            <w:pPr>
              <w:ind w:left="660"/>
              <w:spacing w:after="0"/>
              <w:rPr>
                <w:sz w:val="20"/>
                <w:szCs w:val="20"/>
                <w:color w:val="auto"/>
              </w:rPr>
            </w:pPr>
            <w:r>
              <w:rPr>
                <w:rFonts w:ascii="Arial" w:cs="Arial" w:eastAsia="Arial" w:hAnsi="Arial"/>
                <w:sz w:val="18"/>
                <w:szCs w:val="18"/>
                <w:color w:val="auto"/>
                <w:w w:val="91"/>
              </w:rPr>
              <w:t>The intrinsic values for options exercisable, outstanding and vested or expected to vest at December 31, 2017 is based on our closing stock price of</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$216.00 at December 31, 2017 and are before applicable taxes.</w:t>
            </w: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5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Intrinsic value of options exercised</w:t>
            </w:r>
          </w:p>
        </w:tc>
        <w:tc>
          <w:tcPr>
            <w:tcW w:w="13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71,283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Cash received from exercise of stock options</w:t>
            </w: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15,042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 from stock option exercises</w:t>
            </w: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7,556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9,330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2017, we granted performance restricted stock units ("PRSU") to our executive officers. The PRSUs will vest, if at all, upon the achievement of a minimum Cumulative Adjusted EBITDA, subject to a three-year cliff vesting ending on December 31, 2019. If at that date, our Cumulative Adjusted EBITDA is at least $600 million but less than $650 million, 100% of the awarded units will vest. If our Cumulative Adjusted EBITDA is at least $650 million but less than $700 million, 200% of the awarded units will vest. If our Cumulative Adjusted EBITDA is at least $700 million, 300% of the awarded units will vest.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2016, we granted PRSUs to our executive officers, which will vest, if at all, upon the achievement of a minimum specified compound annual growth rate ("CAGR") in adjusted EBITDA per share, subject to a three-year cliff vesting ending on December 31, 2018. If at that date, our adjusted EBITDA per share CAGR is at least 8% but less than 10%, 100% of the awarded units will vest. If our adjusted EBITDA per share CAGR is at least 10% but less than 12%, 200% of the awarded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units will vest. If our adjusted EBITDA per share CAGR is greater than 12%, 300% of the awarded units will vest. As of October 1, 2017 we expect our adjusted EBITDA per share CAGR to be greater than 12% at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units ("RSU") are granted annually to our Board of Directors and vest on the first anniversary of the grant date.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2017, 2016 and 2015, we granted RSUs to certain employees that vest ratably on the anniversary of the grant over three years. Additionally in 2015, we granted RSUs to certain new hire employees that vest ratably on the anniversary of the grant over two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restricted stock award activity (dollars in thousands):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r>
      <w:tr>
        <w:trPr>
          <w:trHeight w:val="237"/>
        </w:trPr>
        <w:tc>
          <w:tcPr>
            <w:tcW w:w="6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Shares granted</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20,686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36,370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earned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154.75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787</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6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RSU</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60,377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67,745</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156.49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93.52</w:t>
            </w:r>
          </w:p>
        </w:tc>
      </w:tr>
      <w:tr>
        <w:trPr>
          <w:trHeight w:val="27"/>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16,851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6,336</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9,813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2,754</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our PRSU and RSU activity as of and for the year ended 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 Fair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1380" w:type="dxa"/>
            <w:vAlign w:val="bottom"/>
            <w:vMerge w:val="restart"/>
          </w:tcPr>
          <w:p>
            <w:pPr>
              <w:jc w:val="right"/>
              <w:ind w:right="93"/>
              <w:spacing w:after="0" w:line="149" w:lineRule="exact"/>
              <w:rPr>
                <w:sz w:val="20"/>
                <w:szCs w:val="20"/>
                <w:color w:val="auto"/>
              </w:rPr>
            </w:pPr>
            <w:r>
              <w:rPr>
                <w:rFonts w:ascii="Arial" w:cs="Arial" w:eastAsia="Arial" w:hAnsi="Arial"/>
                <w:sz w:val="14"/>
                <w:szCs w:val="14"/>
                <w:b w:val="1"/>
                <w:bCs w:val="1"/>
                <w:color w:val="auto"/>
              </w:rPr>
              <w:t>Number of Units</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Value Per Share</w:t>
            </w:r>
          </w:p>
        </w:tc>
        <w:tc>
          <w:tcPr>
            <w:tcW w:w="14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62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159,439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Change in units due to performance expectations </w:t>
            </w:r>
            <w:r>
              <w:rPr>
                <w:rFonts w:ascii="Arial" w:cs="Arial" w:eastAsia="Arial" w:hAnsi="Arial"/>
                <w:sz w:val="25"/>
                <w:szCs w:val="25"/>
                <w:color w:val="auto"/>
                <w:vertAlign w:val="superscript"/>
              </w:rPr>
              <w:t>(a)</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72,740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86.47</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128,364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(66,278)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80.61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148.76</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Non-vested and expected to vest at December 31, 2017</w:t>
            </w:r>
          </w:p>
        </w:tc>
        <w:tc>
          <w:tcPr>
            <w:tcW w:w="13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285,503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33,197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 Relates to the 2016 PRSUs, assumes attainment of maximum payout rate as set forth in performance criteria.</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ESPP</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2017, there were 133,487 shares available for future issuance. The ESPP is intended to constitute an “employee stock purchase plan” within the meaning of Section 423 of the Internal Revenue Code. During 2017, we suspended our ESPP.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fair value of rights to purchase shares under the ESPP is calculated using the Black-Scholes option valuation model. The table below summarizes the number and intrinsic value of ESPP share purchases and the weighted average valuation assumptions for the 2017, 2016 and 2015 purchase periods.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70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ESPP shares purchased by employees</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31,227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34,299</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Intrinsic value of ESPP purchases (in thousands)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986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1,382</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03"/>
        </w:trPr>
        <w:tc>
          <w:tcPr>
            <w:tcW w:w="69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Weighted average assumptions for ESPP valuation:</w:t>
            </w: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auto"/>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0.5</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6900" w:type="dxa"/>
            <w:vAlign w:val="bottom"/>
            <w:gridSpan w:val="3"/>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DERIVATIVES AND HEDGING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Consolidated Balance Sheets and is classified based on the instrument's maturity date. We record changes in the intrinsic value of the effective portion of the gain or loss on the derivative instrument as a component of Other Comprehensive (Loss) Income and we reclassify that gain or loss into earnings in the same line item associated with the forecasted transaction and in the same period during which the hedged transaction affects earnings. Any gain or loss on the derivative instrument due to ineffectiveness of the hedge will be recognized in the Consolidated Statements of Operations during the current period. The total notional amount of our outstanding derivative as of December 31, 2017 was approximately 510.3 million MXN. The term of our currency forward contract is May 1, 2017 to May 1, 2019. The derivative instrument matures in equal monthly amounts at a fixed forward rate of 20.01MXN/USD over the term of the two-year contract.</w:t>
      </w:r>
    </w:p>
    <w:p>
      <w:pPr>
        <w:spacing w:after="0" w:line="16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the fair values of our derivative instrument included within the Consolidated Balance Sheet as of December 31, 2017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000" w:type="dxa"/>
            <w:vAlign w:val="bottom"/>
            <w:gridSpan w:val="2"/>
          </w:tcPr>
          <w:p>
            <w:pPr>
              <w:ind w:left="2340"/>
              <w:spacing w:after="0"/>
              <w:rPr>
                <w:sz w:val="20"/>
                <w:szCs w:val="20"/>
                <w:color w:val="auto"/>
              </w:rPr>
            </w:pPr>
            <w:r>
              <w:rPr>
                <w:rFonts w:ascii="Arial" w:cs="Arial" w:eastAsia="Arial" w:hAnsi="Arial"/>
                <w:sz w:val="16"/>
                <w:szCs w:val="16"/>
                <w:b w:val="1"/>
                <w:bCs w:val="1"/>
                <w:color w:val="auto"/>
              </w:rPr>
              <w:t>Derivatives</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40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60" w:type="dxa"/>
            <w:vAlign w:val="bottom"/>
          </w:tcPr>
          <w:p>
            <w:pPr>
              <w:spacing w:after="0"/>
              <w:rPr>
                <w:sz w:val="18"/>
                <w:szCs w:val="18"/>
                <w:color w:val="auto"/>
              </w:rPr>
            </w:pPr>
          </w:p>
        </w:tc>
        <w:tc>
          <w:tcPr>
            <w:tcW w:w="4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Consolidated Balance Sheet</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102"/>
        </w:trPr>
        <w:tc>
          <w:tcPr>
            <w:tcW w:w="5960" w:type="dxa"/>
            <w:vAlign w:val="bottom"/>
          </w:tcPr>
          <w:p>
            <w:pPr>
              <w:spacing w:after="0"/>
              <w:rPr>
                <w:sz w:val="8"/>
                <w:szCs w:val="8"/>
                <w:color w:val="auto"/>
              </w:rPr>
            </w:pPr>
          </w:p>
        </w:tc>
        <w:tc>
          <w:tcPr>
            <w:tcW w:w="40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Location</w:t>
            </w: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960" w:type="dxa"/>
            <w:vAlign w:val="bottom"/>
          </w:tcPr>
          <w:p>
            <w:pPr>
              <w:spacing w:after="0"/>
              <w:rPr>
                <w:sz w:val="9"/>
                <w:szCs w:val="9"/>
                <w:color w:val="auto"/>
              </w:rPr>
            </w:pPr>
          </w:p>
        </w:tc>
        <w:tc>
          <w:tcPr>
            <w:tcW w:w="400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6"/>
                <w:szCs w:val="16"/>
                <w:color w:val="auto"/>
              </w:rPr>
              <w:t>Foreign exchange forward contract:</w:t>
            </w:r>
          </w:p>
        </w:tc>
        <w:tc>
          <w:tcPr>
            <w:tcW w:w="4000" w:type="dxa"/>
            <w:vAlign w:val="bottom"/>
            <w:gridSpan w:val="2"/>
          </w:tcPr>
          <w:p>
            <w:pPr>
              <w:jc w:val="right"/>
              <w:ind w:right="140"/>
              <w:spacing w:after="0"/>
              <w:rPr>
                <w:sz w:val="20"/>
                <w:szCs w:val="20"/>
                <w:color w:val="auto"/>
              </w:rPr>
            </w:pPr>
            <w:r>
              <w:rPr>
                <w:rFonts w:ascii="Arial" w:cs="Arial" w:eastAsia="Arial" w:hAnsi="Arial"/>
                <w:sz w:val="16"/>
                <w:szCs w:val="16"/>
                <w:color w:val="auto"/>
              </w:rPr>
              <w:t>Accrued liabilities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Other long-term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44"/>
        </w:trPr>
        <w:tc>
          <w:tcPr>
            <w:tcW w:w="5960" w:type="dxa"/>
            <w:vAlign w:val="bottom"/>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3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amounts affecting the Consolidated Statements of Operations for the year ended December 31, 2017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4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Line Item in the</w:t>
            </w:r>
          </w:p>
        </w:tc>
        <w:tc>
          <w:tcPr>
            <w:tcW w:w="1800" w:type="dxa"/>
            <w:vAlign w:val="bottom"/>
          </w:tcPr>
          <w:p>
            <w:pPr>
              <w:jc w:val="right"/>
              <w:ind w:right="559"/>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42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53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38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exchange forward contracts</w:t>
            </w:r>
          </w:p>
        </w:tc>
        <w:tc>
          <w:tcPr>
            <w:tcW w:w="4240" w:type="dxa"/>
            <w:vAlign w:val="bottom"/>
            <w:gridSpan w:val="3"/>
            <w:shd w:val="clear" w:color="auto" w:fill="CCEEFF"/>
          </w:tcPr>
          <w:p>
            <w:pPr>
              <w:ind w:left="2660"/>
              <w:spacing w:after="0"/>
              <w:rPr>
                <w:sz w:val="20"/>
                <w:szCs w:val="20"/>
                <w:color w:val="auto"/>
              </w:rPr>
            </w:pPr>
            <w:r>
              <w:rPr>
                <w:rFonts w:ascii="Arial" w:cs="Arial" w:eastAsia="Arial" w:hAnsi="Arial"/>
                <w:sz w:val="16"/>
                <w:szCs w:val="16"/>
                <w:color w:val="auto"/>
              </w:rPr>
              <w:t>Cost of goods sold  $</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33"/>
        </w:trPr>
        <w:tc>
          <w:tcPr>
            <w:tcW w:w="538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 designated as a cash flow hedge (in thousands):</w:t>
      </w:r>
    </w:p>
    <w:p>
      <w:pPr>
        <w:sectPr>
          <w:pgSz w:w="11900" w:h="16838" w:orient="portrait"/>
          <w:cols w:equalWidth="0" w:num="1">
            <w:col w:w="11420"/>
          </w:cols>
          <w:pgMar w:left="240" w:top="125" w:right="239" w:bottom="1440" w:gutter="0" w:footer="0" w:header="0"/>
        </w:sectPr>
      </w:pPr>
    </w:p>
    <w:p>
      <w:pPr>
        <w:spacing w:after="0" w:line="388" w:lineRule="exact"/>
        <w:rPr>
          <w:sz w:val="20"/>
          <w:szCs w:val="20"/>
          <w:color w:val="auto"/>
        </w:rPr>
      </w:pPr>
    </w:p>
    <w:p>
      <w:pPr>
        <w:jc w:val="center"/>
        <w:ind w:left="4420"/>
        <w:spacing w:after="0"/>
        <w:rPr>
          <w:sz w:val="20"/>
          <w:szCs w:val="20"/>
          <w:color w:val="auto"/>
        </w:rPr>
      </w:pPr>
      <w:r>
        <w:rPr>
          <w:rFonts w:ascii="Arial" w:cs="Arial" w:eastAsia="Arial" w:hAnsi="Arial"/>
          <w:sz w:val="14"/>
          <w:szCs w:val="14"/>
          <w:b w:val="1"/>
          <w:bCs w:val="1"/>
          <w:color w:val="auto"/>
        </w:rPr>
        <w:t>Amount of Gain Recognized</w:t>
      </w:r>
    </w:p>
    <w:p>
      <w:pPr>
        <w:spacing w:after="0" w:line="49" w:lineRule="exact"/>
        <w:rPr>
          <w:sz w:val="20"/>
          <w:szCs w:val="20"/>
          <w:color w:val="auto"/>
        </w:rPr>
      </w:pPr>
    </w:p>
    <w:p>
      <w:pPr>
        <w:jc w:val="center"/>
        <w:ind w:left="4420"/>
        <w:spacing w:after="0"/>
        <w:rPr>
          <w:sz w:val="20"/>
          <w:szCs w:val="20"/>
          <w:color w:val="auto"/>
        </w:rPr>
      </w:pPr>
      <w:r>
        <w:rPr>
          <w:rFonts w:ascii="Arial" w:cs="Arial" w:eastAsia="Arial" w:hAnsi="Arial"/>
          <w:sz w:val="16"/>
          <w:szCs w:val="16"/>
          <w:b w:val="1"/>
          <w:bCs w:val="1"/>
          <w:color w:val="auto"/>
        </w:rPr>
        <w:t>in Other Comprehensive</w:t>
      </w:r>
    </w:p>
    <w:p>
      <w:pPr>
        <w:spacing w:after="0" w:line="19" w:lineRule="exact"/>
        <w:rPr>
          <w:sz w:val="20"/>
          <w:szCs w:val="20"/>
          <w:color w:val="auto"/>
        </w:rPr>
      </w:pPr>
    </w:p>
    <w:p>
      <w:pPr>
        <w:jc w:val="center"/>
        <w:ind w:left="4420"/>
        <w:spacing w:after="0"/>
        <w:rPr>
          <w:sz w:val="20"/>
          <w:szCs w:val="20"/>
          <w:color w:val="auto"/>
        </w:rPr>
      </w:pPr>
      <w:r>
        <w:rPr>
          <w:rFonts w:ascii="Arial" w:cs="Arial" w:eastAsia="Arial" w:hAnsi="Arial"/>
          <w:sz w:val="16"/>
          <w:szCs w:val="16"/>
          <w:b w:val="1"/>
          <w:bCs w:val="1"/>
          <w:color w:val="auto"/>
        </w:rPr>
        <w:t>Income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33020</wp:posOffset>
            </wp:positionV>
            <wp:extent cx="13976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 designated as cash flow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 of Gain Reclassified From Accumulated Other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Comprehensive Income into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3018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Reclassified From</w:t>
            </w:r>
          </w:p>
        </w:tc>
        <w:tc>
          <w:tcPr>
            <w:tcW w:w="1920" w:type="dxa"/>
            <w:vAlign w:val="bottom"/>
          </w:tcPr>
          <w:p>
            <w:pPr>
              <w:spacing w:after="0"/>
              <w:rPr>
                <w:sz w:val="17"/>
                <w:szCs w:val="17"/>
                <w:color w:val="auto"/>
              </w:rPr>
            </w:pPr>
          </w:p>
        </w:tc>
      </w:tr>
      <w:tr>
        <w:trPr>
          <w:trHeight w:val="203"/>
        </w:trPr>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Accumulated Other Comprehensive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10"/>
        </w:trPr>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Income into Income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December 31, 2017</w:t>
            </w:r>
          </w:p>
        </w:tc>
      </w:tr>
      <w:tr>
        <w:trPr>
          <w:trHeight w:val="33"/>
        </w:trPr>
        <w:tc>
          <w:tcPr>
            <w:tcW w:w="2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300" w:lineRule="exact"/>
        <w:rPr>
          <w:sz w:val="20"/>
          <w:szCs w:val="20"/>
          <w:color w:val="auto"/>
        </w:rPr>
      </w:pPr>
    </w:p>
    <w:p>
      <w:pPr>
        <w:sectPr>
          <w:pgSz w:w="11900" w:h="16838" w:orient="portrait"/>
          <w:cols w:equalWidth="0" w:num="2">
            <w:col w:w="6380" w:space="280"/>
            <w:col w:w="47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4360" w:type="dxa"/>
            <w:vAlign w:val="bottom"/>
          </w:tcPr>
          <w:p>
            <w:pPr>
              <w:ind w:left="180"/>
              <w:spacing w:after="0"/>
              <w:rPr>
                <w:sz w:val="20"/>
                <w:szCs w:val="20"/>
                <w:color w:val="auto"/>
              </w:rPr>
            </w:pPr>
            <w:r>
              <w:rPr>
                <w:rFonts w:ascii="Arial" w:cs="Arial" w:eastAsia="Arial" w:hAnsi="Arial"/>
                <w:sz w:val="16"/>
                <w:szCs w:val="16"/>
                <w:color w:val="auto"/>
              </w:rPr>
              <w:t>Foreign exchange forward contract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3900" w:type="dxa"/>
            <w:vAlign w:val="bottom"/>
            <w:gridSpan w:val="2"/>
          </w:tcPr>
          <w:p>
            <w:pPr>
              <w:jc w:val="right"/>
              <w:ind w:right="720"/>
              <w:spacing w:after="0"/>
              <w:rPr>
                <w:sz w:val="20"/>
                <w:szCs w:val="20"/>
                <w:color w:val="auto"/>
              </w:rPr>
            </w:pPr>
            <w:r>
              <w:rPr>
                <w:rFonts w:ascii="Arial" w:cs="Arial" w:eastAsia="Arial" w:hAnsi="Arial"/>
                <w:sz w:val="16"/>
                <w:szCs w:val="16"/>
                <w:color w:val="auto"/>
              </w:rPr>
              <w:t>Cost of goods sold  $</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885</w:t>
            </w:r>
          </w:p>
        </w:tc>
      </w:tr>
      <w:tr>
        <w:trPr>
          <w:trHeight w:val="33"/>
        </w:trPr>
        <w:tc>
          <w:tcPr>
            <w:tcW w:w="4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Total derivatives designated as cash flow hedging instruments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39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885</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of December 31, 2017, we expect approximately $0.2 million of the deferred losses on the outstanding derivatives in accumulated other comprehensive income to be reclassified to net income during the next 12 months concurrent with the underlying hedged transactions also being reported in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47"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 term risk free rate. The initial value assigned to the contingent consideration was a result of forecasted product demand of our HIS business, as discussed further in Note 2: Acquisition, Strategic Transaction and Integration Expenses.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consolidated balance sheets.</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based on an initial valuation and updated quarterly for the year ended December 31, 2017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Arial" w:cs="Arial" w:eastAsia="Arial" w:hAnsi="Arial"/>
                <w:sz w:val="16"/>
                <w:szCs w:val="16"/>
                <w:b w:val="1"/>
                <w:bCs w:val="1"/>
                <w:color w:val="auto"/>
              </w:rPr>
              <w:t>Earn-out Liability</w:t>
            </w:r>
          </w:p>
        </w:tc>
      </w:tr>
      <w:tr>
        <w:trPr>
          <w:trHeight w:val="33"/>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jc w:val="center"/>
              <w:ind w:right="5639"/>
              <w:spacing w:after="0"/>
              <w:rPr>
                <w:sz w:val="20"/>
                <w:szCs w:val="20"/>
                <w:color w:val="auto"/>
              </w:rPr>
            </w:pPr>
            <w:r>
              <w:rPr>
                <w:rFonts w:ascii="Arial" w:cs="Arial" w:eastAsia="Arial" w:hAnsi="Arial"/>
                <w:sz w:val="16"/>
                <w:szCs w:val="16"/>
                <w:b w:val="1"/>
                <w:bCs w:val="1"/>
                <w:color w:val="auto"/>
                <w:w w:val="91"/>
              </w:rPr>
              <w:t>Contingent earn-out liability, December 31, 2016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9160" w:type="dxa"/>
            <w:vAlign w:val="bottom"/>
          </w:tcPr>
          <w:p>
            <w:pPr>
              <w:jc w:val="center"/>
              <w:ind w:right="5659"/>
              <w:spacing w:after="0"/>
              <w:rPr>
                <w:sz w:val="20"/>
                <w:szCs w:val="20"/>
                <w:color w:val="auto"/>
              </w:rPr>
            </w:pPr>
            <w:r>
              <w:rPr>
                <w:rFonts w:ascii="Arial" w:cs="Arial" w:eastAsia="Arial" w:hAnsi="Arial"/>
                <w:sz w:val="16"/>
                <w:szCs w:val="16"/>
                <w:color w:val="auto"/>
                <w:w w:val="92"/>
              </w:rPr>
              <w:t>Acquisition date fair value estimate of earn-out</w:t>
            </w:r>
          </w:p>
        </w:tc>
        <w:tc>
          <w:tcPr>
            <w:tcW w:w="3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19,000</w:t>
            </w:r>
          </w:p>
        </w:tc>
      </w:tr>
      <w:tr>
        <w:trPr>
          <w:trHeight w:val="33"/>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contingent earn-out (included in income from operations as a separate line item)</w:t>
            </w:r>
          </w:p>
        </w:tc>
        <w:tc>
          <w:tcPr>
            <w:tcW w:w="3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w:t>
            </w:r>
          </w:p>
        </w:tc>
      </w:tr>
      <w:tr>
        <w:trPr>
          <w:trHeight w:val="244"/>
        </w:trPr>
        <w:tc>
          <w:tcPr>
            <w:tcW w:w="9160" w:type="dxa"/>
            <w:vAlign w:val="bottom"/>
          </w:tcPr>
          <w:p>
            <w:pPr>
              <w:jc w:val="center"/>
              <w:ind w:right="5639"/>
              <w:spacing w:after="0"/>
              <w:rPr>
                <w:sz w:val="20"/>
                <w:szCs w:val="20"/>
                <w:color w:val="auto"/>
              </w:rPr>
            </w:pPr>
            <w:r>
              <w:rPr>
                <w:rFonts w:ascii="Arial" w:cs="Arial" w:eastAsia="Arial" w:hAnsi="Arial"/>
                <w:sz w:val="16"/>
                <w:szCs w:val="16"/>
                <w:b w:val="1"/>
                <w:bCs w:val="1"/>
                <w:color w:val="auto"/>
                <w:w w:val="91"/>
              </w:rPr>
              <w:t>Contingent earn-out liability, December 31, 2017</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27,000</w:t>
            </w:r>
          </w:p>
        </w:tc>
      </w:tr>
      <w:tr>
        <w:trPr>
          <w:trHeight w:val="20"/>
        </w:trPr>
        <w:tc>
          <w:tcPr>
            <w:tcW w:w="9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fair value of the earn-out at December 31, 2017 changed from the fair value calculated at acquisition due to a change in the forecast of the underlying target, adjusted EBITDA, and due to changes in other assumptions used in the Monte Carlo simulation, as detailed in the below table.</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the acquisition date and December 31, 2017. Significant increases or decreases in these inputs in isolation could result in a significant impact on our fair value measurement: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As of</w:t>
            </w:r>
          </w:p>
        </w:tc>
        <w:tc>
          <w:tcPr>
            <w:tcW w:w="1640" w:type="dxa"/>
            <w:vAlign w:val="bottom"/>
          </w:tcPr>
          <w:p>
            <w:pPr>
              <w:jc w:val="right"/>
              <w:ind w:right="239"/>
              <w:spacing w:after="0"/>
              <w:rPr>
                <w:sz w:val="20"/>
                <w:szCs w:val="20"/>
                <w:color w:val="auto"/>
              </w:rPr>
            </w:pPr>
            <w:r>
              <w:rPr>
                <w:rFonts w:ascii="Arial" w:cs="Arial" w:eastAsia="Arial" w:hAnsi="Arial"/>
                <w:sz w:val="16"/>
                <w:szCs w:val="16"/>
                <w:b w:val="1"/>
                <w:bCs w:val="1"/>
                <w:color w:val="auto"/>
              </w:rPr>
              <w:t>At Acquisition</w:t>
            </w:r>
          </w:p>
        </w:tc>
      </w:tr>
      <w:tr>
        <w:trPr>
          <w:trHeight w:val="210"/>
        </w:trPr>
        <w:tc>
          <w:tcPr>
            <w:tcW w:w="758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2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2017</w:t>
            </w: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3, 2017</w:t>
            </w:r>
          </w:p>
        </w:tc>
      </w:tr>
      <w:tr>
        <w:trPr>
          <w:trHeight w:val="33"/>
        </w:trPr>
        <w:tc>
          <w:tcPr>
            <w:tcW w:w="7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210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37"/>
        </w:trPr>
        <w:tc>
          <w:tcPr>
            <w:tcW w:w="758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2100" w:type="dxa"/>
            <w:vAlign w:val="bottom"/>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33"/>
        </w:trPr>
        <w:tc>
          <w:tcPr>
            <w:tcW w:w="7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7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33"/>
        </w:trPr>
        <w:tc>
          <w:tcPr>
            <w:tcW w:w="7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fair value of our investments, which consisted of corporate bonds, is estimated using observable market based inputs such as quoted prices, interest rates and yield curves or Level 2 inputs.</w:t>
      </w:r>
    </w:p>
    <w:p>
      <w:pPr>
        <w:spacing w:after="0" w:line="35" w:lineRule="exact"/>
        <w:rPr>
          <w:sz w:val="20"/>
          <w:szCs w:val="20"/>
          <w:color w:val="auto"/>
        </w:rPr>
      </w:pPr>
    </w:p>
    <w:p>
      <w:pPr>
        <w:ind w:right="60" w:firstLine="648"/>
        <w:spacing w:after="0" w:line="334" w:lineRule="auto"/>
        <w:rPr>
          <w:sz w:val="20"/>
          <w:szCs w:val="20"/>
          <w:color w:val="auto"/>
        </w:rPr>
      </w:pPr>
      <w:r>
        <w:rPr>
          <w:rFonts w:ascii="Arial" w:cs="Arial" w:eastAsia="Arial" w:hAnsi="Arial"/>
          <w:sz w:val="16"/>
          <w:szCs w:val="16"/>
          <w:color w:val="auto"/>
        </w:rPr>
        <w:t>The fair value of our Level 2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assets related to our Dominican Republic manufacturing facilities are classified as assets held-for-sale. These assets are separately stated in our consolidated balance sheet. The fair value of these Level 3 assets was determined as part of the HIS business valuation and was based on a market approach using comparable building and land sales data and the analysis of market conditions.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in 2017.</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2017</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right"/>
              <w:ind w:right="174"/>
              <w:spacing w:after="0" w:line="149" w:lineRule="exact"/>
              <w:rPr>
                <w:sz w:val="20"/>
                <w:szCs w:val="20"/>
                <w:color w:val="auto"/>
              </w:rPr>
            </w:pPr>
            <w:r>
              <w:rPr>
                <w:rFonts w:ascii="Arial" w:cs="Arial" w:eastAsia="Arial" w:hAnsi="Arial"/>
                <w:sz w:val="14"/>
                <w:szCs w:val="14"/>
                <w:b w:val="1"/>
                <w:bCs w:val="1"/>
                <w:color w:val="auto"/>
                <w:w w:val="99"/>
              </w:rPr>
              <w:t>Total carrying</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vMerge w:val="restart"/>
          </w:tcPr>
          <w:p>
            <w:pPr>
              <w:jc w:val="right"/>
              <w:ind w:right="434"/>
              <w:spacing w:after="0" w:line="149"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24,640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Foreign exchange forwards: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27,589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assets measured at fair value on a nonrecurring basis consisted of the following (Level 1, 2 and 3 inputs as defined above (in thousands):</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measurements at December 31, 2017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4"/>
              </w:rPr>
              <w:t>Total carrying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20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Assets held-for-sale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12,489</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76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PREPAID EXPENSES, OTHER CURRENT ASSETS AND RELATED-PARTY RECEIVABLES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Other prepaid expenses and receivables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 and 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VAT/GST receivable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Related-party receivables consist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receivables due from Pfizer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HIS business acquisition related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 w:type="dxa"/>
            <w:vAlign w:val="bottom"/>
          </w:tcPr>
          <w:p>
            <w:pPr>
              <w:spacing w:after="0"/>
              <w:rPr>
                <w:sz w:val="22"/>
                <w:szCs w:val="22"/>
                <w:color w:val="auto"/>
              </w:rPr>
            </w:pPr>
          </w:p>
        </w:tc>
        <w:tc>
          <w:tcPr>
            <w:tcW w:w="6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Third-party receivables due from Pfizer relates to trade accounts receivable that has already been collected from customers by Pfizer on our behalf. HIS business acquisition related receivables include amounts due from Pfizer related to the manufacturing and supply agreements and deferred close entities and amounts we prepaid to Pfizer for operational expenses under the transition services agreement.</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Pfizer became a related party to us when we issued 3.2 million shares of our common stock as partial consideration for the acquisition of HIS. On February 3, 2017, we entered into a transitional services agreement and two Manufacturing and Supply Agreements ("MSA's") with Pfizer, (see Note 17, Collaborative and Other Arrangements). During 2017, the revenue for goods manufactured for Pfizer was $72.4 million and the cost of product manufactured by Pfizer for us was $70.2 million.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LIABILITIES AND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40,682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13,319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product field action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Third-party inventory</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Accrued sales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8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Outside commissions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freight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Restructuring accrual</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accrual</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rPr>
              <w:t>Other long-term liabilities consist of the following (in thousands):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51"/>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5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Contract liabilities</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40,148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620" w:right="2000" w:hanging="5612"/>
        <w:spacing w:after="0" w:line="774" w:lineRule="auto"/>
        <w:tabs>
          <w:tab w:leader="none" w:pos="196"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color w:val="auto"/>
        </w:rPr>
        <w:t>Consists of multiple contracts with customers and suppliers that were valued at below market at the time of the HIS acquisition. 78</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Revolving Credit Facility ("Credit Facility")</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On November 8, 2017, we entered into a five-year Revolving Credit Facility ("Credit Facility") with various lenders for $150 million, with Wells Fargo Bank, N.A. as the administrative agent, swingline lender and issuing lender. As of December 31, 2017, we had no borrowings and $150 million of availability under the Credit Facility. The Credit Facility matures on November 8, 2022.</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Credit Facility has an accordion feature that would enable us to increase the borrowing capacity of the Credit Facility by the greater of (i) $100 million and (ii) 2.00x Total Leverage.</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In connection with the Credit Facility, for the year ended December 31, 2017, we incurred $1.4 million in financing costs, which were capitalized and are included in prepaid expenses and other current assets and other assets in our consolidated balance sheets, in accordance with the appropriate short-term or long-term classification. These fees will be amortized to interest expense over the remaining term of the Credit Facility.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payments, when drawn on the Credit Facility, are made at our discretion with the entire unpaid amount due at maturity.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general, borrowing under the Credit Facility (other than Swingline loans) bears interest, at our option, based on the Base Rate plus applicable margin or the London Interbank Offered Rate ("LIBOR") rate plus applicable margin, as defined below:</w:t>
      </w:r>
    </w:p>
    <w:p>
      <w:pPr>
        <w:spacing w:after="0" w:line="170" w:lineRule="exact"/>
        <w:rPr>
          <w:sz w:val="20"/>
          <w:szCs w:val="20"/>
          <w:color w:val="auto"/>
        </w:rPr>
      </w:pPr>
    </w:p>
    <w:p>
      <w:pPr>
        <w:ind w:firstLine="656"/>
        <w:spacing w:after="0" w:line="277" w:lineRule="auto"/>
        <w:tabs>
          <w:tab w:leader="none" w:pos="9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 Rate is defined as the highest of: (a) the Prime Rate; (b) the Federal Funds Rate plus 0.50%; and (c) the daily LIBOR (as defined below) for a one month Interest Period plus 1%.</w:t>
      </w:r>
    </w:p>
    <w:p>
      <w:pPr>
        <w:spacing w:after="0" w:line="170" w:lineRule="exact"/>
        <w:rPr>
          <w:rFonts w:ascii="Arial" w:cs="Arial" w:eastAsia="Arial" w:hAnsi="Arial"/>
          <w:sz w:val="18"/>
          <w:szCs w:val="18"/>
          <w:color w:val="auto"/>
        </w:rPr>
      </w:pPr>
    </w:p>
    <w:p>
      <w:pPr>
        <w:ind w:right="680" w:firstLine="656"/>
        <w:spacing w:after="0" w:line="277" w:lineRule="auto"/>
        <w:tabs>
          <w:tab w:leader="none" w:pos="933"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LIBOR Rate, as determined by the Administrative Agent, is defined as the rate per annum obtained by dividing (1) LIBOR by (2) 1.00 - Eurodollar Reserve Percentage.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Swingline loans will bear interest at the Base Rate plus the applicable Interest Margin. The Credit Facility has a per annum commitment fee (see table below) that will accrue on the unused amounts of the commitments under the Credit Facility.</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applicable interest margins and the commitment fee with respect to the Credit Facility shall be based on the Total Leverage Ratio pursuant to the following pricing grid:</w:t>
      </w:r>
    </w:p>
    <w:p>
      <w:pPr>
        <w:spacing w:after="0" w:line="329" w:lineRule="exact"/>
        <w:rPr>
          <w:sz w:val="20"/>
          <w:szCs w:val="20"/>
          <w:color w:val="auto"/>
        </w:rPr>
      </w:pPr>
    </w:p>
    <w:p>
      <w:pPr>
        <w:ind w:left="2000"/>
        <w:spacing w:after="0"/>
        <w:tabs>
          <w:tab w:leader="none" w:pos="5200" w:val="left"/>
          <w:tab w:leader="none" w:pos="7700" w:val="left"/>
          <w:tab w:leader="none" w:pos="9860" w:val="left"/>
        </w:tabs>
        <w:rPr>
          <w:sz w:val="20"/>
          <w:szCs w:val="20"/>
          <w:color w:val="auto"/>
        </w:rPr>
      </w:pPr>
      <w:r>
        <w:rPr>
          <w:rFonts w:ascii="Arial" w:cs="Arial" w:eastAsia="Arial" w:hAnsi="Arial"/>
          <w:sz w:val="18"/>
          <w:szCs w:val="18"/>
          <w:b w:val="1"/>
          <w:bCs w:val="1"/>
          <w:color w:val="auto"/>
        </w:rPr>
        <w:t>Consolidated Total</w:t>
      </w:r>
      <w:r>
        <w:rPr>
          <w:sz w:val="20"/>
          <w:szCs w:val="20"/>
          <w:color w:val="auto"/>
        </w:rPr>
        <w:tab/>
      </w:r>
      <w:r>
        <w:rPr>
          <w:rFonts w:ascii="Arial" w:cs="Arial" w:eastAsia="Arial" w:hAnsi="Arial"/>
          <w:sz w:val="18"/>
          <w:szCs w:val="18"/>
          <w:b w:val="1"/>
          <w:bCs w:val="1"/>
          <w:color w:val="auto"/>
        </w:rPr>
        <w:t>Commitment</w:t>
      </w:r>
      <w:r>
        <w:rPr>
          <w:sz w:val="20"/>
          <w:szCs w:val="20"/>
          <w:color w:val="auto"/>
        </w:rPr>
        <w:tab/>
      </w:r>
      <w:r>
        <w:rPr>
          <w:rFonts w:ascii="Arial" w:cs="Arial" w:eastAsia="Arial" w:hAnsi="Arial"/>
          <w:sz w:val="18"/>
          <w:szCs w:val="18"/>
          <w:b w:val="1"/>
          <w:bCs w:val="1"/>
          <w:color w:val="auto"/>
        </w:rPr>
        <w:t>LIBOR</w:t>
      </w:r>
      <w:r>
        <w:rPr>
          <w:sz w:val="20"/>
          <w:szCs w:val="20"/>
          <w:color w:val="auto"/>
        </w:rPr>
        <w:tab/>
      </w:r>
      <w:r>
        <w:rPr>
          <w:rFonts w:ascii="Arial" w:cs="Arial" w:eastAsia="Arial" w:hAnsi="Arial"/>
          <w:sz w:val="16"/>
          <w:szCs w:val="16"/>
          <w:b w:val="1"/>
          <w:bCs w:val="1"/>
          <w:color w:val="auto"/>
        </w:rPr>
        <w:t>Base Rate</w:t>
      </w:r>
    </w:p>
    <w:p>
      <w:pPr>
        <w:spacing w:after="0" w:line="27" w:lineRule="exact"/>
        <w:rPr>
          <w:sz w:val="20"/>
          <w:szCs w:val="20"/>
          <w:color w:val="auto"/>
        </w:rPr>
      </w:pPr>
    </w:p>
    <w:p>
      <w:pPr>
        <w:ind w:left="220"/>
        <w:spacing w:after="0"/>
        <w:tabs>
          <w:tab w:leader="none" w:pos="2100" w:val="left"/>
          <w:tab w:leader="none" w:pos="5580" w:val="left"/>
          <w:tab w:leader="none" w:pos="7940" w:val="left"/>
          <w:tab w:leader="none" w:pos="10200" w:val="left"/>
        </w:tabs>
        <w:rPr>
          <w:sz w:val="20"/>
          <w:szCs w:val="20"/>
          <w:color w:val="auto"/>
        </w:rPr>
      </w:pPr>
      <w:r>
        <w:rPr>
          <w:rFonts w:ascii="Arial" w:cs="Arial" w:eastAsia="Arial" w:hAnsi="Arial"/>
          <w:sz w:val="18"/>
          <w:szCs w:val="18"/>
          <w:b w:val="1"/>
          <w:bCs w:val="1"/>
          <w:color w:val="auto"/>
        </w:rPr>
        <w:t>Level</w:t>
      </w:r>
      <w:r>
        <w:rPr>
          <w:sz w:val="20"/>
          <w:szCs w:val="20"/>
          <w:color w:val="auto"/>
        </w:rPr>
        <w:tab/>
      </w:r>
      <w:r>
        <w:rPr>
          <w:rFonts w:ascii="Arial" w:cs="Arial" w:eastAsia="Arial" w:hAnsi="Arial"/>
          <w:sz w:val="18"/>
          <w:szCs w:val="18"/>
          <w:b w:val="1"/>
          <w:bCs w:val="1"/>
          <w:color w:val="auto"/>
        </w:rPr>
        <w:t>Leverage Ratio</w:t>
      </w:r>
      <w:r>
        <w:rPr>
          <w:sz w:val="20"/>
          <w:szCs w:val="20"/>
          <w:color w:val="auto"/>
        </w:rPr>
        <w:tab/>
      </w:r>
      <w:r>
        <w:rPr>
          <w:rFonts w:ascii="Arial" w:cs="Arial" w:eastAsia="Arial" w:hAnsi="Arial"/>
          <w:sz w:val="18"/>
          <w:szCs w:val="18"/>
          <w:b w:val="1"/>
          <w:bCs w:val="1"/>
          <w:color w:val="auto"/>
        </w:rPr>
        <w:t>Fee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2" w:lineRule="exact"/>
        <w:rPr>
          <w:sz w:val="20"/>
          <w:szCs w:val="20"/>
          <w:color w:val="auto"/>
        </w:rPr>
      </w:pPr>
    </w:p>
    <w:p>
      <w:pPr>
        <w:ind w:left="860" w:hanging="463"/>
        <w:spacing w:after="0"/>
        <w:tabs>
          <w:tab w:leader="none" w:pos="8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1.00 to 1.00</w:t>
      </w:r>
    </w:p>
    <w:p>
      <w:pPr>
        <w:spacing w:after="0" w:line="63" w:lineRule="exact"/>
        <w:rPr>
          <w:sz w:val="20"/>
          <w:szCs w:val="20"/>
          <w:color w:val="auto"/>
        </w:rPr>
      </w:pPr>
    </w:p>
    <w:p>
      <w:pPr>
        <w:ind w:left="860" w:right="360" w:hanging="493"/>
        <w:spacing w:after="0" w:line="182" w:lineRule="auto"/>
        <w:tabs>
          <w:tab w:leader="none" w:pos="860"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Greater than or equal to 1.00 to 1.00 but less than 2.00 to 1.00</w:t>
      </w:r>
    </w:p>
    <w:p>
      <w:pPr>
        <w:spacing w:after="0" w:line="41" w:lineRule="exact"/>
        <w:rPr>
          <w:sz w:val="20"/>
          <w:szCs w:val="20"/>
          <w:color w:val="auto"/>
        </w:rPr>
      </w:pPr>
    </w:p>
    <w:p>
      <w:pPr>
        <w:ind w:left="860" w:right="360" w:hanging="523"/>
        <w:spacing w:after="0" w:line="182" w:lineRule="auto"/>
        <w:tabs>
          <w:tab w:leader="none" w:pos="860" w:val="left"/>
        </w:tabs>
        <w:numPr>
          <w:ilvl w:val="0"/>
          <w:numId w:val="46"/>
        </w:numPr>
        <w:rPr>
          <w:rFonts w:ascii="Arial" w:cs="Arial" w:eastAsia="Arial" w:hAnsi="Arial"/>
          <w:sz w:val="34"/>
          <w:szCs w:val="34"/>
          <w:color w:val="auto"/>
          <w:vertAlign w:val="subscript"/>
        </w:rPr>
      </w:pPr>
      <w:r>
        <w:rPr>
          <w:rFonts w:ascii="Arial" w:cs="Arial" w:eastAsia="Arial" w:hAnsi="Arial"/>
          <w:sz w:val="17"/>
          <w:szCs w:val="17"/>
          <w:color w:val="auto"/>
        </w:rPr>
        <w:t>Greater than or equal to 2.00 to 1.00 but less than 2.50 to 1.00</w:t>
      </w:r>
    </w:p>
    <w:p>
      <w:pPr>
        <w:spacing w:after="0" w:line="41"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Greater than or equal to 2.50 to 1.00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0.15%</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1.25%</w:t>
            </w:r>
          </w:p>
        </w:tc>
        <w:tc>
          <w:tcPr>
            <w:tcW w:w="13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78"/>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0.20%</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1.50%</w:t>
            </w:r>
          </w:p>
        </w:tc>
        <w:tc>
          <w:tcPr>
            <w:tcW w:w="13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86"/>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0.25%</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1.75%</w:t>
            </w:r>
          </w:p>
        </w:tc>
        <w:tc>
          <w:tcPr>
            <w:tcW w:w="136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78"/>
        </w:trPr>
        <w:tc>
          <w:tcPr>
            <w:tcW w:w="1360" w:type="dxa"/>
            <w:vAlign w:val="bottom"/>
          </w:tcPr>
          <w:p>
            <w:pPr>
              <w:jc w:val="right"/>
              <w:ind w:right="810"/>
              <w:spacing w:after="0"/>
              <w:rPr>
                <w:sz w:val="20"/>
                <w:szCs w:val="20"/>
                <w:color w:val="auto"/>
              </w:rPr>
            </w:pPr>
            <w:r>
              <w:rPr>
                <w:rFonts w:ascii="Arial" w:cs="Arial" w:eastAsia="Arial" w:hAnsi="Arial"/>
                <w:sz w:val="18"/>
                <w:szCs w:val="18"/>
                <w:color w:val="auto"/>
                <w:w w:val="86"/>
              </w:rPr>
              <w:t>0.30%</w:t>
            </w:r>
          </w:p>
        </w:tc>
        <w:tc>
          <w:tcPr>
            <w:tcW w:w="2280" w:type="dxa"/>
            <w:vAlign w:val="bottom"/>
          </w:tcPr>
          <w:p>
            <w:pPr>
              <w:jc w:val="right"/>
              <w:ind w:right="810"/>
              <w:spacing w:after="0"/>
              <w:rPr>
                <w:sz w:val="20"/>
                <w:szCs w:val="20"/>
                <w:color w:val="auto"/>
              </w:rPr>
            </w:pPr>
            <w:r>
              <w:rPr>
                <w:rFonts w:ascii="Arial" w:cs="Arial" w:eastAsia="Arial" w:hAnsi="Arial"/>
                <w:sz w:val="18"/>
                <w:szCs w:val="18"/>
                <w:color w:val="auto"/>
              </w:rPr>
              <w:t>2.00%</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-462280</wp:posOffset>
            </wp:positionV>
            <wp:extent cx="722947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125"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Guarantors and Collateral</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obligations under the Credit Facility are unconditionally guaranteed, on a joint and several basis, by ICU Medical, Inc. and certain of our existing subsidiaries. Our obligations are secured by: (i) 100% of the equity interests of our guarantor subsidiaries; and (ii) all of the tangible and intangible personal property and assets related to us and our guarantor subsidiaries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(including, without limitation, all accounts, equipment, inventory and other goods, all instruments, intellectual property and other general intangibles, deposit accounts, securities accounts and other investment property and cash), and (iii) all products, profits and proceeds of the foregoing. Notwithstanding the foregoing, the collateral shall not include certain excluded property.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December 31,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Three-Year Interest-Only Senior Note</w:t>
      </w:r>
    </w:p>
    <w:p>
      <w:pPr>
        <w:spacing w:after="0" w:line="22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On February 3, 2017, we partially funded the acquisition of the HIS business from Pfizer with a $75 million Seller Note issued by Pfizer contemporaneous with the acquisition. We had fully repaid the seller note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before taxes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91"/>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59,872</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74,288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Foreign</w:t>
            </w:r>
          </w:p>
        </w:tc>
        <w:tc>
          <w:tcPr>
            <w:tcW w:w="3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(4,589)</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51,283</w:t>
            </w:r>
          </w:p>
        </w:tc>
        <w:tc>
          <w:tcPr>
            <w:tcW w:w="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69,699</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80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(benefit) provision for income taxes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18,601</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20,772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(20,878)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Current income taxes payable were reduced from the amounts in the above table by $9.3 million in 2015, equal to the direct tax benefit that we receive upon exercise of stock options and the vesting of restricted stock units by employees and directors. We have accrued for tax contingencies for potential tax assessments, and in 2017 we recognized a $3.0 million net increase, most of which related to various federal and state tax reserves.</w:t>
      </w:r>
    </w:p>
    <w:p>
      <w:pPr>
        <w:spacing w:after="0" w:line="14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On December 22, 2017, the Tax Cuts and Jobs Act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implementing a territorial tax system, and requiring a mandatory one-time tax on U.S. owned undistributed foreign earnings and profits known as the toll charge or transition tax.</w:t>
      </w:r>
    </w:p>
    <w:p>
      <w:pPr>
        <w:spacing w:after="0" w:line="17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the SEC Staff Accounting Bulletin ("SAB") No. 118, "Income Tax Accounting Implications of the Tax Cuts and Jobs Act" ("SAB 118"), a company selects between one of three scenarios to reflect the impact of the Tax Act in its financial statements within a measurement period. Those scenarios are (i) a final estimate which effectively closes the measurement period; (ii) a reasonable estimate leaving the measurement period open for future revisions; and (iii) no estimate as the law is still being analyzed in which case a company continues to apply its accounting on the basis of the provisions of the tax laws that were in effect immediately before the enactment of the Tax Act. SAB 118 allows for the reporting provisional amounts for certain income tax effects in scenario (ii) and (iii). The measurement period begins in the reporting period that includes the Act’s enactment date and ends when an entity has obtained, prepared, and analyzed the information that was needed in order to complete the accounting requirements under ASC Topic 740. We were able to provide a reasonable estimate for the revaluation of deferred taxes and the effects of the toll charge on undistributed foreign earnings and profits, with our measurement period open for future revisions. As such, we recorded a provisional tax expense in the amount of $1.1 million and a provisional tax expense in the amount of $2.0 million related to the revaluation of deferred taxes and the toll charge, respectively. We are still evaluating various international provisions included in the Tax Act and have therefore not completed our assessment. These provisions include, but are not limited to, the anti-base-erosion and anti-abuse tax regime (BEAT), the global intangible low-taxed income (GILTI) provisions, the foreign derived intangible income (FDII) provisions, and the changes to the deductibility of interest. These provisions will be effective for us beginning on January 1, 2018, and may materially impact our effective tax rate in future years.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provision for income taxes at the statutory rate to our effective tax rate is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3"/>
          </w:tcPr>
          <w:p>
            <w:pPr>
              <w:ind w:left="240"/>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71"/>
              <w:spacing w:after="0"/>
              <w:rPr>
                <w:sz w:val="20"/>
                <w:szCs w:val="20"/>
                <w:color w:val="auto"/>
              </w:rPr>
            </w:pPr>
            <w:r>
              <w:rPr>
                <w:rFonts w:ascii="Arial" w:cs="Arial" w:eastAsia="Arial" w:hAnsi="Arial"/>
                <w:sz w:val="16"/>
                <w:szCs w:val="16"/>
                <w:b w:val="1"/>
                <w:bCs w:val="1"/>
                <w:color w:val="auto"/>
              </w:rPr>
              <w:t>Percent</w:t>
            </w:r>
          </w:p>
        </w:tc>
      </w:tr>
      <w:tr>
        <w:trPr>
          <w:trHeight w:val="33"/>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at the expected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State income tax, net of federal effect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income tax differential</w:t>
            </w: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Impact of the Tax Act</w:t>
            </w: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3,076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 installment sale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Bargain purchase gain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(24,811)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37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(17,361)</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24,714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35.5 %</w:t>
            </w:r>
          </w:p>
        </w:tc>
      </w:tr>
      <w:tr>
        <w:trPr>
          <w:trHeight w:val="27"/>
        </w:trPr>
        <w:tc>
          <w:tcPr>
            <w:tcW w:w="37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3"/>
        </w:trPr>
        <w:tc>
          <w:tcPr>
            <w:tcW w:w="7800" w:type="dxa"/>
            <w:vAlign w:val="bottom"/>
            <w:gridSpan w:val="9"/>
          </w:tcPr>
          <w:p>
            <w:pPr>
              <w:ind w:left="660"/>
              <w:spacing w:after="0"/>
              <w:rPr>
                <w:sz w:val="20"/>
                <w:szCs w:val="20"/>
                <w:color w:val="auto"/>
              </w:rPr>
            </w:pPr>
            <w:r>
              <w:rPr>
                <w:rFonts w:ascii="Arial" w:cs="Arial" w:eastAsia="Arial" w:hAnsi="Arial"/>
                <w:sz w:val="18"/>
                <w:szCs w:val="18"/>
                <w:color w:val="auto"/>
                <w:w w:val="92"/>
              </w:rPr>
              <w:t>Tax credits in 2017, 2016 and 2015 consist principally of research and developmental tax credits.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7800" w:type="dxa"/>
            <w:vAlign w:val="bottom"/>
            <w:gridSpan w:val="9"/>
          </w:tcPr>
          <w:p>
            <w:pPr>
              <w:ind w:left="660"/>
              <w:spacing w:after="0"/>
              <w:rPr>
                <w:sz w:val="20"/>
                <w:szCs w:val="20"/>
                <w:color w:val="auto"/>
              </w:rPr>
            </w:pPr>
            <w:r>
              <w:rPr>
                <w:rFonts w:ascii="Arial" w:cs="Arial" w:eastAsia="Arial" w:hAnsi="Arial"/>
                <w:sz w:val="18"/>
                <w:szCs w:val="18"/>
                <w:color w:val="auto"/>
                <w:w w:val="97"/>
              </w:rPr>
              <w:t>The components of our deferred income tax assets (liabilities) are as follows (in thousands):</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96"/>
        </w:trPr>
        <w:tc>
          <w:tcPr>
            <w:tcW w:w="3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6"/>
          </w:tcPr>
          <w:p>
            <w:pPr>
              <w:ind w:left="460"/>
              <w:spacing w:after="0"/>
              <w:rPr>
                <w:sz w:val="20"/>
                <w:szCs w:val="20"/>
                <w:color w:val="auto"/>
              </w:rPr>
            </w:pPr>
            <w:r>
              <w:rPr>
                <w:rFonts w:ascii="Arial" w:cs="Arial" w:eastAsia="Arial" w:hAnsi="Arial"/>
                <w:sz w:val="16"/>
                <w:szCs w:val="16"/>
                <w:b w:val="1"/>
                <w:bCs w:val="1"/>
                <w:color w:val="auto"/>
                <w:w w:val="92"/>
              </w:rPr>
              <w:t>December 31,</w:t>
            </w:r>
          </w:p>
        </w:tc>
        <w:tc>
          <w:tcPr>
            <w:tcW w:w="900" w:type="dxa"/>
            <w:vAlign w:val="bottom"/>
          </w:tcPr>
          <w:p>
            <w:pPr>
              <w:spacing w:after="0"/>
              <w:rPr>
                <w:sz w:val="24"/>
                <w:szCs w:val="24"/>
                <w:color w:val="auto"/>
              </w:rPr>
            </w:pPr>
          </w:p>
        </w:tc>
      </w:tr>
      <w:tr>
        <w:trPr>
          <w:trHeight w:val="33"/>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91"/>
              <w:spacing w:after="0"/>
              <w:rPr>
                <w:sz w:val="20"/>
                <w:szCs w:val="20"/>
                <w:color w:val="auto"/>
              </w:rPr>
            </w:pPr>
            <w:r>
              <w:rPr>
                <w:rFonts w:ascii="Arial" w:cs="Arial" w:eastAsia="Arial" w:hAnsi="Arial"/>
                <w:sz w:val="16"/>
                <w:szCs w:val="16"/>
                <w:b w:val="1"/>
                <w:bCs w:val="1"/>
                <w:color w:val="auto"/>
                <w:w w:val="89"/>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1,223</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Accruals/other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w:t>
            </w: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Acquired future tax deductions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6,473</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11,089</w:t>
            </w: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w w:val="97"/>
              </w:rPr>
              <w:t>Foreign currency translation adjustments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5,175</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Tax credits state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6,764</w:t>
            </w: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Foreign tax credits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4C16AE"/>
              </w:rPr>
              <w:t>—</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Inventory reserves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1,938</w:t>
            </w: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151</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33,670</w:t>
            </w:r>
          </w:p>
        </w:tc>
      </w:tr>
      <w:tr>
        <w:trPr>
          <w:trHeight w:val="67"/>
        </w:trPr>
        <w:tc>
          <w:tcPr>
            <w:tcW w:w="37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04"/>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State income taxes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1,640</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1,708</w:t>
            </w: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1,370</w:t>
            </w:r>
          </w:p>
        </w:tc>
      </w:tr>
      <w:tr>
        <w:trPr>
          <w:trHeight w:val="243"/>
        </w:trPr>
        <w:tc>
          <w:tcPr>
            <w:tcW w:w="37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10,027</w:t>
            </w: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22,847</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13,105</w:t>
            </w:r>
          </w:p>
        </w:tc>
      </w:tr>
      <w:tr>
        <w:trPr>
          <w:trHeight w:val="115"/>
        </w:trPr>
        <w:tc>
          <w:tcPr>
            <w:tcW w:w="37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spacing w:after="0"/>
              <w:rPr>
                <w:sz w:val="10"/>
                <w:szCs w:val="10"/>
                <w:color w:val="auto"/>
              </w:rPr>
            </w:pPr>
          </w:p>
        </w:tc>
      </w:tr>
      <w:tr>
        <w:trPr>
          <w:trHeight w:val="257"/>
        </w:trPr>
        <w:tc>
          <w:tcPr>
            <w:tcW w:w="37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20,565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Holidays and Carryforwards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Acquired future tax deductions consist of: (a) the net tax benefit of items expensed for financial statement purposes but capitalized and amortized for tax purposes, (b) the total tax benefited portion of the federal net operating loss ("NOL") carry-forwards of $4.9 million which will expire at various dates from 2020 to 2035 and (c) the net tax benefited portion of the foreign NOLs of $1.1 million, consisting of a NOL of $6.6 million with a valuation allowance of $5.5 million. Under</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125" w:right="25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Section 382 of the Internal Revenue Code, certain ownership changes limit the utilization of the NOL carry-forwards, and the amount of federal NOL carry-forwards recorded is the net federal benefit available.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Other carryforwards include research and development (“R&amp;D”) state tax credit carryforwards of $9.5 million and $0.3 million for California and Utah, respectively, and a foreign tax credit carryforward of $2.7 million.</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 substantial portion of our manufacturing operations in Costa Rica operate under various tax holidays and tax incentive programs which will expire in whole or in part in 2027. Certain of the holidays and may be extended if specific conditions are met. The net impact of these tax holidays and tax incentives was an increase to our net earnings by $5.7 million or $0.27 per diluted share in 2017.</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2017, we had estimated $24 million of undistributed foreign earnings and profits. Pursuant to the Tax Act, our undistributed foreign earnings and profits were deemed repatriated as of December 31, 2017. We have not provided deferred tax liabilities for foreign withholding taxes and certain state income taxes on the undistributed earnings and profits from certain non-U.S. subsidiaries that will be permanently reinvested outside the United States.</w:t>
      </w:r>
    </w:p>
    <w:p>
      <w:pPr>
        <w:spacing w:after="0" w:line="187"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Upon the distribution of foreign earnings and profits, certain foreign countries impose withholding taxes, subject to certain limitations, for use as credits against our U.S. tax liability, if any. If the foreign earnings and profits were distributed, we would need to accrue an additional income tax liability. However, we may also be allowed a credit against substantially all our U.S. tax liability for the taxes paid in foreign jurisdictions.</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subject to taxation in the United States and various states and foreign jurisdictions. Our United States federal income tax returns for tax years 2014 and forward are subject to examination by the Internal Revenue Service. Our principal state income tax returns for tax years 2012 and forward are subject to examination by the state tax authorities. The total gross amount of unrecognized tax benefits as of December 31, 2017 was $6.5 million which, if recognized, would impact the effective tax rate. We believe that adequate provision has been made for any adjustments that may result from tax examinations. However, the outcome of tax examinations cannot be predicted with certainty. As of December 31, 2017, it is not possible to estimate the amount of change, if any, in the unrecognized tax benefits that is reasonably possible within the next twelve months. We recognize accrued interest and penalties related to unrecognized tax benefits as a component of income tax expense. We have not accrued any penalties or interest as of December 31, 2017 or December 31, 2016</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cumulative gross unrecognized tax benefits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2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w w:val="84"/>
              </w:rPr>
              <w:t>2,000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4,115</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to prior year tax positions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Increases due to acquisitions</w:t>
            </w:r>
          </w:p>
        </w:tc>
        <w:tc>
          <w:tcPr>
            <w:tcW w:w="860" w:type="dxa"/>
            <w:vAlign w:val="bottom"/>
          </w:tcPr>
          <w:p>
            <w:pPr>
              <w:spacing w:after="0"/>
              <w:rPr>
                <w:sz w:val="21"/>
                <w:szCs w:val="21"/>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4C16AE"/>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4C16AE"/>
              </w:rPr>
              <w:t>—</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to current year tax positions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4"/>
              </w:rPr>
              <w:t>3,992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Decreases to prior year tax positions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related to settlements</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Decrease related to lapse of statute of limitations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4"/>
              </w:rPr>
              <w:t>6,527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1,772</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PRODUCT LINES, GEOGRAPHIC INFORMATION AND SIGNIFICANT CUSTOMERS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following table sets forth for the periods indicated, total revenue by product line as a percentage of total revenue: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20" w:type="dxa"/>
            <w:vAlign w:val="bottom"/>
            <w:gridSpan w:val="2"/>
            <w:vMerge w:val="continue"/>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1320" w:type="dxa"/>
            <w:vAlign w:val="bottom"/>
          </w:tcPr>
          <w:p>
            <w:pPr>
              <w:jc w:val="right"/>
              <w:ind w:right="691"/>
              <w:spacing w:after="0"/>
              <w:rPr>
                <w:sz w:val="20"/>
                <w:szCs w:val="20"/>
                <w:color w:val="auto"/>
              </w:rPr>
            </w:pPr>
            <w:r>
              <w:rPr>
                <w:rFonts w:ascii="Arial" w:cs="Arial" w:eastAsia="Arial" w:hAnsi="Arial"/>
                <w:sz w:val="16"/>
                <w:szCs w:val="16"/>
                <w:b w:val="1"/>
                <w:bCs w:val="1"/>
                <w:color w:val="auto"/>
              </w:rPr>
              <w:t>2016</w:t>
            </w:r>
          </w:p>
        </w:tc>
        <w:tc>
          <w:tcPr>
            <w:tcW w:w="78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33"/>
        </w:trPr>
        <w:tc>
          <w:tcPr>
            <w:tcW w:w="5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86%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IV Solutions</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w:t>
            </w: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Critical Care</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14%</w:t>
            </w: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320" w:type="dxa"/>
            <w:vAlign w:val="bottom"/>
            <w:tcBorders>
              <w:bottom w:val="single" w:sz="8" w:color="CCEEFF"/>
            </w:tcBorders>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100%</w:t>
            </w:r>
          </w:p>
        </w:tc>
        <w:tc>
          <w:tcPr>
            <w:tcW w:w="13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100%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sell products worldwide, on credit terms on an unsecured basis, as an OEM supplier, to independent medical supply distributors and directly to the end customer. The manufacturers and distributors, in turn, sell our products to healthcare providers. For the years ended December 31, 2016 and 2015, we had worldwide sales to one manufacturer, Pfizer, of 30% and 36%, respectively, of consolidated revenue and as of December 31, 2016, accounts receivable from Pfizer was 23% of consolidated accounts receivable.</w:t>
      </w:r>
    </w:p>
    <w:p>
      <w:pPr>
        <w:spacing w:after="0" w:line="18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February 2017, we completed the acquisition of Pfizer's HIS business, which we acquired in part to protect against the significant earnings exposure indicated above (see Note 2: Acquisitions and Strategic Transaction Expenses).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report revenue on a “where-sold” basis, which reflects the revenue within the country or region in which the ultimate sale is made to our external customer.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total company revenues, by major country or region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As of December 31,</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12,494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LATAM</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APAC</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7,047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10,622</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foreign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312,676</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117,678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103,005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979,937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238,663</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Worldwide 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1,292,613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379,372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341,668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Domestic sales accounted for 76%, 70% and 71% of total revenue in 2017, 2016 and 2015, respectively. International sales accounted for 24%, 30% and 29% of total revenue in 2017,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gross long-lived assets, consisting of property, plant and equipment, by country or region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Costa Rica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61,008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57,971</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LATAM</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Spain</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Europe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63,298</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422,810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180,657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Worldwide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608,823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243,955</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July 2010, our Board of Directors approved a common stock purchase plan to purchase up to $40.0 million of our common stock. This plan has no expiration date and we have $7.2 million remaining on this purchase plan. During 2016, we purchased $15.4 million of our common stock. We did not purchase any of our common stock under our purchase plan in 2017 or 2015. We used the treasury stock to issue shares for stock option exercises, restricted stock grants and employee stock purchase plan stock purchases. We are currently limited on share purchases in accordance with the terms and conditions of our Credit Facility, (see Note 12: Long-Term Obligations).</w:t>
      </w:r>
    </w:p>
    <w:p>
      <w:pPr>
        <w:spacing w:after="0" w:line="18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2017, we withheld 27,636 shares of our common stock from employee vested restricted stock units in consideration for $4.1 million in payments for the employee's share award income tax withholding obligations. We have no shares remaining in treasury at December 31, 2017.</w:t>
      </w:r>
    </w:p>
    <w:p>
      <w:pPr>
        <w:spacing w:after="0" w:line="147"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2016, we withheld 20,261 shares of our common stock from employee vested restricted stock units in consideration for $1.9 million in payments for the employee's share award income tax withholding obligations. We had 93 shares remaining in treasury at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AOCI, net of tax, were as follows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Foreign Currency</w:t>
            </w: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Unrealized Gains on</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Adjustments</w:t>
            </w:r>
          </w:p>
        </w:tc>
        <w:tc>
          <w:tcPr>
            <w:tcW w:w="380" w:type="dxa"/>
            <w:vAlign w:val="bottom"/>
          </w:tcPr>
          <w:p>
            <w:pPr>
              <w:spacing w:after="0"/>
              <w:rPr>
                <w:sz w:val="8"/>
                <w:szCs w:val="8"/>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Cash Flow Hedges</w:t>
            </w:r>
          </w:p>
        </w:tc>
        <w:tc>
          <w:tcPr>
            <w:tcW w:w="1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have entered into various non-cancellable operating lease agreements for certain of our offices and facilities throughout the world with original lease periods expiring primarily between 2018 and 2024. Some of these agreements have escalating rent payment provisions. We recognize rent expense under such agreements on a straight-line basis.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rent expense under operating leases was $7.9 million in 2017, $0.6 million in 2016 and $0.4 million in 2015.</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2017, future minimum lease payments under our non-cancelable operating leases are as follows over each of the next five years and thereafter (in millions):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8,775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5,907</w:t>
            </w:r>
          </w:p>
        </w:tc>
      </w:tr>
      <w:tr>
        <w:trPr>
          <w:trHeight w:val="27"/>
        </w:trPr>
        <w:tc>
          <w:tcPr>
            <w:tcW w:w="9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3,214</w:t>
            </w:r>
          </w:p>
        </w:tc>
      </w:tr>
      <w:tr>
        <w:trPr>
          <w:trHeight w:val="27"/>
        </w:trPr>
        <w:tc>
          <w:tcPr>
            <w:tcW w:w="9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6,446</w:t>
            </w:r>
          </w:p>
        </w:tc>
      </w:tr>
      <w:tr>
        <w:trPr>
          <w:trHeight w:val="27"/>
        </w:trPr>
        <w:tc>
          <w:tcPr>
            <w:tcW w:w="9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31,506</w:t>
            </w:r>
          </w:p>
        </w:tc>
      </w:tr>
      <w:tr>
        <w:trPr>
          <w:trHeight w:val="20"/>
        </w:trPr>
        <w:tc>
          <w:tcPr>
            <w:tcW w:w="9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will coordinate with Pfizer to produce records to the New York Attorney General and the Department of Justice.</w:t>
      </w:r>
    </w:p>
    <w:p>
      <w:pPr>
        <w:spacing w:after="0" w:line="189"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have an ongoing dispute with a product partner that may result in a redefinition of our contractual arrangement or in the rights or remedies determined under such arrangement. We do not expect this dispute to have a material adverse effect on our financial position or results of operations.</w:t>
      </w:r>
    </w:p>
    <w:p>
      <w:pPr>
        <w:spacing w:after="0" w:line="137" w:lineRule="exact"/>
        <w:rPr>
          <w:sz w:val="20"/>
          <w:szCs w:val="20"/>
          <w:color w:val="auto"/>
        </w:rPr>
      </w:pPr>
    </w:p>
    <w:p>
      <w:pPr>
        <w:ind w:firstLine="648"/>
        <w:spacing w:after="0" w:line="279" w:lineRule="auto"/>
        <w:rPr>
          <w:sz w:val="20"/>
          <w:szCs w:val="20"/>
          <w:color w:val="auto"/>
        </w:rPr>
      </w:pPr>
      <w:r>
        <w:rPr>
          <w:rFonts w:ascii="Arial" w:cs="Arial" w:eastAsia="Arial" w:hAnsi="Arial"/>
          <w:sz w:val="18"/>
          <w:szCs w:val="18"/>
          <w:color w:val="auto"/>
        </w:rPr>
        <w:t>In addition to the legal matters described above, we are from time to time involved in various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620" w:firstLine="648"/>
        <w:spacing w:after="0" w:line="312" w:lineRule="auto"/>
        <w:rPr>
          <w:sz w:val="20"/>
          <w:szCs w:val="20"/>
          <w:color w:val="auto"/>
        </w:rPr>
      </w:pPr>
      <w:r>
        <w:rPr>
          <w:rFonts w:ascii="Arial" w:cs="Arial" w:eastAsia="Arial" w:hAnsi="Arial"/>
          <w:sz w:val="16"/>
          <w:szCs w:val="16"/>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2: Acquisitions and Strategic Transaction Expenses). The amount to be paid cannot be determined until the earn-out period has expired.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COLLABORATIVE AND OTHER ARRANGEMENTS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SELECTED QUARTERLY FINANCIAL DATA -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Mar. 31</w:t>
            </w:r>
          </w:p>
        </w:tc>
        <w:tc>
          <w:tcPr>
            <w:tcW w:w="200" w:type="dxa"/>
            <w:vAlign w:val="bottom"/>
          </w:tcPr>
          <w:p>
            <w:pPr>
              <w:spacing w:after="0"/>
              <w:rPr>
                <w:sz w:val="20"/>
                <w:szCs w:val="20"/>
                <w:color w:val="auto"/>
              </w:rPr>
            </w:pPr>
          </w:p>
        </w:tc>
        <w:tc>
          <w:tcPr>
            <w:tcW w:w="1300" w:type="dxa"/>
            <w:vAlign w:val="bottom"/>
          </w:tcPr>
          <w:p>
            <w:pPr>
              <w:jc w:val="right"/>
              <w:ind w:right="391"/>
              <w:spacing w:after="0"/>
              <w:rPr>
                <w:sz w:val="20"/>
                <w:szCs w:val="20"/>
                <w:color w:val="auto"/>
              </w:rPr>
            </w:pPr>
            <w:r>
              <w:rPr>
                <w:rFonts w:ascii="Arial" w:cs="Arial" w:eastAsia="Arial" w:hAnsi="Arial"/>
                <w:sz w:val="16"/>
                <w:szCs w:val="16"/>
                <w:b w:val="1"/>
                <w:bCs w:val="1"/>
                <w:color w:val="auto"/>
              </w:rPr>
              <w:t>Jun. 30</w:t>
            </w:r>
          </w:p>
        </w:tc>
        <w:tc>
          <w:tcPr>
            <w:tcW w:w="32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6"/>
                <w:szCs w:val="16"/>
                <w:b w:val="1"/>
                <w:bCs w:val="1"/>
                <w:color w:val="auto"/>
              </w:rPr>
              <w:t>Sept. 30</w:t>
            </w:r>
          </w:p>
        </w:tc>
        <w:tc>
          <w:tcPr>
            <w:tcW w:w="360" w:type="dxa"/>
            <w:vAlign w:val="bottom"/>
          </w:tcPr>
          <w:p>
            <w:pPr>
              <w:spacing w:after="0"/>
              <w:rPr>
                <w:sz w:val="20"/>
                <w:szCs w:val="20"/>
                <w:color w:val="auto"/>
              </w:rPr>
            </w:pP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Dec. 31</w:t>
            </w:r>
          </w:p>
        </w:tc>
      </w:tr>
      <w:tr>
        <w:trPr>
          <w:trHeight w:val="33"/>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8"/>
                <w:szCs w:val="18"/>
                <w:color w:val="auto"/>
                <w:w w:val="87"/>
              </w:rPr>
              <w:t>(in thousands except per share data)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84"/>
              </w:rPr>
              <w:t>2017</w:t>
            </w:r>
          </w:p>
        </w:tc>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247,739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331,514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343,236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370,124</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88,945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88,062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111,598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137,490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55,863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(37,060)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49,705</w:t>
            </w:r>
          </w:p>
        </w:tc>
      </w:tr>
      <w:tr>
        <w:trPr>
          <w:trHeight w:val="243"/>
        </w:trPr>
        <w:tc>
          <w:tcPr>
            <w:tcW w:w="5600" w:type="dxa"/>
            <w:vAlign w:val="bottom"/>
            <w:gridSpan w:val="3"/>
          </w:tcPr>
          <w:p>
            <w:pPr>
              <w:ind w:left="40"/>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4"/>
              </w:rPr>
              <w:t>2016</w:t>
            </w:r>
          </w:p>
        </w:tc>
        <w:tc>
          <w:tcPr>
            <w:tcW w:w="5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5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89,855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96,721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97,108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95,688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49,233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50,132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51,273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50,760</w:t>
            </w: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18,160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16,606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18,806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9,512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1.03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0.58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February 3, 2017, we acquired HIS, see Note 2, Acquisitions, Strategic Transaction and Integration Costs.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Regulations 13a-15(e) and 15(d)-15(e) under the Securities Exchange Act of 1934)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Securities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3, 2017, we completed our acquisition of HIS. As the acquisition occurred in the first quarter of 2017, the scope of our evaluation of the effectiveness of internal control over financial reporting does not include HIS. This exclusion is in accordance with the SEC's general guidance that an assessment of a recently acquired business may be omitted from our scope for a period not to exceed one year from the date of the acquisition.</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was no change in our internal control over financial reporting that occurred during our most recent fiscal quarter that has materially affected or is reasonably likely to materially affect our internal control over financial reporting, other than changes resulting from the acquisition and integration of HIS.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of the Company is responsible for establishing and maintaining adequate control over the Company’s financial reporting.</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Management has used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to evaluate the effectiveness of its internal control over financial reporting.</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Based on this evaluation, management of the Company has concluded that the Company has maintained effective internal control over its financial reporting as of December 31, 2017 based on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acquired HIS on February 3, 2017. In accordance with SEC Staff guidance permitting a company to exclude an acquired business from management's assessment of the effectiveness of internal control over financial reporting for the year in which the acquisition was completed, management has excluded from its assessment of the effectiveness of the Company's internal control over financial reporting as of December 31, 2017, HIS's, internal control over financial reporting whose financial statements constitute 49% of total assets and 82% of total revenues of the consolidated financial statement amounts as of and for the year ended December 31, 2017.</w:t>
      </w:r>
    </w:p>
    <w:p>
      <w:pPr>
        <w:spacing w:after="0" w:line="188"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Our independent registered public accounting firm that audited the December 31, 2017 financial statements included in this Annual Report on Form 10-K has independently assessed the effectiveness of our internal control over financial reporting and its report is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64" w:right="25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internal control over financial reporting of ICU Medical, Inc. and subsidiaries (the "Company") as of December 31, 2017,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 - Integrated Framework (2013) issued by COSO.</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2017, of the Company and our report dated March 16, 2018, expressed an unqualified opinion on those financial statements.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in Management’s Annual Report on Internal Control over Financial Reporting, management excluded from its assessment the internal control over financial reporting at HIS, which was acquired on February 3, 2017 and whose financial statements constitute 49% of total assets and 82% of total revenues of the consolidated financial statement amounts as of and for the year ended December 31, 2017. Accordingly, our audit did not include the internal control over financial reporting at HIS.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2018</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360"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information required by this Item 10 of Form 10-K is set forth under the captions </w:t>
      </w:r>
      <w:r>
        <w:rPr>
          <w:rFonts w:ascii="Arial" w:cs="Arial" w:eastAsia="Arial" w:hAnsi="Arial"/>
          <w:sz w:val="18"/>
          <w:szCs w:val="18"/>
          <w:i w:val="1"/>
          <w:iCs w:val="1"/>
          <w:color w:val="auto"/>
        </w:rPr>
        <w:t>Executive Officers, Election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Compliance with Section 16(a) Beneficial Ownership Reporting Compliance </w:t>
      </w:r>
      <w:r>
        <w:rPr>
          <w:rFonts w:ascii="Arial" w:cs="Arial" w:eastAsia="Arial" w:hAnsi="Arial"/>
          <w:sz w:val="18"/>
          <w:szCs w:val="18"/>
          <w:color w:val="auto"/>
        </w:rPr>
        <w:t>in our definitive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 to be filed in connection with our 2018 Annual Meeting of Stockholders, and such information is incorporated herein by reference.</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have a Code of Business Conduct and Ethics for Directors and Officers. A copy is available on our website, www.icumed.com. We will disclose any future amendments to, or waivers from, the Code of Business Conduct and Ethics for Directors and Officers on our website.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The information required by this Item 11 of Form 10-K is set forth under the caption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Compensation Committee Interlocks and Insider Participation </w:t>
      </w:r>
      <w:r>
        <w:rPr>
          <w:rFonts w:ascii="Arial" w:cs="Arial" w:eastAsia="Arial" w:hAnsi="Arial"/>
          <w:sz w:val="18"/>
          <w:szCs w:val="18"/>
          <w:color w:val="auto"/>
        </w:rPr>
        <w:t>in our definitive Proxy Statement to be filed in connection with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and such information is incorporated herein by reference.</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The information required by this Item 12 of Form 10-K is set forth under the caption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in our definitive Proxy Statement to be filed in connection with our 2018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 xml:space="preserve">The information required by this Item 13 of Form 10-K is set forth under the caption </w:t>
      </w: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Transactions with Related Persons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Independence </w:t>
      </w:r>
      <w:r>
        <w:rPr>
          <w:rFonts w:ascii="Arial" w:cs="Arial" w:eastAsia="Arial" w:hAnsi="Arial"/>
          <w:sz w:val="18"/>
          <w:szCs w:val="18"/>
          <w:color w:val="auto"/>
        </w:rPr>
        <w:t>in our definitive Proxy Statement to be filed in connection with our 2018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such information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The information required by this Item 14 of Form 10-K is set forth under the caption </w:t>
      </w:r>
      <w:r>
        <w:rPr>
          <w:rFonts w:ascii="Arial" w:cs="Arial" w:eastAsia="Arial" w:hAnsi="Arial"/>
          <w:sz w:val="18"/>
          <w:szCs w:val="18"/>
          <w:i w:val="1"/>
          <w:iCs w:val="1"/>
          <w:color w:val="auto"/>
        </w:rPr>
        <w:t>Ratification of Auditors</w:t>
      </w:r>
      <w:r>
        <w:rPr>
          <w:rFonts w:ascii="Arial" w:cs="Arial" w:eastAsia="Arial" w:hAnsi="Arial"/>
          <w:sz w:val="18"/>
          <w:szCs w:val="18"/>
          <w:color w:val="auto"/>
        </w:rPr>
        <w:t xml:space="preserve"> in our definitive Proxy Statement to be filed in connection with our 2018 Annual Meeting of Stockholders, and such information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364"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97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Form 10-K Page No.</w:t>
            </w:r>
          </w:p>
        </w:tc>
      </w:tr>
      <w:tr>
        <w:trPr>
          <w:trHeight w:val="243"/>
        </w:trPr>
        <w:tc>
          <w:tcPr>
            <w:tcW w:w="300" w:type="dxa"/>
            <w:vAlign w:val="bottom"/>
          </w:tcPr>
          <w:p>
            <w:pPr>
              <w:spacing w:after="0"/>
              <w:rPr>
                <w:sz w:val="21"/>
                <w:szCs w:val="21"/>
                <w:color w:val="auto"/>
              </w:rPr>
            </w:pPr>
          </w:p>
        </w:tc>
        <w:tc>
          <w:tcPr>
            <w:tcW w:w="9720" w:type="dxa"/>
            <w:vAlign w:val="bottom"/>
          </w:tcPr>
          <w:p>
            <w:pPr>
              <w:ind w:left="160"/>
              <w:spacing w:after="0"/>
              <w:rPr>
                <w:sz w:val="20"/>
                <w:szCs w:val="20"/>
                <w:color w:val="auto"/>
              </w:rPr>
            </w:pPr>
            <w:r>
              <w:rPr>
                <w:rFonts w:ascii="Arial" w:cs="Arial" w:eastAsia="Arial" w:hAnsi="Arial"/>
                <w:sz w:val="18"/>
                <w:szCs w:val="18"/>
                <w:color w:val="auto"/>
              </w:rPr>
              <w:t>The following documents are filed as part of this report:</w:t>
            </w:r>
          </w:p>
        </w:tc>
        <w:tc>
          <w:tcPr>
            <w:tcW w:w="1360" w:type="dxa"/>
            <w:vAlign w:val="bottom"/>
          </w:tcPr>
          <w:p>
            <w:pPr>
              <w:spacing w:after="0"/>
              <w:rPr>
                <w:sz w:val="21"/>
                <w:szCs w:val="21"/>
                <w:color w:val="auto"/>
              </w:rPr>
            </w:pPr>
          </w:p>
        </w:tc>
      </w:tr>
      <w:tr>
        <w:trPr>
          <w:trHeight w:val="56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9720" w:type="dxa"/>
            <w:vAlign w:val="bottom"/>
          </w:tcPr>
          <w:p>
            <w:pPr>
              <w:ind w:left="160"/>
              <w:spacing w:after="0"/>
              <w:rPr>
                <w:sz w:val="20"/>
                <w:szCs w:val="20"/>
                <w:color w:val="auto"/>
              </w:rPr>
            </w:pPr>
            <w:r>
              <w:rPr>
                <w:rFonts w:ascii="Arial" w:cs="Arial" w:eastAsia="Arial" w:hAnsi="Arial"/>
                <w:sz w:val="18"/>
                <w:szCs w:val="18"/>
                <w:color w:val="auto"/>
              </w:rPr>
              <w:t>Consolidated Financial Statements. See Index to Consolidated Financial Statements in Part II, Item 8 of this Form 10-K.</w:t>
            </w:r>
          </w:p>
        </w:tc>
        <w:tc>
          <w:tcPr>
            <w:tcW w:w="136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526"/>
        </w:trPr>
        <w:tc>
          <w:tcPr>
            <w:tcW w:w="300" w:type="dxa"/>
            <w:vAlign w:val="bottom"/>
          </w:tcPr>
          <w:p>
            <w:pPr>
              <w:spacing w:after="0"/>
              <w:rPr>
                <w:sz w:val="24"/>
                <w:szCs w:val="24"/>
                <w:color w:val="auto"/>
              </w:rPr>
            </w:pPr>
          </w:p>
        </w:tc>
        <w:tc>
          <w:tcPr>
            <w:tcW w:w="9720" w:type="dxa"/>
            <w:vAlign w:val="bottom"/>
          </w:tcPr>
          <w:p>
            <w:pPr>
              <w:ind w:left="160"/>
              <w:spacing w:after="0"/>
              <w:rPr>
                <w:rFonts w:ascii="Arial" w:cs="Arial" w:eastAsia="Arial" w:hAnsi="Arial"/>
                <w:sz w:val="18"/>
                <w:szCs w:val="18"/>
                <w:color w:val="auto"/>
                <w:w w:val="96"/>
              </w:rPr>
            </w:pPr>
            <w:hyperlink w:anchor="page93">
              <w:r>
                <w:rPr>
                  <w:rFonts w:ascii="Arial" w:cs="Arial" w:eastAsia="Arial" w:hAnsi="Arial"/>
                  <w:sz w:val="18"/>
                  <w:szCs w:val="18"/>
                  <w:color w:val="auto"/>
                  <w:w w:val="96"/>
                </w:rPr>
                <w:t xml:space="preserve">Exhibits. </w:t>
              </w:r>
            </w:hyperlink>
            <w:r>
              <w:rPr>
                <w:rFonts w:ascii="Arial" w:cs="Arial" w:eastAsia="Arial" w:hAnsi="Arial"/>
                <w:sz w:val="18"/>
                <w:szCs w:val="18"/>
                <w:color w:val="auto"/>
                <w:w w:val="96"/>
              </w:rPr>
              <w:t>The exhibits listed in the accompanying Exhibit Index are filed or incorporated by reference as part of this Form 10-</w:t>
            </w:r>
          </w:p>
        </w:tc>
        <w:tc>
          <w:tcPr>
            <w:tcW w:w="1360" w:type="dxa"/>
            <w:vAlign w:val="bottom"/>
          </w:tcPr>
          <w:p>
            <w:pPr>
              <w:spacing w:after="0"/>
              <w:rPr>
                <w:sz w:val="24"/>
                <w:szCs w:val="24"/>
                <w:color w:val="auto"/>
              </w:rPr>
            </w:pPr>
          </w:p>
        </w:tc>
      </w:tr>
      <w:tr>
        <w:trPr>
          <w:trHeight w:val="230"/>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2.</w:t>
            </w:r>
          </w:p>
        </w:tc>
        <w:tc>
          <w:tcPr>
            <w:tcW w:w="9720" w:type="dxa"/>
            <w:vAlign w:val="bottom"/>
          </w:tcPr>
          <w:p>
            <w:pPr>
              <w:ind w:left="160"/>
              <w:spacing w:after="0"/>
              <w:rPr>
                <w:sz w:val="20"/>
                <w:szCs w:val="20"/>
                <w:color w:val="auto"/>
              </w:rPr>
            </w:pPr>
            <w:r>
              <w:rPr>
                <w:rFonts w:ascii="Arial" w:cs="Arial" w:eastAsia="Arial" w:hAnsi="Arial"/>
                <w:sz w:val="18"/>
                <w:szCs w:val="18"/>
                <w:color w:val="auto"/>
              </w:rPr>
              <w:t>K.</w:t>
            </w:r>
          </w:p>
        </w:tc>
        <w:tc>
          <w:tcPr>
            <w:tcW w:w="1360" w:type="dxa"/>
            <w:vAlign w:val="bottom"/>
          </w:tcPr>
          <w:p>
            <w:pPr>
              <w:jc w:val="right"/>
              <w:spacing w:after="0"/>
              <w:rPr>
                <w:rFonts w:ascii="Arial" w:cs="Arial" w:eastAsia="Arial" w:hAnsi="Arial"/>
                <w:sz w:val="18"/>
                <w:szCs w:val="18"/>
                <w:color w:val="auto"/>
              </w:rPr>
            </w:pPr>
            <w:hyperlink w:anchor="page93">
              <w:r>
                <w:rPr>
                  <w:rFonts w:ascii="Arial" w:cs="Arial" w:eastAsia="Arial" w:hAnsi="Arial"/>
                  <w:sz w:val="18"/>
                  <w:szCs w:val="18"/>
                  <w:color w:val="auto"/>
                </w:rPr>
                <w:t>92</w:t>
              </w:r>
            </w:hyperlink>
          </w:p>
        </w:tc>
      </w:tr>
    </w:tbl>
    <w:p>
      <w:pPr>
        <w:spacing w:after="0" w:line="337" w:lineRule="exact"/>
        <w:rPr>
          <w:sz w:val="20"/>
          <w:szCs w:val="20"/>
          <w:color w:val="auto"/>
        </w:rPr>
      </w:pPr>
    </w:p>
    <w:p>
      <w:pPr>
        <w:ind w:left="500" w:hanging="465"/>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 Schedules. The Financial Statement Schedules required to be filed as a part of this Report are:</w:t>
      </w:r>
    </w:p>
    <w:p>
      <w:pPr>
        <w:sectPr>
          <w:pgSz w:w="11900" w:h="16838" w:orient="portrait"/>
          <w:cols w:equalWidth="0" w:num="1">
            <w:col w:w="11420"/>
          </w:cols>
          <w:pgMar w:left="240" w:top="364" w:right="239" w:bottom="1440" w:gutter="0" w:footer="0" w:header="0"/>
        </w:sectPr>
      </w:pPr>
    </w:p>
    <w:p>
      <w:pPr>
        <w:spacing w:after="0" w:line="360" w:lineRule="exact"/>
        <w:rPr>
          <w:sz w:val="20"/>
          <w:szCs w:val="20"/>
          <w:color w:val="auto"/>
        </w:rPr>
      </w:pPr>
    </w:p>
    <w:p>
      <w:pPr>
        <w:ind w:left="500"/>
        <w:spacing w:after="0"/>
        <w:rPr>
          <w:rFonts w:ascii="Arial" w:cs="Arial" w:eastAsia="Arial" w:hAnsi="Arial"/>
          <w:sz w:val="16"/>
          <w:szCs w:val="16"/>
          <w:color w:val="auto"/>
        </w:rPr>
      </w:pPr>
      <w:hyperlink w:anchor="page97">
        <w:r>
          <w:rPr>
            <w:rFonts w:ascii="Arial" w:cs="Arial" w:eastAsia="Arial" w:hAnsi="Arial"/>
            <w:sz w:val="16"/>
            <w:szCs w:val="16"/>
            <w:color w:val="auto"/>
          </w:rPr>
          <w:t>Schedule II — Valuation and Qualifying Accounts</w:t>
        </w:r>
      </w:hyperlink>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rFonts w:ascii="Arial" w:cs="Arial" w:eastAsia="Arial" w:hAnsi="Arial"/>
          <w:sz w:val="16"/>
          <w:szCs w:val="16"/>
          <w:color w:val="auto"/>
        </w:rPr>
      </w:pPr>
      <w:hyperlink w:anchor="page97">
        <w:r>
          <w:rPr>
            <w:rFonts w:ascii="Arial" w:cs="Arial" w:eastAsia="Arial" w:hAnsi="Arial"/>
            <w:sz w:val="16"/>
            <w:szCs w:val="16"/>
            <w:color w:val="auto"/>
          </w:rPr>
          <w:t>96</w:t>
        </w:r>
      </w:hyperlink>
    </w:p>
    <w:p>
      <w:pPr>
        <w:spacing w:after="0" w:line="200" w:lineRule="exact"/>
        <w:rPr>
          <w:sz w:val="20"/>
          <w:szCs w:val="20"/>
          <w:color w:val="auto"/>
        </w:rPr>
      </w:pPr>
    </w:p>
    <w:p>
      <w:pPr>
        <w:sectPr>
          <w:pgSz w:w="11900" w:h="16838" w:orient="portrait"/>
          <w:cols w:equalWidth="0" w:num="2">
            <w:col w:w="10500" w:space="720"/>
            <w:col w:w="200"/>
          </w:cols>
          <w:pgMar w:left="240" w:top="364" w:right="2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364" w:right="239" w:bottom="1440" w:gutter="0" w:footer="0" w:header="0"/>
          <w:type w:val="continuous"/>
        </w:sectPr>
      </w:pPr>
    </w:p>
    <w:p>
      <w:pPr>
        <w:spacing w:after="0" w:line="171"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48895</wp:posOffset>
            </wp:positionV>
            <wp:extent cx="6157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100" w:space="720"/>
            <w:col w:w="5600"/>
          </w:cols>
          <w:pgMar w:left="240" w:top="364" w:right="239" w:bottom="1440" w:gutter="0" w:footer="0" w:header="0"/>
          <w:type w:val="continuous"/>
        </w:sectPr>
      </w:pPr>
    </w:p>
    <w:p>
      <w:pPr>
        <w:ind w:left="1760" w:right="240" w:hanging="737"/>
        <w:spacing w:after="0" w:line="286" w:lineRule="auto"/>
        <w:tabs>
          <w:tab w:leader="none" w:pos="1740" w:val="left"/>
        </w:tabs>
        <w:rPr>
          <w:rFonts w:ascii="Arial" w:cs="Arial" w:eastAsia="Arial" w:hAnsi="Arial"/>
          <w:sz w:val="18"/>
          <w:szCs w:val="18"/>
          <w:color w:val="0000FF"/>
        </w:rPr>
      </w:pPr>
      <w:hyperlink r:id="rId34">
        <w:r>
          <w:rPr>
            <w:rFonts w:ascii="Arial" w:cs="Arial" w:eastAsia="Arial" w:hAnsi="Arial"/>
            <w:sz w:val="18"/>
            <w:szCs w:val="18"/>
            <w:u w:val="single" w:color="auto"/>
            <w:color w:val="0000FF"/>
          </w:rPr>
          <w:t>2.1</w:t>
        </w:r>
      </w:hyperlink>
      <w:r>
        <w:rPr>
          <w:rFonts w:ascii="Arial" w:cs="Arial" w:eastAsia="Arial" w:hAnsi="Arial"/>
          <w:sz w:val="18"/>
          <w:szCs w:val="18"/>
          <w:color w:val="0000FF"/>
        </w:rPr>
        <w:tab/>
      </w:r>
      <w:r>
        <w:rPr>
          <w:rFonts w:ascii="Arial" w:cs="Arial" w:eastAsia="Arial" w:hAnsi="Arial"/>
          <w:sz w:val="17"/>
          <w:szCs w:val="17"/>
          <w:color w:val="0000FF"/>
        </w:rPr>
        <w:t>Stock Purchase Agreement dated as of October 5, 2015, by and among Registrant, Medline Industries, Inc., Roundtable Healthcare Partners, L.P., Roundtable Healthcare Investors, L.P. and certain other sellers party thereto. Filed as Exhibit 2.1 to Registrant's Current Report on Form 8-K filed October 6, 2015, and incorporated herein by reference.</w:t>
      </w:r>
    </w:p>
    <w:p>
      <w:pPr>
        <w:spacing w:after="0" w:line="200" w:lineRule="exact"/>
        <w:rPr>
          <w:sz w:val="20"/>
          <w:szCs w:val="20"/>
          <w:color w:val="auto"/>
        </w:rPr>
      </w:pPr>
    </w:p>
    <w:p>
      <w:pPr>
        <w:spacing w:after="0" w:line="317" w:lineRule="exact"/>
        <w:rPr>
          <w:sz w:val="20"/>
          <w:szCs w:val="20"/>
          <w:color w:val="auto"/>
        </w:rPr>
      </w:pPr>
    </w:p>
    <w:p>
      <w:pPr>
        <w:ind w:left="1760" w:right="220" w:hanging="737"/>
        <w:spacing w:after="0" w:line="342" w:lineRule="auto"/>
        <w:tabs>
          <w:tab w:leader="none" w:pos="1740" w:val="left"/>
        </w:tabs>
        <w:rPr>
          <w:rFonts w:ascii="Arial" w:cs="Arial" w:eastAsia="Arial" w:hAnsi="Arial"/>
          <w:sz w:val="18"/>
          <w:szCs w:val="18"/>
          <w:color w:val="0000FF"/>
        </w:rPr>
      </w:pPr>
      <w:hyperlink r:id="rId35">
        <w:r>
          <w:rPr>
            <w:rFonts w:ascii="Arial" w:cs="Arial" w:eastAsia="Arial" w:hAnsi="Arial"/>
            <w:sz w:val="18"/>
            <w:szCs w:val="18"/>
            <w:u w:val="single" w:color="auto"/>
            <w:color w:val="0000FF"/>
          </w:rPr>
          <w:t>2.2</w:t>
        </w:r>
      </w:hyperlink>
      <w:r>
        <w:rPr>
          <w:rFonts w:ascii="Arial" w:cs="Arial" w:eastAsia="Arial" w:hAnsi="Arial"/>
          <w:sz w:val="18"/>
          <w:szCs w:val="18"/>
          <w:color w:val="0000FF"/>
        </w:rPr>
        <w:tab/>
      </w:r>
      <w:r>
        <w:rPr>
          <w:rFonts w:ascii="Arial" w:cs="Arial" w:eastAsia="Arial" w:hAnsi="Arial"/>
          <w:sz w:val="16"/>
          <w:szCs w:val="16"/>
          <w:color w:val="0000FF"/>
        </w:rPr>
        <w:t>Asset Purchase Agreement made as of October 5, 2015, by and among Registrant, Excelsior Medical, LLC and Medline Industries, Inc. Filed as Exhibit 2.2 to Registrant's Current Report on Form 8-K filed October 6, 2015, and incorporated herein by reference.</w:t>
      </w:r>
    </w:p>
    <w:p>
      <w:pPr>
        <w:spacing w:after="0" w:line="259" w:lineRule="exact"/>
        <w:rPr>
          <w:sz w:val="20"/>
          <w:szCs w:val="20"/>
          <w:color w:val="auto"/>
        </w:rPr>
      </w:pPr>
    </w:p>
    <w:p>
      <w:pPr>
        <w:jc w:val="both"/>
        <w:ind w:left="1760" w:right="280" w:hanging="737"/>
        <w:spacing w:after="0" w:line="264" w:lineRule="auto"/>
        <w:tabs>
          <w:tab w:leader="none" w:pos="1740" w:val="left"/>
        </w:tabs>
        <w:rPr>
          <w:rFonts w:ascii="Arial" w:cs="Arial" w:eastAsia="Arial" w:hAnsi="Arial"/>
          <w:sz w:val="18"/>
          <w:szCs w:val="18"/>
          <w:color w:val="0000FF"/>
        </w:rPr>
      </w:pPr>
      <w:hyperlink r:id="rId36">
        <w:r>
          <w:rPr>
            <w:rFonts w:ascii="Arial" w:cs="Arial" w:eastAsia="Arial" w:hAnsi="Arial"/>
            <w:sz w:val="18"/>
            <w:szCs w:val="18"/>
            <w:u w:val="single" w:color="auto"/>
            <w:color w:val="0000FF"/>
          </w:rPr>
          <w:t>2.3</w:t>
        </w:r>
      </w:hyperlink>
      <w:r>
        <w:rPr>
          <w:rFonts w:ascii="Arial" w:cs="Arial" w:eastAsia="Arial" w:hAnsi="Arial"/>
          <w:sz w:val="18"/>
          <w:szCs w:val="18"/>
          <w:color w:val="0000FF"/>
        </w:rPr>
        <w:tab/>
        <w:t>Amended and Restated Stock and Asset Purchase Agreement, dated as of January 5, 2017, by and between Pfizer Inc., a Delaware corporation, and ICU Medical, Inc., a Delaware corporation. Filed as Exhibit 2.1 to Registrant’s Current Report on Form 8-K filed January 5, 2017, and incorporated herein by reference.</w:t>
      </w:r>
    </w:p>
    <w:p>
      <w:pPr>
        <w:spacing w:after="0" w:line="200" w:lineRule="exact"/>
        <w:rPr>
          <w:sz w:val="20"/>
          <w:szCs w:val="20"/>
          <w:color w:val="auto"/>
        </w:rPr>
      </w:pPr>
    </w:p>
    <w:p>
      <w:pPr>
        <w:spacing w:after="0" w:line="332" w:lineRule="exact"/>
        <w:rPr>
          <w:sz w:val="20"/>
          <w:szCs w:val="20"/>
          <w:color w:val="auto"/>
        </w:rPr>
      </w:pPr>
    </w:p>
    <w:p>
      <w:pPr>
        <w:ind w:left="1760" w:right="360" w:hanging="737"/>
        <w:spacing w:after="0" w:line="277" w:lineRule="auto"/>
        <w:tabs>
          <w:tab w:leader="none" w:pos="1740" w:val="left"/>
        </w:tabs>
        <w:rPr>
          <w:rFonts w:ascii="Arial" w:cs="Arial" w:eastAsia="Arial" w:hAnsi="Arial"/>
          <w:sz w:val="18"/>
          <w:szCs w:val="18"/>
          <w:color w:val="0000FF"/>
        </w:rPr>
      </w:pPr>
      <w:hyperlink r:id="rId37">
        <w:r>
          <w:rPr>
            <w:rFonts w:ascii="Arial" w:cs="Arial" w:eastAsia="Arial" w:hAnsi="Arial"/>
            <w:sz w:val="18"/>
            <w:szCs w:val="18"/>
            <w:u w:val="single" w:color="auto"/>
            <w:color w:val="0000FF"/>
          </w:rPr>
          <w:t>3.1</w:t>
        </w:r>
      </w:hyperlink>
      <w:r>
        <w:rPr>
          <w:rFonts w:ascii="Arial" w:cs="Arial" w:eastAsia="Arial" w:hAnsi="Arial"/>
          <w:sz w:val="18"/>
          <w:szCs w:val="18"/>
          <w:color w:val="0000FF"/>
        </w:rPr>
        <w:tab/>
        <w:t>Registrant's Certificate of Incorporation, as amended and restated. Filed as an exhibit to Registrant's Current Report on Form 8-K filed on June 10, 2014, and incorporated herein by reference.</w:t>
      </w:r>
    </w:p>
    <w:p>
      <w:pPr>
        <w:spacing w:after="0" w:line="279" w:lineRule="exact"/>
        <w:rPr>
          <w:sz w:val="20"/>
          <w:szCs w:val="20"/>
          <w:color w:val="auto"/>
        </w:rPr>
      </w:pPr>
    </w:p>
    <w:p>
      <w:pPr>
        <w:ind w:left="1760" w:right="200" w:hanging="737"/>
        <w:spacing w:after="0" w:line="277" w:lineRule="auto"/>
        <w:tabs>
          <w:tab w:leader="none" w:pos="1740" w:val="left"/>
        </w:tabs>
        <w:rPr>
          <w:rFonts w:ascii="Arial" w:cs="Arial" w:eastAsia="Arial" w:hAnsi="Arial"/>
          <w:sz w:val="18"/>
          <w:szCs w:val="18"/>
          <w:color w:val="0000FF"/>
        </w:rPr>
      </w:pPr>
      <w:hyperlink r:id="rId38">
        <w:r>
          <w:rPr>
            <w:rFonts w:ascii="Arial" w:cs="Arial" w:eastAsia="Arial" w:hAnsi="Arial"/>
            <w:sz w:val="18"/>
            <w:szCs w:val="18"/>
            <w:u w:val="single" w:color="auto"/>
            <w:color w:val="0000FF"/>
          </w:rPr>
          <w:t>3.2</w:t>
        </w:r>
      </w:hyperlink>
      <w:r>
        <w:rPr>
          <w:rFonts w:ascii="Arial" w:cs="Arial" w:eastAsia="Arial" w:hAnsi="Arial"/>
          <w:sz w:val="18"/>
          <w:szCs w:val="18"/>
          <w:color w:val="0000FF"/>
        </w:rPr>
        <w:tab/>
        <w:t>Registrant's Bylaws, as amended and restated. Filed as an Exhibit to Registrant's Current Report on Form 8-K filed August 3, 2016, and incorporated herein by reference.</w:t>
      </w:r>
    </w:p>
    <w:p>
      <w:pPr>
        <w:spacing w:after="0" w:line="279" w:lineRule="exact"/>
        <w:rPr>
          <w:sz w:val="20"/>
          <w:szCs w:val="20"/>
          <w:color w:val="auto"/>
        </w:rPr>
      </w:pPr>
    </w:p>
    <w:p>
      <w:pPr>
        <w:ind w:left="1760" w:right="260" w:hanging="827"/>
        <w:spacing w:after="0" w:line="277" w:lineRule="auto"/>
        <w:tabs>
          <w:tab w:leader="none" w:pos="1740" w:val="left"/>
        </w:tabs>
        <w:rPr>
          <w:rFonts w:ascii="Arial" w:cs="Arial" w:eastAsia="Arial" w:hAnsi="Arial"/>
          <w:sz w:val="18"/>
          <w:szCs w:val="18"/>
          <w:color w:val="0000FF"/>
        </w:rPr>
      </w:pPr>
      <w:hyperlink r:id="rId39">
        <w:r>
          <w:rPr>
            <w:rFonts w:ascii="Arial" w:cs="Arial" w:eastAsia="Arial" w:hAnsi="Arial"/>
            <w:sz w:val="18"/>
            <w:szCs w:val="18"/>
            <w:u w:val="single" w:color="auto"/>
            <w:color w:val="0000FF"/>
          </w:rPr>
          <w:t>10.1</w:t>
        </w:r>
      </w:hyperlink>
      <w:r>
        <w:rPr>
          <w:rFonts w:ascii="Arial" w:cs="Arial" w:eastAsia="Arial" w:hAnsi="Arial"/>
          <w:sz w:val="18"/>
          <w:szCs w:val="18"/>
          <w:color w:val="0000FF"/>
        </w:rPr>
        <w:tab/>
        <w:t>Form of Indemnification Agreement with Directors and Executive Officers. Filed as an Exhibit to Registrant's Quarterly Report on Form 10-Q for the Quarter ended September 30, 2010, and incorporated herein by reference.</w:t>
      </w:r>
    </w:p>
    <w:p>
      <w:pPr>
        <w:spacing w:after="0" w:line="279" w:lineRule="exact"/>
        <w:rPr>
          <w:sz w:val="20"/>
          <w:szCs w:val="20"/>
          <w:color w:val="auto"/>
        </w:rPr>
      </w:pPr>
    </w:p>
    <w:p>
      <w:pPr>
        <w:ind w:left="1760" w:right="280" w:hanging="827"/>
        <w:spacing w:after="0" w:line="264" w:lineRule="auto"/>
        <w:tabs>
          <w:tab w:leader="none" w:pos="1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Manufacture and Supply Agreement dated September 13, 1993 between Registrant and B. Braun, Inc. relating to the Protected Needle product. Filed as an Exhibit to Registrant's Quarterly Report on Form 10-Q for the Quarter ended September 30, 1993, and incorporated herein by reference.</w:t>
      </w:r>
    </w:p>
    <w:p>
      <w:pPr>
        <w:spacing w:after="0" w:line="289" w:lineRule="exact"/>
        <w:rPr>
          <w:sz w:val="20"/>
          <w:szCs w:val="20"/>
          <w:color w:val="auto"/>
        </w:rPr>
      </w:pPr>
    </w:p>
    <w:p>
      <w:pPr>
        <w:ind w:left="1760" w:right="180" w:hanging="827"/>
        <w:spacing w:after="0" w:line="264" w:lineRule="auto"/>
        <w:tabs>
          <w:tab w:leader="none" w:pos="1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Supply and Distribution Agreement dated April 3, 1995 between Registrant and Abbott Laboratories, Inc. relating to the Clave product. Filed as an Exhibit to Registrant's Quarterly Report on Form 10-Q for the Quarter ended March 31, 1995, and incorporated herein by reference.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4" w:right="239" w:bottom="1440" w:gutter="0" w:footer="0" w:header="0"/>
          <w:type w:val="continuous"/>
        </w:sectPr>
      </w:pPr>
    </w:p>
    <w:bookmarkStart w:id="93" w:name="page94"/>
    <w:bookmarkEnd w:id="93"/>
    <w:p>
      <w:pPr>
        <w:ind w:left="920" w:right="260" w:hanging="827"/>
        <w:spacing w:after="0" w:line="264" w:lineRule="auto"/>
        <w:tabs>
          <w:tab w:leader="none" w:pos="900" w:val="left"/>
        </w:tabs>
        <w:rPr>
          <w:rFonts w:ascii="Arial" w:cs="Arial" w:eastAsia="Arial" w:hAnsi="Arial"/>
          <w:sz w:val="18"/>
          <w:szCs w:val="18"/>
          <w:color w:val="0000FF"/>
        </w:rPr>
      </w:pPr>
      <w:hyperlink r:id="rId40">
        <w:r>
          <w:rPr>
            <w:rFonts w:ascii="Arial" w:cs="Arial" w:eastAsia="Arial" w:hAnsi="Arial"/>
            <w:sz w:val="18"/>
            <w:szCs w:val="18"/>
            <w:u w:val="single" w:color="auto"/>
            <w:color w:val="0000FF"/>
          </w:rPr>
          <w:t>10.4</w:t>
        </w:r>
      </w:hyperlink>
      <w:r>
        <w:rPr>
          <w:rFonts w:ascii="Arial" w:cs="Arial" w:eastAsia="Arial" w:hAnsi="Arial"/>
          <w:sz w:val="18"/>
          <w:szCs w:val="18"/>
          <w:color w:val="0000FF"/>
        </w:rPr>
        <w:tab/>
        <w:t>Amended and Restated Rights Agreement dated October 18, 2007 between Registrant and American Stock Transfer &amp; Trust Company as Rights Agent. Filed as an Exhibit to Registrant's Registration Statement on Form 8-A/A dated October 18, 2007, and incorporated herein by reference.</w:t>
      </w:r>
    </w:p>
    <w:p>
      <w:pPr>
        <w:spacing w:after="0" w:line="316" w:lineRule="exact"/>
        <w:rPr>
          <w:sz w:val="20"/>
          <w:szCs w:val="20"/>
          <w:color w:val="auto"/>
        </w:rPr>
      </w:pPr>
    </w:p>
    <w:p>
      <w:pPr>
        <w:ind w:left="920" w:right="700" w:hanging="827"/>
        <w:spacing w:after="0" w:line="308" w:lineRule="auto"/>
        <w:tabs>
          <w:tab w:leader="none" w:pos="900" w:val="left"/>
        </w:tabs>
        <w:rPr>
          <w:rFonts w:ascii="Arial" w:cs="Arial" w:eastAsia="Arial" w:hAnsi="Arial"/>
          <w:sz w:val="18"/>
          <w:szCs w:val="18"/>
          <w:color w:val="0000FF"/>
        </w:rPr>
      </w:pPr>
      <w:hyperlink r:id="rId41">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7"/>
          <w:szCs w:val="17"/>
          <w:color w:val="0000FF"/>
        </w:rPr>
        <w:t>SafeLine Agreement effective October 1, 1997 by and between Registrant and B. Braun Medical, Inc. Filed as an Exhibit to Registrant's Current Report on Form 8-K filed June 18, 1998, and incorporated herein by reference.</w:t>
      </w:r>
    </w:p>
    <w:p>
      <w:pPr>
        <w:spacing w:after="0" w:line="255" w:lineRule="exact"/>
        <w:rPr>
          <w:sz w:val="20"/>
          <w:szCs w:val="20"/>
          <w:color w:val="auto"/>
        </w:rPr>
      </w:pPr>
    </w:p>
    <w:p>
      <w:pPr>
        <w:ind w:left="920" w:right="300" w:hanging="827"/>
        <w:spacing w:after="0" w:line="264" w:lineRule="auto"/>
        <w:tabs>
          <w:tab w:leader="none" w:pos="900" w:val="left"/>
        </w:tabs>
        <w:rPr>
          <w:rFonts w:ascii="Arial" w:cs="Arial" w:eastAsia="Arial" w:hAnsi="Arial"/>
          <w:sz w:val="18"/>
          <w:szCs w:val="18"/>
          <w:color w:val="0000FF"/>
        </w:rPr>
      </w:pPr>
      <w:hyperlink r:id="rId42">
        <w:r>
          <w:rPr>
            <w:rFonts w:ascii="Arial" w:cs="Arial" w:eastAsia="Arial" w:hAnsi="Arial"/>
            <w:sz w:val="18"/>
            <w:szCs w:val="18"/>
            <w:u w:val="single" w:color="auto"/>
            <w:color w:val="0000FF"/>
          </w:rPr>
          <w:t>10.6</w:t>
        </w:r>
      </w:hyperlink>
      <w:r>
        <w:rPr>
          <w:rFonts w:ascii="Arial" w:cs="Arial" w:eastAsia="Arial" w:hAnsi="Arial"/>
          <w:sz w:val="18"/>
          <w:szCs w:val="18"/>
          <w:color w:val="0000FF"/>
        </w:rPr>
        <w:tab/>
        <w:t>Amendment to April 3, 1995 Supply and Distribution Agreement, dated January 1, 1999, between Registrant and Abbott Laboratories. Filed as an Exhibit to Registrant's Current Report on Form 8-K filed February 23, 1999, and incorporated herein by reference.</w:t>
      </w:r>
    </w:p>
    <w:p>
      <w:pPr>
        <w:spacing w:after="0" w:line="289" w:lineRule="exact"/>
        <w:rPr>
          <w:sz w:val="20"/>
          <w:szCs w:val="20"/>
          <w:color w:val="auto"/>
        </w:rPr>
      </w:pPr>
    </w:p>
    <w:p>
      <w:pPr>
        <w:ind w:left="920" w:right="560" w:hanging="827"/>
        <w:spacing w:after="0" w:line="308" w:lineRule="auto"/>
        <w:tabs>
          <w:tab w:leader="none" w:pos="900" w:val="left"/>
        </w:tabs>
        <w:rPr>
          <w:rFonts w:ascii="Arial" w:cs="Arial" w:eastAsia="Arial" w:hAnsi="Arial"/>
          <w:sz w:val="18"/>
          <w:szCs w:val="18"/>
          <w:color w:val="0000FF"/>
        </w:rPr>
      </w:pPr>
      <w:hyperlink r:id="rId43">
        <w:r>
          <w:rPr>
            <w:rFonts w:ascii="Arial" w:cs="Arial" w:eastAsia="Arial" w:hAnsi="Arial"/>
            <w:sz w:val="18"/>
            <w:szCs w:val="18"/>
            <w:u w:val="single" w:color="auto"/>
            <w:color w:val="0000FF"/>
          </w:rPr>
          <w:t>10.7</w:t>
        </w:r>
      </w:hyperlink>
      <w:r>
        <w:rPr>
          <w:rFonts w:ascii="Arial" w:cs="Arial" w:eastAsia="Arial" w:hAnsi="Arial"/>
          <w:sz w:val="18"/>
          <w:szCs w:val="18"/>
          <w:color w:val="0000FF"/>
        </w:rPr>
        <w:tab/>
      </w:r>
      <w:r>
        <w:rPr>
          <w:rFonts w:ascii="Arial" w:cs="Arial" w:eastAsia="Arial" w:hAnsi="Arial"/>
          <w:sz w:val="17"/>
          <w:szCs w:val="17"/>
          <w:color w:val="0000FF"/>
        </w:rPr>
        <w:t>Co-Promotion and Distribution Agreement, dated February 27, 2001 between Registrant and Abbott Laboratories. Filed as an Exhibit to Registrant's Current Report on Form 8-K filed March 7, 2001, and incorporated herein by reference.</w:t>
      </w:r>
    </w:p>
    <w:p>
      <w:pPr>
        <w:spacing w:after="0" w:line="255" w:lineRule="exact"/>
        <w:rPr>
          <w:sz w:val="20"/>
          <w:szCs w:val="20"/>
          <w:color w:val="auto"/>
        </w:rPr>
      </w:pPr>
    </w:p>
    <w:p>
      <w:pPr>
        <w:ind w:left="920" w:right="440" w:hanging="827"/>
        <w:spacing w:after="0" w:line="277" w:lineRule="auto"/>
        <w:tabs>
          <w:tab w:leader="none" w:pos="90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10.8</w:t>
        </w:r>
      </w:hyperlink>
      <w:r>
        <w:rPr>
          <w:rFonts w:ascii="Arial" w:cs="Arial" w:eastAsia="Arial" w:hAnsi="Arial"/>
          <w:sz w:val="18"/>
          <w:szCs w:val="18"/>
          <w:color w:val="0000FF"/>
        </w:rPr>
        <w:tab/>
        <w:t>Registrant's 2001 Directors' Stock Option Plan.* Filed as an Exhibit to Registrant's definitive Proxy Statement filed pursuant to Regulation 14A on April 3, 2002, and incorporated herein by reference.</w:t>
      </w:r>
    </w:p>
    <w:p>
      <w:pPr>
        <w:spacing w:after="0" w:line="279" w:lineRule="exact"/>
        <w:rPr>
          <w:sz w:val="20"/>
          <w:szCs w:val="20"/>
          <w:color w:val="auto"/>
        </w:rPr>
      </w:pPr>
    </w:p>
    <w:p>
      <w:pPr>
        <w:ind w:left="920" w:right="260" w:hanging="827"/>
        <w:spacing w:after="0" w:line="277" w:lineRule="auto"/>
        <w:tabs>
          <w:tab w:leader="none" w:pos="900" w:val="left"/>
        </w:tabs>
        <w:rPr>
          <w:rFonts w:ascii="Arial" w:cs="Arial" w:eastAsia="Arial" w:hAnsi="Arial"/>
          <w:sz w:val="18"/>
          <w:szCs w:val="18"/>
          <w:color w:val="0000FF"/>
        </w:rPr>
      </w:pPr>
      <w:hyperlink r:id="rId44">
        <w:r>
          <w:rPr>
            <w:rFonts w:ascii="Arial" w:cs="Arial" w:eastAsia="Arial" w:hAnsi="Arial"/>
            <w:sz w:val="18"/>
            <w:szCs w:val="18"/>
            <w:u w:val="single" w:color="auto"/>
            <w:color w:val="0000FF"/>
          </w:rPr>
          <w:t>10.9</w:t>
        </w:r>
      </w:hyperlink>
      <w:r>
        <w:rPr>
          <w:rFonts w:ascii="Arial" w:cs="Arial" w:eastAsia="Arial" w:hAnsi="Arial"/>
          <w:sz w:val="18"/>
          <w:szCs w:val="18"/>
          <w:color w:val="0000FF"/>
        </w:rPr>
        <w:tab/>
        <w:t>Registrant's 2002 Employee Stock Purchase Plan.* Filed as an Exhibit to Registrant's definitive Proxy Statement filed pursuant to Regulation 14A on April 3, 2002, and incorporated herein by reference.</w:t>
      </w:r>
    </w:p>
    <w:p>
      <w:pPr>
        <w:spacing w:after="0" w:line="279" w:lineRule="exact"/>
        <w:rPr>
          <w:sz w:val="20"/>
          <w:szCs w:val="20"/>
          <w:color w:val="auto"/>
        </w:rPr>
      </w:pPr>
    </w:p>
    <w:p>
      <w:pPr>
        <w:ind w:left="920" w:hanging="917"/>
        <w:spacing w:after="0" w:line="277" w:lineRule="auto"/>
        <w:tabs>
          <w:tab w:leader="none" w:pos="900" w:val="left"/>
        </w:tabs>
        <w:rPr>
          <w:rFonts w:ascii="Arial" w:cs="Arial" w:eastAsia="Arial" w:hAnsi="Arial"/>
          <w:sz w:val="18"/>
          <w:szCs w:val="18"/>
          <w:color w:val="0000FF"/>
        </w:rPr>
      </w:pPr>
      <w:hyperlink r:id="rId45">
        <w:r>
          <w:rPr>
            <w:rFonts w:ascii="Arial" w:cs="Arial" w:eastAsia="Arial" w:hAnsi="Arial"/>
            <w:sz w:val="18"/>
            <w:szCs w:val="18"/>
            <w:u w:val="single" w:color="auto"/>
            <w:color w:val="0000FF"/>
          </w:rPr>
          <w:t>10.10</w:t>
        </w:r>
      </w:hyperlink>
      <w:r>
        <w:rPr>
          <w:rFonts w:ascii="Arial" w:cs="Arial" w:eastAsia="Arial" w:hAnsi="Arial"/>
          <w:sz w:val="18"/>
          <w:szCs w:val="18"/>
          <w:color w:val="0000FF"/>
        </w:rPr>
        <w:tab/>
        <w:t>Registrant's 2003 Stock Option Plan.* Filed as an Exhibit to Registrant's definitive Proxy Statement filed pursuant to Regulation 14A on April 25, 2003, and incorporated herein by reference.</w:t>
      </w:r>
    </w:p>
    <w:p>
      <w:pPr>
        <w:spacing w:after="0" w:line="279" w:lineRule="exact"/>
        <w:rPr>
          <w:sz w:val="20"/>
          <w:szCs w:val="20"/>
          <w:color w:val="auto"/>
        </w:rPr>
      </w:pPr>
    </w:p>
    <w:p>
      <w:pPr>
        <w:ind w:left="920" w:right="320" w:hanging="910"/>
        <w:spacing w:after="0" w:line="264" w:lineRule="auto"/>
        <w:tabs>
          <w:tab w:leader="none" w:pos="900" w:val="left"/>
        </w:tabs>
        <w:rPr>
          <w:rFonts w:ascii="Arial" w:cs="Arial" w:eastAsia="Arial" w:hAnsi="Arial"/>
          <w:sz w:val="18"/>
          <w:szCs w:val="18"/>
          <w:color w:val="0000FF"/>
        </w:rPr>
      </w:pPr>
      <w:hyperlink r:id="rId46">
        <w:r>
          <w:rPr>
            <w:rFonts w:ascii="Arial" w:cs="Arial" w:eastAsia="Arial" w:hAnsi="Arial"/>
            <w:sz w:val="18"/>
            <w:szCs w:val="18"/>
            <w:u w:val="single" w:color="auto"/>
            <w:color w:val="0000FF"/>
          </w:rPr>
          <w:t>10.11</w:t>
        </w:r>
      </w:hyperlink>
      <w:r>
        <w:rPr>
          <w:rFonts w:ascii="Arial" w:cs="Arial" w:eastAsia="Arial" w:hAnsi="Arial"/>
          <w:sz w:val="18"/>
          <w:szCs w:val="18"/>
          <w:color w:val="0000FF"/>
        </w:rPr>
        <w:tab/>
        <w:t>Amendment to April 3, 1995 Supply and Distribution Agreement, dated as of January 14, 2004, between Registrant and Abbott Laboratories. Filed as an Exhibit to Registrant's Current Report on Form 8-K dated January 15, 2004, and incorporated herein by reference.</w:t>
      </w:r>
    </w:p>
    <w:p>
      <w:pPr>
        <w:spacing w:after="0" w:line="289" w:lineRule="exact"/>
        <w:rPr>
          <w:sz w:val="20"/>
          <w:szCs w:val="20"/>
          <w:color w:val="auto"/>
        </w:rPr>
      </w:pPr>
    </w:p>
    <w:p>
      <w:pPr>
        <w:jc w:val="both"/>
        <w:ind w:left="920" w:hanging="917"/>
        <w:spacing w:after="0" w:line="264" w:lineRule="auto"/>
        <w:tabs>
          <w:tab w:leader="none" w:pos="900" w:val="left"/>
        </w:tabs>
        <w:rPr>
          <w:rFonts w:ascii="Arial" w:cs="Arial" w:eastAsia="Arial" w:hAnsi="Arial"/>
          <w:sz w:val="18"/>
          <w:szCs w:val="18"/>
          <w:color w:val="0000FF"/>
        </w:rPr>
      </w:pPr>
      <w:hyperlink r:id="rId47">
        <w:r>
          <w:rPr>
            <w:rFonts w:ascii="Arial" w:cs="Arial" w:eastAsia="Arial" w:hAnsi="Arial"/>
            <w:sz w:val="18"/>
            <w:szCs w:val="18"/>
            <w:u w:val="single" w:color="auto"/>
            <w:color w:val="0000FF"/>
          </w:rPr>
          <w:t>10.12</w:t>
        </w:r>
      </w:hyperlink>
      <w:r>
        <w:rPr>
          <w:rFonts w:ascii="Arial" w:cs="Arial" w:eastAsia="Arial" w:hAnsi="Arial"/>
          <w:sz w:val="18"/>
          <w:szCs w:val="18"/>
          <w:color w:val="0000FF"/>
        </w:rPr>
        <w:tab/>
        <w:t>Amendment to February 27, 2001 Co-Promotion and Distribution Agreement, dated as of January 14, 2004, between Registrant and Abbott Laboratories. Filed as an Exhibit to Registrant's Current Report on Form 8-K dated January 15, 2004, and incorporated herein by reference.</w:t>
      </w:r>
    </w:p>
    <w:p>
      <w:pPr>
        <w:spacing w:after="0" w:line="289" w:lineRule="exact"/>
        <w:rPr>
          <w:sz w:val="20"/>
          <w:szCs w:val="20"/>
          <w:color w:val="auto"/>
        </w:rPr>
      </w:pPr>
    </w:p>
    <w:p>
      <w:pPr>
        <w:jc w:val="both"/>
        <w:ind w:left="920" w:right="100" w:hanging="917"/>
        <w:spacing w:after="0" w:line="264" w:lineRule="auto"/>
        <w:tabs>
          <w:tab w:leader="none" w:pos="900" w:val="left"/>
        </w:tabs>
        <w:rPr>
          <w:rFonts w:ascii="Arial" w:cs="Arial" w:eastAsia="Arial" w:hAnsi="Arial"/>
          <w:sz w:val="18"/>
          <w:szCs w:val="18"/>
          <w:color w:val="0000FF"/>
        </w:rPr>
      </w:pPr>
      <w:hyperlink r:id="rId48">
        <w:r>
          <w:rPr>
            <w:rFonts w:ascii="Arial" w:cs="Arial" w:eastAsia="Arial" w:hAnsi="Arial"/>
            <w:sz w:val="18"/>
            <w:szCs w:val="18"/>
            <w:u w:val="single" w:color="auto"/>
            <w:color w:val="0000FF"/>
          </w:rPr>
          <w:t>10.13</w:t>
        </w:r>
      </w:hyperlink>
      <w:r>
        <w:rPr>
          <w:rFonts w:ascii="Arial" w:cs="Arial" w:eastAsia="Arial" w:hAnsi="Arial"/>
          <w:sz w:val="18"/>
          <w:szCs w:val="18"/>
          <w:color w:val="0000FF"/>
        </w:rPr>
        <w:tab/>
        <w:t>Settlement and Release Agreement dated as of January 2, 2007 between ICU Medical, Inc. and Fulwider Patton Lee &amp; Utecht, LLP. Filed as an Exhibit to Registrant's Annual Report on Form 10-K for the year ended December 31, 2006, and incorporated herein by reference.</w:t>
      </w:r>
    </w:p>
    <w:p>
      <w:pPr>
        <w:spacing w:after="0" w:line="289"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99">
        <w:r>
          <w:rPr>
            <w:rFonts w:ascii="Arial" w:cs="Arial" w:eastAsia="Arial" w:hAnsi="Arial"/>
            <w:sz w:val="18"/>
            <w:szCs w:val="18"/>
            <w:u w:val="single" w:color="auto"/>
            <w:color w:val="0000FF"/>
          </w:rPr>
          <w:t>10.14</w:t>
        </w:r>
      </w:hyperlink>
      <w:r>
        <w:rPr>
          <w:rFonts w:ascii="Arial" w:cs="Arial" w:eastAsia="Arial" w:hAnsi="Arial"/>
          <w:sz w:val="18"/>
          <w:szCs w:val="18"/>
          <w:color w:val="0000FF"/>
        </w:rPr>
        <w:tab/>
      </w:r>
      <w:r>
        <w:rPr>
          <w:rFonts w:ascii="Arial" w:cs="Arial" w:eastAsia="Arial" w:hAnsi="Arial"/>
          <w:sz w:val="16"/>
          <w:szCs w:val="16"/>
          <w:color w:val="0000FF"/>
        </w:rPr>
        <w:t>Executive officer compensation*</w:t>
      </w:r>
    </w:p>
    <w:p>
      <w:pPr>
        <w:spacing w:after="0" w:line="333" w:lineRule="exact"/>
        <w:rPr>
          <w:sz w:val="20"/>
          <w:szCs w:val="20"/>
          <w:color w:val="auto"/>
        </w:rPr>
      </w:pPr>
    </w:p>
    <w:p>
      <w:pPr>
        <w:spacing w:after="0"/>
        <w:tabs>
          <w:tab w:leader="none" w:pos="900" w:val="left"/>
        </w:tabs>
        <w:rPr>
          <w:rFonts w:ascii="Arial" w:cs="Arial" w:eastAsia="Arial" w:hAnsi="Arial"/>
          <w:sz w:val="18"/>
          <w:szCs w:val="18"/>
          <w:color w:val="0000FF"/>
        </w:rPr>
      </w:pPr>
      <w:hyperlink w:anchor="page100">
        <w:r>
          <w:rPr>
            <w:rFonts w:ascii="Arial" w:cs="Arial" w:eastAsia="Arial" w:hAnsi="Arial"/>
            <w:sz w:val="18"/>
            <w:szCs w:val="18"/>
            <w:u w:val="single" w:color="auto"/>
            <w:color w:val="0000FF"/>
          </w:rPr>
          <w:t>10.15</w:t>
        </w:r>
      </w:hyperlink>
      <w:r>
        <w:rPr>
          <w:rFonts w:ascii="Arial" w:cs="Arial" w:eastAsia="Arial" w:hAnsi="Arial"/>
          <w:sz w:val="18"/>
          <w:szCs w:val="18"/>
          <w:color w:val="0000FF"/>
        </w:rPr>
        <w:tab/>
      </w:r>
      <w:r>
        <w:rPr>
          <w:rFonts w:ascii="Arial" w:cs="Arial" w:eastAsia="Arial" w:hAnsi="Arial"/>
          <w:sz w:val="16"/>
          <w:szCs w:val="16"/>
          <w:color w:val="0000FF"/>
        </w:rPr>
        <w:t>Non-employee director compensation*</w:t>
      </w:r>
    </w:p>
    <w:p>
      <w:pPr>
        <w:spacing w:after="0" w:line="360" w:lineRule="exact"/>
        <w:rPr>
          <w:sz w:val="20"/>
          <w:szCs w:val="20"/>
          <w:color w:val="auto"/>
        </w:rPr>
      </w:pPr>
    </w:p>
    <w:p>
      <w:pPr>
        <w:ind w:left="920" w:right="320" w:hanging="917"/>
        <w:spacing w:after="0" w:line="277" w:lineRule="auto"/>
        <w:tabs>
          <w:tab w:leader="none" w:pos="900" w:val="left"/>
        </w:tabs>
        <w:rPr>
          <w:rFonts w:ascii="Arial" w:cs="Arial" w:eastAsia="Arial" w:hAnsi="Arial"/>
          <w:sz w:val="18"/>
          <w:szCs w:val="18"/>
          <w:color w:val="0000FF"/>
        </w:rPr>
      </w:pPr>
      <w:hyperlink r:id="rId49">
        <w:r>
          <w:rPr>
            <w:rFonts w:ascii="Arial" w:cs="Arial" w:eastAsia="Arial" w:hAnsi="Arial"/>
            <w:sz w:val="18"/>
            <w:szCs w:val="18"/>
            <w:u w:val="single" w:color="auto"/>
            <w:color w:val="0000FF"/>
          </w:rPr>
          <w:t>10.16</w:t>
        </w:r>
      </w:hyperlink>
      <w:r>
        <w:rPr>
          <w:rFonts w:ascii="Arial" w:cs="Arial" w:eastAsia="Arial" w:hAnsi="Arial"/>
          <w:sz w:val="18"/>
          <w:szCs w:val="18"/>
          <w:color w:val="0000FF"/>
        </w:rPr>
        <w:tab/>
        <w:t>2008 Performance-Based Incentive Plan, as amended.* Filed as Annex A to Registrant's proxy statement filed April 3, 2013, and incorporated herein by reference.</w:t>
      </w:r>
    </w:p>
    <w:p>
      <w:pPr>
        <w:spacing w:after="0" w:line="279" w:lineRule="exact"/>
        <w:rPr>
          <w:sz w:val="20"/>
          <w:szCs w:val="20"/>
          <w:color w:val="auto"/>
        </w:rPr>
      </w:pPr>
    </w:p>
    <w:p>
      <w:pPr>
        <w:ind w:left="920" w:right="100" w:hanging="917"/>
        <w:spacing w:after="0" w:line="277" w:lineRule="auto"/>
        <w:tabs>
          <w:tab w:leader="none" w:pos="900" w:val="left"/>
        </w:tabs>
        <w:rPr>
          <w:rFonts w:ascii="Arial" w:cs="Arial" w:eastAsia="Arial" w:hAnsi="Arial"/>
          <w:sz w:val="18"/>
          <w:szCs w:val="18"/>
          <w:color w:val="0000FF"/>
        </w:rPr>
      </w:pPr>
      <w:hyperlink r:id="rId50">
        <w:r>
          <w:rPr>
            <w:rFonts w:ascii="Arial" w:cs="Arial" w:eastAsia="Arial" w:hAnsi="Arial"/>
            <w:sz w:val="18"/>
            <w:szCs w:val="18"/>
            <w:u w:val="single" w:color="auto"/>
            <w:color w:val="0000FF"/>
          </w:rPr>
          <w:t>10.17</w:t>
        </w:r>
      </w:hyperlink>
      <w:r>
        <w:rPr>
          <w:rFonts w:ascii="Arial" w:cs="Arial" w:eastAsia="Arial" w:hAnsi="Arial"/>
          <w:sz w:val="18"/>
          <w:szCs w:val="18"/>
          <w:color w:val="0000FF"/>
        </w:rPr>
        <w:tab/>
        <w:t>Amendment No. 1 to 2001 Directors' Stock Option Plan.* Filed as an Exhibit to Registrant's Quarterly Report on Form 10-Q for the Quarter ended September 30, 2009, and incorporated herein by reference.</w:t>
      </w:r>
    </w:p>
    <w:p>
      <w:pPr>
        <w:spacing w:after="0" w:line="279" w:lineRule="exact"/>
        <w:rPr>
          <w:sz w:val="20"/>
          <w:szCs w:val="20"/>
          <w:color w:val="auto"/>
        </w:rPr>
      </w:pPr>
    </w:p>
    <w:p>
      <w:pPr>
        <w:ind w:left="920" w:right="100" w:hanging="917"/>
        <w:spacing w:after="0" w:line="277" w:lineRule="auto"/>
        <w:tabs>
          <w:tab w:leader="none" w:pos="900" w:val="left"/>
        </w:tabs>
        <w:rPr>
          <w:rFonts w:ascii="Arial" w:cs="Arial" w:eastAsia="Arial" w:hAnsi="Arial"/>
          <w:sz w:val="18"/>
          <w:szCs w:val="18"/>
          <w:color w:val="0000FF"/>
        </w:rPr>
      </w:pPr>
      <w:hyperlink r:id="rId51">
        <w:r>
          <w:rPr>
            <w:rFonts w:ascii="Arial" w:cs="Arial" w:eastAsia="Arial" w:hAnsi="Arial"/>
            <w:sz w:val="18"/>
            <w:szCs w:val="18"/>
            <w:u w:val="single" w:color="auto"/>
            <w:color w:val="0000FF"/>
          </w:rPr>
          <w:t>10.18</w:t>
        </w:r>
      </w:hyperlink>
      <w:r>
        <w:rPr>
          <w:rFonts w:ascii="Arial" w:cs="Arial" w:eastAsia="Arial" w:hAnsi="Arial"/>
          <w:sz w:val="18"/>
          <w:szCs w:val="18"/>
          <w:color w:val="0000FF"/>
        </w:rPr>
        <w:tab/>
        <w:t>Amendment No. 2 to 2001 Directors' Stock Option Plan.* Filed as an Exhibit to Registrant's Quarterly Report on Form 10-Q for the Quarter ended September 30, 2009, and incorporated herein by reference.</w:t>
      </w:r>
    </w:p>
    <w:p>
      <w:pPr>
        <w:spacing w:after="0" w:line="279" w:lineRule="exact"/>
        <w:rPr>
          <w:sz w:val="20"/>
          <w:szCs w:val="20"/>
          <w:color w:val="auto"/>
        </w:rPr>
      </w:pPr>
    </w:p>
    <w:p>
      <w:pPr>
        <w:ind w:left="920" w:right="100" w:hanging="917"/>
        <w:spacing w:after="0" w:line="277" w:lineRule="auto"/>
        <w:tabs>
          <w:tab w:leader="none" w:pos="900" w:val="left"/>
        </w:tabs>
        <w:rPr>
          <w:rFonts w:ascii="Arial" w:cs="Arial" w:eastAsia="Arial" w:hAnsi="Arial"/>
          <w:sz w:val="18"/>
          <w:szCs w:val="18"/>
          <w:color w:val="0000FF"/>
        </w:rPr>
      </w:pPr>
      <w:hyperlink r:id="rId52">
        <w:r>
          <w:rPr>
            <w:rFonts w:ascii="Arial" w:cs="Arial" w:eastAsia="Arial" w:hAnsi="Arial"/>
            <w:sz w:val="18"/>
            <w:szCs w:val="18"/>
            <w:u w:val="single" w:color="auto"/>
            <w:color w:val="0000FF"/>
          </w:rPr>
          <w:t>10.19</w:t>
        </w:r>
      </w:hyperlink>
      <w:r>
        <w:rPr>
          <w:rFonts w:ascii="Arial" w:cs="Arial" w:eastAsia="Arial" w:hAnsi="Arial"/>
          <w:sz w:val="18"/>
          <w:szCs w:val="18"/>
          <w:color w:val="0000FF"/>
        </w:rPr>
        <w:tab/>
        <w:t>Amendment No. 3 to 2001 Directors' Stock Option Plan.* Filed as an Exhibit to Registrant's Quarterly Report on Form 10-Q for the Quarter ended September 30, 2009, and incorporated herein by reference.</w:t>
      </w:r>
    </w:p>
    <w:p>
      <w:pPr>
        <w:spacing w:after="0" w:line="200" w:lineRule="exact"/>
        <w:rPr>
          <w:sz w:val="20"/>
          <w:szCs w:val="20"/>
          <w:color w:val="auto"/>
        </w:rPr>
      </w:pPr>
    </w:p>
    <w:p>
      <w:pPr>
        <w:spacing w:after="0" w:line="29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520"/>
          </w:cols>
          <w:pgMar w:left="1080" w:top="827" w:right="299" w:bottom="1440" w:gutter="0" w:footer="0" w:header="0"/>
        </w:sectPr>
      </w:pPr>
    </w:p>
    <w:bookmarkStart w:id="94" w:name="page95"/>
    <w:bookmarkEnd w:id="94"/>
    <w:p>
      <w:pPr>
        <w:ind w:left="840" w:right="180" w:hanging="917"/>
        <w:spacing w:after="0" w:line="277" w:lineRule="auto"/>
        <w:tabs>
          <w:tab w:leader="none" w:pos="820" w:val="left"/>
        </w:tabs>
        <w:rPr>
          <w:rFonts w:ascii="Arial" w:cs="Arial" w:eastAsia="Arial" w:hAnsi="Arial"/>
          <w:sz w:val="18"/>
          <w:szCs w:val="18"/>
          <w:color w:val="0000FF"/>
        </w:rPr>
      </w:pPr>
      <w:hyperlink r:id="rId53">
        <w:r>
          <w:rPr>
            <w:rFonts w:ascii="Arial" w:cs="Arial" w:eastAsia="Arial" w:hAnsi="Arial"/>
            <w:sz w:val="18"/>
            <w:szCs w:val="18"/>
            <w:u w:val="single" w:color="auto"/>
            <w:color w:val="0000FF"/>
          </w:rPr>
          <w:t>10.20</w:t>
        </w:r>
      </w:hyperlink>
      <w:r>
        <w:rPr>
          <w:rFonts w:ascii="Arial" w:cs="Arial" w:eastAsia="Arial" w:hAnsi="Arial"/>
          <w:sz w:val="18"/>
          <w:szCs w:val="18"/>
          <w:color w:val="0000FF"/>
        </w:rPr>
        <w:tab/>
        <w:t>ICU Medical, Inc. Amended 2011 Stock Incentive Plan.* Filed as an Exhibit to Registrant's Quarterly Report on Form 10-Q for the Quarter ended June 30, 2012, and incorporated herein by reference.</w:t>
      </w:r>
    </w:p>
    <w:p>
      <w:pPr>
        <w:spacing w:after="0" w:line="200" w:lineRule="exact"/>
        <w:rPr>
          <w:sz w:val="20"/>
          <w:szCs w:val="20"/>
          <w:color w:val="auto"/>
        </w:rPr>
      </w:pPr>
    </w:p>
    <w:p>
      <w:pPr>
        <w:spacing w:after="0" w:line="322" w:lineRule="exact"/>
        <w:rPr>
          <w:sz w:val="20"/>
          <w:szCs w:val="20"/>
          <w:color w:val="auto"/>
        </w:rPr>
      </w:pPr>
    </w:p>
    <w:p>
      <w:pPr>
        <w:ind w:left="840" w:right="60" w:hanging="917"/>
        <w:spacing w:after="0" w:line="277" w:lineRule="auto"/>
        <w:tabs>
          <w:tab w:leader="none" w:pos="820" w:val="left"/>
        </w:tabs>
        <w:rPr>
          <w:rFonts w:ascii="Arial" w:cs="Arial" w:eastAsia="Arial" w:hAnsi="Arial"/>
          <w:sz w:val="18"/>
          <w:szCs w:val="18"/>
          <w:color w:val="0000FF"/>
        </w:rPr>
      </w:pPr>
      <w:hyperlink r:id="rId54">
        <w:r>
          <w:rPr>
            <w:rFonts w:ascii="Arial" w:cs="Arial" w:eastAsia="Arial" w:hAnsi="Arial"/>
            <w:sz w:val="18"/>
            <w:szCs w:val="18"/>
            <w:u w:val="single" w:color="auto"/>
            <w:color w:val="0000FF"/>
          </w:rPr>
          <w:t>10.21</w:t>
        </w:r>
      </w:hyperlink>
      <w:r>
        <w:rPr>
          <w:rFonts w:ascii="Arial" w:cs="Arial" w:eastAsia="Arial" w:hAnsi="Arial"/>
          <w:sz w:val="18"/>
          <w:szCs w:val="18"/>
          <w:color w:val="0000FF"/>
        </w:rPr>
        <w:tab/>
        <w:t>2014 Inducement Stock Incentive Plan.* Filed as an Exhibit to Registrant's Current Report on Form 8-K filed February 26, 2014 and incorporated herein by reference.</w:t>
      </w:r>
    </w:p>
    <w:p>
      <w:pPr>
        <w:spacing w:after="0" w:line="306" w:lineRule="exact"/>
        <w:rPr>
          <w:sz w:val="20"/>
          <w:szCs w:val="20"/>
          <w:color w:val="auto"/>
        </w:rPr>
      </w:pPr>
    </w:p>
    <w:p>
      <w:pPr>
        <w:ind w:left="840" w:right="300" w:hanging="917"/>
        <w:spacing w:after="0" w:line="308" w:lineRule="auto"/>
        <w:tabs>
          <w:tab w:leader="none" w:pos="820" w:val="left"/>
        </w:tabs>
        <w:rPr>
          <w:rFonts w:ascii="Arial" w:cs="Arial" w:eastAsia="Arial" w:hAnsi="Arial"/>
          <w:sz w:val="18"/>
          <w:szCs w:val="18"/>
          <w:color w:val="0000FF"/>
        </w:rPr>
      </w:pPr>
      <w:hyperlink r:id="rId55">
        <w:r>
          <w:rPr>
            <w:rFonts w:ascii="Arial" w:cs="Arial" w:eastAsia="Arial" w:hAnsi="Arial"/>
            <w:sz w:val="18"/>
            <w:szCs w:val="18"/>
            <w:u w:val="single" w:color="auto"/>
            <w:color w:val="0000FF"/>
          </w:rPr>
          <w:t>10.22</w:t>
        </w:r>
      </w:hyperlink>
      <w:r>
        <w:rPr>
          <w:rFonts w:ascii="Arial" w:cs="Arial" w:eastAsia="Arial" w:hAnsi="Arial"/>
          <w:sz w:val="18"/>
          <w:szCs w:val="18"/>
          <w:color w:val="0000FF"/>
        </w:rPr>
        <w:tab/>
      </w:r>
      <w:r>
        <w:rPr>
          <w:rFonts w:ascii="Arial" w:cs="Arial" w:eastAsia="Arial" w:hAnsi="Arial"/>
          <w:sz w:val="17"/>
          <w:szCs w:val="17"/>
          <w:color w:val="0000FF"/>
        </w:rPr>
        <w:t>Executive Employment Agreement, dated as of February 7, 2014, by and between ICU Medical, Inc. and Vivek Jain.* Filed as an Exhibit to Registrant's Current Report on Form 8-K filed February 12, 2014, and incorporated herein by reference.</w:t>
      </w:r>
    </w:p>
    <w:p>
      <w:pPr>
        <w:spacing w:after="0" w:line="282" w:lineRule="exact"/>
        <w:rPr>
          <w:sz w:val="20"/>
          <w:szCs w:val="20"/>
          <w:color w:val="auto"/>
        </w:rPr>
      </w:pPr>
    </w:p>
    <w:p>
      <w:pPr>
        <w:ind w:left="840" w:right="80" w:hanging="917"/>
        <w:spacing w:after="0" w:line="342" w:lineRule="auto"/>
        <w:tabs>
          <w:tab w:leader="none" w:pos="820" w:val="left"/>
        </w:tabs>
        <w:rPr>
          <w:rFonts w:ascii="Arial" w:cs="Arial" w:eastAsia="Arial" w:hAnsi="Arial"/>
          <w:sz w:val="18"/>
          <w:szCs w:val="18"/>
          <w:color w:val="0000FF"/>
        </w:rPr>
      </w:pPr>
      <w:hyperlink r:id="rId56">
        <w:r>
          <w:rPr>
            <w:rFonts w:ascii="Arial" w:cs="Arial" w:eastAsia="Arial" w:hAnsi="Arial"/>
            <w:sz w:val="18"/>
            <w:szCs w:val="18"/>
            <w:u w:val="single" w:color="auto"/>
            <w:color w:val="0000FF"/>
          </w:rPr>
          <w:t>10.23</w:t>
        </w:r>
      </w:hyperlink>
      <w:r>
        <w:rPr>
          <w:rFonts w:ascii="Arial" w:cs="Arial" w:eastAsia="Arial" w:hAnsi="Arial"/>
          <w:sz w:val="18"/>
          <w:szCs w:val="18"/>
          <w:color w:val="0000FF"/>
        </w:rPr>
        <w:tab/>
      </w:r>
      <w:r>
        <w:rPr>
          <w:rFonts w:ascii="Arial" w:cs="Arial" w:eastAsia="Arial" w:hAnsi="Arial"/>
          <w:sz w:val="16"/>
          <w:szCs w:val="16"/>
          <w:color w:val="0000FF"/>
        </w:rPr>
        <w:t>Amendment to Executive Employment Agreement, dated as of February 12, 2014, by and between ICU Medical, Inc. and Vivek Jain.* Filed as an Exhibit to Registrant's Current Report on Form 8-K filed February 12, 2014, and incorporated herein by reference.</w:t>
      </w:r>
    </w:p>
    <w:p>
      <w:pPr>
        <w:spacing w:after="0" w:line="259" w:lineRule="exact"/>
        <w:rPr>
          <w:sz w:val="20"/>
          <w:szCs w:val="20"/>
          <w:color w:val="auto"/>
        </w:rPr>
      </w:pPr>
    </w:p>
    <w:p>
      <w:pPr>
        <w:ind w:left="840" w:right="780" w:hanging="917"/>
        <w:spacing w:after="0" w:line="308" w:lineRule="auto"/>
        <w:tabs>
          <w:tab w:leader="none" w:pos="820" w:val="left"/>
        </w:tabs>
        <w:rPr>
          <w:rFonts w:ascii="Arial" w:cs="Arial" w:eastAsia="Arial" w:hAnsi="Arial"/>
          <w:sz w:val="18"/>
          <w:szCs w:val="18"/>
          <w:color w:val="0000FF"/>
        </w:rPr>
      </w:pPr>
      <w:hyperlink r:id="rId57">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7"/>
          <w:szCs w:val="17"/>
          <w:color w:val="0000FF"/>
        </w:rPr>
        <w:t>Buy-Out Agreement between Registrant and George A. Lopez, M.D. effective September 30, 2015.* Filed as an Exhibit to Registrant's Current Report on Form 8-K filed October 1, 2015, and incorporated herein by reference.</w:t>
      </w:r>
    </w:p>
    <w:p>
      <w:pPr>
        <w:spacing w:after="0" w:line="282" w:lineRule="exact"/>
        <w:rPr>
          <w:sz w:val="20"/>
          <w:szCs w:val="20"/>
          <w:color w:val="auto"/>
        </w:rPr>
      </w:pPr>
    </w:p>
    <w:p>
      <w:pPr>
        <w:ind w:left="840" w:right="20" w:hanging="917"/>
        <w:spacing w:after="0" w:line="308" w:lineRule="auto"/>
        <w:tabs>
          <w:tab w:leader="none" w:pos="820" w:val="left"/>
        </w:tabs>
        <w:rPr>
          <w:rFonts w:ascii="Arial" w:cs="Arial" w:eastAsia="Arial" w:hAnsi="Arial"/>
          <w:sz w:val="18"/>
          <w:szCs w:val="18"/>
          <w:color w:val="0000FF"/>
        </w:rPr>
      </w:pPr>
      <w:hyperlink r:id="rId58">
        <w:r>
          <w:rPr>
            <w:rFonts w:ascii="Arial" w:cs="Arial" w:eastAsia="Arial" w:hAnsi="Arial"/>
            <w:sz w:val="18"/>
            <w:szCs w:val="18"/>
            <w:u w:val="single" w:color="auto"/>
            <w:color w:val="0000FF"/>
          </w:rPr>
          <w:t>10.25</w:t>
        </w:r>
      </w:hyperlink>
      <w:r>
        <w:rPr>
          <w:rFonts w:ascii="Arial" w:cs="Arial" w:eastAsia="Arial" w:hAnsi="Arial"/>
          <w:sz w:val="18"/>
          <w:szCs w:val="18"/>
          <w:color w:val="0000FF"/>
        </w:rPr>
        <w:tab/>
      </w:r>
      <w:r>
        <w:rPr>
          <w:rFonts w:ascii="Arial" w:cs="Arial" w:eastAsia="Arial" w:hAnsi="Arial"/>
          <w:sz w:val="17"/>
          <w:szCs w:val="17"/>
          <w:color w:val="0000FF"/>
        </w:rPr>
        <w:t>Form of Shareholder Agreement, by and between a subsidiary of Pfizer Inc. and ICU Medical Inc dated February 3, 2017. Filed as an Exhibit to Registrant’s Current Report on Form 8-K filed October 13, 2016, and incorporated herein by reference.</w:t>
      </w:r>
    </w:p>
    <w:p>
      <w:pPr>
        <w:spacing w:after="0" w:line="282" w:lineRule="exact"/>
        <w:rPr>
          <w:sz w:val="20"/>
          <w:szCs w:val="20"/>
          <w:color w:val="auto"/>
        </w:rPr>
      </w:pPr>
    </w:p>
    <w:p>
      <w:pPr>
        <w:ind w:left="840" w:right="60" w:hanging="917"/>
        <w:spacing w:after="0" w:line="277" w:lineRule="auto"/>
        <w:tabs>
          <w:tab w:leader="none" w:pos="820" w:val="left"/>
        </w:tabs>
        <w:rPr>
          <w:rFonts w:ascii="Arial" w:cs="Arial" w:eastAsia="Arial" w:hAnsi="Arial"/>
          <w:sz w:val="18"/>
          <w:szCs w:val="18"/>
          <w:color w:val="0000FF"/>
        </w:rPr>
      </w:pPr>
      <w:hyperlink r:id="rId59">
        <w:r>
          <w:rPr>
            <w:rFonts w:ascii="Arial" w:cs="Arial" w:eastAsia="Arial" w:hAnsi="Arial"/>
            <w:sz w:val="18"/>
            <w:szCs w:val="18"/>
            <w:u w:val="single" w:color="auto"/>
            <w:color w:val="0000FF"/>
          </w:rPr>
          <w:t>10.26</w:t>
        </w:r>
      </w:hyperlink>
      <w:r>
        <w:rPr>
          <w:rFonts w:ascii="Arial" w:cs="Arial" w:eastAsia="Arial" w:hAnsi="Arial"/>
          <w:sz w:val="18"/>
          <w:szCs w:val="18"/>
          <w:color w:val="0000FF"/>
        </w:rPr>
        <w:tab/>
        <w:t>ICU Medical, Inc. Executive Severance Plan.* Filed as an Exhibit to Registrant’s Current Report on Form 8-K filed January 6, 2017, and incorporated herein by reference.</w:t>
      </w:r>
    </w:p>
    <w:p>
      <w:pPr>
        <w:spacing w:after="0" w:line="306" w:lineRule="exact"/>
        <w:rPr>
          <w:sz w:val="20"/>
          <w:szCs w:val="20"/>
          <w:color w:val="auto"/>
        </w:rPr>
      </w:pPr>
    </w:p>
    <w:p>
      <w:pPr>
        <w:ind w:left="840" w:right="400" w:hanging="917"/>
        <w:spacing w:after="0" w:line="277" w:lineRule="auto"/>
        <w:tabs>
          <w:tab w:leader="none" w:pos="82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10.27</w:t>
        </w:r>
      </w:hyperlink>
      <w:r>
        <w:rPr>
          <w:rFonts w:ascii="Arial" w:cs="Arial" w:eastAsia="Arial" w:hAnsi="Arial"/>
          <w:sz w:val="18"/>
          <w:szCs w:val="18"/>
          <w:color w:val="0000FF"/>
        </w:rPr>
        <w:tab/>
        <w:t>Senior Note issued by ICU Medical, Inc. in favor of Pfizer Inc., dated as of February 3, 2017. Filed as an Exhibit to Registrant’s Current Report on Form 8-K filed February 9, 2017, and incorporated herein by reference.</w:t>
      </w:r>
    </w:p>
    <w:p>
      <w:pPr>
        <w:spacing w:after="0" w:line="306" w:lineRule="exact"/>
        <w:rPr>
          <w:sz w:val="20"/>
          <w:szCs w:val="20"/>
          <w:color w:val="auto"/>
        </w:rPr>
      </w:pPr>
    </w:p>
    <w:p>
      <w:pPr>
        <w:ind w:left="840" w:hanging="917"/>
        <w:spacing w:after="0" w:line="291" w:lineRule="auto"/>
        <w:tabs>
          <w:tab w:leader="none" w:pos="820" w:val="left"/>
        </w:tabs>
        <w:rPr>
          <w:rFonts w:ascii="Arial" w:cs="Arial" w:eastAsia="Arial" w:hAnsi="Arial"/>
          <w:sz w:val="18"/>
          <w:szCs w:val="18"/>
          <w:color w:val="0000FF"/>
        </w:rPr>
      </w:pPr>
      <w:hyperlink r:id="rId61">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6"/>
          <w:szCs w:val="16"/>
          <w:color w:val="0000FF"/>
        </w:rPr>
        <w:t>Revolving Credit Agreement, dated as of November 8, 2017, among ICU Medical, Inc., as borrower, certain lenders party thereto and Wells Fargo Bank, N.A., as administrative agent and swingline lender. Filed as an Exhibit to Registrant's Quarterly Report on</w:t>
      </w:r>
    </w:p>
    <w:p>
      <w:pPr>
        <w:ind w:left="840"/>
        <w:spacing w:after="0"/>
        <w:rPr>
          <w:sz w:val="20"/>
          <w:szCs w:val="20"/>
          <w:color w:val="auto"/>
        </w:rPr>
      </w:pPr>
      <w:r>
        <w:rPr>
          <w:rFonts w:ascii="Arial" w:cs="Arial" w:eastAsia="Arial" w:hAnsi="Arial"/>
          <w:sz w:val="18"/>
          <w:szCs w:val="18"/>
          <w:color w:val="auto"/>
        </w:rPr>
        <w:t>Form 10-Q for the Quarter ended September 30, 2017, and incorporated herein by reference.</w:t>
      </w:r>
    </w:p>
    <w:p>
      <w:pPr>
        <w:spacing w:after="0" w:line="346" w:lineRule="exact"/>
        <w:rPr>
          <w:sz w:val="20"/>
          <w:szCs w:val="20"/>
          <w:color w:val="auto"/>
        </w:rPr>
      </w:pPr>
    </w:p>
    <w:p>
      <w:pPr>
        <w:ind w:left="840" w:right="340" w:hanging="917"/>
        <w:spacing w:after="0" w:line="277" w:lineRule="auto"/>
        <w:tabs>
          <w:tab w:leader="none" w:pos="820" w:val="left"/>
        </w:tabs>
        <w:rPr>
          <w:rFonts w:ascii="Arial" w:cs="Arial" w:eastAsia="Arial" w:hAnsi="Arial"/>
          <w:sz w:val="18"/>
          <w:szCs w:val="18"/>
          <w:color w:val="0000FF"/>
        </w:rPr>
      </w:pPr>
      <w:hyperlink r:id="rId62">
        <w:r>
          <w:rPr>
            <w:rFonts w:ascii="Arial" w:cs="Arial" w:eastAsia="Arial" w:hAnsi="Arial"/>
            <w:sz w:val="18"/>
            <w:szCs w:val="18"/>
            <w:u w:val="single" w:color="auto"/>
            <w:color w:val="0000FF"/>
          </w:rPr>
          <w:t>10.29</w:t>
        </w:r>
      </w:hyperlink>
      <w:r>
        <w:rPr>
          <w:rFonts w:ascii="Arial" w:cs="Arial" w:eastAsia="Arial" w:hAnsi="Arial"/>
          <w:sz w:val="18"/>
          <w:szCs w:val="18"/>
          <w:color w:val="0000FF"/>
        </w:rPr>
        <w:tab/>
        <w:t>Transitional Services Agreement, between ICU Medical, Inc. and Pfizer Inc., dated as of February 3, 2017. Filed as an Exhibit to Registrant’s Current Report on Form 8-K filed February 9, 2017, and incorporated herein by reference.</w:t>
      </w:r>
    </w:p>
    <w:p>
      <w:pPr>
        <w:spacing w:after="0" w:line="306" w:lineRule="exact"/>
        <w:rPr>
          <w:sz w:val="20"/>
          <w:szCs w:val="20"/>
          <w:color w:val="auto"/>
        </w:rPr>
      </w:pPr>
    </w:p>
    <w:p>
      <w:pPr>
        <w:ind w:left="840" w:right="120" w:hanging="917"/>
        <w:spacing w:after="0" w:line="342" w:lineRule="auto"/>
        <w:tabs>
          <w:tab w:leader="none" w:pos="820" w:val="left"/>
        </w:tabs>
        <w:rPr>
          <w:rFonts w:ascii="Arial" w:cs="Arial" w:eastAsia="Arial" w:hAnsi="Arial"/>
          <w:sz w:val="18"/>
          <w:szCs w:val="18"/>
          <w:color w:val="0000FF"/>
        </w:rPr>
      </w:pPr>
      <w:hyperlink r:id="rId63">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Amended and Restated Executive Employment Agreement, dated as of May 8, 2017, by and between ICU Medical, Inc. and Vivek Jain.* Filed as Exhibit 10.1 to Registrant's Current Report on Form 8-K filed on May 8, 2017, and incorporated herein by reference.</w:t>
      </w:r>
    </w:p>
    <w:p>
      <w:pPr>
        <w:spacing w:after="0" w:line="259" w:lineRule="exact"/>
        <w:rPr>
          <w:sz w:val="20"/>
          <w:szCs w:val="20"/>
          <w:color w:val="auto"/>
        </w:rPr>
      </w:pPr>
    </w:p>
    <w:p>
      <w:pPr>
        <w:ind w:left="840" w:hanging="827"/>
        <w:spacing w:after="0" w:line="277" w:lineRule="auto"/>
        <w:tabs>
          <w:tab w:leader="none" w:pos="82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14.1</w:t>
        </w:r>
      </w:hyperlink>
      <w:r>
        <w:rPr>
          <w:rFonts w:ascii="Arial" w:cs="Arial" w:eastAsia="Arial" w:hAnsi="Arial"/>
          <w:sz w:val="18"/>
          <w:szCs w:val="18"/>
          <w:color w:val="0000FF"/>
        </w:rPr>
        <w:tab/>
        <w:t>Code of Business Conduct and Ethics for Directors and Officers. Filed as an Exhibit to Registrant's Current Report on Form 8-K filed February 5, 2009, and incorporated herein by reference.</w:t>
      </w:r>
    </w:p>
    <w:p>
      <w:pPr>
        <w:spacing w:after="0" w:line="306" w:lineRule="exact"/>
        <w:rPr>
          <w:sz w:val="20"/>
          <w:szCs w:val="20"/>
          <w:color w:val="auto"/>
        </w:rPr>
      </w:pPr>
    </w:p>
    <w:p>
      <w:pPr>
        <w:ind w:left="840" w:hanging="703"/>
        <w:spacing w:after="0"/>
        <w:tabs>
          <w:tab w:leader="none" w:pos="840" w:val="left"/>
        </w:tabs>
        <w:numPr>
          <w:ilvl w:val="0"/>
          <w:numId w:val="48"/>
        </w:numPr>
        <w:rPr>
          <w:rFonts w:ascii="Arial" w:cs="Arial" w:eastAsia="Arial" w:hAnsi="Arial"/>
          <w:sz w:val="18"/>
          <w:szCs w:val="18"/>
          <w:u w:val="single" w:color="auto"/>
          <w:color w:val="0000FF"/>
        </w:rPr>
      </w:pPr>
      <w:r>
        <w:rPr>
          <w:rFonts w:ascii="Arial" w:cs="Arial" w:eastAsia="Arial" w:hAnsi="Arial"/>
          <w:sz w:val="18"/>
          <w:szCs w:val="18"/>
          <w:color w:val="auto"/>
        </w:rPr>
        <w:t>Subsidiaries of Registrant.</w:t>
      </w:r>
    </w:p>
    <w:p>
      <w:pPr>
        <w:spacing w:after="0" w:line="333" w:lineRule="exact"/>
        <w:rPr>
          <w:sz w:val="20"/>
          <w:szCs w:val="20"/>
          <w:color w:val="auto"/>
        </w:rPr>
      </w:pPr>
    </w:p>
    <w:p>
      <w:pPr>
        <w:spacing w:after="0"/>
        <w:tabs>
          <w:tab w:leader="none" w:pos="820" w:val="left"/>
        </w:tabs>
        <w:rPr>
          <w:rFonts w:ascii="Arial" w:cs="Arial" w:eastAsia="Arial" w:hAnsi="Arial"/>
          <w:sz w:val="18"/>
          <w:szCs w:val="18"/>
          <w:color w:val="0000FF"/>
        </w:rPr>
      </w:pPr>
      <w:hyperlink w:anchor="page102">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Deloitte &amp; Touche LLP</w:t>
      </w:r>
    </w:p>
    <w:p>
      <w:pPr>
        <w:spacing w:after="0" w:line="333" w:lineRule="exact"/>
        <w:rPr>
          <w:sz w:val="20"/>
          <w:szCs w:val="20"/>
          <w:color w:val="auto"/>
        </w:rPr>
      </w:pPr>
    </w:p>
    <w:p>
      <w:pPr>
        <w:spacing w:after="0"/>
        <w:tabs>
          <w:tab w:leader="none" w:pos="820" w:val="left"/>
        </w:tabs>
        <w:rPr>
          <w:rFonts w:ascii="Arial" w:cs="Arial" w:eastAsia="Arial" w:hAnsi="Arial"/>
          <w:sz w:val="18"/>
          <w:szCs w:val="18"/>
          <w:color w:val="0000FF"/>
        </w:rPr>
      </w:pPr>
      <w:hyperlink w:anchor="page103">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Section 302 of the Sarbanes-Oxley Act of 2002</w:t>
      </w:r>
    </w:p>
    <w:p>
      <w:pPr>
        <w:spacing w:after="0" w:line="333" w:lineRule="exact"/>
        <w:rPr>
          <w:sz w:val="20"/>
          <w:szCs w:val="20"/>
          <w:color w:val="auto"/>
        </w:rPr>
      </w:pPr>
    </w:p>
    <w:p>
      <w:pPr>
        <w:spacing w:after="0"/>
        <w:tabs>
          <w:tab w:leader="none" w:pos="820" w:val="left"/>
        </w:tabs>
        <w:rPr>
          <w:rFonts w:ascii="Arial" w:cs="Arial" w:eastAsia="Arial" w:hAnsi="Arial"/>
          <w:sz w:val="18"/>
          <w:szCs w:val="18"/>
          <w:color w:val="0000FF"/>
        </w:rPr>
      </w:pPr>
      <w:hyperlink w:anchor="page104">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Section 302 of the Sarbanes-Oxley Act of 2002</w:t>
      </w:r>
    </w:p>
    <w:p>
      <w:pPr>
        <w:spacing w:after="0" w:line="333" w:lineRule="exact"/>
        <w:rPr>
          <w:sz w:val="20"/>
          <w:szCs w:val="20"/>
          <w:color w:val="auto"/>
        </w:rPr>
      </w:pPr>
    </w:p>
    <w:p>
      <w:pPr>
        <w:ind w:left="4700" w:right="340" w:hanging="4563"/>
        <w:spacing w:after="0" w:line="590" w:lineRule="auto"/>
        <w:tabs>
          <w:tab w:leader="none" w:pos="826"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color w:val="auto"/>
        </w:rPr>
        <w:t>Certifications of Chief Executive Officer and Chief Financial Officer pursuant to Section 906 of the Sarbanes-Oxley Act of 2002 94</w:t>
      </w:r>
    </w:p>
    <w:p>
      <w:pPr>
        <w:sectPr>
          <w:pgSz w:w="11900" w:h="16838" w:orient="portrait"/>
          <w:cols w:equalWidth="0" w:num="1">
            <w:col w:w="10460"/>
          </w:cols>
          <w:pgMar w:left="1160" w:top="530" w:right="279" w:bottom="1440" w:gutter="0" w:footer="0" w:header="0"/>
        </w:sectPr>
      </w:pPr>
    </w:p>
    <w:bookmarkStart w:id="95" w:name="page96"/>
    <w:bookmarkEnd w:id="95"/>
    <w:p>
      <w:pPr>
        <w:ind w:left="40"/>
        <w:spacing w:after="0"/>
        <w:tabs>
          <w:tab w:leader="none" w:pos="2520" w:val="left"/>
        </w:tabs>
        <w:rPr>
          <w:sz w:val="20"/>
          <w:szCs w:val="20"/>
          <w:color w:val="auto"/>
        </w:rPr>
      </w:pPr>
      <w:r>
        <w:rPr>
          <w:rFonts w:ascii="Arial" w:cs="Arial" w:eastAsia="Arial" w:hAnsi="Arial"/>
          <w:sz w:val="18"/>
          <w:szCs w:val="18"/>
          <w:color w:val="auto"/>
        </w:rPr>
        <w:t>Exhibit 101.INS</w:t>
      </w:r>
      <w:r>
        <w:rPr>
          <w:sz w:val="20"/>
          <w:szCs w:val="20"/>
          <w:color w:val="auto"/>
        </w:rPr>
        <w:tab/>
      </w:r>
      <w:r>
        <w:rPr>
          <w:rFonts w:ascii="Arial" w:cs="Arial" w:eastAsia="Arial" w:hAnsi="Arial"/>
          <w:sz w:val="16"/>
          <w:szCs w:val="16"/>
          <w:color w:val="auto"/>
        </w:rPr>
        <w:t>XBRL Instance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101.SCH</w:t>
      </w:r>
      <w:r>
        <w:rPr>
          <w:sz w:val="20"/>
          <w:szCs w:val="20"/>
          <w:color w:val="auto"/>
        </w:rPr>
        <w:tab/>
      </w:r>
      <w:r>
        <w:rPr>
          <w:rFonts w:ascii="Arial" w:cs="Arial" w:eastAsia="Arial" w:hAnsi="Arial"/>
          <w:sz w:val="16"/>
          <w:szCs w:val="16"/>
          <w:color w:val="auto"/>
        </w:rPr>
        <w:t>XBRL Taxonomy Extension Schema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101.CAL</w:t>
      </w:r>
      <w:r>
        <w:rPr>
          <w:sz w:val="20"/>
          <w:szCs w:val="20"/>
          <w:color w:val="auto"/>
        </w:rPr>
        <w:tab/>
      </w:r>
      <w:r>
        <w:rPr>
          <w:rFonts w:ascii="Arial" w:cs="Arial" w:eastAsia="Arial" w:hAnsi="Arial"/>
          <w:sz w:val="16"/>
          <w:szCs w:val="16"/>
          <w:color w:val="auto"/>
        </w:rPr>
        <w:t>XBRL Taxonomy Extension Calculation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101.LAB</w:t>
      </w:r>
      <w:r>
        <w:rPr>
          <w:sz w:val="20"/>
          <w:szCs w:val="20"/>
          <w:color w:val="auto"/>
        </w:rPr>
        <w:tab/>
      </w:r>
      <w:r>
        <w:rPr>
          <w:rFonts w:ascii="Arial" w:cs="Arial" w:eastAsia="Arial" w:hAnsi="Arial"/>
          <w:sz w:val="16"/>
          <w:szCs w:val="16"/>
          <w:color w:val="auto"/>
        </w:rPr>
        <w:t>XBRL Taxonomy Extension Label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101.PRE</w:t>
      </w:r>
      <w:r>
        <w:rPr>
          <w:sz w:val="20"/>
          <w:szCs w:val="20"/>
          <w:color w:val="auto"/>
        </w:rPr>
        <w:tab/>
      </w:r>
      <w:r>
        <w:rPr>
          <w:rFonts w:ascii="Arial" w:cs="Arial" w:eastAsia="Arial" w:hAnsi="Arial"/>
          <w:sz w:val="16"/>
          <w:szCs w:val="16"/>
          <w:color w:val="auto"/>
        </w:rPr>
        <w:t>XBRL Taxonomy Extension Presentation Linkbase Document</w:t>
      </w:r>
    </w:p>
    <w:p>
      <w:pPr>
        <w:spacing w:after="0" w:line="63"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18"/>
          <w:szCs w:val="18"/>
          <w:color w:val="auto"/>
        </w:rPr>
        <w:t>Exhibit 101.DEF</w:t>
      </w:r>
      <w:r>
        <w:rPr>
          <w:sz w:val="20"/>
          <w:szCs w:val="20"/>
          <w:color w:val="auto"/>
        </w:rPr>
        <w:tab/>
      </w:r>
      <w:r>
        <w:rPr>
          <w:rFonts w:ascii="Arial" w:cs="Arial" w:eastAsia="Arial" w:hAnsi="Arial"/>
          <w:sz w:val="16"/>
          <w:szCs w:val="16"/>
          <w:color w:val="auto"/>
        </w:rPr>
        <w:t>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plan or other arrangement</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219"/>
          </w:cols>
          <w:pgMar w:left="240" w:top="746"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92"/>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rPr>
              <w:t>ICU MEDICAL, INC.</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gridSpan w:val="6"/>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40" w:type="dxa"/>
            <w:vAlign w:val="bottom"/>
          </w:tcPr>
          <w:p>
            <w:pPr>
              <w:spacing w:after="0"/>
              <w:rPr>
                <w:sz w:val="24"/>
                <w:szCs w:val="24"/>
                <w:color w:val="auto"/>
              </w:rPr>
            </w:pPr>
          </w:p>
        </w:tc>
        <w:tc>
          <w:tcPr>
            <w:tcW w:w="38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rPr>
              <w:t>VALUATION AND QUALIFYING ACCOUNTS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Charged to</w:t>
            </w:r>
          </w:p>
        </w:tc>
        <w:tc>
          <w:tcPr>
            <w:tcW w:w="16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Write-off/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72"/>
        </w:trPr>
        <w:tc>
          <w:tcPr>
            <w:tcW w:w="38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restart"/>
          </w:tcPr>
          <w:p>
            <w:pPr>
              <w:jc w:val="center"/>
              <w:ind w:right="11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77"/>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Other Accounts</w:t>
            </w:r>
          </w:p>
        </w:tc>
        <w:tc>
          <w:tcPr>
            <w:tcW w:w="160" w:type="dxa"/>
            <w:vAlign w:val="bottom"/>
          </w:tcPr>
          <w:p>
            <w:pPr>
              <w:spacing w:after="0"/>
              <w:rPr>
                <w:sz w:val="6"/>
                <w:szCs w:val="6"/>
                <w:color w:val="auto"/>
              </w:rPr>
            </w:pP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3"/>
              </w:rPr>
              <w:t>Disposals</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3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5"/>
              </w:rPr>
              <w:t>Expenses</w:t>
            </w:r>
          </w:p>
        </w:tc>
        <w:tc>
          <w:tcPr>
            <w:tcW w:w="1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87"/>
        </w:trPr>
        <w:tc>
          <w:tcPr>
            <w:tcW w:w="3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2015:</w:t>
            </w: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60" w:type="dxa"/>
            <w:vAlign w:val="bottom"/>
            <w:tcBorders>
              <w:top w:val="single" w:sz="8" w:color="auto"/>
              <w:bottom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Borders>
              <w:top w:val="single" w:sz="8" w:color="auto"/>
            </w:tcBorders>
            <w:gridSpan w:val="2"/>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For the year ended December 31, 2016:</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year ended December 31, 2017:</w:t>
            </w: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Allowance for doubtful accounts</w:t>
            </w:r>
          </w:p>
        </w:tc>
        <w:tc>
          <w:tcPr>
            <w:tcW w:w="1080" w:type="dxa"/>
            <w:vAlign w:val="bottom"/>
            <w:tcBorders>
              <w:top w:val="single" w:sz="8" w:color="auto"/>
            </w:tcBorders>
            <w:gridSpan w:val="2"/>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Warranty and return reserve - accounts receivable</w:t>
            </w:r>
          </w:p>
        </w:tc>
        <w:tc>
          <w:tcPr>
            <w:tcW w:w="13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7,385</w:t>
            </w:r>
          </w:p>
        </w:tc>
        <w:tc>
          <w:tcPr>
            <w:tcW w:w="10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918"/>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34"/>
              <w:spacing w:after="0"/>
              <w:rPr>
                <w:sz w:val="20"/>
                <w:szCs w:val="20"/>
                <w:color w:val="auto"/>
              </w:rPr>
            </w:pPr>
            <w:r>
              <w:rPr>
                <w:rFonts w:ascii="Arial" w:cs="Arial" w:eastAsia="Arial" w:hAnsi="Arial"/>
                <w:sz w:val="18"/>
                <w:szCs w:val="18"/>
                <w:color w:val="auto"/>
                <w:w w:val="89"/>
              </w:rPr>
              <w:t>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32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ICU MEDICAL, INC.</w:t>
      </w:r>
    </w:p>
    <w:p>
      <w:pPr>
        <w:spacing w:after="0" w:line="244" w:lineRule="exact"/>
        <w:rPr>
          <w:sz w:val="20"/>
          <w:szCs w:val="20"/>
          <w:color w:val="auto"/>
        </w:rPr>
      </w:pPr>
    </w:p>
    <w:tbl>
      <w:tblPr>
        <w:tblLayout w:type="fixed"/>
        <w:tblInd w:w="5740" w:type="dxa"/>
        <w:tblCellMar>
          <w:top w:w="0" w:type="dxa"/>
          <w:left w:w="0" w:type="dxa"/>
          <w:bottom w:w="0" w:type="dxa"/>
          <w:right w:w="0" w:type="dxa"/>
        </w:tblCellMar>
      </w:tblPr>
      <w:tr>
        <w:trPr>
          <w:trHeight w:val="188"/>
        </w:trPr>
        <w:tc>
          <w:tcPr>
            <w:tcW w:w="900" w:type="dxa"/>
            <w:vAlign w:val="bottom"/>
          </w:tcPr>
          <w:p>
            <w:pPr>
              <w:spacing w:after="0"/>
              <w:rPr>
                <w:sz w:val="20"/>
                <w:szCs w:val="20"/>
                <w:color w:val="auto"/>
              </w:rPr>
            </w:pPr>
            <w:r>
              <w:rPr>
                <w:rFonts w:ascii="Arial" w:cs="Arial" w:eastAsia="Arial" w:hAnsi="Arial"/>
                <w:sz w:val="14"/>
                <w:szCs w:val="14"/>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r>
      <w:tr>
        <w:trPr>
          <w:trHeight w:val="190"/>
        </w:trPr>
        <w:tc>
          <w:tcPr>
            <w:tcW w:w="90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Vivek Jain</w:t>
            </w:r>
          </w:p>
        </w:tc>
      </w:tr>
      <w:tr>
        <w:trPr>
          <w:trHeight w:val="203"/>
        </w:trPr>
        <w:tc>
          <w:tcPr>
            <w:tcW w:w="900" w:type="dxa"/>
            <w:vAlign w:val="bottom"/>
          </w:tcPr>
          <w:p>
            <w:pPr>
              <w:spacing w:after="0"/>
              <w:rPr>
                <w:sz w:val="17"/>
                <w:szCs w:val="17"/>
                <w:color w:val="auto"/>
              </w:rPr>
            </w:pPr>
          </w:p>
        </w:tc>
        <w:tc>
          <w:tcPr>
            <w:tcW w:w="4780" w:type="dxa"/>
            <w:vAlign w:val="bottom"/>
          </w:tcPr>
          <w:p>
            <w:pPr>
              <w:ind w:left="20"/>
              <w:spacing w:after="0"/>
              <w:rPr>
                <w:sz w:val="20"/>
                <w:szCs w:val="20"/>
                <w:color w:val="auto"/>
              </w:rPr>
            </w:pPr>
            <w:r>
              <w:rPr>
                <w:rFonts w:ascii="Arial" w:cs="Arial" w:eastAsia="Arial" w:hAnsi="Arial"/>
                <w:sz w:val="14"/>
                <w:szCs w:val="14"/>
                <w:color w:val="auto"/>
              </w:rPr>
              <w:t>Chairman of the Board and Chief Executive Officer</w:t>
            </w:r>
          </w:p>
        </w:tc>
      </w:tr>
      <w:tr>
        <w:trPr>
          <w:trHeight w:val="405"/>
        </w:trPr>
        <w:tc>
          <w:tcPr>
            <w:tcW w:w="900" w:type="dxa"/>
            <w:vAlign w:val="bottom"/>
          </w:tcPr>
          <w:p>
            <w:pPr>
              <w:spacing w:after="0"/>
              <w:rPr>
                <w:sz w:val="20"/>
                <w:szCs w:val="20"/>
                <w:color w:val="auto"/>
              </w:rPr>
            </w:pPr>
            <w:r>
              <w:rPr>
                <w:rFonts w:ascii="Arial" w:cs="Arial" w:eastAsia="Arial" w:hAnsi="Arial"/>
                <w:sz w:val="14"/>
                <w:szCs w:val="14"/>
                <w:color w:val="auto"/>
              </w:rPr>
              <w:t>Dated:</w:t>
            </w:r>
          </w:p>
        </w:tc>
        <w:tc>
          <w:tcPr>
            <w:tcW w:w="4780" w:type="dxa"/>
            <w:vAlign w:val="bottom"/>
          </w:tcPr>
          <w:p>
            <w:pPr>
              <w:ind w:left="20"/>
              <w:spacing w:after="0"/>
              <w:rPr>
                <w:sz w:val="20"/>
                <w:szCs w:val="20"/>
                <w:color w:val="auto"/>
              </w:rPr>
            </w:pPr>
            <w:r>
              <w:rPr>
                <w:rFonts w:ascii="Arial" w:cs="Arial" w:eastAsia="Arial" w:hAnsi="Arial"/>
                <w:sz w:val="14"/>
                <w:szCs w:val="14"/>
                <w:color w:val="auto"/>
              </w:rPr>
              <w:t>March 16, 2018</w:t>
            </w:r>
          </w:p>
        </w:tc>
      </w:tr>
    </w:tbl>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6"/>
                <w:szCs w:val="16"/>
                <w:color w:val="auto"/>
              </w:rPr>
            </w:pPr>
          </w:p>
        </w:tc>
        <w:tc>
          <w:tcPr>
            <w:tcW w:w="31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Vivek Jain</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Chairman of the Board and</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Vivek Jain</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Chief Executive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Executive Officer)</w:t>
            </w: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Scott E. Lamb</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Chief Financial Officer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Scott E. Lamb</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Financial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Kevin J. McGrody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Controller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1"/>
        </w:trPr>
        <w:tc>
          <w:tcPr>
            <w:tcW w:w="3660" w:type="dxa"/>
            <w:vAlign w:val="bottom"/>
          </w:tcPr>
          <w:p>
            <w:pPr>
              <w:ind w:left="40"/>
              <w:spacing w:after="0"/>
              <w:rPr>
                <w:sz w:val="20"/>
                <w:szCs w:val="20"/>
                <w:color w:val="auto"/>
              </w:rPr>
            </w:pPr>
            <w:r>
              <w:rPr>
                <w:rFonts w:ascii="Arial" w:cs="Arial" w:eastAsia="Arial" w:hAnsi="Arial"/>
                <w:sz w:val="14"/>
                <w:szCs w:val="14"/>
                <w:color w:val="auto"/>
              </w:rPr>
              <w:t>Kevin J. McGrody</w:t>
            </w:r>
          </w:p>
        </w:tc>
        <w:tc>
          <w:tcPr>
            <w:tcW w:w="460" w:type="dxa"/>
            <w:vAlign w:val="bottom"/>
          </w:tcPr>
          <w:p>
            <w:pPr>
              <w:spacing w:after="0"/>
              <w:rPr>
                <w:sz w:val="16"/>
                <w:szCs w:val="16"/>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(Principal Accounting Officer)</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George A. Lopez,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George A. Lopez,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Joseph R. Saucedo</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Joseph R. Saucedo</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Robert S. Swinney, M.D.</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Robert S. Swinney, M.D.</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David C. Greenberg</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David C. Greenberg</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 Elisha W. Finney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Elisha W. Finney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660" w:type="dxa"/>
            <w:vAlign w:val="bottom"/>
          </w:tcPr>
          <w:p>
            <w:pPr>
              <w:ind w:left="40"/>
              <w:spacing w:after="0"/>
              <w:rPr>
                <w:sz w:val="20"/>
                <w:szCs w:val="20"/>
                <w:color w:val="auto"/>
              </w:rPr>
            </w:pPr>
            <w:r>
              <w:rPr>
                <w:rFonts w:ascii="Arial" w:cs="Arial" w:eastAsia="Arial" w:hAnsi="Arial"/>
                <w:sz w:val="14"/>
                <w:szCs w:val="14"/>
                <w:color w:val="auto"/>
              </w:rPr>
              <w:t>/s/ Douglas E. Giordano</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Douglas E. Giordano</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40"/>
              <w:spacing w:after="0"/>
              <w:rPr>
                <w:sz w:val="20"/>
                <w:szCs w:val="20"/>
                <w:color w:val="auto"/>
              </w:rPr>
            </w:pPr>
            <w:r>
              <w:rPr>
                <w:rFonts w:ascii="Arial" w:cs="Arial" w:eastAsia="Arial" w:hAnsi="Arial"/>
                <w:sz w:val="14"/>
                <w:szCs w:val="14"/>
                <w:color w:val="auto"/>
              </w:rPr>
              <w:t>/s/ David F. Hoffmeister</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David F. Hoffmeister</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3660" w:type="dxa"/>
            <w:vAlign w:val="bottom"/>
          </w:tcPr>
          <w:p>
            <w:pPr>
              <w:ind w:left="40"/>
              <w:spacing w:after="0"/>
              <w:rPr>
                <w:sz w:val="20"/>
                <w:szCs w:val="20"/>
                <w:color w:val="auto"/>
              </w:rPr>
            </w:pPr>
            <w:r>
              <w:rPr>
                <w:rFonts w:ascii="Arial" w:cs="Arial" w:eastAsia="Arial" w:hAnsi="Arial"/>
                <w:sz w:val="14"/>
                <w:szCs w:val="14"/>
                <w:color w:val="auto"/>
              </w:rPr>
              <w:t>/s/ Donald M. Abbey</w:t>
            </w:r>
          </w:p>
        </w:tc>
        <w:tc>
          <w:tcPr>
            <w:tcW w:w="460" w:type="dxa"/>
            <w:vAlign w:val="bottom"/>
          </w:tcPr>
          <w:p>
            <w:pPr>
              <w:spacing w:after="0"/>
              <w:rPr>
                <w:sz w:val="24"/>
                <w:szCs w:val="24"/>
                <w:color w:val="auto"/>
              </w:rPr>
            </w:pPr>
          </w:p>
        </w:tc>
        <w:tc>
          <w:tcPr>
            <w:tcW w:w="4120" w:type="dxa"/>
            <w:vAlign w:val="bottom"/>
            <w:gridSpan w:val="2"/>
          </w:tcPr>
          <w:p>
            <w:pPr>
              <w:ind w:left="40"/>
              <w:spacing w:after="0"/>
              <w:rPr>
                <w:sz w:val="20"/>
                <w:szCs w:val="20"/>
                <w:color w:val="auto"/>
              </w:rPr>
            </w:pPr>
            <w:r>
              <w:rPr>
                <w:rFonts w:ascii="Arial" w:cs="Arial" w:eastAsia="Arial" w:hAnsi="Arial"/>
                <w:sz w:val="14"/>
                <w:szCs w:val="14"/>
                <w:color w:val="auto"/>
              </w:rPr>
              <w:t>Director</w:t>
            </w:r>
          </w:p>
        </w:tc>
        <w:tc>
          <w:tcPr>
            <w:tcW w:w="3180" w:type="dxa"/>
            <w:vAlign w:val="bottom"/>
            <w:vMerge w:val="restart"/>
          </w:tcPr>
          <w:p>
            <w:pPr>
              <w:ind w:left="20"/>
              <w:spacing w:after="0"/>
              <w:rPr>
                <w:sz w:val="20"/>
                <w:szCs w:val="20"/>
                <w:color w:val="auto"/>
              </w:rPr>
            </w:pPr>
            <w:r>
              <w:rPr>
                <w:rFonts w:ascii="Arial" w:cs="Arial" w:eastAsia="Arial" w:hAnsi="Arial"/>
                <w:sz w:val="14"/>
                <w:szCs w:val="14"/>
                <w:color w:val="auto"/>
              </w:rPr>
              <w:t>March 16, 2018</w:t>
            </w:r>
          </w:p>
        </w:tc>
        <w:tc>
          <w:tcPr>
            <w:tcW w:w="0" w:type="dxa"/>
            <w:vAlign w:val="bottom"/>
          </w:tcPr>
          <w:p>
            <w:pPr>
              <w:spacing w:after="0"/>
              <w:rPr>
                <w:sz w:val="1"/>
                <w:szCs w:val="1"/>
                <w:color w:val="auto"/>
              </w:rPr>
            </w:pPr>
          </w:p>
        </w:tc>
      </w:tr>
      <w:tr>
        <w:trPr>
          <w:trHeight w:val="74"/>
        </w:trPr>
        <w:tc>
          <w:tcPr>
            <w:tcW w:w="36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660" w:type="dxa"/>
            <w:vAlign w:val="bottom"/>
          </w:tcPr>
          <w:p>
            <w:pPr>
              <w:ind w:left="40"/>
              <w:spacing w:after="0"/>
              <w:rPr>
                <w:sz w:val="20"/>
                <w:szCs w:val="20"/>
                <w:color w:val="auto"/>
              </w:rPr>
            </w:pPr>
            <w:r>
              <w:rPr>
                <w:rFonts w:ascii="Arial" w:cs="Arial" w:eastAsia="Arial" w:hAnsi="Arial"/>
                <w:sz w:val="14"/>
                <w:szCs w:val="14"/>
                <w:color w:val="auto"/>
              </w:rPr>
              <w:t>Donald M. Abbey</w:t>
            </w:r>
          </w:p>
        </w:tc>
        <w:tc>
          <w:tcPr>
            <w:tcW w:w="4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Executive Officer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annual base salaries for our executive officers as of January 1, 2018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6"/>
                <w:szCs w:val="16"/>
                <w:color w:val="auto"/>
              </w:rPr>
            </w:pPr>
          </w:p>
        </w:tc>
        <w:tc>
          <w:tcPr>
            <w:tcW w:w="61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Vivek Jain</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650,000</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Scott E. Lamb</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395,150</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Steven C. Riggs</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Vice President of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360,582</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Alison D. Burcar</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Vice President and General Manager of Infusion Systems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315,000</w:t>
            </w:r>
          </w:p>
        </w:tc>
      </w:tr>
      <w:tr>
        <w:trPr>
          <w:trHeight w:val="27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Tom McCall</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Vice President and General Manager of Critical Care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293,550</w:t>
            </w:r>
          </w:p>
        </w:tc>
      </w:tr>
    </w:tbl>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10.15</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pay our non-employee directors the following:</w:t>
      </w:r>
    </w:p>
    <w:p>
      <w:pPr>
        <w:spacing w:after="0" w:line="252" w:lineRule="exact"/>
        <w:rPr>
          <w:sz w:val="20"/>
          <w:szCs w:val="20"/>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retainer of $93,500 for the Lead Director</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retainer of $97,000 for the Chairperson of the Audit Committee</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retainer of $87,500 for the Chairperson of the Compensation Committee</w:t>
      </w:r>
    </w:p>
    <w:p>
      <w:pPr>
        <w:spacing w:after="0" w:line="49" w:lineRule="exact"/>
        <w:rPr>
          <w:rFonts w:ascii="Arial" w:cs="Arial" w:eastAsia="Arial" w:hAnsi="Arial"/>
          <w:sz w:val="18"/>
          <w:szCs w:val="18"/>
          <w:color w:val="auto"/>
        </w:rPr>
      </w:pPr>
    </w:p>
    <w:p>
      <w:pPr>
        <w:ind w:left="2020" w:hanging="715"/>
        <w:spacing w:after="0"/>
        <w:tabs>
          <w:tab w:leader="none" w:pos="2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 retainer of $85,000 for the Chairperson of the Nominating and Governance Committee</w:t>
      </w:r>
    </w:p>
    <w:p>
      <w:pPr>
        <w:spacing w:after="0" w:line="23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equity component of the director's compensation is valued at $170,000.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7320" w:type="dxa"/>
            <w:vAlign w:val="bottom"/>
            <w:gridSpan w:val="5"/>
          </w:tcPr>
          <w:p>
            <w:pPr>
              <w:ind w:left="620"/>
              <w:spacing w:after="0"/>
              <w:rPr>
                <w:sz w:val="20"/>
                <w:szCs w:val="20"/>
                <w:color w:val="auto"/>
              </w:rPr>
            </w:pPr>
            <w:r>
              <w:rPr>
                <w:rFonts w:ascii="Arial" w:cs="Arial" w:eastAsia="Arial" w:hAnsi="Arial"/>
                <w:sz w:val="18"/>
                <w:szCs w:val="18"/>
                <w:b w:val="1"/>
                <w:bCs w:val="1"/>
                <w:color w:val="auto"/>
              </w:rPr>
              <w:t>Subsidiaries of Registrant</w:t>
            </w:r>
          </w:p>
        </w:tc>
      </w:tr>
      <w:tr>
        <w:trPr>
          <w:trHeight w:val="636"/>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2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2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State or Country of Incorporation</w:t>
            </w:r>
          </w:p>
        </w:tc>
      </w:tr>
      <w:tr>
        <w:trPr>
          <w:trHeight w:val="25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Sales, Inc.</w:t>
            </w:r>
          </w:p>
        </w:tc>
        <w:tc>
          <w:tcPr>
            <w:tcW w:w="62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de Mexico, S. de R. L. de C.V.</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Mexico</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Europe S.r.l.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Italy</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World,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Germany GmbH</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Slovakia S.r.o.</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Slovak Republic</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LLC</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Medical Connections C.V.</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Netherlands</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B.V.</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Netherlands</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Aust Pty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Australia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SA Pty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South Africa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EXC Holding Corp.</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Tangent Medical Technologies, Inc.</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Excelsior Medical Corporation</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France S.A.S.</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France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Canada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Canada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HIS LLC</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Delaware</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Latam LLC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UK Medical Limited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Kingdom</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Ireland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Ireland</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Hospira Argentina S.R.L.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Argentina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Costa Rica, Ltd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Bahamas</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Bahamas,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Bahamas</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Chile Limitada</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Chile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Hospira Limitada</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Colombia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Hospira, S. de R.L. de C.V.</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Mexico</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Hospira Peru S.R.L.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Peru</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Fleet Services, LLC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Delaware</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BMDi Tuta Healthcare Pty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Medical Australia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Australia</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Medivet Pty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Hong Kong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Hong Kong</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India LLP</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India</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Philippines, Inc.</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Philippines</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Unlimited Company</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Ireland</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Hospira Italia S.r.l.</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Italy</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ICU Medical Productos Farmacéuticos y Hospitalarios, S.L.</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Spain</w:t>
            </w:r>
          </w:p>
        </w:tc>
      </w:tr>
      <w:tr>
        <w:trPr>
          <w:trHeight w:val="264"/>
        </w:trPr>
        <w:tc>
          <w:tcPr>
            <w:tcW w:w="4100" w:type="dxa"/>
            <w:vAlign w:val="bottom"/>
          </w:tcPr>
          <w:p>
            <w:pPr>
              <w:ind w:left="40"/>
              <w:spacing w:after="0"/>
              <w:rPr>
                <w:sz w:val="20"/>
                <w:szCs w:val="20"/>
                <w:color w:val="auto"/>
              </w:rPr>
            </w:pPr>
            <w:r>
              <w:rPr>
                <w:rFonts w:ascii="Arial" w:cs="Arial" w:eastAsia="Arial" w:hAnsi="Arial"/>
                <w:sz w:val="14"/>
                <w:szCs w:val="14"/>
                <w:color w:val="auto"/>
              </w:rPr>
              <w:t>ICU Medical Spain, S.L.</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Spain</w:t>
            </w:r>
          </w:p>
        </w:tc>
      </w:tr>
      <w:tr>
        <w:trPr>
          <w:trHeight w:val="276"/>
        </w:trPr>
        <w:tc>
          <w:tcPr>
            <w:tcW w:w="4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BMDI Tuta Healthcare UK Ltd</w:t>
            </w:r>
          </w:p>
        </w:tc>
        <w:tc>
          <w:tcPr>
            <w:tcW w:w="6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United Kingdom</w:t>
            </w:r>
          </w:p>
        </w:tc>
      </w:tr>
      <w:tr>
        <w:trPr>
          <w:trHeight w:val="258"/>
        </w:trPr>
        <w:tc>
          <w:tcPr>
            <w:tcW w:w="4100" w:type="dxa"/>
            <w:vAlign w:val="bottom"/>
          </w:tcPr>
          <w:p>
            <w:pPr>
              <w:ind w:left="40"/>
              <w:spacing w:after="0"/>
              <w:rPr>
                <w:sz w:val="20"/>
                <w:szCs w:val="20"/>
                <w:color w:val="auto"/>
              </w:rPr>
            </w:pPr>
            <w:r>
              <w:rPr>
                <w:rFonts w:ascii="Arial" w:cs="Arial" w:eastAsia="Arial" w:hAnsi="Arial"/>
                <w:sz w:val="14"/>
                <w:szCs w:val="14"/>
                <w:color w:val="auto"/>
              </w:rPr>
              <w:t>ICU Medical Aust MLA Pty Limited</w:t>
            </w:r>
          </w:p>
        </w:tc>
        <w:tc>
          <w:tcPr>
            <w:tcW w:w="6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20" w:type="dxa"/>
            <w:vAlign w:val="bottom"/>
          </w:tcPr>
          <w:p>
            <w:pPr>
              <w:ind w:left="4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333-04171, 333-58024, 333-90462, 333-90464, 333-115654, 333-115653, 333-04167, 333-175239, 333-198256, and 333-219106 on Form S-8 of our reports dated March 16, 2018, relating to the financial statements and financial statement schedule of ICU Medical, Inc. and subsidiaries, and the effectiveness of ICU Medical Inc. and subsidiaries’ internal control over financial reporting, appearing in this Annual Report on Form 10-K of ICU Medical, Inc. for the year ended December 31, 2017.</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16, 2018</w:t>
      </w:r>
    </w:p>
    <w:p>
      <w:pPr>
        <w:sectPr>
          <w:pgSz w:w="11900" w:h="16838" w:orient="portrait"/>
          <w:cols w:equalWidth="0" w:num="1">
            <w:col w:w="11420"/>
          </w:cols>
          <w:pgMar w:left="240" w:top="580" w:right="239" w:bottom="1440" w:gutter="0" w:footer="0" w:header="0"/>
        </w:sectPr>
      </w:pPr>
    </w:p>
    <w:bookmarkStart w:id="102" w:name="page103"/>
    <w:bookmarkEnd w:id="10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03" w:name="page104"/>
    <w:bookmarkEnd w:id="103"/>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2017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March 16,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2017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March 16,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lvl w:ilvl="1">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740"/>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upperLetter"/>
      <w:start w:val="1"/>
    </w:lvl>
  </w:abstractNum>
  <w:abstractNum w:abstractNumId="43">
    <w:nsid w:val="75C6C33A"/>
    <w:multiLevelType w:val="hybridMultilevel"/>
    <w:lvl w:ilvl="0">
      <w:lvlJc w:val="left"/>
      <w:lvlText w:val="I"/>
      <w:numFmt w:val="bullet"/>
      <w:start w:val="1"/>
    </w:lvl>
  </w:abstractNum>
  <w:abstractNum w:abstractNumId="44">
    <w:nsid w:val="12E685FB"/>
    <w:multiLevelType w:val="hybridMultilevel"/>
    <w:lvl w:ilvl="0">
      <w:lvlJc w:val="left"/>
      <w:lvlText w:val="%1"/>
      <w:numFmt w:val="upperLetter"/>
      <w:start w:val="35"/>
    </w:lvl>
  </w:abstractNum>
  <w:abstractNum w:abstractNumId="45">
    <w:nsid w:val="70C6A529"/>
    <w:multiLevelType w:val="hybridMultilevel"/>
    <w:lvl w:ilvl="0">
      <w:lvlJc w:val="left"/>
      <w:lvlText w:val="%1"/>
      <w:numFmt w:val="upperLetter"/>
      <w:start w:val="61"/>
    </w:lvl>
  </w:abstractNum>
  <w:abstractNum w:abstractNumId="46">
    <w:nsid w:val="520EEDD1"/>
    <w:multiLevelType w:val="hybridMultilevel"/>
    <w:lvl w:ilvl="0">
      <w:lvlJc w:val="left"/>
      <w:lvlText w:val="%1."/>
      <w:numFmt w:val="decimal"/>
      <w:start w:val="3"/>
    </w:lvl>
  </w:abstractNum>
  <w:abstractNum w:abstractNumId="47">
    <w:nsid w:val="374A3FE6"/>
    <w:multiLevelType w:val="hybridMultilevel"/>
    <w:lvl w:ilvl="0">
      <w:lvlJc w:val="left"/>
      <w:lvlText w:val="%1"/>
      <w:numFmt w:val="decimal"/>
      <w:start w:val="21"/>
    </w:lvl>
  </w:abstractNum>
  <w:abstractNum w:abstractNumId="48">
    <w:nsid w:val="4F4EF005"/>
    <w:multiLevelType w:val="hybridMultilevel"/>
    <w:lvl w:ilvl="0">
      <w:lvlJc w:val="left"/>
      <w:lvlText w:val="%1"/>
      <w:numFmt w:val="decimal"/>
      <w:start w:val="32"/>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34" Type="http://schemas.openxmlformats.org/officeDocument/2006/relationships/hyperlink" Target="http://www.sec.gov/Archives/edgar/data/883984/000088398415000040/exhibit21stockpurchaseagre.htm" TargetMode="External"/><Relationship Id="rId35" Type="http://schemas.openxmlformats.org/officeDocument/2006/relationships/hyperlink" Target="http://www.sec.gov/Archives/edgar/data/883984/000088398415000040/exhibit22assetpurchaseagre.htm" TargetMode="External"/><Relationship Id="rId36" Type="http://schemas.openxmlformats.org/officeDocument/2006/relationships/hyperlink" Target="http://www.sec.gov/Archives/edgar/data/883984/000088398417000004/exhibit21amendedandrestate.htm" TargetMode="External"/><Relationship Id="rId37" Type="http://schemas.openxmlformats.org/officeDocument/2006/relationships/hyperlink" Target="http://www.sec.gov/Archives/edgar/data/883984/000088398414000046/exhibitamendedandrestatedc.htm" TargetMode="External"/><Relationship Id="rId38" Type="http://schemas.openxmlformats.org/officeDocument/2006/relationships/hyperlink" Target="http://www.sec.gov/Archives/edgar/data/883984/000088398416000073/exhibit31amendedandrestate.htm" TargetMode="External"/><Relationship Id="rId39" Type="http://schemas.openxmlformats.org/officeDocument/2006/relationships/hyperlink" Target="http://www.sec.gov/Archives/edgar/data/883984/000110465910053238/a10-17276_1ex10d1.htm" TargetMode="External"/><Relationship Id="rId40" Type="http://schemas.openxmlformats.org/officeDocument/2006/relationships/hyperlink" Target="http://www.sec.gov/Archives/edgar/data/883984/000117184307000560/exh_2.htm" TargetMode="External"/><Relationship Id="rId41" Type="http://schemas.openxmlformats.org/officeDocument/2006/relationships/hyperlink" Target="http://www.sec.gov/Archives/edgar/data/883984/0000898430-98-002340.txt" TargetMode="External"/><Relationship Id="rId42" Type="http://schemas.openxmlformats.org/officeDocument/2006/relationships/hyperlink" Target="http://www.sec.gov/Archives/edgar/data/883984/0000898430-99-000634.txt" TargetMode="External"/><Relationship Id="rId43" Type="http://schemas.openxmlformats.org/officeDocument/2006/relationships/hyperlink" Target="http://www.sec.gov/Archives/edgar/data/883984/000101968701000281/0001019687-01-000281-0002.txt" TargetMode="External"/><Relationship Id="rId44" Type="http://schemas.openxmlformats.org/officeDocument/2006/relationships/hyperlink" Target="http://www.sec.gov/Archives/edgar/data/883984/000101968702000543/icu_def14a-040202.txt" TargetMode="External"/><Relationship Id="rId45" Type="http://schemas.openxmlformats.org/officeDocument/2006/relationships/hyperlink" Target="http://www.sec.gov/Archives/edgar/data/883984/000101968703000829/icu_def14a-061303.txt" TargetMode="External"/><Relationship Id="rId46" Type="http://schemas.openxmlformats.org/officeDocument/2006/relationships/hyperlink" Target="http://www.sec.gov/Archives/edgar/data/883984/000101968704000062/icu_8kex10-1.txt" TargetMode="External"/><Relationship Id="rId47" Type="http://schemas.openxmlformats.org/officeDocument/2006/relationships/hyperlink" Target="http://www.sec.gov/Archives/edgar/data/883984/000101968704000062/icu_8kex10-2.txt" TargetMode="External"/><Relationship Id="rId48" Type="http://schemas.openxmlformats.org/officeDocument/2006/relationships/hyperlink" Target="http://www.sec.gov/Archives/edgar/data/883984/000110465907015473/a07-5940_1ex10d21.htm" TargetMode="External"/><Relationship Id="rId49" Type="http://schemas.openxmlformats.org/officeDocument/2006/relationships/hyperlink" Target="http://www.sec.gov/Archives/edgar/data/883984/000088398413000019/icui-def14ax2013.htm" TargetMode="External"/><Relationship Id="rId50" Type="http://schemas.openxmlformats.org/officeDocument/2006/relationships/hyperlink" Target="http://www.sec.gov/Archives/edgar/data/883984/000110465909059932/a09-30763_1ex10d1.htm" TargetMode="External"/><Relationship Id="rId51" Type="http://schemas.openxmlformats.org/officeDocument/2006/relationships/hyperlink" Target="http://www.sec.gov/Archives/edgar/data/883984/000110465909059932/a09-30763_1ex10d2.htm" TargetMode="External"/><Relationship Id="rId52" Type="http://schemas.openxmlformats.org/officeDocument/2006/relationships/hyperlink" Target="http://www.sec.gov/Archives/edgar/data/883984/000110465909059932/a09-30763_1ex10d3.htm" TargetMode="External"/><Relationship Id="rId53" Type="http://schemas.openxmlformats.org/officeDocument/2006/relationships/hyperlink" Target="http://www.sec.gov/Archives/edgar/data/883984/000088398412000080/icumedicalincamended2011st.htm" TargetMode="External"/><Relationship Id="rId54" Type="http://schemas.openxmlformats.org/officeDocument/2006/relationships/hyperlink" Target="http://www.sec.gov/Archives/edgar/data/883984/000088398414000015/exhibitinducementplan.htm" TargetMode="External"/><Relationship Id="rId55" Type="http://schemas.openxmlformats.org/officeDocument/2006/relationships/hyperlink" Target="http://www.sec.gov/Archives/edgar/data/883984/000088398414000008/executiveemploymentagreeme.htm" TargetMode="External"/><Relationship Id="rId56" Type="http://schemas.openxmlformats.org/officeDocument/2006/relationships/hyperlink" Target="http://www.sec.gov/Archives/edgar/data/883984/000088398414000008/amendmenttoexecutiveemploy.htm" TargetMode="External"/><Relationship Id="rId57" Type="http://schemas.openxmlformats.org/officeDocument/2006/relationships/hyperlink" Target="http://www.sec.gov/Archives/edgar/data/883984/000088398415000036/exhibit991buy-outagreement.htm" TargetMode="External"/><Relationship Id="rId58" Type="http://schemas.openxmlformats.org/officeDocument/2006/relationships/hyperlink" Target="http://www.sec.gov/Archives/edgar/data/883984/000088398416000079/exhibit102shareholderagree.htm" TargetMode="External"/><Relationship Id="rId59" Type="http://schemas.openxmlformats.org/officeDocument/2006/relationships/hyperlink" Target="http://www.sec.gov/Archives/edgar/data/883984/000088398417000006/exhibit101icumedicalincexe.htm" TargetMode="External"/><Relationship Id="rId60" Type="http://schemas.openxmlformats.org/officeDocument/2006/relationships/hyperlink" Target="http://www.sec.gov/Archives/edgar/data/883984/000088398417000008/a101seniornoteissuedbyicum.htm" TargetMode="External"/><Relationship Id="rId61" Type="http://schemas.openxmlformats.org/officeDocument/2006/relationships/hyperlink" Target="http://www.sec.gov/Archives/edgar/data/883984/000088398417000057/icui-ex101creditagreement.htm" TargetMode="External"/><Relationship Id="rId62" Type="http://schemas.openxmlformats.org/officeDocument/2006/relationships/hyperlink" Target="http://www.sec.gov/Archives/edgar/data/883984/000088398417000008/a102transitionalservicesag.htm" TargetMode="External"/><Relationship Id="rId63" Type="http://schemas.openxmlformats.org/officeDocument/2006/relationships/hyperlink" Target="http://www.sec.gov/Archives/edgar/data/883984/000088398417000023/exhibit101amendedandrestat.htm" TargetMode="External"/><Relationship Id="rId64" Type="http://schemas.openxmlformats.org/officeDocument/2006/relationships/hyperlink" Target="http://www.sec.gov/Archives/edgar/data/883984/000117184309000104/exh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2019-12-29T00:06:35Z</dcterms:created>
  <dcterms:modified xsi:type="dcterms:W3CDTF">2019-12-29T00:06:35Z</dcterms:modified>
</cp:coreProperties>
</file>