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 or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001-34634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ICU MEDICAL,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33-0022692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tbl>
      <w:tblPr>
        <w:tblW w:w="4660" w:type="dxa"/>
        <w:jc w:val="center"/>
        <w:tblInd w:w="0" w:type="dxa"/>
        <w:tblLayout w:type="fixed"/>
        <w:tblCellMar>
          <w:top w:w="28" w:type="dxa"/>
          <w:left w:w="28" w:type="dxa"/>
          <w:bottom w:w="28" w:type="dxa"/>
          <w:right w:w="28" w:type="dxa"/>
        </w:tblCellMar>
      </w:tblPr>
      <w:tblGrid>
        <w:gridCol w:w="531"/>
        <w:gridCol w:w="465"/>
        <w:gridCol w:w="468"/>
        <w:gridCol w:w="232"/>
        <w:gridCol w:w="232"/>
        <w:gridCol w:w="232"/>
        <w:gridCol w:w="379"/>
        <w:gridCol w:w="379"/>
        <w:gridCol w:w="380"/>
        <w:gridCol w:w="109"/>
        <w:gridCol w:w="109"/>
        <w:gridCol w:w="109"/>
        <w:gridCol w:w="303"/>
        <w:gridCol w:w="303"/>
        <w:gridCol w:w="429"/>
      </w:tblGrid>
      <w:tr>
        <w:trPr/>
        <w:tc>
          <w:tcPr>
            <w:tcW w:w="5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San Clemente</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92673</w:t>
            </w:r>
          </w:p>
        </w:tc>
      </w:tr>
      <w:tr>
        <w:trPr/>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(949) 366-2183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p>
      <w:pPr>
        <w:pStyle w:val="TextBody"/>
        <w:bidi w:val="0"/>
        <w:spacing w:lineRule="auto" w:line="288" w:before="0" w:after="0"/>
        <w:jc w:val="center"/>
        <w:rPr>
          <w:color w:val="000000"/>
        </w:rPr>
      </w:pPr>
      <w:r>
        <w:rPr>
          <w:color w:val="000000"/>
        </w:rPr>
        <w:t> </w:t>
      </w:r>
    </w:p>
    <w:tbl>
      <w:tblPr>
        <w:tblW w:w="8098" w:type="dxa"/>
        <w:jc w:val="left"/>
        <w:tblInd w:w="0" w:type="dxa"/>
        <w:tblLayout w:type="fixed"/>
        <w:tblCellMar>
          <w:top w:w="28" w:type="dxa"/>
          <w:left w:w="28" w:type="dxa"/>
          <w:bottom w:w="28" w:type="dxa"/>
          <w:right w:w="28" w:type="dxa"/>
        </w:tblCellMar>
      </w:tblPr>
      <w:tblGrid>
        <w:gridCol w:w="1269"/>
        <w:gridCol w:w="1113"/>
        <w:gridCol w:w="1128"/>
        <w:gridCol w:w="424"/>
        <w:gridCol w:w="424"/>
        <w:gridCol w:w="426"/>
        <w:gridCol w:w="970"/>
        <w:gridCol w:w="970"/>
        <w:gridCol w:w="1374"/>
      </w:tblGrid>
      <w:tr>
        <w:trPr/>
        <w:tc>
          <w:tcPr>
            <w:tcW w:w="126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$0.10 per share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ICUI</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if the registrant is a well-known seasoned issuer, as defined in Rule 405 of the Securities Act.  </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r>
        <w:rPr>
          <w:color w:val="000000"/>
        </w:rPr>
        <w:t> </w:t>
      </w:r>
    </w:p>
    <w:tbl>
      <w:tblPr>
        <w:tblW w:w="5436" w:type="dxa"/>
        <w:jc w:val="left"/>
        <w:tblInd w:w="0" w:type="dxa"/>
        <w:tblLayout w:type="fixed"/>
        <w:tblCellMar>
          <w:top w:w="28" w:type="dxa"/>
          <w:left w:w="28" w:type="dxa"/>
          <w:bottom w:w="28" w:type="dxa"/>
          <w:right w:w="28" w:type="dxa"/>
        </w:tblCellMar>
      </w:tblPr>
      <w:tblGrid>
        <w:gridCol w:w="743"/>
        <w:gridCol w:w="654"/>
        <w:gridCol w:w="658"/>
        <w:gridCol w:w="109"/>
        <w:gridCol w:w="109"/>
        <w:gridCol w:w="109"/>
        <w:gridCol w:w="109"/>
        <w:gridCol w:w="109"/>
        <w:gridCol w:w="109"/>
        <w:gridCol w:w="784"/>
        <w:gridCol w:w="784"/>
        <w:gridCol w:w="787"/>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w:t>
      </w:r>
    </w:p>
    <w:p>
      <w:pPr>
        <w:pStyle w:val="TextBody"/>
        <w:bidi w:val="0"/>
        <w:spacing w:lineRule="auto" w:line="288" w:before="0" w:after="0"/>
        <w:jc w:val="left"/>
        <w:rPr/>
      </w:pPr>
      <w:r>
        <w:rPr>
          <w:rFonts w:ascii="Times New Roman;sans-serif" w:hAnsi="Times New Roman;sans-serif"/>
          <w:b w:val="false"/>
          <w:color w:val="000000"/>
          <w:sz w:val="20"/>
        </w:rPr>
        <w:t xml:space="preserve">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w:t>
      </w:r>
    </w:p>
    <w:p>
      <w:pPr>
        <w:pStyle w:val="TextBody"/>
        <w:bidi w:val="0"/>
        <w:spacing w:lineRule="auto" w:line="288" w:before="0" w:after="0"/>
        <w:jc w:val="left"/>
        <w:rPr/>
      </w:pPr>
      <w:r>
        <w:rPr>
          <w:rFonts w:ascii="Times New Roman;sans-serif" w:hAnsi="Times New Roman;sans-serif"/>
          <w:b w:val="false"/>
          <w:color w:val="000000"/>
          <w:sz w:val="20"/>
        </w:rPr>
        <w:t xml:space="preserve">to §240.10D-1(b). </w:t>
      </w:r>
      <w:r>
        <w:rPr>
          <w:rFonts w:ascii="Wingdings;sans-serif" w:hAnsi="Wingdings;sans-serif"/>
          <w:b w:val="false"/>
          <w:color w:val="000000"/>
          <w:sz w:val="20"/>
        </w:rPr>
        <w: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Act).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stock held by non-affiliates of registrant as of June 30, 2023, the last business day of registrant’s most recently completed second fiscal quarter, was $3,601,073,250.</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registrant’s common stock, $.10 par value, as of January 31, 2024 was 24,142,564.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DOCUMENTS INCORPORATED BY REFERENCE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Proxy Statement for registrant’s 2024 Annual Meeting of Stockholders filed or to be filed pursuant to Regulation 14A within 120 days following registrant’s fiscal year ended December 31, 2023, are incorporated by reference into Part III of this Report.</w:t>
      </w:r>
    </w:p>
    <w:p>
      <w:pPr>
        <w:pStyle w:val="TextBody"/>
        <w:bidi w:val="0"/>
        <w:spacing w:lineRule="auto" w:line="288" w:before="0" w:after="0"/>
        <w:jc w:val="left"/>
        <w:rPr>
          <w:color w:val="000000"/>
        </w:rPr>
      </w:pPr>
      <w:r>
        <w:rPr>
          <w:color w:val="000000"/>
        </w:rPr>
        <w: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right"/>
        <w:tblInd w:w="0" w:type="dxa"/>
        <w:tblLayout w:type="fixed"/>
        <w:tblCellMar>
          <w:top w:w="28" w:type="dxa"/>
          <w:left w:w="28" w:type="dxa"/>
          <w:bottom w:w="28" w:type="dxa"/>
          <w:right w:w="28" w:type="dxa"/>
        </w:tblCellMar>
      </w:tblPr>
      <w:tblGrid>
        <w:gridCol w:w="442"/>
        <w:gridCol w:w="387"/>
        <w:gridCol w:w="387"/>
        <w:gridCol w:w="2830"/>
        <w:gridCol w:w="2801"/>
        <w:gridCol w:w="2844"/>
        <w:gridCol w:w="149"/>
        <w:gridCol w:w="149"/>
        <w:gridCol w:w="216"/>
      </w:tblGrid>
      <w:tr>
        <w:trPr/>
        <w:tc>
          <w:tcPr>
            <w:tcW w:w="44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0">
              <w:r>
                <w:rPr>
                  <w:rStyle w:val="InternetLink"/>
                  <w:rFonts w:ascii="Times New Roman;sans-serif" w:hAnsi="Times New Roman;sans-serif"/>
                  <w:b w:val="false"/>
                  <w:color w:val="000000"/>
                  <w:sz w:val="20"/>
                  <w:u w:val="single"/>
                </w:rPr>
                <w:t>Forward-Looking Statements</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3">
              <w:r>
                <w:rPr>
                  <w:rStyle w:val="InternetLink"/>
                  <w:rFonts w:ascii="Times New Roman;sans-serif" w:hAnsi="Times New Roman;sans-serif"/>
                  <w:b w:val="false"/>
                  <w:color w:val="000000"/>
                  <w:sz w:val="20"/>
                  <w:u w:val="single"/>
                </w:rPr>
                <w:t>Risk Factors Summary</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9">
              <w:r>
                <w:rPr>
                  <w:rStyle w:val="InternetLink"/>
                  <w:rFonts w:ascii="Times New Roman;sans-serif" w:hAnsi="Times New Roman;sans-serif"/>
                  <w:b w:val="false"/>
                  <w:color w:val="000000"/>
                  <w:sz w:val="20"/>
                  <w:u w:val="single"/>
                </w:rPr>
                <w:t>Item 1</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9">
              <w:r>
                <w:rPr>
                  <w:rStyle w:val="InternetLink"/>
                  <w:rFonts w:ascii="Times New Roman;sans-serif" w:hAnsi="Times New Roman;sans-serif"/>
                  <w:b w:val="false"/>
                  <w:color w:val="000000"/>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9">
              <w:r>
                <w:rPr>
                  <w:rStyle w:val="InternetLink"/>
                  <w:rFonts w:ascii="Times New Roman;sans-serif" w:hAnsi="Times New Roman;sans-serif"/>
                  <w:b w:val="false"/>
                  <w:color w:val="000000"/>
                  <w:sz w:val="20"/>
                  <w:u w:val="single"/>
                </w:rPr>
                <w:t>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22">
              <w:r>
                <w:rPr>
                  <w:rStyle w:val="InternetLink"/>
                  <w:rFonts w:ascii="Times New Roman;sans-serif" w:hAnsi="Times New Roman;sans-serif"/>
                  <w:b w:val="false"/>
                  <w:color w:val="000000"/>
                  <w:sz w:val="20"/>
                  <w:u w:val="single"/>
                </w:rPr>
                <w:t>Item 1A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22">
              <w:r>
                <w:rPr>
                  <w:rStyle w:val="InternetLink"/>
                  <w:rFonts w:ascii="Times New Roman;sans-serif" w:hAnsi="Times New Roman;sans-serif"/>
                  <w:b w:val="false"/>
                  <w:color w:val="000000"/>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22">
              <w:r>
                <w:rPr>
                  <w:rStyle w:val="InternetLink"/>
                  <w:rFonts w:ascii="Times New Roman;sans-serif" w:hAnsi="Times New Roman;sans-serif"/>
                  <w:b w:val="false"/>
                  <w:color w:val="000000"/>
                  <w:sz w:val="20"/>
                  <w:u w:val="single"/>
                </w:rPr>
                <w:t>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25">
              <w:r>
                <w:rPr>
                  <w:rStyle w:val="InternetLink"/>
                  <w:rFonts w:ascii="Times New Roman;sans-serif" w:hAnsi="Times New Roman;sans-serif"/>
                  <w:b w:val="false"/>
                  <w:color w:val="000000"/>
                  <w:sz w:val="20"/>
                  <w:u w:val="single"/>
                </w:rPr>
                <w:t>Item 1B</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25">
              <w:r>
                <w:rPr>
                  <w:rStyle w:val="InternetLink"/>
                  <w:rFonts w:ascii="Times New Roman;sans-serif" w:hAnsi="Times New Roman;sans-serif"/>
                  <w:b w:val="false"/>
                  <w:color w:val="000000"/>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25">
              <w:r>
                <w:rPr>
                  <w:rStyle w:val="InternetLink"/>
                  <w:rFonts w:ascii="Times New Roman;sans-serif" w:hAnsi="Times New Roman;sans-serif"/>
                  <w:b w:val="false"/>
                  <w:color w:val="000000"/>
                  <w:sz w:val="20"/>
                  <w:u w:val="single"/>
                </w:rPr>
                <w:t>37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463">
              <w:r>
                <w:rPr>
                  <w:rStyle w:val="InternetLink"/>
                  <w:rFonts w:ascii="Times New Roman;sans-serif" w:hAnsi="Times New Roman;sans-serif"/>
                  <w:b w:val="false"/>
                  <w:color w:val="000000"/>
                  <w:sz w:val="20"/>
                  <w:u w:val="single"/>
                </w:rPr>
                <w:t>Item 1C</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463">
              <w:r>
                <w:rPr>
                  <w:rStyle w:val="InternetLink"/>
                  <w:rFonts w:ascii="Times New Roman;sans-serif" w:hAnsi="Times New Roman;sans-serif"/>
                  <w:b w:val="false"/>
                  <w:color w:val="000000"/>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463">
              <w:r>
                <w:rPr>
                  <w:rStyle w:val="InternetLink"/>
                  <w:rFonts w:ascii="Times New Roman;sans-serif" w:hAnsi="Times New Roman;sans-serif"/>
                  <w:b w:val="false"/>
                  <w:color w:val="000000"/>
                  <w:sz w:val="20"/>
                  <w:u w:val="single"/>
                </w:rPr>
                <w:t>38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28">
              <w:r>
                <w:rPr>
                  <w:rStyle w:val="InternetLink"/>
                  <w:rFonts w:ascii="Times New Roman;sans-serif" w:hAnsi="Times New Roman;sans-serif"/>
                  <w:b w:val="false"/>
                  <w:color w:val="000000"/>
                  <w:sz w:val="20"/>
                  <w:u w:val="single"/>
                </w:rPr>
                <w:t>Item 2</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28">
              <w:r>
                <w:rPr>
                  <w:rStyle w:val="InternetLink"/>
                  <w:rFonts w:ascii="Times New Roman;sans-serif" w:hAnsi="Times New Roman;sans-serif"/>
                  <w:b w:val="false"/>
                  <w:color w:val="000000"/>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28">
              <w:r>
                <w:rPr>
                  <w:rStyle w:val="InternetLink"/>
                  <w:rFonts w:ascii="Times New Roman;sans-serif" w:hAnsi="Times New Roman;sans-serif"/>
                  <w:b w:val="false"/>
                  <w:color w:val="000000"/>
                  <w:sz w:val="20"/>
                  <w:u w:val="single"/>
                </w:rPr>
                <w:t>39</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31">
              <w:r>
                <w:rPr>
                  <w:rStyle w:val="InternetLink"/>
                  <w:rFonts w:ascii="Times New Roman;sans-serif" w:hAnsi="Times New Roman;sans-serif"/>
                  <w:b w:val="false"/>
                  <w:color w:val="000000"/>
                  <w:sz w:val="20"/>
                  <w:u w:val="single"/>
                </w:rPr>
                <w:t>Item 3</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31">
              <w:r>
                <w:rPr>
                  <w:rStyle w:val="InternetLink"/>
                  <w:rFonts w:ascii="Times New Roman;sans-serif" w:hAnsi="Times New Roman;sans-serif"/>
                  <w:b w:val="false"/>
                  <w:color w:val="000000"/>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31">
              <w:r>
                <w:rPr>
                  <w:rStyle w:val="InternetLink"/>
                  <w:rFonts w:ascii="Times New Roman;sans-serif" w:hAnsi="Times New Roman;sans-serif"/>
                  <w:b w:val="false"/>
                  <w:color w:val="000000"/>
                  <w:sz w:val="20"/>
                  <w:u w:val="single"/>
                </w:rPr>
                <w:t>40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34">
              <w:r>
                <w:rPr>
                  <w:rStyle w:val="InternetLink"/>
                  <w:rFonts w:ascii="Times New Roman;sans-serif" w:hAnsi="Times New Roman;sans-serif"/>
                  <w:b w:val="false"/>
                  <w:color w:val="000000"/>
                  <w:sz w:val="20"/>
                  <w:u w:val="single"/>
                </w:rPr>
                <w:t>Item 4</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34">
              <w:r>
                <w:rPr>
                  <w:rStyle w:val="InternetLink"/>
                  <w:rFonts w:ascii="Times New Roman;sans-serif" w:hAnsi="Times New Roman;sans-serif"/>
                  <w:b w:val="false"/>
                  <w:color w:val="000000"/>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34">
              <w:r>
                <w:rPr>
                  <w:rStyle w:val="InternetLink"/>
                  <w:rFonts w:ascii="Times New Roman;sans-serif" w:hAnsi="Times New Roman;sans-serif"/>
                  <w:b w:val="false"/>
                  <w:color w:val="000000"/>
                  <w:sz w:val="20"/>
                  <w:u w:val="single"/>
                </w:rPr>
                <w:t>40</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0">
              <w:r>
                <w:rPr>
                  <w:rStyle w:val="InternetLink"/>
                  <w:rFonts w:ascii="Times New Roman;sans-serif" w:hAnsi="Times New Roman;sans-serif"/>
                  <w:b w:val="false"/>
                  <w:color w:val="000000"/>
                  <w:sz w:val="20"/>
                  <w:u w:val="single"/>
                </w:rPr>
                <w:t>Item 5</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0">
              <w:r>
                <w:rPr>
                  <w:rStyle w:val="InternetLink"/>
                  <w:rFonts w:ascii="Times New Roman;sans-serif" w:hAnsi="Times New Roman;sans-serif"/>
                  <w:b w:val="false"/>
                  <w:color w:val="000080"/>
                  <w:sz w:val="20"/>
                  <w:u w:val="single"/>
                </w:rPr>
                <w:t>Market for</w:t>
              </w:r>
            </w:hyperlink>
            <w:hyperlink w:anchor="ie367aa308e554ece8927496a6557c9ae_40">
              <w:r>
                <w:rPr>
                  <w:rStyle w:val="InternetLink"/>
                  <w:rFonts w:ascii="Times New Roman;sans-serif" w:hAnsi="Times New Roman;sans-serif"/>
                  <w:b w:val="false"/>
                  <w:color w:val="000080"/>
                  <w:sz w:val="20"/>
                  <w:u w:val="single"/>
                </w:rPr>
                <w:t xml:space="preserve">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40">
              <w:r>
                <w:rPr>
                  <w:rStyle w:val="InternetLink"/>
                  <w:rFonts w:ascii="Times New Roman;sans-serif" w:hAnsi="Times New Roman;sans-serif"/>
                  <w:b w:val="false"/>
                  <w:color w:val="000000"/>
                  <w:sz w:val="20"/>
                  <w:u w:val="single"/>
                </w:rPr>
                <w:t>41</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3">
              <w:r>
                <w:rPr>
                  <w:rStyle w:val="InternetLink"/>
                  <w:rFonts w:ascii="Times New Roman;sans-serif" w:hAnsi="Times New Roman;sans-serif"/>
                  <w:b w:val="false"/>
                  <w:color w:val="000000"/>
                  <w:sz w:val="20"/>
                  <w:u w:val="single"/>
                </w:rPr>
                <w:t>Item 6</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3">
              <w:r>
                <w:rPr>
                  <w:rStyle w:val="InternetLink"/>
                  <w:rFonts w:ascii="Times New Roman;sans-serif" w:hAnsi="Times New Roman;sans-serif"/>
                  <w:b w:val="false"/>
                  <w:color w:val="000000"/>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43">
              <w:r>
                <w:rPr>
                  <w:rStyle w:val="InternetLink"/>
                  <w:rFonts w:ascii="Times New Roman;sans-serif" w:hAnsi="Times New Roman;sans-serif"/>
                  <w:b w:val="false"/>
                  <w:color w:val="000000"/>
                  <w:sz w:val="20"/>
                  <w:u w:val="single"/>
                </w:rPr>
                <w:t>42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6">
              <w:r>
                <w:rPr>
                  <w:rStyle w:val="InternetLink"/>
                  <w:rFonts w:ascii="Times New Roman;sans-serif" w:hAnsi="Times New Roman;sans-serif"/>
                  <w:b w:val="false"/>
                  <w:color w:val="000000"/>
                  <w:sz w:val="20"/>
                  <w:u w:val="single"/>
                </w:rPr>
                <w:t>Item 7</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6">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46">
              <w:r>
                <w:rPr>
                  <w:rStyle w:val="InternetLink"/>
                  <w:rFonts w:ascii="Times New Roman;sans-serif" w:hAnsi="Times New Roman;sans-serif"/>
                  <w:b w:val="false"/>
                  <w:color w:val="000000"/>
                  <w:sz w:val="20"/>
                  <w:u w:val="single"/>
                </w:rPr>
                <w:t>42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9">
              <w:r>
                <w:rPr>
                  <w:rStyle w:val="InternetLink"/>
                  <w:rFonts w:ascii="Times New Roman;sans-serif" w:hAnsi="Times New Roman;sans-serif"/>
                  <w:b w:val="false"/>
                  <w:color w:val="000000"/>
                  <w:sz w:val="20"/>
                  <w:u w:val="single"/>
                </w:rPr>
                <w:t>Item 7A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49">
              <w:r>
                <w:rPr>
                  <w:rStyle w:val="InternetLink"/>
                  <w:rFonts w:ascii="Times New Roman;sans-serif" w:hAnsi="Times New Roman;sans-serif"/>
                  <w:b w:val="false"/>
                  <w:color w:val="000000"/>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49">
              <w:r>
                <w:rPr>
                  <w:rStyle w:val="InternetLink"/>
                  <w:rFonts w:ascii="Times New Roman;sans-serif" w:hAnsi="Times New Roman;sans-serif"/>
                  <w:b w:val="false"/>
                  <w:color w:val="000000"/>
                  <w:sz w:val="20"/>
                  <w:u w:val="single"/>
                </w:rPr>
                <w:t>57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52">
              <w:r>
                <w:rPr>
                  <w:rStyle w:val="InternetLink"/>
                  <w:rFonts w:ascii="Times New Roman;sans-serif" w:hAnsi="Times New Roman;sans-serif"/>
                  <w:b w:val="false"/>
                  <w:color w:val="000000"/>
                  <w:sz w:val="20"/>
                  <w:u w:val="single"/>
                </w:rPr>
                <w:t>Item 8</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52">
              <w:r>
                <w:rPr>
                  <w:rStyle w:val="InternetLink"/>
                  <w:rFonts w:ascii="Times New Roman;sans-serif" w:hAnsi="Times New Roman;sans-serif"/>
                  <w:b w:val="false"/>
                  <w:color w:val="000000"/>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52">
              <w:r>
                <w:rPr>
                  <w:rStyle w:val="InternetLink"/>
                  <w:rFonts w:ascii="Times New Roman;sans-serif" w:hAnsi="Times New Roman;sans-serif"/>
                  <w:b w:val="false"/>
                  <w:color w:val="000000"/>
                  <w:sz w:val="20"/>
                  <w:u w:val="single"/>
                </w:rPr>
                <w:t>58</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36">
              <w:r>
                <w:rPr>
                  <w:rStyle w:val="InternetLink"/>
                  <w:rFonts w:ascii="Times New Roman;sans-serif" w:hAnsi="Times New Roman;sans-serif"/>
                  <w:b w:val="false"/>
                  <w:color w:val="000000"/>
                  <w:sz w:val="20"/>
                  <w:u w:val="single"/>
                </w:rPr>
                <w:t>Item 9</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36">
              <w:r>
                <w:rPr>
                  <w:rStyle w:val="InternetLink"/>
                  <w:rFonts w:ascii="Times New Roman;sans-serif" w:hAnsi="Times New Roman;sans-serif"/>
                  <w:b w:val="false"/>
                  <w:color w:val="000000"/>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36">
              <w:r>
                <w:rPr>
                  <w:rStyle w:val="InternetLink"/>
                  <w:rFonts w:ascii="Times New Roman;sans-serif" w:hAnsi="Times New Roman;sans-serif"/>
                  <w:b w:val="false"/>
                  <w:color w:val="000000"/>
                  <w:sz w:val="20"/>
                  <w:u w:val="single"/>
                </w:rPr>
                <w:t>112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39">
              <w:r>
                <w:rPr>
                  <w:rStyle w:val="InternetLink"/>
                  <w:rFonts w:ascii="Times New Roman;sans-serif" w:hAnsi="Times New Roman;sans-serif"/>
                  <w:b w:val="false"/>
                  <w:color w:val="000000"/>
                  <w:sz w:val="20"/>
                  <w:u w:val="single"/>
                </w:rPr>
                <w:t>Item 9A</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39">
              <w:r>
                <w:rPr>
                  <w:rStyle w:val="InternetLink"/>
                  <w:rFonts w:ascii="Times New Roman;sans-serif" w:hAnsi="Times New Roman;sans-serif"/>
                  <w:b w:val="false"/>
                  <w:color w:val="000000"/>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39">
              <w:r>
                <w:rPr>
                  <w:rStyle w:val="InternetLink"/>
                  <w:rFonts w:ascii="Times New Roman;sans-serif" w:hAnsi="Times New Roman;sans-serif"/>
                  <w:b w:val="false"/>
                  <w:color w:val="000000"/>
                  <w:sz w:val="20"/>
                  <w:u w:val="single"/>
                </w:rPr>
                <w:t>112</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42">
              <w:r>
                <w:rPr>
                  <w:rStyle w:val="InternetLink"/>
                  <w:rFonts w:ascii="Times New Roman;sans-serif" w:hAnsi="Times New Roman;sans-serif"/>
                  <w:b w:val="false"/>
                  <w:color w:val="000000"/>
                  <w:sz w:val="20"/>
                  <w:u w:val="single"/>
                </w:rPr>
                <w:t>Item 9B</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42">
              <w:r>
                <w:rPr>
                  <w:rStyle w:val="InternetLink"/>
                  <w:rFonts w:ascii="Times New Roman;sans-serif" w:hAnsi="Times New Roman;sans-serif"/>
                  <w:b w:val="false"/>
                  <w:color w:val="000000"/>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42">
              <w:r>
                <w:rPr>
                  <w:rStyle w:val="InternetLink"/>
                  <w:rFonts w:ascii="Times New Roman;sans-serif" w:hAnsi="Times New Roman;sans-serif"/>
                  <w:b w:val="false"/>
                  <w:color w:val="000000"/>
                  <w:sz w:val="20"/>
                  <w:u w:val="single"/>
                </w:rPr>
                <w:t>113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45">
              <w:r>
                <w:rPr>
                  <w:rStyle w:val="InternetLink"/>
                  <w:rFonts w:ascii="Times New Roman;sans-serif" w:hAnsi="Times New Roman;sans-serif"/>
                  <w:b w:val="false"/>
                  <w:color w:val="000000"/>
                  <w:sz w:val="20"/>
                  <w:u w:val="single"/>
                </w:rPr>
                <w:t>Item 9C</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45">
              <w:r>
                <w:rPr>
                  <w:rStyle w:val="InternetLink"/>
                  <w:rFonts w:ascii="Times New Roman;sans-serif" w:hAnsi="Times New Roman;sans-serif"/>
                  <w:b w:val="false"/>
                  <w:color w:val="000000"/>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45">
              <w:r>
                <w:rPr>
                  <w:rStyle w:val="InternetLink"/>
                  <w:rFonts w:ascii="Times New Roman;sans-serif" w:hAnsi="Times New Roman;sans-serif"/>
                  <w:b w:val="false"/>
                  <w:color w:val="000000"/>
                  <w:sz w:val="20"/>
                  <w:u w:val="single"/>
                </w:rPr>
                <w:t>113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51">
              <w:r>
                <w:rPr>
                  <w:rStyle w:val="InternetLink"/>
                  <w:rFonts w:ascii="Times New Roman;sans-serif" w:hAnsi="Times New Roman;sans-serif"/>
                  <w:b w:val="false"/>
                  <w:color w:val="000000"/>
                  <w:sz w:val="20"/>
                  <w:u w:val="single"/>
                </w:rPr>
                <w:t>Item 10</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51">
              <w:r>
                <w:rPr>
                  <w:rStyle w:val="InternetLink"/>
                  <w:rFonts w:ascii="Times New Roman;sans-serif" w:hAnsi="Times New Roman;sans-serif"/>
                  <w:b w:val="false"/>
                  <w:color w:val="000000"/>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51">
              <w:r>
                <w:rPr>
                  <w:rStyle w:val="InternetLink"/>
                  <w:rFonts w:ascii="Times New Roman;sans-serif" w:hAnsi="Times New Roman;sans-serif"/>
                  <w:b w:val="false"/>
                  <w:color w:val="000000"/>
                  <w:sz w:val="20"/>
                  <w:u w:val="single"/>
                </w:rPr>
                <w:t>113</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54">
              <w:r>
                <w:rPr>
                  <w:rStyle w:val="InternetLink"/>
                  <w:rFonts w:ascii="Times New Roman;sans-serif" w:hAnsi="Times New Roman;sans-serif"/>
                  <w:b w:val="false"/>
                  <w:color w:val="000000"/>
                  <w:sz w:val="20"/>
                  <w:u w:val="single"/>
                </w:rPr>
                <w:t>Item 11</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54">
              <w:r>
                <w:rPr>
                  <w:rStyle w:val="InternetLink"/>
                  <w:rFonts w:ascii="Times New Roman;sans-serif" w:hAnsi="Times New Roman;sans-serif"/>
                  <w:b w:val="false"/>
                  <w:color w:val="000000"/>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54">
              <w:r>
                <w:rPr>
                  <w:rStyle w:val="InternetLink"/>
                  <w:rFonts w:ascii="Times New Roman;sans-serif" w:hAnsi="Times New Roman;sans-serif"/>
                  <w:b w:val="false"/>
                  <w:color w:val="000000"/>
                  <w:sz w:val="20"/>
                  <w:u w:val="singl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57">
              <w:r>
                <w:rPr>
                  <w:rStyle w:val="InternetLink"/>
                  <w:rFonts w:ascii="Times New Roman;sans-serif" w:hAnsi="Times New Roman;sans-serif"/>
                  <w:b w:val="false"/>
                  <w:color w:val="000000"/>
                  <w:sz w:val="20"/>
                  <w:u w:val="single"/>
                </w:rPr>
                <w:t>Item 12</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57">
              <w:r>
                <w:rPr>
                  <w:rStyle w:val="InternetLink"/>
                  <w:rFonts w:ascii="Times New Roman;sans-serif" w:hAnsi="Times New Roman;sans-serif"/>
                  <w:b w:val="false"/>
                  <w:color w:val="000000"/>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57">
              <w:r>
                <w:rPr>
                  <w:rStyle w:val="InternetLink"/>
                  <w:rFonts w:ascii="Times New Roman;sans-serif" w:hAnsi="Times New Roman;sans-serif"/>
                  <w:b w:val="false"/>
                  <w:color w:val="000000"/>
                  <w:sz w:val="20"/>
                  <w:u w:val="singl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60">
              <w:r>
                <w:rPr>
                  <w:rStyle w:val="InternetLink"/>
                  <w:rFonts w:ascii="Times New Roman;sans-serif" w:hAnsi="Times New Roman;sans-serif"/>
                  <w:b w:val="false"/>
                  <w:color w:val="000000"/>
                  <w:sz w:val="20"/>
                  <w:u w:val="single"/>
                </w:rPr>
                <w:t>Item 13</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60">
              <w:r>
                <w:rPr>
                  <w:rStyle w:val="InternetLink"/>
                  <w:rFonts w:ascii="Times New Roman;sans-serif" w:hAnsi="Times New Roman;sans-serif"/>
                  <w:b w:val="false"/>
                  <w:color w:val="000000"/>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60">
              <w:r>
                <w:rPr>
                  <w:rStyle w:val="InternetLink"/>
                  <w:rFonts w:ascii="Times New Roman;sans-serif" w:hAnsi="Times New Roman;sans-serif"/>
                  <w:b w:val="false"/>
                  <w:color w:val="000000"/>
                  <w:sz w:val="20"/>
                  <w:u w:val="single"/>
                </w:rPr>
                <w:t>116</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63">
              <w:r>
                <w:rPr>
                  <w:rStyle w:val="InternetLink"/>
                  <w:rFonts w:ascii="Times New Roman;sans-serif" w:hAnsi="Times New Roman;sans-serif"/>
                  <w:b w:val="false"/>
                  <w:color w:val="000000"/>
                  <w:sz w:val="20"/>
                  <w:u w:val="single"/>
                </w:rPr>
                <w:t>Item 14</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63">
              <w:r>
                <w:rPr>
                  <w:rStyle w:val="InternetLink"/>
                  <w:rFonts w:ascii="Times New Roman;sans-serif" w:hAnsi="Times New Roman;sans-serif"/>
                  <w:b w:val="false"/>
                  <w:color w:val="000000"/>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63">
              <w:r>
                <w:rPr>
                  <w:rStyle w:val="InternetLink"/>
                  <w:rFonts w:ascii="Times New Roman;sans-serif" w:hAnsi="Times New Roman;sans-serif"/>
                  <w:b w:val="false"/>
                  <w:color w:val="000000"/>
                  <w:sz w:val="20"/>
                  <w:u w:val="single"/>
                </w:rPr>
                <w:t>116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69">
              <w:r>
                <w:rPr>
                  <w:rStyle w:val="InternetLink"/>
                  <w:rFonts w:ascii="Times New Roman;sans-serif" w:hAnsi="Times New Roman;sans-serif"/>
                  <w:b w:val="false"/>
                  <w:color w:val="000000"/>
                  <w:sz w:val="20"/>
                  <w:u w:val="single"/>
                </w:rPr>
                <w:t>Item 15</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69">
              <w:r>
                <w:rPr>
                  <w:rStyle w:val="InternetLink"/>
                  <w:rFonts w:ascii="Times New Roman;sans-serif" w:hAnsi="Times New Roman;sans-serif"/>
                  <w:b w:val="false"/>
                  <w:color w:val="000080"/>
                  <w:sz w:val="20"/>
                  <w:u w:val="single"/>
                </w:rPr>
                <w:t>Exhibit</w:t>
              </w:r>
            </w:hyperlink>
            <w:hyperlink w:anchor="ie367aa308e554ece8927496a6557c9ae_169">
              <w:r>
                <w:rPr>
                  <w:rStyle w:val="InternetLink"/>
                  <w:rFonts w:ascii="Times New Roman;sans-serif" w:hAnsi="Times New Roman;sans-serif"/>
                  <w:b w:val="false"/>
                  <w:color w:val="000080"/>
                  <w:sz w:val="20"/>
                  <w:u w:val="single"/>
                </w:rPr>
                <w:t xml:space="preserve">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69">
              <w:r>
                <w:rPr>
                  <w:rStyle w:val="InternetLink"/>
                  <w:rFonts w:ascii="Times New Roman;sans-serif" w:hAnsi="Times New Roman;sans-serif"/>
                  <w:b w:val="false"/>
                  <w:color w:val="000000"/>
                  <w:sz w:val="20"/>
                  <w:u w:val="single"/>
                </w:rPr>
                <w:t>117</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78">
              <w:r>
                <w:rPr>
                  <w:rStyle w:val="InternetLink"/>
                  <w:rFonts w:ascii="Times New Roman;sans-serif" w:hAnsi="Times New Roman;sans-serif"/>
                  <w:b w:val="false"/>
                  <w:color w:val="000000"/>
                  <w:sz w:val="20"/>
                  <w:u w:val="single"/>
                </w:rPr>
                <w:t>Item 16</w:t>
              </w:r>
            </w:hyperlink>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10-K Summary</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78">
              <w:r>
                <w:rPr>
                  <w:rStyle w:val="InternetLink"/>
                  <w:rFonts w:ascii="Times New Roman;sans-serif" w:hAnsi="Times New Roman;sans-serif"/>
                  <w:b w:val="false"/>
                  <w:color w:val="000000"/>
                  <w:sz w:val="20"/>
                  <w:u w:val="single"/>
                </w:rPr>
                <w:t>120</w:t>
              </w:r>
            </w:hyperlink>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81">
              <w:r>
                <w:rPr>
                  <w:rStyle w:val="InternetLink"/>
                  <w:rFonts w:ascii="Times New Roman;sans-serif" w:hAnsi="Times New Roman;sans-serif"/>
                  <w:b w:val="false"/>
                  <w:color w:val="000000"/>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67aa308e554ece8927496a6557c9ae_181">
              <w:r>
                <w:rPr>
                  <w:rStyle w:val="InternetLink"/>
                  <w:rFonts w:ascii="Times New Roman;sans-serif" w:hAnsi="Times New Roman;sans-serif"/>
                  <w:b w:val="false"/>
                  <w:color w:val="000000"/>
                  <w:sz w:val="20"/>
                  <w:u w:val="single"/>
                </w:rPr>
                <w:t>120</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Various portions of this Annual Report on Form 10-K, including Part II. Item 7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forward-looking statements are based on the best information currently available to us and assumptions that we believe are reasonable, but we do not intend the statements to be representations as to future results. They include, without limitation,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future growth; future operating results and financial condition (including, among other things, anticipated sales; accruals for restructuring charges, production costs; operating expenses; manufacturing expenses; our expectations regarding liquidity and capital resources over the next twelve months; source of funds for capital purchases and operations; future tax rates; alternative sources of capital or financing; changes in working capital items such as receivables and inventory; and income taxes);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factors affecting our operating results, such as the impact of global economic challenges and geopolitical events; an increase in shipping costs; loss of a strategic relationship; change in demand for our products; domestic and international sales; expansion in international markets,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plant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new or extended contracts with manufacturers and buying organizations; dependence on a small number of customers; loss of larger distributors and the ability to locate other distributors;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foreign exchange risk; commodity price risk; plans to convert existing space; acquisitions of other businesses or product lines;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acquisitions and the integration of acquired businesses and product line (including the Smiths Medical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 looking statements in this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those described under the sections in this Annual Report on Form 10-K entitled “Summary Risk Factors,” “Risk Factors” and “Management’s Discussion and Analysis of Financial Condition and Results of Operations” and elsewhere in this Annual Report on Form 10-K.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a number of risks and uncertainties, including those described in Part I, Item 1A. "Risk Factors" in this Annual Report on Form 10-K. You should carefully consider these risks and uncertainties when investing in our securities. Principal risks and uncertainties include: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we are unable to compete successfully with our competitors, we may be unable to maintain market share, in which case our sales may not grow and our profitability may be adversely affected.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demand for our products were to decline significantly, we might not be able to recover the cost of our expensive automated molding and assembly equipment and tooling, which could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development requires substantial investment that may be difficult for us to fund and may be challenging to recover through commercial product sales.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Heightened inflation, higher interest rates and </w:t>
      </w:r>
      <w:r>
        <w:rPr>
          <w:rFonts w:ascii="Times New Roman;sans-serif" w:hAnsi="Times New Roman;sans-serif"/>
          <w:b w:val="false"/>
          <w:color w:val="000000"/>
          <w:sz w:val="20"/>
        </w:rPr>
        <w:t xml:space="preserve">foreign currency rate fluctuations </w:t>
      </w:r>
      <w:r>
        <w:rPr>
          <w:rFonts w:ascii="Times New Roman;sans-serif" w:hAnsi="Times New Roman;sans-serif"/>
          <w:b w:val="false"/>
          <w:color w:val="000000"/>
          <w:sz w:val="20"/>
          <w:shd w:fill="FFFFFF" w:val="clear"/>
        </w:rPr>
        <w:t xml:space="preserve">as a result of global macroeconomic and geopolitical conditions </w:t>
      </w:r>
      <w:r>
        <w:rPr>
          <w:rFonts w:ascii="Times New Roman;sans-serif" w:hAnsi="Times New Roman;sans-serif"/>
          <w:b w:val="false"/>
          <w:color w:val="000000"/>
          <w:sz w:val="20"/>
        </w:rPr>
        <w:t xml:space="preserve">have had and </w:t>
      </w:r>
      <w:r>
        <w:rPr>
          <w:rFonts w:ascii="Times New Roman;sans-serif" w:hAnsi="Times New Roman;sans-serif"/>
          <w:b w:val="false"/>
          <w:color w:val="000000"/>
          <w:sz w:val="20"/>
          <w:shd w:fill="FFFFFF" w:val="clear"/>
        </w:rPr>
        <w:t xml:space="preserve">could </w:t>
      </w:r>
      <w:r>
        <w:rPr>
          <w:rFonts w:ascii="Times New Roman;sans-serif" w:hAnsi="Times New Roman;sans-serif"/>
          <w:b w:val="false"/>
          <w:color w:val="000000"/>
          <w:sz w:val="20"/>
        </w:rPr>
        <w:t xml:space="preserve">in the future </w:t>
      </w:r>
      <w:r>
        <w:rPr>
          <w:rFonts w:ascii="Times New Roman;sans-serif" w:hAnsi="Times New Roman;sans-serif"/>
          <w:b w:val="false"/>
          <w:color w:val="000000"/>
          <w:sz w:val="20"/>
          <w:shd w:fill="FFFFFF" w:val="clear"/>
        </w:rPr>
        <w:t>have a material adverse effect on our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Continuing pressures to reduce healthcare costs and inadequate coverage and reimbursement may adversely affect our prices. If we cannot reduce manufacturing costs of existing and new products to counteract such pricing pressures, our sales may not grow and our profitability may decline.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at the FDA, other government agencies or notified bodies caused by funding shortages or global health concerns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or interruptions at, any of our manufacturing facilities or our suppliers' facilities could impair our ability to produce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Times New Roman;sans-serif" w:hAnsi="Times New Roman;sans-serif"/>
          <w:b w:val="false"/>
          <w:color w:val="000000"/>
          <w:sz w:val="20"/>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pStyle w:val="TextBody"/>
        <w:bidi w:val="0"/>
        <w:spacing w:before="0" w:after="0"/>
        <w:jc w:val="left"/>
        <w:rPr/>
      </w:pPr>
      <w:r>
        <w:rPr/>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000000"/>
          <w:sz w:val="20"/>
        </w:rPr>
        <w:t>Significant sales through distributors expose us to risks that could have a material effect on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perceived failures to comply with foreign, federal, and state data privacy and security laws, regulations and standards may adversely affect our business, operations and financial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market our products in the U.S. and other countries may be adversely affected if our products fail to comply with the applicable requirements of the FDA and regulatory agencies in other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operations may be adversely impacted by our exposure to risks related to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changes in U.S. trade, tax or other policies that restrict imports or increase import tariffs could have a material adverse effect on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International sales pose additional risks related to competition with larger international companies and established local companies and higher credit risk.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Smiths Medical acquisition completed in January 2022 has resulted in organizational changes and an increase in size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actual impact of the Smiths Medical acquisition on our financial results may be worse than the assumptions we have used.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 the Smiths Medical acquisition, we used a significant portion of our cash on hand and incurred a substantial amount of debt to finance the cash consideration portion and certain other amounts paid in connection with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See </w:t>
      </w:r>
      <w:r>
        <w:rPr>
          <w:rFonts w:ascii="Times New Roman;sans-serif" w:hAnsi="Times New Roman;sans-serif"/>
          <w:b w:val="false"/>
          <w:color w:val="000000"/>
          <w:sz w:val="20"/>
        </w:rPr>
        <w:t>Part I, Item 1A of this Annual Report on Form 10-K for the detailed discussion of the above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First person pronouns used in this Annual Report on Form 10-K, such as “we,” “us,” and “our,” refer to ICU Medical, Inc. (“ICU”) and its subsidiaries unless context requires otherwise.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Background and Overview of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ICU develops, manufactures and sells innovative medical products used in infusion therapy, vascular access, and vital care applications. Our team is focused on providing quality, innovation and value to our clinical customers worldwide. ICU's product portfolio includes ambulatory, syringe, and large volume IV pumps and safety software; dedicated and non-dedicated IV sets, needlefree IV connectors, IV catheters, sharps safety products, and sterile IV solutions; closed system transfer devices and pharmacy compounding systems; as well as a range of respiratory, anesthesia, patient monitoring, and temperature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Headquartered in San Clemente, California, ICU was founded in 1984. Our primary customers are acute care hospitals, wholesalers, ambulatory clinics and alternate site facilities, such as outpatient clinics, home health care providers, and long-term care facilities. Since our inception we have grown organically and through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2017, we acquired Pfizer Inc.’s (“Pfizer”) Hospira Infusion Systems (“HIS”) business. The HIS acquisition complemented our legacy non-dedicated infusion sets and oncology business by expanding our product portfolio to include a complete intravenous infusion therapy product-line from IV solutions to IV pumps to non-dedicated infusion sets.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2019, we acquired Pursuit Vascular, Inc. (“Pursuit”). Pursuit was a privately-held medical device company with a primary focus on innovative catheter disinfecting products and technologies to reduce costly bloodstream infections and lower healthcare costs. Pursuit’s primary product is the ClearGuard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HD cap, which is used for the maintenance of hemodialysis catheters.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acquired Smiths Medical 2020 Limited (“Smiths Medical”), the holding company of Smiths Group plc’s global medical device business. The Smiths Medical acquisition complemented and broadened our preexisting product portfolio by adding syringe and ambulatory infusion devices, vascular access, and vital care products, and significantly strengthened and expanded our global market reach.</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integration of our acquisition of Smiths Medical, we have renamed our business units and reorganized the products thereunder and, as of January 1, 2023, our business unit structure is composed of Consumables, Infusion Systems and Vital Care. The product offerings under these business units are described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Consumables business unit includes Infusion Therapy, Oncology, Vascular Access and Tracheostomy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Infusion Therapy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Clave™ needlefree products, including the MicroClave, MicroClave Clear, and NanoClave™ brand of connectors, accessories, extension and administration sets used for the administration of IV fluids and medications;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Neutron™ catheter patency device, used to help maintain patency of central venous catheters;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Tego™ needlefree connector utilized to access catheters for hemodialysis and apheresis applications;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ClearGuard™, SwabCap™ and SwabTip™ disinfection caps.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Oncology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ChemoLockTM CSTD,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ChemoClaveTM,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Deltec® GRIPPER® non-coring needles for portal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Vascular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Vascular Access products are used by clinicians to access the patients' bloodstream to deliver fluids and medication or to obtain blood samples. Our primary Vascular Access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Jelco® safety and conventional peripheral IV catheters and sharps safety devices for hypodermic injection, designed to help prevent accidental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Safe-T Wing® venipuncture and blood collection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Port-A-Cath® implantable 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arterial blood sampling syringes;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PowerWand® midline catheters;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Cleo® subcutaneous infusion catheters and 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Tracheostomy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tracheostomy products are used in the placement of a secure airway using both surgical and percutaneous insertion techniques. Our primary Tracheostomy products includes: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BLUselect® PVC tracheostomy tubes, which feature an inner cannula as well as a Suctionaid option for above the cuff suctioning and vocalization capability;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Bivona® silicone tracheostomy tubes, which offer the added benefits of comfort and mobility and come in a variety of configurations suited to meet the clinical needs of neonatal through adult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BLUperc® percutaneous insertion kits, which allow for safe placement of the tracheostomy tube at the bedside.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comprehensive portfolio of infusion pumps, dedicated IV sets, software and professional services to meet the wide range of infusion needs. Our primary Infusion System products include: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Large Volume Pump ("LVP")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Plum 360™infusion pumps feature a unique delivery system that helps to enhance patient safety and workflow efficiency. The pumps work with PlumSet™ dedicated IV sets that include an air trap to help minimize interruptions and a direct connection to the secondary line that eliminates the risk of setup errors and enables concurrent delivery of two compatible medications through a single line. Plum 360 has been named Best in KLAS for seven years in a row (2018, 2019, 2020, 2023 – Best in KLAS Smart Pump Traditional; 2021, 2022, 2023, 2024 Best in KLAS Smart Pump EMR Integrated) and was the first medical device to be awarded UL Cybersecurity Assurance Program Certification.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Plum Duo™ infusion pumps with LifeShield™ safety software are dual channel devices capable of delivering up to four compatible medications at independent rates with a single pump. The Plum Duo combines the award-winning legacy of Plum 360 with modern innovation, including a large touch screen and highly intuitive user interface to help guide users through programming, while streamlining complex tasks.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Ambulatory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Syringe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IV Medication Safety Software: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EHR, asset tracking systems, and alarm notification platforms to further enhance infusion safety and efficiency.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LifeShield™ infusion safety software for Plum Duo infusion pumps is an enterprise-wide platform designed with the input of pharmacists, nurses and administrators to empower health systems to raise the bar in IV performance. The system’s hybrid architecture provides cloud-based functionality to allowing access anywhere with on-premise management providing security and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PharmGuard™ medication safety software for Medfusion 4000 syringe and CADD-Solis™ pumps allows for customized drug libraries to support the standardization of protocols for medication administration throughout the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Vital Care business unit includes IV Solutions, Hemodynamic Monitoring, General Anesthesia and Respiratory, Temperature Management Solutions and Regional Anesthesia/Pain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IV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IV Solutions products include a broad portfolio of injection, irrigation, nutrition and specialty IV solutions including:</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IV Therapy and Diluents, including Sodium Chloride, Dextrose, Balanced Electrolyte Solutions, Lactated Ringer's, Ringer's, Mannitol, Sodium Chloride/Dextrose and Sterile Water.</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Irrigation, including Sodium Chloride Irrigation, Sterile Water Irrigation, Physiologic Solutions, Ringer's Irrigation, Acetic Acid Irrigation, Glycine Irrigation, Sorbitol-Mannitol Irrigation, Flexible Containers and Pour Bottle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Hemodynamic Monitoring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Cogent™ 2-in-1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CardioFlo™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TDQ™ and OptiQ™ cardiac output monitoring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TriOxTM venous oximetry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Transpac™ blood pressure transducers;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SafeSet™ closed blood sampling and conservation system;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MEDEX® LogiCal® Pressure Monitoring System and components.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General Anesthesia &amp; Respiratory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acapella® bronchial hygiene products used to mobilize pulmonary secretions to facilitate the opening of airways in patients with chronic respiratory diseases such as chronic obstructive pulmonary disease, or COPD, asthma and cystic fibrosis.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Temperature Management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rapid infusion, fluid warming, routine blood and fluid warming, irrigation fluid warming, convective patient warming and temperature probes.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Regional Anesthesia/Pain Management Trays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comprehensive range of Portex® regional anesthesia/pain management trays and components. Our primary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Epidural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Spinal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Combined (CSE)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Peripheral Nerve Block Trays;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Specialty Trays (Lumbar Puncture, Amniocentesis, Myelogram).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information relating to our reporting segment and primary product lines is set forth in Part II, Item 7. "Management’s Discussion and Analysis of Financial Condition and Results of Operations" of this Annual Report on Form 10-K, and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Facilities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facilities are concentrated in the United States, Costa Rica, Mexico, and Czech Republic. See Part I, Item 2 of this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certain outside manufacturers for certain product lines in Infusion Systems and have in the past leveraged a long-term manufacturing and supply agreement ("MSA") with Pfizer to provide additional IV Solution products to us when requested. We no longer purchase products from Pfizer under the MSA.</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regional device service centers, in a number of locations, including Salt Lake City, Utah, U.S., Grasbrunn, Germany; Sligo, Ireland; San Laurent, Quebec, Canada; Taipei, Taiwan and Rydalmere, Australia. See Part I, Item 2 of this Annual Report on Form 10-K.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Raw Materials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We purchase many of the components and raw materials used in manufacturing our products from numerous suppliers in various countries. Certain components and raw materials are available only from a single supplier. We currently attempt to manage the risk associated with such suppliers by means of inventory management, relationship management and evaluation of alternative sources when feasible. See Item 1A. Risk Factors - </w:t>
      </w:r>
      <w:r>
        <w:rPr>
          <w:rFonts w:ascii="Times New Roman;sans-serif" w:hAnsi="Times New Roman;sans-serif"/>
          <w:b w:val="false"/>
          <w:i/>
          <w:color w:val="000000"/>
          <w:sz w:val="20"/>
        </w:rPr>
        <w:t xml:space="preserve">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Sales, Marketing and Administration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sell globally through our own direct sales force and through independent distributors. We currently serve customers in over 100 countries throughout the world. The majority of our sales is denominated in United States ("U.S.") dollars and we have sales denominated in Euros, Canadian dollars, Japanese Yen, British Pound and Australian dollars as well as other currencies. In 2023 and 2022, we had worldwide net sales to Medline of 16% and 15% of consolidated net sales, respectively. In 2021, we did not have sales over 10% to any single customer.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Distribution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marketed and distributed in the U.S. and internationally to medical product manufacturers, independent distributors and directly to end users.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our products in the U.S. is supported by a network of owned and leased distribution centers, which include King of Prussia, Pennsylvania; Los Angeles, California; Dallas, Texas and Olive Branch, Mississippi. We also utilize a number of public warehouses as part of our supply chain.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we manage distribution by utilizing international regional hubs and through independent distributors.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post-approval monitoring and reporting and import and export of drug products, medical devices and combination drug/device products in the U.S. to assure the safety and effectiveness of such medical products for their intended uses and otherwise meet the applicable requirements of the Federal Food, Drug and Cosmetic Act (“FDC Act”). The Federal Trade Commission ("FTC") also regulates the advertising of our products. Further, we are subject to laws directed at preventing fraud and abuse, which subject our sales and marketing, training and other practices to government scrutiny.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Medical Device Regulation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products are regulated by the FDA as medical devices in the U.S. Unless an exemption applies, each new or significantly modified medical device we seek to commercially distribute in the U.S. will require either a pre-market notification to the FDA requesting permission for commercial distribution under Section 510(k) of the FDC Act, also referred to as a 510(k) clearance, or approval from the FDA of a pre-market approval ("PMA") application. Under the FDC Act, medical devices are classified into one of three classes—Class I, Class II or Class III—depending on the degree of risk associated with each medical device and the extent of manufacturer and regulatory control needed to ensure its safety and effectiveness. Class I devices are those that pose the lowest risk to the patient and are those for which safety and effectiveness can be assured by adherence to the FDA's General Controls for medical devices, which include compliance with the applicable portions of current good manufacturing practices ("cGMPs") for medical devices known as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Devices deemed by the FDA to pose the greatest risks, such as life sustaining, life supporting or some implantable devices, or devices that have a new intended use, or use advanced technology that is not substantially equivalent to that of a legally marketed device, are placed into Class III.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of most Class II devices are required to obtain from the FDA a 510(k) clearance for permission to commercially distribute the device. Class III devices require approval of a PMA application evidencing safety and effectiveness of the device.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Under the 510(k) process, applicants must demonstrate to the FDA that the device is as safe and effective as, or substantially equivalent to, a legally marketed device, the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If the FDA agrees that the device is substantially equivalent to a lawfully marketed predicate device, it will grant 510(k) clearance to authorize the device for commercialization. If the FDA determines that the device is "not substantially equivalent," the device is automatically designated as a Class III device. The device sponsor must then fulfill more rigorous PMA requirements, or can request a risk-based classification determination for the device in accordance with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process, which is a route to market for novel medical devices that are low to moderate risk and are not substantially equivalent to a predicate device.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The FDA requires each manufacturer to determine whether the proposed change requires submission of a 510(k),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request or a PMA in the first instance, but the FDA can review any such decision and disagree with a manufacturer’s determination. If the FDA disagrees with a manufacturer’s determination not to seek a new 510(k) or other form of marketing authorization for the modification to the 510(k)-cleared product, the FDA can require the manufacturer to cease marketing and/or request the recall of the modified device until 510(k) clearance or PMA approval is obtained 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is granted.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Following receipt of a PMA application, the FDA determines whether the application is sufficiently complete to permit a substantive review. If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facilities to ensure compliance with the QSR. 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studies post-approval. Certain changes to an approved device, such as changes in manufacturing facilities, methods, or quality control procedures, or changes in the design performance specifications, which affect the safety or effectiveness of the device, require submission of a PMA supplement, or in some cases a new PMA.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a device is cleared or approved or otherwise authorized for marketing, numerous pervasive regulatory requirements continue to apply unless explicitly exempt. These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establishment registration and device listing with the FDA;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clearance or approval of product modifications to 510(k)-cleared devices that could significantly affect safety or effectiveness or that would constitute a major change in intended use of cleared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complying with requirements governing Unique Device Identifiers on devices and also requiring the submission of certain information about each device to the FDA's Global Unique Device Identification Database;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FDA's recall authority, whereby the agency can order device manufacturers to recall from the market a product that is in violation of governing laws and regulations;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post-market surveillance activities and regulations, which apply when deemed by the FDA to be necessary to protect public health or to provide additional safety and effectiveness data for the device.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Drug Regulation in the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IV solutions products are regulated by the FDA as drugs. In the U.S., the FDA regulates drugs under the FDC Act, and its implementing regulations, and biologics under the FDC Act and its implementing regulations. The process required by the FDA before a drug may be marketed in the U.S. generally involves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completion of preclinical laboratory tests and animal studies performed in accordance with the FDA's Good Laboratory Practice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submission to the FDA of an investigational new drug application ("IND"), which must become effective before clinical trials may begin;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approval by an institutional review board or ethics committee at each clinical site before the trial is commenced;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 of adequate and well-controlled human clinical trials to establish the safety and efficacy of the proposed product candidate for its intended purpose;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preparation of and submission to the FDA of a New Drug Application ("NDA") or abbreviated new drug application ("ANDA") after completion of all required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satisfactory completion of an FDA Advisory Committee review, if applicable;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determination by the FDA within 60 days of its receipt of an NDA to file the application for review;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satisfactory completion of an FDA pre-approval inspection of the manufacturing facility or facilities at which the proposed product is produced to assess compliance with cGMPs and to assure that the facilities, methods and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 adequate to preserve the product's continued safety, purity and potency, and of selected clinical investigation sites to assess compliance with Good Clinical Practices;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FDA review and approval of the NDA to permit commercial marketing of the product for particular indications for use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beginning clinical trials of a drug product in the U.S., an IND must be submitted to the FDA. An IND is a request for authorization from the FDA to administer an investigational new drug product to humans. An IND must become effective before human clinical trials may begin. Assuming successful completion of all required testing in accordance with all applicable regulatory requirements, the results of product development, nonclinical studies and clinical trials are submitted to the FDA as part of an NDA requesting approval to market the product for one or more indications. The NDA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The submission of an NDA requires payment of a substantial application user fee to the FDA, unless a waiver or exemption applies.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the FDA evaluates an NDA and conducts inspections of manufacturing facilities where the investigational product and/or its drug substance will be produced and of select clinical trial sites, the FDA may issue an approval letter or a Complete Response Letter ("CRL"). An approval letter authorizes commercial marketing of the product with specific prescribing information for specific indications. A CRL will generally describe all of the deficiencies that the FDA has identified in the NDA.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regulatory approval of a drug is granted, such approval will be granted for particular indications and may include limitations on the indicated uses for which such drug may be marketed. The FDA also may condition approval on, among other things, changes to proposed labeling or the development of adequate controls and specifications. The FDA may also require one or more post-market studies and additional surveillance to further assess and monitor the drug’s safety and effectiveness after commercialization, and may limit further marketing of the drug based on the results of these post-marketing studies.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drugs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Post-Market Enforcement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withdraw marketing authorizations for drugs or medical devices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 complete withdrawal of the product from the market, product recalls, fines, warning letters, untitled letters, clinical holds on clinical studies, refusal of the FDA to approve pending applications or supplements to approved applications, product seizures or detention, refusal to permit the import or export of products, consent decrees, corporate integrity agreements, debarment or exclusion from federal healthcare programs, the issuance of corrective information, injunctions, or the imposition of civil or criminal penalties.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 closely regulates the marketing, labeling, advertising and promotion of drugs and medical devices. A company can make only those claims relating to safety and efficacy, purity and potency that are cleared or approved by the FDA and in accordance with the provisions of the authorized label. The FDA and other agencies actively enforce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laws and regulations prohibiting the promotion of off-label uses. Failure to comply with these requirements can result in, among other things, adverse publicity, warning letters, corrective advertising and potential civil and criminal penalties.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Regulation of Medical Devices in the European Union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European Union ("EU") has adopted specific directives and regulations regulating the design, manufacture, clinical investigation, conformity assessment, labeling and adverse event reporting for medical devices.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EU Medical Devices Directive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European Conformity ("CE") mark to the device, which allows the device to be placed on the market throughout the EU.</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EU Medical Devices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Directive, the EU Medical Devices Regulation is directly applicable in EU member states without the need for member states to implement into national law. This aims to increase harmonization across the EU.</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EU Medical Devices Regulation became effective on May 26, 2021.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its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in particular the obligations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U.S., on medical device manufacturers. Certain countries also mandate implementation of commercial compliance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aforementioned EU rules are generally applicable in the European Economic Area ("EEA") which consists of the 27 EU member states plus Norway, Liechtenstein and Iceland.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Brexit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January 1, 2021, the Medicines and Healthcare Products Regulatory Agency ("MHRA") has become the sovereign regulatory authority responsible for Great Britain (i.e. England, Wales and Scotland)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United Kingdom's ("UK's") withdrawal from the EU ("Brexit") transitional period on January 1, 2021, new regulations require all medical devices to be registered with the MHRA before being placed on the Great Britain market. The MHRA only registers devices where the manufacturer or their UK responsible person has a registered place of business in the UK. Beginning January 1, 2022, manufacturers based outside the UK need to appoint a UK responsible person that has a registered place of business in the UK to register devices with the MHRA.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26, 2022, the MHRA published its response to a 10-week consultation on the post-Brexit regulatory framework for medical devices and diagnostics. MHRA seeks to amend the UK Medical Devices Regulations 2002 (which are based on EU legislation, primarily the EU Medical Devices Directive and the EU In Vitro Diagnostic Medical Devices Directive 98/79/EC), in particular to create a new access pathway to support innovation, create an innovative framework for regulating software and artificial intelligence as medical devices, reform IVD regulation and foster sustainability through the reuse and remanufacture of medical devices. Regulations implementing the new regime were originally scheduled to come into force in July 2023, but have recently been postponed to July 2025. Devices bearing CE marks issued by EU notified bodies under the EU Medical Devices Regulation or EU Medical Devices Directive are now subject to transitional arrangements. The UK Government has introduced legislation that provides that CE-marked medical devices may be placed on the Great Britain market on the following timelines: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medical devices compliant with the EU Medical Devices Directive or EU Active Implantable Medical Devices Directive with a valid declaration and CE marking can be placed on the Great Britain market up until the sooner of expiry of the certificate or June 30, 2028;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medical devices, including custom-made devices, compliant with the EU Medical Devices Regulation can be placed on the Great Britain market up until June 30, 2030.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Following these transitional periods, it is expected that all medical devices will require a UK Conformity Assessed ("UKCA") mark. Manufacturers may choose to use the UKCA mark on a voluntary basis prior to the mandatory deadlines.</w:t>
      </w:r>
      <w:r>
        <w:rPr>
          <w:color w:val="000000"/>
        </w:rPr>
        <w:t xml:space="preserve"> </w:t>
      </w:r>
      <w:r>
        <w:rPr>
          <w:rFonts w:ascii="Times New Roman;sans-serif" w:hAnsi="Times New Roman;sans-serif"/>
          <w:b w:val="false"/>
          <w:color w:val="000000"/>
          <w:sz w:val="20"/>
        </w:rPr>
        <w:t>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Northern Ireland Protocol, Northern Ireland follows EU rules on medical devices and devices marketed in Northern Ireland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Manufacturing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must also comply with FDA and International Organization for Standardization ("ISO") governing medical device manufacturing practices. The FDA, state, foreign agencies and ISO require manufacturers to register and subject manufacturers to periodic FDA, state, foreign agencies and notified bodies and ISO inspections and audits of their manufacturing facilities. We are a FDA and ISO registered medical device manufacturer, and must demonstrate that we and our contract manufacturers comply with the FDA's QSR, cGMPs and similar foreign requirements. The FDA, other regulatory agencies and notified bodies outside the U.S. monitor compliance with these requirements through inspections and audits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Healthcare Laws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additional healthcare regulation and enforcement by the federal government and by authorities in the states and foreign jurisdictions in which we conduct our business. These laws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federal false claims laws which prohibit, among other things, individuals or entities from knowingly presenting, or causing to be presented, claims for payment from Medicare, Medicaid or other federal third-party payors that are false or fraudulent.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non-physician health care professionals (physician assistants, nurse practitioners, clinical nurse specialists, anesthesiologist assistants, certified registered nurse anesthetists, anesthesiology assistants and certified nurse midwives), and teaching hospitals and ownership and investment interests held by the physicians described above and their immediate family members;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Violations of any of the laws described above include civil and criminal penalties, damages, fines, the curtailment or restructuring of an entity’s operations, the debarment, suspension or exclusion from federal and state healthcare programs and/or imprisonment.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Coverage and Reimbursement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 purchase and the prices they are willing to pay since our products are not separately reimbursed by any third-party payor. Third-party payors are increasingly reducing coverage and reimbursement for certain healthcare services and products and challenging prices charged for healthcare services and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 Care Reform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there have been, and we expect that there will continue to be, a number of federal and state proposals to limit payments by governmental payors for medical devices, and the procedures in which medical devices are used. For example, in March 2010, comprehensive healthcare reform legislation was enacted through the passage of the Patient Protection and Affordable Care Act, as amended by the Health Care and Education and Reconciliation Act (the "ACA"), which,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since the Affordable Care Act was enacted. On August 2, 2011, the Budget Control Act of 2011 was signed into law, which, among other things, included reductions to Medicare payments to providers, which went into effect on April 1, 2013, and will stay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providers, including hospitals. We cannot predict whether future healthcare initiatives will be implemented at the federal or state level or internationally, or the effect any future legislation or regulation will have on us. Such legislation and regulation of healthcare costs may, however, result in decreased lower reimbursements by governmental and private payors to our customers, which may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EU Healthcare Reform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healthcare reform measures in the EU may be adopted in the future as well. For instance, in December 2021, Regulation (EU)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providing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Data Privacy and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Medical device companies may be subject to U.S. federal and state and foreign data privacy, security and data breach notification laws governing the collection, use, disclosure and protection of health-related and other personal information.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We believe our ability to effectively compete in this industry is determined by our ability to provide a wide breadth of cost-effective, high quality products. We believe the added breadth of our acquired product portfolios have increased our competitiveness as we can now provide a one-stop shop for customers and offer more flexible competitive pricing. We also believe our infusion pump product offering will enable us to achieve sales of a larger volume of higher margin infusion consumables, and we believe we have a wider customer reach through our unified distribution channels.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effectively compete in the Consumables market depends upon our ability to differentiate our products based on continued innovation, safety, quality, convenience, reliability, patent protection, ease of use and the pricing of our products, in addition the access to distribution channels. We encounter significant competition in this market both from global, large, established medical device manufacturers and from smaller companies. We compete with products and systems marketed by Becton Dickinson ("BD"), Baxter International ("Baxter"), B. Braun Medical, Inc. ("B. Braun"), Angiodynamics and Teleflex.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Infusion Systems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strong global competitors in the Infusion Systems market. In the United States ("U.S.") our competitors include BD, Baxter, B. Braun, Moog Medical, and Fresenius Kabi, a division of Fresenius Group. Outside of the U.S., our primary competitors are BD, B. Braun, Fresenius, and a large number of local market pump manufacturers. These competitors benefit from greater financial, research and development and marketing resources than we have. The smart pump market in recent years has been troubled with security concerns and product recalls. We believe our ability to effectively compete will be determined by our ability to build our brand strength using the development of technological advancements aimed at increasing the quality, reliability, safety and security of our pumps while at the same time focusing on manufacturing efficiency and cost-effectiveness, which are operationally challenging with evolving product lines.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IV Solutions products are sold in the U.S. and Canada and compete in the U.S. with Baxter and B. Braun.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Vital Care products compete with numerous competitors due to our broad product portfolio. Our primary competitors include Edwards Lifesciences, Belmont and Intersurgical plc.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this market will depend on our ability to continue to make technological advances to our products, thereby increasing customer efficiency, and our ability to provide product support and successful customer training aimed at improving clinical decision-making that ultimately enhances patient safety and focuses on demonstrable patient outcomes.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Patents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product lines rely on patent protection. We have obtained U.S. and foreign patents relating to certain of the technologies found in our products, and are pursuing additional patent applications. There is however, no single patent or group of patents that we own that we believe is material in relation to our business as a whole.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to obtain, maintain and enforce patent protection for our products and to operate without infringing on the proprietary rights of third parties. While we have obtained certain patents and applied for additional U.S. and foreign patents covering certain of our products, there is no assurance that the scope of any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protection will prevent competitors from introducing similar or competing devices or that any of our patents will be held valid if subsequently challenged. We can also lose patent protection through expiration. The inability to obtain effective patent protection or the loss of patent protection on a specific product line could adversely affect our ability to exclude other company from producing effective competitive products. The loss of a significant portion of our patent portfolio could have an adverse impact on our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fact that a patent is issued to us does not eliminate the possibility that patents owned by others may contain claims that are infringed by our products.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substantial litigation regarding patent and other intellectual property rights in the medical device industry. Litigation, which would result in substantial cost to us and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the future, to enforce our intellectual property rights against those we believe to be infringing on our patents.  Such litigation could result in substantial cost and diversion of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Seasonality/Quarterly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not significantly impacted by seasonal aspects. We can, however, experience fluctuations in net sales as a result of variations in the ordering patterns of our largest customers, which can be driven by global health crisis or pandemics, as well as fluctuations due to supply constraints as a result of other macroeconomic and global geopolitical events, such as the conflicts in Eastern Europe and the Middle East. Our expenses do not typically fluctuate in the same manner as net sales, which may result in cause fluctuations in operating income that are disproportionate to fluctuations in our revenue.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certain research and development ("R&amp;D") projects to drive future growth and to remain competitive in our product lines. Our main R&amp;D facilities are located in the U.S and India. Our R&amp;D costs primarily relate to headcount and employment expense in support of the ongoing development of new products. Research and development costs were $85.3 million in 2023, $93.0 million in 2022 and $47.5 million in 2021.</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employees are the foundation of our business and are key to executing our strategy globally. The knowledge, skills and abilities of our diverse workforce is paramount in upholding our mission of connecting patients and caregivers through safe, life-saving, life enhancing IV therapy products, systems, and services.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health and well-being of our employees are cornerstones for our successful operations. Whether you are a machine operator in one of our manufacturing locations, a material handler in a distribution center, a service technician supporting our products in the field, or a clinician training customers on the use of our products in a hospital, we strive to prioritize the safety of our team members. This includes designing our work environments with a safety first mindset, providing personal protective equipment and safety training beginning day one.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and retain talented individuals globally begins with our commitment to offer a career that gives people a unique opportunity to work in an exhilarating, fast-paced, inspiring, and collaborative environment where what they do makes a difference. We offer competitive salaries and benefit packages to all employees as well as select participation in incentive plans based on individual and company performance.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development of our workforce is critical for personal growth and the success of our company as well. We reinforce this with challenging, yet rewarding assignments, continued learning and training programs through our global iLearning platform, and support continued education globally through tuition reimbursement programs. Our team believes in diversity, collaboration, and removing barriers to communication—all to create an environment where innovation and creativity can flourish. This is principal for us in attracting, developing, retaining and rewarding talent on a global scale.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we believe that our leadership team, with its broad, and deep category knowledge and averaging approximately 12 years of experience in IV therapy has the necessary experience to effectively lead the execution of our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approximately 14,000 employees located in over 35 countries.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Geographic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financial data by geography is set forth in Part II, Item 8. "Financial Statements and Supplementary Data" of this Annual Report on Form 10-K in Notes 4 and 13 to the Consolidated Financial Statements,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address is http://www.icumed.com. We make available our Annual Reports on Form 10-K, Quarterly Reports on Form 10-Q and Current Reports on Form 8-K and other filings and amendments thereto those reports, free of charge on our website as soon as reasonably practicable after filing or furnishing them with the Securities and Exchange Commission ("SEC"). We also have our code of ethics posted on our website (http://www.icumed.com). The information on our website is not incorporated into this Annual Report on Form 10-K. We use our Investor Relations website as a means of disclosing material information. Accordingly, investors should monitor our Investor Relations website, in addition to following our press releases, SEC filings, and public conference calls and webcasts.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an Internet site that contains reports, proxy and information statements, and other information regarding issuers that file electronically with the SEC on its website (http://www.sec.gov).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an investment in our common stock, investors should consider carefully, among other things, the following risk factors, as well as the other information contained in this Annual Report on Form 10-K and our other reports and registration statements filed with the SEC. Any of the following risks could materially and adversely affect our results of operations or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Market and Other External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compete successfully with our competitors, we may be unable to maintain market share, in which case our sales may not grow and our profitability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consumable medical device segment of the health care industry and in particular the infusion products market is intensely competitive and continues to experience both horizontal and vertical consolidation. We believe that our ability to compete depends upon numerous factors including, among other things, continued product innovation, the quality, convenience and reliability of our products, including demand for more environmentally friendly products and focus on using materials of concern, access to distribution channels, patent protection and pricing. The ability to compete effectively depends on our ability to differentiate our products based on these factors,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organized buying groups may reduce market prices for our products thereby affecting our profitability. While having a contract with a GPO or IDN can facilitate sales to members of that GPO or IDN, it is no assurance that the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demand for our products were to decline significantly, we might not be able to recover the cost of our expensive automated molding and assembly equipment and tooling, which could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production tooling is relatively expensive, with each "module," which consists of an automated assembly machine and the molds and molding machines that mold the components, costing several million dollars. Most of the modules are for the Clave product family. If the demand for these products changes significantly, which could happen with the loss of customers or a change in product mix, it may be necessary for us to recognize an impairment charge for the value of the production tooling because its cost may not be recovered through production of saleable product, which could adversely affect our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will be ordering production molds and equipment for our new products. We expect to order semi-automated or fully automated assembly machines for certain products in 2024. If we do not achieve significant sales of these new/transitioned products, it might be necessary for us to recognize an impairment charge for the value of the production tooling because its costs may not be recovered through production of saleable product, which could adversely affect our financial condition.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 requires substantial investment that may be difficult for us to fund and may be challenging to</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recover through commercial product sales.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we may still fail to successfully commercially such products. The success of new medical device products depends on several factors, including our ability to anticipate and meet customers' or patients' needs, obtain timely regulatory approvals, clearances or certifications, and manufacture quality products in an economic and timely manner. Even if we are able to develop successful new products or enhancements, we may not produce sales exceeding the costs of development, and we may not avoid infringing the proprietary rights of third parties. Moreover, innovations may not be successful due to difficulties encountered in achieving positive clinical outcomes, meeting safety, efficacy or other regulatory requirements of government agencies or notified bodies, or obtaining favorable pricing on those products. Finally, innovations may not be accepted in the marketplace quickly or at all because of, among other things, entrenched patterns of clinical practice and uncertainty over third-party reimbursement.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we will be able to successfully develop and commercialize enhanced or new products or that they will be accepted in the marketplace. Even if we successfully develop and commercialize enhanced or new products, they may be quickly rendered obsolete by competitors’ innovations, changing customer preferences or changing industry or regulatory standards.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volatility or loss of supply of our raw materials could have an adverse effect on our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the materials used in our products are resins, plastics and other material that depend upon oil or natural gas as their raw material. Crude oil and natural gas prices have been volatile in recent years. Crude oil markets have historically been affected by political uncertainty in the Middle East and more recently, by the conflict in the Ukraine. As the current conflict in the Middle East continues to develop and geopolitical tensions rise in the region or globally, there is no assurance that crude oil supplies will not be interrupted or crude oil prices will not rise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the past, we have rarely raised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prices and it is uncertain that we would be able to raise them to recover higher prices from our suppliers. Our inability to raise prices in those circumstances, or to otherwise recover these costs, could have an adverse effect on our profitability.</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cannot obtain additional custom tooling and equipment on a timely basis to enable us to meet demand for our products, we might be unable to increase our sales or might lose customers, in which case our sales could decline.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 which would adversely affect our sales.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Heightened inflation, higher interest rates and foreign currency rate fluctuations as a result of global macroeconomic and geopolitical conditions have had and could in the future have a material adverse effect on our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macroeconomic conditions and geopolitical tensions, such as the conflicts in Eastern Europe and the Middle East, and resulting impacts therefrom, for example, heightened inflation, higher interest rates and capital costs, and currency rate fluctuations have resulted in, and may continue to result in, increased raw material costs, higher shipping costs, higher labor costs, and global supply chain disruptions. In 2022, we experienced these supply chain disruptions, increased raw material costs and shipping costs, as prices on several commodities, including oil and gas, increased as a result of the conflict in the Ukraine and its impact on the global economy. Although these costs were less volatile in 2023, we may continue to experience these inflationary increases in our manufacturing costs and operating expenses, including higher materials and labor costs, as well as negative impacts on our operating results from the strengthening of the U.S. dollar relative to foreign currencies weakening exchange rates. See the risk factor titled “Our operations may be adversely impacted by our exposure to risks related to foreign currency exchange rates” under the “Geographic Risks” subsection for a discussion of risks related to foreign currency exchange rates.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majority of our sales are conducted pursuant to long-term contracts. Our efforts to minimize the impact of inflation on our business through contractual protections may not prove effective, and the presence of longer pricing periods within our contracts along with sustained or higher than anticipated inflation increases the likelihood that the contract protections do not adequately mitigate the financial impact of inflation. If our contractual protections do not adequately protect us in the context of substantial cost increases and inflationary pressures, it could have a material adverse effect on our results of operations. Heightened inflation may also reduce or delay orders for our products and for certain products we may be unable to satisfy demand, both of which could have a material adverse impact on our sales and results of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operating results may be adversely affected by unfavorable economic conditions that affect our customers’ ability to buy our products and our suppliers' demand for payment terms.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Disruptions in financial markets worldwide and other worldwide macro-economic challenges have caused and may in the future cause our customers and suppliers to experience cash flow concerns. If job losses and the resulting loss of health insurance and personal savings cause individuals to forego or postpone treatment, the resulting decreased hospital use could affect the demand for our products.</w:t>
      </w:r>
      <w:r>
        <w:rPr>
          <w:color w:val="000000"/>
        </w:rPr>
        <w:t xml:space="preserve"> </w:t>
      </w:r>
      <w:r>
        <w:rPr>
          <w:rFonts w:ascii="Times New Roman;sans-serif" w:hAnsi="Times New Roman;sans-serif"/>
          <w:b w:val="false"/>
          <w:color w:val="000000"/>
          <w:sz w:val="20"/>
        </w:rPr>
        <w:t>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that are less favorable to us. Any inability of current and/or potential customers to pay us for our products or any demands by suppliers for different payment terms may adversely affect our earnings and cash flow.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Continuing pressures to reduce healthcare costs and inadequate coverage and reimbursement may adversely affect our prices. If we cannot reduce manufacturing costs of existing and new products to counteract such pricing pressures, our sales may not grow and our profitability may decline.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Increasing awareness of healthcare costs, public interest in healthcare reform and continuing pressure from Medicare, Medicaid, GPOs and other payors,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services and products from third-party payors is critical because it affects the kinds of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Third-party payors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Further, we believe that future coverage and reimbursement may be subject to increased restrictions, such 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prior authorization requirements. Third-party coverage and reimbursement for procedures using our products or any of our products in development for which we may receive regulatory approval or certification may not be available or adequate, which could have an adverse effect on our business, financial condition and results of operations and impair our ability to grow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our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Disruptions at the FDA, other government agencies or notified bodies caused by funding shortages or global health concerns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foreign regulatory authorities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government's ability to perform routine functions. Average review times at the FDA, other government agencies, foreign regulatory authorities and notified bodies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government has shut down several times and certain regulatory agencies, such as the FDA, have had to furlough critical FDA employees and stop critical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 such shut down was as a result of COVID-19, the FDA postponed most inspections of domestic and foreign manufacturing facilities at various points. Even though the FDA has resumed standard inspection operations, any resurgence of the virus or comparable health concerns may lead to future inspectional or administrative delays. If a prolonged government shutdown occurs, or if a global health concern prevents the FDA,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in the EU, notified bodies must be officially designated to certify products and services in accordance with the EU Medical Devices Regulation. Their designation process, which is significantly stricter under the new Regulation, has experienced considerable delays as a result of COVID-19.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depend heavily on information technology infrastructure and systems to achieve our business objectives.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cybersecurity related incidents continue to evolve, and regulatory focus on these issues continues to expand, additional investment in protective measures, and vulnerability remediation, may be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execute our business strategy depends, in part, on the continued and uninterrupted performance of our information technology systems and those of our third-party service providers, strategic partners and other contractors or consultants, which support our operations. Despite the implementation of security measures, our information technology systems, and those of third parties on which we rely, are vulnerable to attack, interruption and damage from, among others, computer viruses, malware (e.g. ransomware), malicious code, natural disasters, terrorism, war, telecommunication and electrical failures, hacking, cyber-attacks or cyber-intrusions over the Internet, phishing and other social engineering schemes, human error, theft or misuse by persons inside our organization, or persons with access to systems inside our organization, fraud, denial or degradation of service attacks and sophisticated nation-state and nation-state-supported actors or similar disruptive problems.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have been in the past and may from time to time in the future be subject to cyberattacks and security incidents. Data security breaches and other cybersecurity incidents may result from, for example, non-technical means (e.g., actions by employees or contractors), system failure, accident or unauthorized access. Any such security breach may compromise information stored on our networks or those of third parties on which we rely and may result in significant data losses or theft of personally identifiable information. Any compromise of our security could result in a violation of applicable security, privacy or data protection, consumer and other laws, regulatory or other governmental investigations, enforcement actions, and legal and financial exposure, including potential contractual liability.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Any such compromise could also result in damage to our reputation and a loss of confidence in our security and privacy or data protection measures. In addition, a cybersecurity attack could result in other negative consequences, including disruption of our internal operations, increased cybersecurity protection costs, lost revenue, regulatory actions or litigations. Any of these effects could materially and adversely affect our business, financial condition and results of operations. Our cyber liability insurance may not be sufficient to cover the financial, legal, business or reputational losses that may result from such an interruption or breach. Furthermore, there can be no assurance that our cybersecurity risk management program and processes, including our policies, controls or procedures, will be fully implemented, complied with or effective in protecting our systems and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suffer if we lose the services of key personnel.</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price of our common stock has been and may continue to be highly volatile due to many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equity market can be highly volatile, and we have experienced significant volatility in the price of our common stock in the past.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general macroeconomic trends (including as a result of pandemics or other health outbreaks, geopolitical tensions and uncertainties including as a result of the current conflicts in Eastern Europe and the Middle East) and substantial product orders could contribute to the volatility in the price of our common stock.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common stock is held by, or included in accounts managed by, institutional investors or managers. Several of those institutions own or manage a significant percentage of our outstanding shares, with the ten largest interests accounting for approximately 63% of our outstanding shares at the end of 2023. If one or more of the institutions or if our other large stockholders should decide to reduce or eliminate their position in our common stock, it could cause a significant decrease in the price of our common stock.</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Climate-related events and other events could harm our business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disasters, disease outbreaks and pandemics, power shortages, terrorism, political unrest, telecommunications failure, vandalism, geopolitical instability, war, climate-related events, and other events beyond our control could negatively impact our operations or otherwise harm our business. Such events may result in damage or loss of service to assets that our operations rely on or cause delays in product manufacturing or distribution, any of which may adversely impact our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impacts of climate-related events on the global economy and our industry are rapidly evolving. Physical impacts of climate-related events (including but not limited to floods, droughts, more frequent and/or intense storms and wildfires), or chronic changes (such as droughts, heat waves or sea level changes) in climate patterns can adversely impact our operations, as well as the operations of our suppliers and customers. If a catastrophic event occurs at or near any of our manufacturing facilities or our suppliers’ facilities, or utility providers or public health officials take certain actions (e.g., shut off power to our or our suppliers’ facilities), our operations may be interrupted, which could adversely impact our business and results of operations. Transition impacts of climate-related events may subject us to increased regulations, reporting requirements, standards or expectations regarding the environmental impacts of our business. Any of such adverse impacts from these or other climate-related events may also adversely affect our reputation, business, or financial performance.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increasing focus on environmental sustainability and social initiatives could increase our costs, harm our reputation and adversely impact our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increasing public focus by investors, patients,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Expectations regarding the management of ESG initiatives continues to evolve rapidly. While we may from time to time engage in various initiatives (including but not limited to voluntary disclosures, policies, or goals) to improve our ESG profile or respond to stakeholder expectations, we cannot guarantee that these initiatives will have the desired effect. If we are not effective in addressing environmental, social and other sustainability matters affecting our business, or setting and meeting relevant sustainability goals, our reputation and financial results may suffer. In addition, even if we are effective at addressing such concerns, we may experience increased costs as a result of executing upon our sustainability goals that may not be offset by any benefit to our reputation, which could have an adverse impact on our business and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regulatory authorities have imposed, and may continue to impose, mandatory substantive and/or disclosure requirements with respect to ESG matters. For example, we and/or certain of our subsidiaries or affiliates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requirements of the European Union Corporate Sustainability Reporting Directive (and its implementing laws and regulations and other European Union directives or European Union and European Union member state regulations, various disclosure requirements (such as information on greenhouse gas emissions, climate risks, use of offsets, and emissions reduction claims) from the State of California, the SEC’s climate disclosure proposal, if finalized, as well as the International Sustainability Standards Board’s sustainability and climate disclosure standards, to the extent adopted by jurisdictions in which we operate, among other regulations or requirements. Operating in more than one jurisdiction is likely to make our compliance with ESG and sustainability-related rules more complex and expensive, and potentially expose us to greater levels of legal risks associated with our compliance. Our failure to comply with any applicable rules or regulations could lead to penalties and adversely impact our reputation, customer attraction and retention, access to capital and employee retention. Such ESG matters may also impact our suppliers and customers, which may augment or cause additional impacts on our business, financial condition, or results of operations.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Business and Operating Risks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Damage to, or interruptions at, any of our manufacturing facilities or our suppliers' facilities could impair our ability to produce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severe weather event, including climate change-related severe weather or disasters, other natural or man-made disaster, or any other significant disruption, such as global epidemics/pandemics, the impact of war or political instability (such as the conflicts in Eastern Europe and the Middle East), work stoppages, labor shortages and similar interruptions affecting our manufacturing facilities or our suppliers and logistics partners could materially and adversely impact our business, financial condition and results of operations. For example the impact of COVID-19 caused us to temporarily shut down some of our facilities in 2021.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single manufacturing facility for our Clave products located in Salt Lake City, Utah. Our Salt Lake City facility also produces other components on which our manufacturing operations in Ensenada, Mexico and Costa Rica rely. Our IV Solutions are manufactured at our manufacturing facility in Austin, Texas and in past years also by a third party manufacturer, Pfizer, in Rocky Mount, North Carolina or our suppliers’ facilities. We also operate various other manufacturing facilities in the U.S., Mexico, Italy and Czech Republic. If our facilities or our suppliers' facilities are inoperable, for even a short period of time, it could adversely affect our ability to manufacture and distribute our products in a timely or cost-effective manner, and our ability to make product sales. For example, during July 2023, Pfizer's Rocky Mount, North Carolina facility sustained damage and destroyed inventory as a result of a tornado, which resulted in minor delayed shipments of certain products. Furthermore, our facilities and the equipment we use to perform our manufacturing processes could be unavailable or costly and time-consuming to repair or replace.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Damage to, or interruptions at, any of our facilities or our suppliers' facilities due to work stoppages or labor shortages could render us unable to manufacture our products or require us to reduce the output of products at such facilities. Several of our manufacturing facilities are located near known earthquake fault zones and are vulnerable to damage from earthquakes. We carry insurance for damage to our property and disruption of our business, but this insurance may not be adequate to cover all of the risks associated with damage or disruption to our facilities and business, may not provide coverage in amounts sufficient to cover our potential losses and may not continue to be available to us on acceptable terms, if at 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on a single source supplier for the supply of certain materials (such as resins) that are critical to our ability to manufacture our products. Our risk mitigation plans employed with such key supplier, or that we may use with other key suppliers, may not suffice to ensure that we are able to receive requisite materials as and when needed and in sufficient quantity.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Upon identification, the qualification process of new suppliers and component materials can take a considerable amount of time. We may be unable to find a sufficient alternative supply channel in a reasonable time or on commercially reasonable terms. Additionally, we are subject to FDA and foreign regulations, which could further delay our ability to obtain a qualified alternative supplier. The price and supply of these materials may be impacted or disrupted for reasons beyond our control including supplier shutdowns, transportation delays, inflationary pricing pressures, work stoppages, labor shortages, extreme weather events, geopolitical developments, global economic uncertainty or downturns, sanctions and trade restrictions, and other governmental regulatory actions. Furthermore, our contract manufacturers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could require us to move to another one of their production facilities. We have experienced, and may continue to experience, significant challenges to our global transportation channels and other aspects of the global supply chain network, including the cost and availability of raw materials and components due to shortages and resulting cost inflation.. If we encounter delays or difficulties in securing these components, materials or services and, if we cannot then obtain an acceptable substitute on a timely basis, our commercial operations could be interrupted, and we could experience an adverse effect on our results of operations and financial condition ,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 party payors, as well as entering into long-term fixed price contracts, we may be unable to pass along cost increases for any key components or raw materials through higher prices to our customers. If the cost of key components or raw materials increases and we are unable to fully recover those increased costs through price increases or offset these increases through other cost reductions, we could experience an adverse effect on our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not be successful in achieving expected operating efficiencies or expense reductions associated with cost reduction and restructuring efforts and may experience a decline in our profitability, business disruptions or other adverse consequences to our business as a result.</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ans-serif" w:hAnsi="Times New Roman;sans-serif"/>
          <w:b w:val="false"/>
          <w:color w:val="000000"/>
          <w:sz w:val="20"/>
        </w:rPr>
        <w:t>We have engaged in restructuring activities in the past and may engage in other restructuring activities in the future. For example, since the Smiths Medical acquisition, we have taken realignment and cost reduction initiatives to achieve operating efficiencies for the combined company. These types of cost reduction and restructuring activities are complex. If we do not successfully manage our current restructuring activities, or any other restructuring activities that we may take in the future, any expected efficiencies and benefits might be delayed or not fully realized, and our operations and business could be disrupted. In addition, the costs associated with implementing restructuring activities might exceed expectations, which could result in additional future charges.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agreements governing our debt contain a number of restrictive covenants which limit our flexibility in operating our business, finance future operations or pursue our business strategies.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governing our Senior Secured Credit Facilities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While we have not previously breached and are not currently in breach of these or any other covenants contained in our credit agreement, our ability to comply with these covenants may be affected by events beyond our control, including health crises and global pandemics, other geopolitical events, such as the conflicts in Eastern Europe and the Middle East, supply chain interruptions or general economic environment, including high inflation and interest rates.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Senior Secured Credit Facility may restrict our ability to pursue our business strategies.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sales through distributors expose us to risks that could have a material effect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and 2022, business from one distributor, Medline, accounted for approximately 16% and 15% of our consolidated revenues, respectively. We may rely on one or more key distributors for a product, and the loss of these distributors could reduce our revenue. Additionally, distributors may face financial difficulties, including bankruptcy, which could harm our collection of accounts receivable and financial results. Failure to manage risks related to our use of distributors may reduce sales, increase expenses, and weaken our competitive position, any of which could have a material adverse effect on our business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Compliance, and Regulatory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Actual or perceived failures to comply with foreign, federal, and state data privacy and security laws, regulations and standards may adversely affect our business, operations and financial performance.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We are subject to various federal, state and foreign laws that govern the collection, use, disclosure, retention and security of personal information, including patient health information. The global data protection landscape is rapidly evolving, and implementation standards and enforcement practices are likely to remain uncertain for the foreseeable future.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In the U.S., numerous federal and state laws and regulations could apply to our operations or the operations of our partners, including state data breach notification laws, federal and state health information privacy laws, and federal and state consumer protection laws and regulations (e.g. Section 5 of the Federal Trade Commission Act (the "FTC Act")). For example, the privacy, security and breach notification rules promulgated under the Health Insurance Portability and Accountability Act of 1996, as amended by the Health Information Technology for Economic and Clinical Health Act of 2009, and regulations implemented thereunder (collectively ("HIPAA") establish a set of national privacy and security standards for the protection of protected health information ("PHI") by health plans, health care clearinghouses and certain health care providers, called covered entities, and the business associates with whom such covered entities contract for services that involve creating, receiving, maintaining or transmitting PHI, as well as their covered subcontractors. HIPAA also requires covered entities to provide individuals with certain rights with respect to their PHI, and requires covered entities to enter into a written business associate contract or other arrangement with the business associate that establishes specifically what the business associate has been engaged to do and requires the business associate to comply with the requirements of HIPAA.</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Penalties for failure to comply with a requirement of HIPAA vary significantly depending on the nature of violation and could include civil monetary or criminal penalties.</w:t>
      </w:r>
      <w:r>
        <w:rPr>
          <w:color w:val="000000"/>
        </w:rPr>
        <w:t xml:space="preserve"> </w:t>
      </w:r>
      <w:r>
        <w:rPr>
          <w:rFonts w:ascii="Times New Roman;sans-serif" w:hAnsi="Times New Roman;sans-serif"/>
          <w:b w:val="false"/>
          <w:color w:val="000000"/>
          <w:sz w:val="20"/>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have also adopted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of 2018 (the "CCPA"), which went into effect on January 1, 2020. The CCPA applies to certain businesses that collect personal information from California residents.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health-related information, including PHI maintained by covered entities and business associates, the CCPA may increase our compliance costs and potential liability. Further, the California Privacy Rights Act ("CPRA") generally went into effect on January 1, 2023, and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addition, the CCPA has prompted a number of proposals for new federal and state privacy legislation that, if passed, could increase our potential liability, increase our compliance costs and adversely affect our business.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Foreign data protection laws, including the General Data Protection Regulation (the "GDPR"), which became effective in May 2018, and EU and EEA member state data protection legislation, may also apply to health-related and other personal data obtained outside of the U.S. The GDPR imposes strict requirements for processing the personal data of individuals within the EEA or in the context of our activities within the EEA. The GDPR has and will continue to increase compliance burdens on us, including by mandating potentially burdensome documentation requirements and granting certain rights to individuals to control how we collect, use, disclose, retain and process data about them. Fines for non-compliance with the GDPR are significant - the greater of €20 million or 4% of global turnover. In addition to fines, a breach of the GDPR may result in regulatory investigations, reputational damage, orders to cease/ change our data processing activities, enforcement notices, assessment notices (for a compulsory audit) and/ or civil claims (including class actions). The GDPR provides that EU and EEA member states may impose further obligations relating to the processing of genetic, biometric or health data, which could limit our ability to collect, use and share personal data, or could cause our compliance costs to increase, ultimately having an adverse impact on our business.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Economic Area, or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now be assessed on a case-by-case basis. On October 7, 2022, President Biden signed an Executive Order on ‘Enhancing Safeguards for United States Signals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We currently rely on the EU standard contractual clauses and the UK Addendum to the EU standard contractual clauses and the UK International Data Transfer Agreement and the DPF as relevant to transfer personal data outside the EEA and the UK, including to the United States, with respect to both intragroup and third party transfers. We expect the existing legal complexity and uncertainty regarding international personal data transfers to continue as supervisory authorities issue further guidance on personal data export mechanisms, including circumstances where the SCCs cannot be used, and/or start taking enforcement action. In particular, we expect the DPF Adequacy Decision to be challenged and international transfers to the United States and to other jurisdictions more generally to continue to be subject to enhanced scrutiny by regulators.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On October 12, 2023, the UK Extension to the DPF came into effect (as approved by the UK Government), as a UK GDPR data transfer mechanism to U.S. entities self-certified under the UK Extension to the DPF.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w:t>
      </w:r>
      <w:r>
        <w:rPr>
          <w:color w:val="000000"/>
        </w:rPr>
        <w:t xml:space="preserve"> </w:t>
      </w:r>
      <w:r>
        <w:rPr>
          <w:rFonts w:ascii="Times New Roman;sans-serif" w:hAnsi="Times New Roman;sans-serif"/>
          <w:b w:val="false"/>
          <w:color w:val="000000"/>
          <w:sz w:val="20"/>
        </w:rPr>
        <w:t>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U.S. federal and state, as well as foreign, laws pertaining to healthcare fraud and abuse, including anti-kickback, false claims and transparency laws regarding payments and other transfers of value made to physicians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licensed healthcare professionals. Our business practices and relationships with providers are subject to scrutiny under these laws. The healthcare laws and regulations that may affect our ability to operate include, but are not limited to:</w:t>
      </w:r>
    </w:p>
    <w:p>
      <w:pPr>
        <w:pStyle w:val="TextBody"/>
        <w:bidi w:val="0"/>
        <w:spacing w:before="0" w:after="0"/>
        <w:jc w:val="left"/>
        <w:rPr/>
      </w:pPr>
      <w:r>
        <w:rPr/>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 Moreover, the government may assert that a claim including items or services resulting from a violation of the federal Anti-Kickback Statute constitutes a false or fraudulent claim for purposes of the federal civil False Claims Act;</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the federal Physician Sunshine Act, which require certain applicable manufacturers of drugs, devices, biologics and medical supplies for which payment is available under Medicare, Medicaid or the Children’s Health Insurance Program ("CHIP") to report annually to the U.S. Department of Health and Human Services' CMS information related to payments and other transfers of value to physicians (defined to include doctors, dentists, optometrists, podiatrists and chiropractors), certain other healthcare providers (physician assistants, nurse practitioners, clinical nurse specialists, anesthesiologist assistants, certified registered nurse anesthetists, anesthesiology assistants and certified nurse midwives, and teaching hospitals), and applicable manufacturers and GPOs, to report annually ownership and investment interests held by physicians and their immediate family members;</w:t>
      </w:r>
    </w:p>
    <w:p>
      <w:pPr>
        <w:pStyle w:val="TextBody"/>
        <w:bidi w:val="0"/>
        <w:spacing w:lineRule="auto" w:line="288" w:before="0" w:after="40"/>
        <w:ind w:left="0" w:right="0" w:hanging="360"/>
        <w:jc w:val="left"/>
        <w:rPr/>
      </w:pPr>
      <w:r>
        <w:rPr>
          <w:color w:val="000000"/>
        </w:rPr>
        <w:t>•</w:t>
      </w:r>
      <w:r>
        <w:rPr>
          <w:rFonts w:ascii="Times New Roman;sans-serif" w:hAnsi="Times New Roman;sans-serif"/>
          <w:b w:val="false"/>
          <w:color w:val="000000"/>
          <w:sz w:val="20"/>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and state laws related to insurance fraud in the case of claims involving private insurers.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Healthcare regulation and reform measures could adversely affect our revenue and financial condition.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ACA was signed into law introducing comprehensive health insurance and healthcare reforms in the U.S.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has expanded eligibility criteria for Medicaid programs and created a new Patient-Centered Outcomes Research Institute to oversee, identify priorities in, and conduct comparative clinical effectiveness research, along with funding for such research.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there will continue to be proposals by legislators at both the federal state and foreign levels, regulators and commercial payors to reduce costs while expanding individual healthcare benefits. The ultimate implementation of any healthcare reform legislation and any new laws and regulations, and its impact on us, is impossible to predict, particularly in light of the new presidential administration. Any significant reforms made to the healthcare system in the U.S., or in other jurisdictions, may have an adverse effect on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be materially and adversely affected if we fail to defend and enforce our patents or other proprietary rights, if our products are found to infringe patents or other proprietary rights owned by others or if the cost to protect our patents or other proprietary rights becomes excessive or as our patents expire.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patents, trademarks, copyrights, trade secrets, business methods, software and nondisclosure agreements to protect our proprietary intellectual property. Our efforts to protect our intellectual and proprietary rights may not be sufficient. Further, there is no assurance that patents pending will issue or that the protection from patents which have issued or may issue in the future will be broad enough to prevent competitors from introducing similar devices, that such patents, if challenged, will be upheld by the courts or that we will be able to prove infringement and damages in litigation.</w:t>
      </w:r>
    </w:p>
    <w:p>
      <w:pPr>
        <w:pStyle w:val="TextBody"/>
        <w:bidi w:val="0"/>
        <w:spacing w:before="0" w:after="0"/>
        <w:ind w:left="0" w:right="0" w:firstLine="810"/>
        <w:jc w:val="left"/>
        <w:rPr/>
      </w:pPr>
      <w:r>
        <w:rPr/>
      </w:r>
    </w:p>
    <w:p>
      <w:pPr>
        <w:pStyle w:val="TextBody"/>
        <w:bidi w:val="0"/>
        <w:spacing w:lineRule="auto" w:line="288" w:before="0" w:after="0"/>
        <w:ind w:left="0" w:right="0" w:firstLine="76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identical or similar to ours, which could adversely affect our business. </w:t>
      </w:r>
    </w:p>
    <w:p>
      <w:pPr>
        <w:pStyle w:val="TextBody"/>
        <w:bidi w:val="0"/>
        <w:spacing w:before="0" w:after="0"/>
        <w:ind w:left="0" w:right="0" w:firstLine="765"/>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pStyle w:val="TextBody"/>
        <w:bidi w:val="0"/>
        <w:spacing w:before="0" w:after="0"/>
        <w:ind w:left="0" w:right="0" w:firstLine="765"/>
        <w:jc w:val="left"/>
        <w:rPr/>
      </w:pPr>
      <w:r>
        <w:rPr/>
      </w:r>
    </w:p>
    <w:p>
      <w:pPr>
        <w:pStyle w:val="TextBody"/>
        <w:bidi w:val="0"/>
        <w:spacing w:lineRule="auto" w:line="288" w:before="0" w:after="0"/>
        <w:ind w:left="0" w:right="0" w:firstLine="76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pStyle w:val="TextBody"/>
        <w:bidi w:val="0"/>
        <w:spacing w:before="0" w:after="0"/>
        <w:ind w:left="0" w:right="0" w:firstLine="76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pStyle w:val="TextBody"/>
        <w:bidi w:val="0"/>
        <w:spacing w:before="0" w:after="0"/>
        <w:ind w:left="0" w:right="0" w:firstLine="720"/>
        <w:jc w:val="left"/>
        <w:rPr/>
      </w:pPr>
      <w:r>
        <w:rPr/>
      </w:r>
    </w:p>
    <w:p>
      <w:pPr>
        <w:pStyle w:val="TextBody"/>
        <w:bidi w:val="0"/>
        <w:spacing w:lineRule="auto" w:line="288" w:before="0" w:after="0"/>
        <w:ind w:left="0" w:right="0" w:firstLine="765"/>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substantial litigation regarding patent and other intellectual property rights in the medical device industry. We have in the past faced and may in the future face patent infringement claims.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pStyle w:val="TextBody"/>
        <w:bidi w:val="0"/>
        <w:spacing w:before="0" w:after="0"/>
        <w:ind w:left="0" w:right="0" w:firstLine="76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become aware of newly issued patents on medical devices, which we review to evaluate any infringement risk. We are aware of a number of patents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ability to market our products in the U.S. and other countries may be adversely affected if our products fail to comply with the applicable requirements of the FDA and regulatory agencies in other countries.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and our products are subject to extensive regulation in the U.S. and elsewhere, including by the FDA and its foreign counterparts. The FDA and foreign regulatory agencies and notified bodies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approval and certification;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the U.S., our medical device products are subject to clearance or approval by the U.S. FDA under the FDC Act. Before we can market a new medical device, or a new use of, new claim for, or significant modification to, an existing product, we must first receive either clearance under Section 510(k) of the FDC Act or approval of PMA application from the FDA, unless an exemption applies. Under the 510(k) process, the manufacturer must submit to the FDA a pre-market notification, demonstrating that the device is "substantially equivalent," as defined in the FDC Act, to a legally 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market certain products that have received 510(k) clearance, and we may pursue 510(k) clearance for future products. However, certain of our new products may require a longer time for clearance than we have experienced in the past and there can be no assurance that a PMA application will not be required. For example, in 2022, we acquired Smiths Medical, which has marketed its PORT-A-CATH implantable access systems pursuant to PMA approval, and there is no assurance that other new products developed by us or any manufacturers that we might acquire will be eligible for 510(k) clearance rather than undergoing a more time consuming pre-market approval procedure, such as the PMA approval process, or that, in any case, they will receive clearance or approval from the FDA.. FDA regulatory processes are time consuming and expensive. Uncertainties as to the time required to obtain FDA clearances or approvals could adversely affect the timing and expense of new product introductions.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to which we are subject are complex and have tended to become more stringent over time. Regulatory changes could result in restrictions on our ability to continue or expand our operations, higher than anticipated costs, or lower than anticipated sales. The FDA enforces these regulatory requirements through periodic unannounced inspections. Even after we have obtained the proper regulatory clearance or approval to market a product, we have ongoing responsibilities under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and applicable foreign laws and regulations. The FDA, state and foreign regulatory authorities have broad enforcement powers.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know whether we will pass or be found compliant in any future inspections by FDA or other regulatory authorities. Our failure to comply with applicable regulatory requirements could result in enforcement action by the FDA, state or foreign regulatory authorities which may include any of the following sanctions:</w:t>
      </w:r>
    </w:p>
    <w:p>
      <w:pPr>
        <w:pStyle w:val="TextBody"/>
        <w:bidi w:val="0"/>
        <w:spacing w:before="0" w:after="0"/>
        <w:jc w:val="left"/>
        <w:rPr/>
      </w:pPr>
      <w:r>
        <w:rPr/>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untitled letters or warning letters;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fines, injunctions, consent decrees and civil penalties;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recalls, termination of distribution, administrative detention, or seizure of our products;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customer notifications or repair, replacement or refunds;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operating restrictions or partial suspension or total shutdown of production;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delays in or refusal to grant our requests for future 510(k) clearances, PMA approvals or foreign regulatory approvals of new products, new intended uses, or modifications to existing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withdrawals or suspensions of current 510(k) clearances or PMAs or foreign regulatory approvals, resulting in prohibitions on sales of our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FDA refusal to issue certificates to foreign governments needed to export products for sale in other countries;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criminal prosecution.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FDA's and other regulatory authorities' policies may change and additional government regulations may be enacted that could prevent, limit or delay regulatory approval or certification of our product candidates. We cannot predict the likelihood, nature or extent of government regulation that may arise from future legislation or administrative action, either in the U.S. or abroad.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FDA may change its clearance and approval policies, adopt additional regulations or revise existing regulations, or take other actions which may prevent or delay approval or clearance of our future products under development or otherwise increase the costs associated with compliance.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September 2019, the FDA issued revised final guidance describing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FDA and foreign regulations and guidance are often revised or reinterpreted by the FDA and foreign counterparts in ways that may significantly affect our business and our products. Any new statutes, regulations or revisions or reinterpretations of existing regulations may impose additional costs or lengthen review times of any future products or make it more difficult to obtain clearance, approval, or certification to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approval, or certification; changes to manufacturing methods; recall, replacement or discontinuance of our products; or additional record keeping. For example, in February 2024, the FDA issued a final rule to amend and replace the QSR, which sets forth the FDA’s current good manufacturing practice requirements for medical devices, to align more closely with the International Organization for Standardization standards. Specifically, this final rule, which the FDA expects to go into effect on February 2, 2026, establishes the “Quality Management System Regulation,” (“QMSR”), which among other things, incorporates by reference the quality management system requirements of ISO 13485:2016. Although the FDA has stated that the standards contained in ISO 13485:2016 are substantially similar to those set forth in the QSR, and although our quality system is currently designed to comply with ISO standards in connection with our device certifications outside the United States, it is unclear the extent to which this final rule, once effective, could impose additional or different regulatory requirements on us that could increase the costs of compliance or otherwise negatively affect our business. If we are unable to comply with QMSR, once effective, or with any other changes in the laws or regulations enforced by FDA or comparable regulatory authorities, we may be subject to enforcement action, which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instance, the EU landscape concerning medical devices recently evolved. On May 26, 2021, the EU Medical Devices Regulation became applicable and repealed and replaced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In accordance with its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with regard to registration of economic operators and of devices, post-market surveillance, market surveillance and vigilance requirements.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Subject to the transitional provisions and in order to sell our products in EU member states, our products must comply with the general safety and performance requirements of the EU Medical Devices Regulation, which repeals and replaces EU Medical Devices Directive.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w:t>
      </w:r>
      <w:r>
        <w:rPr>
          <w:color w:val="000000"/>
        </w:rPr>
        <w:t xml:space="preserve"> </w:t>
      </w:r>
      <w:r>
        <w:rPr>
          <w:rFonts w:ascii="Times New Roman;sans-serif" w:hAnsi="Times New Roman;sans-serif"/>
          <w:b w:val="false"/>
          <w:color w:val="000000"/>
          <w:sz w:val="20"/>
        </w:rPr>
        <w:t>Compliance with these requirements is a prerequisite to be able to affix the CE mark to our products, without which they cannot be sold or marketed in the EU. See – Government Regulation. To demonstrate compliance with the general safety and performance requirements, we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aforementioned EU rules are generally applicable in the EEA. Non-compliance with the above requirements would also prevent us from selling our products in these three countries.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rules applicable in Great Britain differ from the EEA as a result of Brexit. Following the transitional periods whereby existing CE marks continue to be recognized in Great Britain, affixing the UKCA mark is expected to become a prerequisite to be able to place products on the market in Great Britain, without which they cannot be sold or marketed in Great Britain. This might cause increased regulatory burden to our business. See “Part 1, Item 1. Government Regulation - Regulation of Medical Devices in the European Union - Brexit.”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If we or our comp</w:t>
      </w:r>
      <w:r>
        <w:rPr>
          <w:rFonts w:ascii="Times New Roman;sans-serif" w:hAnsi="Times New Roman;sans-serif"/>
          <w:b w:val="false"/>
          <w:i/>
          <w:color w:val="000000"/>
          <w:sz w:val="20"/>
        </w:rPr>
        <w:t>onent manufacturers fail to comply with the FDA's Quality System Regulation or Good Manufacturing Practice regulations or other requirements, our manufacturing operations could be interrupted, and our product sales and operating results could suffer.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we and some of our component manufacturers are required to comply with regulatory requirements known as the FDA's QSR, a complex regulatory scheme which covers the procedures and documentation of the design, testing, production, control, quality assurance, inspection, complaint handling, recordkeeping, management review, labeling, packaging, sterilization, storage and shipping of our device products. The QSR applies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other applicable cGMPs for our products, we cannot provide assurance that any future inspection will not result in adverse findings. For example, on October 1, 2021, Smiths Medical received a Warning Letter from the FDA following an inspection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Smiths Medical’s Minneapolis, Minnesota Facility on March 30, 2021. The Warning Letter cited, among other things, failures to comply with FDA's medical device reporting requirements and failures to comply with applicable portions of the QSR. There is no guarantee that we will be able to successfully resolve the issues identified in the Warning Letter or do so in a timely manner or that similar compliance issues will not be identified in a future FDA inspection.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or foreign regulatory authorities could take enforcement action, including any of the following sanctions:</w:t>
      </w:r>
    </w:p>
    <w:p>
      <w:pPr>
        <w:pStyle w:val="TextBody"/>
        <w:bidi w:val="0"/>
        <w:spacing w:before="0" w:after="0"/>
        <w:jc w:val="left"/>
        <w:rPr/>
      </w:pPr>
      <w:r>
        <w:rPr/>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untitled letters or warning letters;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fines, injunctions, consent decrees and civil penalties;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customer notifications or repair, replacement, refunds, recall, detention or seizure of our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refusing or delaying our requests for clearance or approval or certifications of new products or modified products;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withdrawing clearances, approvals, or certifications that have already been granted; </w:t>
      </w:r>
    </w:p>
    <w:p>
      <w:pPr>
        <w:pStyle w:val="TextBody"/>
        <w:bidi w:val="0"/>
        <w:spacing w:lineRule="auto" w:line="288" w:before="0" w:after="20"/>
        <w:ind w:left="0" w:right="0" w:hanging="360"/>
        <w:jc w:val="left"/>
        <w:rPr/>
      </w:pPr>
      <w:r>
        <w:rPr>
          <w:color w:val="000000"/>
        </w:rPr>
        <w:t>•</w:t>
      </w:r>
      <w:r>
        <w:rPr>
          <w:rFonts w:ascii="Times New Roman;sans-serif" w:hAnsi="Times New Roman;sans-serif"/>
          <w:b w:val="false"/>
          <w:color w:val="000000"/>
          <w:sz w:val="20"/>
        </w:rPr>
        <w:t xml:space="preserve">refusal to grant export approval for our products; or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criminal prosecution.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Any of these sanctions could adversely affect our business, financial condition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market our products in the EU, we must conform to additional requirements and demonstrate conformance to harmonized quality standards.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Subject to the transitional provisions, manufacturers of medical devices must also comply with the EU Medical Devices Regulation. Compliance with these requirements assure that medical devices are both safe and effective and do not compromise the clinical condition or safety of patients, or the safety and health of users and – where applicable – other persons and meet all applicable established standards prior to being marketed in the EU. There is no assurance that we will continue to meet the requirements for distribution of our products in the EU and the EEA.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As a result of these new requirements, we may be subject to risks associated with additional testing, modification, certification, or amendment of our existing certifications, or we may be required to modify products already installed at our customers' facilities to comply with the official interpretations of the EU Medical Devices Regulation.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our products in other countries may be subject to regulation in those countries, and there is no assurance that we will obtain necessary approvals or certifications in countries in which we want to introduce our products.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have been cleared, approved or certified by the FDA, foreign regulatory authorities and notified bodies for specific indications of use. We train our marketing personnel and direct sales force to not promote our products for uses 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or approved by the FDA or approved by any foreign body may not effectively treat such conditions, which could harm our reputation in the marketplace among physicians and patients.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any foreign regulatory authorities determine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enforcement authorities might take action under other regulatory authority, such as false claims laws, if they consider our business activities to constitute promotion of an off-label use, which could result in significant penalties, including, but not limited to, criminal, civil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administrative penalties, damages, fines, disgorgement, exclusion from participation in government healthcare programs and the curtailment of our operations.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product liability claims or product recalls could be costly and could expose us to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our products exposes us to an inherent risk of product liability. Further, the medical device industry has historically been subject to extensive litigation and we cannot offer any assurance that we will not face product liability or other lawsuits in the future.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$40 million per occurrence. However, legal proceedings are inherently unpredictable, and the outcome can result in judgments that affect how we operate our business, or we may enter into settlements of claims for monetary damages that exceed our insurance coverage, if any is available. A successful claim against us in excess of insurance coverage could materially and adversely affect us, and result in substantial liabilities and reputational harm including product recalls or withdrawals from the market, withdrawal of clinical trial participants or clinical studies, the inability to commercialize our existing or new products, distraction of management’s attention from our primary business or decreased demand for our products or, if cleared or approved, products in development.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attempts we take to manage our product liability exposure, for example, by proactively recalling or withdrawing from the market any defective products, and any required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clearances, approvals or certifications, seizure of our products or delay in clearance, approval, or certification of future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and foreign regulatory bodies have the authority to require the recall of commercialized products in the event of material deficiencies or defects in design or manufacture of a product or in the event that a product poses an unacceptable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For example, on June 26, 2020, Smiths Medical ASD initiated Class 1 recalls of a Medfusion Syringe Pump. We can provide no assurance that our efforts to work with the FDA to complete the Class 1 recall, and ultimately close, this product recall will be accomplished in a timely manner, or at all. In addition, the costs associated with conducting and closing this recall or any other product recalls, including any liabilities we may incur, could have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Depending on the corrective action we take to redress a product's deficiencies or defects, the FDA or foreign regulatory agencies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foreign regulatory authorities warning letters, product seizure, injunctions, administrative penalties or civil or criminal fines.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Geographic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may be adversely impacted by our exposure to risks related to foreign currency exchange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exposure to adverse movements in foreign currency exchange rates due to our operations in foreign markets through our foreign subsidiaries and other international distributors. Our primary foreign currency exchange rate exposures are currently with the Euro, Mexican Peso, Canadian Dollar, Czech Koruna, Japanese Yen, Chinese Renminbi, and the Australian Dollar against the U.S. dollar. Our income and expenses are based on a mix of currencies, and a decline in one currency relative to the other currencies could adversely affect our operating results. Furthermore, our operating results are reported in U.S. dollars, using the exchange rate in effect at the balance sheet date, or, for revenues and expenses, using the average monthly exchange rates during the year. Accordingly, our operating results have been and continue to be subject to volatility due to fluctuations in foreign currency exchange rates. Generally, when the U.S. dollar weakens against these currencies, the dollar value of foreign-currency denominated revenue and expense increases, and when the U.S. dollar strengthens against these currencies, the dollar value of foreign-currency denominated revenue and expense decreases. We are also exposed to foreign currency risk on outstanding foreign currency denominated receivables and payables. Currency exchange rates have been especially volatile in the recent past. Accordingly, changes in foreign currency exchange rates have adversely affected and may continue to adversely affect our results of operations. During 2023, we recorded $5.9 million in foreign exchange losses due to the volatility of foreign exchange rates such as the strengthening of the Mexican Peso which impacted margins and the devaluation of the Argentine Peso. See Item 7. “Management’s Discussion and Analysis of Financial Condition and Results of Operations” for a further discussion of the financial impact of exchange rate fluctuations on our results of operations. Fluctuations in currency exchange rates are caused by a number of factors that are beyond our control, including a country’s political and economic policies, inflationary conditions, disruptions in the financial markets, and global economic and geopolitical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only partially hedge against our foreign currency exchange rate risks, related to certain forecasted foreign currency-denominated revenues and expenses. We, therefore, believe our exposure to these risks may be higher than if we entered into hedging transactions, including forward exchange contracts or similar instruments that covered the company on a consolidated basis. If we decide in the future to enter into additional forward foreign exchange contracts to attempt to reduce the risk related to foreign currency exchange rates, these contracts may not mitigate the potential adverse impact on our financial results due to the limitations and difficulty forecasting future activity. In addition, these types of contracts may themselves cause financial harm to us and have inherent levels of counter-party risk over which we would have no control. We attempt to mitigate a portion of foreign currency exchange rate risks through foreign currency hedging. Our hedging activities, however, may not sufficiently offset the adverse financial impact caused by unfavorable movement in foreign currency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to our business, and such exchange rate impacts could materially adversely affect our financial condition or results of operations. See “Item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Any significant changes in U.S. trade, tax or other policies that restrict imports or increase import tariffs could have a material adverse effect on our results of operations.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A significant amount of our products are manufactured outside of the U.S. The U.S. government has recently initiated substantial changes in U.S. trade policy and U.S. trade agreements, including the initiation of tariffs on certain foreign goods. In response to these tariffs, certain foreign governments, including China, have instituted or are considering imposing tariffs on certain U.S. goods. For example, in 2018, the U.S. imposed tariffs on steel and aluminum as well as on goods imported from China and certain other countries, which has resulted in retaliatory tariffs by China and other countries. Additional tariffs imposed by the U.S. on a broader range of imports, or further retaliatory trade measures taken by other countries in response, could prevent or make it difficult for us to obtain the components needed for new products which would affect our sales. Increased tariffs would require us to increase our prices which likely would decrease customer and consumer demand for our products. Additionally, we are subject to income taxes in the U.S. and numerous foreign jurisdictions. Any significant changes in current U.S. trade, tax or other policies could have a material adverse effect on our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sales pose additional risks related to competition with larger international companies and established local companies and higher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primarily from the U.S. and Mexico and to a lesser extent Costa Rica.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products to some local markets as well as our competitors’ lower local labor costs in some markets.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sales are subject to higher credit risks than sales in the U.S. Many of our distributors are small and may not be well capitalized. Payment terms are relatively long. The European hospitals tend to be significantly slower in payment which has resulted in and may continue to result in an increase to our days sales outstanding from previous years. Our prices to our international distributors, outside of Europe, for products shipped to the customers from the U.S., Costa Rica or Mexico are generally denominated in U.S. dollars, but their resale prices are set in their local currency. A decline in the value of the local currency in relation to the U.S. dollar has in prior years adversely affected and may in future years adversely affect their ability to profitably sell in their market the products they buy from us, and has in prior years adversely affected and may in future years adversely affect their ability to make payment to us for the products they purchase. Legal recourse for non-payment of indebtedness may be uncertain. These factors all contribute to a potential for credit losses.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are dependent on manufacturing in Mexico, and could be adversely affected by that region's increased labor costs and any economic, social or political disruptions.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the material we use in manufacturing is imported into Mexico, and substantially all of the products we manufacture in Mexico are exported. Business activity in the Ensenada area has expanded significantly, providing increased employment opportunities. This has had and may continue to have an adverse effect on our ability to hire or retain necessary personnel and has resulted in and may continue to result in higher labor costs. In addition, minimum wages in regions within which we operate have increased labor costs significantly. We continue to take steps to compete for labor through attractive employment conditions and benefits, but there is no assurance that these steps will continue to be successful or that we will not continue to face increasing labor costs in the future.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Any political or economic disruption in Mexico or a change in its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could be adversely affected by violations of the U.S. Foreign Corrupt Practices Act and other worldwide anti-bribery laws.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risks associated with doing business outside of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global market and global operations are subject to a number of risks. Sales to customers outside of the U.S. composed approximately 36% of our revenues in 2023 and as our operations and sales located in Europe and other areas outside the U.S. increase, we may face new challenges and uncertainties, although we can give no assurance that such operations and sales will increase.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risks associated with our operations outside the U.S. include, without limitation: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and political uncertainty;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changes in non-U.S. government programs;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multiple non-U.S. regulatory requirements that are subject to change and that could restrict our ability to manufacture and sell our products;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different local medical practices, product preferences and product requirements;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possible failure to comply with trade protection and restriction measures and import or export licensing requirements;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difficulty in establishing, staffing and managing non-U.S. operations;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different labor regulations or work stoppages or strikes;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changing geopolitical conditions arising from political instability and any actual or anticipated military or political conflicts (such as the conflict in Ukraine and in the Middle East);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economic instability in other parts of the world and the impact on interest rates, inflation and the credit worthiness of our customers in foreign countries, such as the devaluation of the Argentine Peso;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uncertainties regarding judicial systems and procedures;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minimal or diminished protection of intellectual property in some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natural disasters or outbreak of diseases or pandemics;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to international trade agreements and trade relationships and conflicts between countries;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imposition of government controls, such as economic sanctions and export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color w:val="000000"/>
          <w:sz w:val="20"/>
        </w:rPr>
        <w:t>Risks Related to our Strategic Transactions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Smiths Medical acquisition completed in January 2022 has resulted in organizational changes and an increase in size to our business. If we fail to effectively manage this growth and change to our business in a manner that preserves our reputation with customers and the key aspects of our corporate culture, our business, financial condition and results of operations could be harmed.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Smiths Medical acquisition has resulted in significant growth in our personnel and operations, adding approximately 6,700 employees to our headcount at the time of acquisition. Our total headcount as of December 31, 2023 is approximately 14,000 employees. We have incurred and continue to incur significant expenditures and the allocation of management time to assimilate the Smiths Medical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Smiths Medical acquisition was a significant acquisition for us and the product offerings within Smiths Medical are not product offerings that we previously offered. The success of our business will depend, in part, on our ability to realize our anticipated benefits, opportunities and synergies from combining our legacy businesses and Smiths Medical. We can provide no assurance that the anticipated benefits of the Smiths Medical acquisition will be fully realized in the time frame anticipated or at all. Integrating the operations of Smiths Medical with that of our legacy business has been and continues to be a complex, costly and time-consuming process.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in preserving important strategic customer and other third-party relationships of both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diversion of management’s attention to integration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in maintaining employee morale and retaining or attracting key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incompatibility of corporate cultures;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delays and other difficulties consolidating corporate and administrative infrastructures and information systems and implementing common systems and procedures including, in particular, our internal controls over financial reporting;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coordinating and integrating a geographically dispersed organization, including operations in jurisdictions we did not operate in prior to the Smiths Medical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integrate the Smiths Medical business with that of our own could have a material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actual impact of the Smiths Medical acquisition on our financial results may be worse than the assumptions we have 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made certain assumptions relating to the impact on our financial results of the Smiths Medical acquisition. These assumptions relate to numerous matters, including the acquisition costs, transaction and integration costs, and other financial and strategic risks of the acquisition. If one or more of these assumptions are incorrect, it could have an adverse effect on our business and operating results, and the perceived benefits from the acquisition may not be realized. For example, our vascular access product sales have been less than anticipated because of supply chain constraints prior to the closing of the acquisition which resulted in elevated back orders and eventual customer losses.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effectively manage our internal growth or growth through acquisitions of companies, assets or products, our financial performance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may expand our product offerings through acquisitions of companies or product lines from time to time. We can provide no assurance that we will be able to identify, acquire, develop or profitably manage additional companies or operations or successfully integrate such companies or operations into our existing operations without substantial costs, delays or other challenges. In 2022, we acquired the Smiths Medical business, which includes syringe and ambulatory infusion devices, vascular access, and vital care products, but we have made and continue to make significant integration efforts to achieve the anticipated benefits. See “</w:t>
      </w:r>
      <w:r>
        <w:rPr>
          <w:rFonts w:ascii="Times New Roman;sans-serif" w:hAnsi="Times New Roman;sans-serif"/>
          <w:b w:val="false"/>
          <w:i/>
          <w:color w:val="000000"/>
          <w:sz w:val="20"/>
          <w:shd w:fill="FFFFFF" w:val="clear"/>
        </w:rPr>
        <w:t>The Smiths Medical acquisition completed in January 2022 has resulted in organizational changes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r>
        <w:rPr>
          <w:rFonts w:ascii="Times New Roman;sans-serif" w:hAnsi="Times New Roman;sans-serif"/>
          <w:b w:val="false"/>
          <w:i/>
          <w:color w:val="000000"/>
          <w:sz w:val="20"/>
        </w:rPr>
        <w:t>.</w:t>
      </w:r>
      <w:r>
        <w:rPr>
          <w:color w:val="00000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additional production facilities outside the U.S. to reduce labor costs. We intend to continue to expand our marketing and distribution capability, which may include external expansion through acquisitions both in the U.S. and foreign markets.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increasing burdens on our management resources and financial controls resulting from internal growth and acquisitions could adversely affect our operating results. In addition, acquisitions may involve a number of special risks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 the Smiths Medical acquisition, we used a significant portion of our cash on hand and incurred a substantial amount of debt to finance the cash consideration portion and certain other amounts paid in connection with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At December 31, 2023 and 2022, we had $254.7 million and $213.5 million of cash, cash equivalents and investment securities on hand, respectively, which was significantly less in each case than the approximately $571.9 million of cash, cash equivalents and investment securities we had as of December 31, 2021, primarily as a result of the use of existing cash to partially fund the Smiths Medical acquisition. Although our management believes that we continue to have sufficient access to cash to meet our business objectives and capital needs, we currently have a decreased availability of cash, cash equivalents and investment securities and expect to continue to have such decreased availability of cash for the foreseeable future which could constrain our ability to grow our business. Furthermore, in connection with the Smiths Medical transaction and the payment of the cash consideration, we entered into Senior Secured Credit Facilities (the "Senior Secured Credit Facilities") of $2.2 billion consisting of a term loan A facility of $850.0 million, a term loan B facility of $850.0 million and a revolving credit facility of $500.0 million. As a result of entering into the Senior Secured Credit Facilities, we incurred additional borrowing costs. At December 31, 2023, our long-term debt outstanding was $1.6 billion. Our more leveraged financial position following the Smiths Medical transaction could make us more vulnerable to general economic downturns and industry conditions, and place us at a competitive disadvantage relative to our competitors. In the event that we do not have adequate capital to maintain or develop our business and need to seek additional financing, additional capital may not be available to us on a timely basis, on favorable terms, or at all. Moreover, our Senior Secured Credit Facilities have certain restrictions that may limit how we operate our business, including our ability to engage in certain transactions and incur additional indebtedness, and our business may be materially and adversely affected if these restrictions prevent us from implementing our business plan. See “Business and Operating Risks - The agreements governing our debt contain a number of restrictive covenants which limit our flexibility in operating our business, finance future operations or pursue our business strategies</w:t>
      </w:r>
      <w:r>
        <w:rPr>
          <w:rFonts w:ascii="Times New Roman;sans-serif" w:hAnsi="Times New Roman;sans-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have and may continue to acquire businesses, form strategic alliances or make investments in businesses or technologies. Such transactions or investments could result in unforeseen operating difficulties or expenditures and require significant management resources, charges or write-downs that could adversely impact our business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seek to supplement our internal growth through acquisitions of complementary businesses, technologies, services, or products, as well as investments and strategic alliances.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Such transactions are inherently risky, and the integration of any newly-acquired business requires significant effort and management attention that otherwise would be available for ongoing development of our other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any acquisition, investment or alliance may be affected by a number of factors, including our ability to properly assess and value the potential business opportunity or to successfully integrate any business we may acquire into our existing business. Integration of an acquired business also may disrupt our ongoing operations and require management resources that we would otherwise focus on developing our existing business. For example, we acquired the HIS business in February 2017, which includes IV pumps, solutions, and devices in order to create a leading pure-play infusion therapy company, and we acquired Smiths Medical in January 2022, which includes syringe and ambulatory infusion devices, vascular access, and vital care products. We invested significant time and resources into the HIS integration in order to achieve the anticipated benefits of the transaction, and we have been and continue to do the same with the Smiths Medical integration.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acquisition could result in the incurrence of debt, contingent liabilities or future write-offs of intangible assets or goodwill, any of which could have a material adverse effect on our financial condition, results of operations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cash flows. We may also experience losses related to investments in other companies, which could have an adverse effect on our results of operations and financial condition. As such, there can be no assurance that any past or future transactions or investments will be successful.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 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guidance from the National Institute of Standards and Technology Cybersecurity Framework (“NIST CSF”), which provides an outline of enterprise security processes and controls, to inform the design and assessment of our cybersecurity risk management program.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overseen by a cross-functional team comprised of our business-functional and IT employees.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risk assessments designed to help identify material cybersecurity risks to our critical systems, information, products, services, and our broader enterprise IT environment;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evaluations of our readiness to assess, respond and, as applicable, recover from potential cybersecurity incidents;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use of external service providers, where appropriate, to assess, test or otherwise assist with aspects of our security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cybersecurity training to educate our employees (including senior management and incident response personnel), consultants, and other users about their individual responsibilities regarding protecting our IT systems and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third-party risk management process for service providers, suppliers and vendors who have access to our critical systems and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Factor—Market and Other External Risks—Failure to protect our information technology systems against security breaches, service interruptions, or misappropriation of data could disrupt operations, compromise sensitive data, and expose us to liability, possibly causing our business and reputation to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management program is led by our Chief Information Officer (“CIO”) through our Information Security Committee (“ISC”), which includes a cross-functional group of senior leaders who are responsible for the dissemination and promotion of our cybersecurity strategy, implementation of cybersecurity objectives and top-down communication and monitoring of the risk management program as described above. Our ISC is responsible for the regular oversight of cybersecurity risk, information security and technology risk and assessing and managing our material risks from cybersecurity threats and supervises both our internal cybersecurity personnel and our retained external cybersecurity consultants.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ISC facilitates communications between executive, business/process level and the implementation/operations level to coordinate the implementation of our cybersecurity risk program. The ISC team meets on a regular basis, at least quarterly and more frequently as needed, to discuss significant initiatives, critical metrics and address certain risk responses.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ISC members includes our CIO and our Director of IT Security, Risk and Compliance who have a combined 20 years of risk management experience encompassing cybersecurity and technology security, such as threat assessments, risk management, cybersecurity insurance, incident response, end user awareness and vulnerability management.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Board considers cybersecurity risk as part of its risk oversight function and has delegated to the Audit Committee oversight of cybersecurity and other information technology risks. Our Audit Committee oversees management’s implementation of our cybersecurity risk management program. On a quarterly basis, our Audit Committee receives updates from our CIO with respect to the status of our cybersecurity initiatives to strengthen our cybersecurity risk management. In addition, our CISO updates the Audit Committee, as necessary, regarding any material cybersecurity incidents, as well as any incidents with lesser impact potential. Our Audit Committee discusses the potential impact of cybersecurity risks on our financial condition, results of operations or our reputation. Our Audit Committee periodically reports to the Board regarding its activities, including those related to cybersecurity. The Board also periodically receives briefings from management on our cyber risk management program. Board members receive periodic presentations on cybersecurity topics from our CISO, internal security staff or external experts as part of the Board’s continuing education on topics that impact public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material properties used by us in connection with our corporate administrative operations, manufacturing, distribution, research and development and service centers as of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14"/>
        <w:gridCol w:w="780"/>
        <w:gridCol w:w="792"/>
        <w:gridCol w:w="109"/>
        <w:gridCol w:w="109"/>
        <w:gridCol w:w="109"/>
        <w:gridCol w:w="736"/>
        <w:gridCol w:w="736"/>
        <w:gridCol w:w="737"/>
        <w:gridCol w:w="109"/>
        <w:gridCol w:w="109"/>
        <w:gridCol w:w="109"/>
        <w:gridCol w:w="1112"/>
        <w:gridCol w:w="1093"/>
        <w:gridCol w:w="1099"/>
        <w:gridCol w:w="109"/>
        <w:gridCol w:w="109"/>
        <w:gridCol w:w="109"/>
        <w:gridCol w:w="357"/>
        <w:gridCol w:w="357"/>
        <w:gridCol w:w="511"/>
      </w:tblGrid>
      <w:tr>
        <w:trPr/>
        <w:tc>
          <w:tcPr>
            <w:tcW w:w="9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Owned/Leased</w:t>
            </w:r>
          </w:p>
        </w:tc>
      </w:tr>
      <w:tr>
        <w:trPr/>
        <w:tc>
          <w:tcPr>
            <w:tcW w:w="2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Clemente,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Headquarters and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Owned </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Clemente, California,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Headquarters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Diego,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 and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Lake Forest, Illinois,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137,498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Dublin, Ohio,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Houten, 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Montreal,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Rydalmere, NSW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Offices/Device Service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Chennai, 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Plymouth, Minnesota,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 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Grasbrunn, 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Offices/Device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Austin, Texas,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594,602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Ensenada, Baja California,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265,021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Aurora, Costa 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626,869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Salt Lake City, Utah,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Manufacturing/Device Service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Dublin, Ohio,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Gary, Indiana,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Southington, Connecticut,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Tijuana, Mexico (multiple 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243,935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Hranice, Czech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129,953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Latina, 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Keene, New Hampshire,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141,195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Warehouse/Manufacturing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Oakdale, Minnesota,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Warehouse/Manufacturing/Device Service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Round Rock, Texas,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Warehouse/Manufacturing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Dallas, Texas,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610,806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King of Prussia, Pennsylvania,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Fe Springs,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Owned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Wijchen, Netherlands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Olive Branch, Mississippi,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239,863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Sligo, 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service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Leased</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information required with respect to this Item 3. is discussed in Part II, Item 8. "Financial Statements and Supplementary Data" of this Annual Report on Form 10-K in Note 15. Commitments and Contingencies to the Consolidated Financial Statements, and is incorporated herein by reference.</w:t>
      </w:r>
      <w:r>
        <w:rPr>
          <w:color w:val="008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Information for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Global Select Market under the symbol “ICUI.”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and do not anticipate paying dividends in the foreseeable future as the Board of Directors intends to retain future earnings for use in our business to pay down our long-term debt or to purchase our shares. Any future determination as to payment of dividends or purchase of our shares will depend upon our financial condition, results of operations and such other factors as the Board of Directors deems relevant.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44 stockholders of record. This does not include persons whose shares are held in nominee or “street name” accounts through brokers.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authorized for issuance under equity compensation plans are discussed in Part III, Item 12 of this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stock repurchasing activity during the fourth quarter of 2023:</w:t>
      </w:r>
    </w:p>
    <w:tbl>
      <w:tblPr>
        <w:tblW w:w="7662" w:type="dxa"/>
        <w:jc w:val="left"/>
        <w:tblInd w:w="0" w:type="dxa"/>
        <w:tblLayout w:type="fixed"/>
        <w:tblCellMar>
          <w:top w:w="28" w:type="dxa"/>
          <w:left w:w="28" w:type="dxa"/>
          <w:bottom w:w="28" w:type="dxa"/>
          <w:right w:w="28" w:type="dxa"/>
        </w:tblCellMar>
      </w:tblPr>
      <w:tblGrid>
        <w:gridCol w:w="791"/>
        <w:gridCol w:w="696"/>
        <w:gridCol w:w="703"/>
        <w:gridCol w:w="109"/>
        <w:gridCol w:w="109"/>
        <w:gridCol w:w="109"/>
        <w:gridCol w:w="280"/>
        <w:gridCol w:w="280"/>
        <w:gridCol w:w="281"/>
        <w:gridCol w:w="109"/>
        <w:gridCol w:w="109"/>
        <w:gridCol w:w="109"/>
        <w:gridCol w:w="240"/>
        <w:gridCol w:w="461"/>
        <w:gridCol w:w="125"/>
        <w:gridCol w:w="109"/>
        <w:gridCol w:w="109"/>
        <w:gridCol w:w="109"/>
        <w:gridCol w:w="315"/>
        <w:gridCol w:w="315"/>
        <w:gridCol w:w="316"/>
        <w:gridCol w:w="109"/>
        <w:gridCol w:w="109"/>
        <w:gridCol w:w="109"/>
        <w:gridCol w:w="211"/>
        <w:gridCol w:w="1186"/>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purchased</w:t>
              <w:br/>
              <w:t>as part of a</w:t>
              <w:br/>
              <w:t>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that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under the</w:t>
            </w:r>
          </w:p>
          <w:p>
            <w:pPr>
              <w:pStyle w:val="TableContents"/>
              <w:bidi w:val="0"/>
              <w:spacing w:lineRule="auto" w:line="240" w:before="0" w:after="0"/>
              <w:jc w:val="center"/>
              <w:rPr/>
            </w:pPr>
            <w:r>
              <w:rPr>
                <w:rFonts w:ascii="Times New Roman;sans-serif" w:hAnsi="Times New Roman;sans-serif"/>
                <w:b/>
                <w:color w:val="000000"/>
                <w:sz w:val="16"/>
              </w:rPr>
              <w:t>program</w:t>
            </w:r>
            <w:r>
              <w:rPr>
                <w:rFonts w:ascii="Times New Roman;sans-serif" w:hAnsi="Times New Roman;sans-serif"/>
                <w:b/>
                <w:color w:val="000000"/>
                <w:sz w:val="10"/>
              </w:rPr>
              <w:t>(1)</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10/01/2023 - 10/31/2023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11/01/2023 - 11/30/2023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2023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w:t>
      </w:r>
    </w:p>
    <w:p>
      <w:pPr>
        <w:pStyle w:val="TextBody"/>
        <w:bidi w:val="0"/>
        <w:spacing w:lineRule="auto" w:line="268" w:before="0" w:after="0"/>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18"/>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depending on a variety of factors, including our financial position, earnings, share price, capital requirements, other investment opportunities (including mergers and acquisitions and related financings), market conditions and other factors. Purchases made under our stock purchase program can be discontinued at any time we determine additional purchases are not warranted.</w:t>
      </w:r>
    </w:p>
    <w:p>
      <w:pPr>
        <w:pStyle w:val="TextBody"/>
        <w:bidi w:val="0"/>
        <w:spacing w:before="0" w:after="0"/>
        <w:ind w:left="0" w:right="0" w:hanging="360"/>
        <w:jc w:val="left"/>
        <w:rPr/>
      </w:pPr>
      <w:r>
        <w:rPr/>
      </w:r>
    </w:p>
    <w:p>
      <w:pPr>
        <w:pStyle w:val="TextBody"/>
        <w:bidi w:val="0"/>
        <w:spacing w:before="0" w:after="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ans-serif" w:hAnsi="Times New Roman;sans-serif"/>
          <w:b w:val="false"/>
          <w:color w:val="000000"/>
          <w:sz w:val="18"/>
        </w:rPr>
      </w:pPr>
      <w:r>
        <w:rPr>
          <w:rFonts w:ascii="Times New Roman;sans-serif" w:hAnsi="Times New Roman;sans-serif"/>
          <w:b w:val="false"/>
          <w:color w:val="000000"/>
          <w:sz w:val="18"/>
        </w:rPr>
        <w:t>COMPARISON OF CUMULATIVE TOTAL RETURN FROM DECEMBER 31, 2018 TO DECEMBER 31, 2023 OF ICU MEDICAL, INC., NASDAQ AND NASDAQ MEDICAL SUPPLIES INDEX</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graph shows the total stockholder return on our common stock based on the market price of the common stock from December 31, 2018 to December 31, 2023 and the total returns of the NASDAQ U.S. Index and NASDAQ Medical Supplies Index for the same period.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5819775" cy="326707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2"/>
                    <a:stretch>
                      <a:fillRect/>
                    </a:stretch>
                  </pic:blipFill>
                  <pic:spPr bwMode="auto">
                    <a:xfrm>
                      <a:off x="0" y="0"/>
                      <a:ext cx="5819775" cy="326707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886"/>
        <w:gridCol w:w="781"/>
        <w:gridCol w:w="783"/>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50"/>
        <w:gridCol w:w="330"/>
        <w:gridCol w:w="332"/>
        <w:gridCol w:w="109"/>
        <w:gridCol w:w="109"/>
        <w:gridCol w:w="109"/>
        <w:gridCol w:w="323"/>
        <w:gridCol w:w="303"/>
        <w:gridCol w:w="434"/>
      </w:tblGrid>
      <w:tr>
        <w:trPr/>
        <w:tc>
          <w:tcPr>
            <w:tcW w:w="88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12/31/2023</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w:t>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w:t>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U.S. Index</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Medical Supplies Index</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Assumes $100 invested on December 31, 2018 in ICU Medical Inc.’s common stock, the NASDAQ U.S. Index and the NASDAQ Medical Supplies Index and that all dividends, if any, were reinvested.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consolidated financial statements and notes thereto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Overview and Highlights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catheters, and sterile IV solutions; closed system transfer devices and pharmacy compounding systems; as well as a range of respiratory, anesthesia, patient monitoring, and temperature management products.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As part of the integration of our acquisition of Smiths Medical, we have renamed our business units and reorganized the products thereunder and, as of January 1, 2023, our business unit structure is composed of Consumables, Infusion Systems and Vital Care.</w:t>
      </w:r>
      <w:r>
        <w:rPr>
          <w:color w:val="000000"/>
        </w:rPr>
        <w:t xml:space="preserve"> </w:t>
      </w:r>
      <w:r>
        <w:rPr>
          <w:rFonts w:ascii="Times New Roman;sans-serif" w:hAnsi="Times New Roman;sans-serif"/>
          <w:b w:val="false"/>
          <w:color w:val="000000"/>
          <w:sz w:val="20"/>
        </w:rPr>
        <w:t>All prior periods herein have been retrospectively conformed to the current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Constraints, Global Geopolitical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impacts to our business as a result of global economic challenges, resulting from, among other events, the COVID-19 pandemic and the continuing conflict between Russia and Ukraine. These impacts, which negatively impacted our gross profit margin during 2022 and 2023, include rising inflation, especially with respect to freight costs driven by higher fuel prices, increased cost and shortages of raw materials, and supply chain disruptions. We expect the pressure on the supply chain to continue and freight costs to remain subject to volatility in the market for the foreseeable future. The rising interest rates and foreign currency impact due to the strengthening of the U.S. dollar and Mexican peso and the devaluation of the Argentine Peso have also impacted our results of operations during 2022 and 2023. These challenges arising from global economic conditions could worsen as a result of the current armed conflict in the Middle East, which is highly uncertain at this time.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such as the duration and extent of the current global economic challenges, including any impact from conflicts in Eastern Europe and the Middle East more generally, and the resurgence of the pandemic or the emergence of a new public health crisis, none of which can be fully predicted at this time. See "Part I. Item 1A. Risk Factors: Heightened inflation, higher interest rates and foreign currency rate fluctuations as a result of global macroeconomic and geopolitical conditions have had and could in the future have a material adverse effect on our operations” for a discussion of risks and uncertainties.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our consolidated statements of operations for each of the three years ended December 31, 2023, 2022 and 2021 in Item 8. Financial Statements and Supplementary Data. The following table shows, for each of the three most recent years, the respective percentages of items in our statements of operations in relation to total revenues: </w:t>
      </w:r>
    </w:p>
    <w:tbl>
      <w:tblPr>
        <w:tblW w:w="8261" w:type="dxa"/>
        <w:jc w:val="left"/>
        <w:tblInd w:w="0" w:type="dxa"/>
        <w:tblLayout w:type="fixed"/>
        <w:tblCellMar>
          <w:top w:w="28" w:type="dxa"/>
          <w:left w:w="28" w:type="dxa"/>
          <w:bottom w:w="28" w:type="dxa"/>
          <w:right w:w="28" w:type="dxa"/>
        </w:tblCellMar>
      </w:tblPr>
      <w:tblGrid>
        <w:gridCol w:w="1817"/>
        <w:gridCol w:w="1599"/>
        <w:gridCol w:w="1608"/>
        <w:gridCol w:w="109"/>
        <w:gridCol w:w="109"/>
        <w:gridCol w:w="109"/>
        <w:gridCol w:w="233"/>
        <w:gridCol w:w="233"/>
        <w:gridCol w:w="271"/>
        <w:gridCol w:w="109"/>
        <w:gridCol w:w="109"/>
        <w:gridCol w:w="109"/>
        <w:gridCol w:w="233"/>
        <w:gridCol w:w="233"/>
        <w:gridCol w:w="271"/>
        <w:gridCol w:w="109"/>
        <w:gridCol w:w="109"/>
        <w:gridCol w:w="109"/>
        <w:gridCol w:w="233"/>
        <w:gridCol w:w="233"/>
        <w:gridCol w:w="316"/>
      </w:tblGrid>
      <w:tr>
        <w:trP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Revenues</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were $2.3 billion, $2.3 billion and $1.3 billion for 2023, 2022 and 2021, respectively.</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total revenue by product line as a percentage of total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tbl>
      <w:tblPr>
        <w:tblW w:w="4737"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232"/>
        <w:gridCol w:w="234"/>
        <w:gridCol w:w="271"/>
        <w:gridCol w:w="109"/>
        <w:gridCol w:w="109"/>
        <w:gridCol w:w="109"/>
        <w:gridCol w:w="232"/>
        <w:gridCol w:w="234"/>
        <w:gridCol w:w="271"/>
        <w:gridCol w:w="109"/>
        <w:gridCol w:w="109"/>
        <w:gridCol w:w="109"/>
        <w:gridCol w:w="232"/>
        <w:gridCol w:w="234"/>
        <w:gridCol w:w="316"/>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Vital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product distribution through a network of owned and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Seasonality/Quarterly Results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year local currency revenues at prior year's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Consumables revenue (in millions, except percentages):</w:t>
      </w:r>
    </w:p>
    <w:tbl>
      <w:tblPr>
        <w:tblW w:w="10205" w:type="dxa"/>
        <w:jc w:val="left"/>
        <w:tblInd w:w="0" w:type="dxa"/>
        <w:tblLayout w:type="fixed"/>
        <w:tblCellMar>
          <w:top w:w="28" w:type="dxa"/>
          <w:left w:w="28" w:type="dxa"/>
          <w:bottom w:w="28" w:type="dxa"/>
          <w:right w:w="28" w:type="dxa"/>
        </w:tblCellMar>
      </w:tblPr>
      <w:tblGrid>
        <w:gridCol w:w="572"/>
        <w:gridCol w:w="503"/>
        <w:gridCol w:w="505"/>
        <w:gridCol w:w="211"/>
        <w:gridCol w:w="616"/>
        <w:gridCol w:w="271"/>
        <w:gridCol w:w="109"/>
        <w:gridCol w:w="109"/>
        <w:gridCol w:w="109"/>
        <w:gridCol w:w="211"/>
        <w:gridCol w:w="616"/>
        <w:gridCol w:w="109"/>
        <w:gridCol w:w="109"/>
        <w:gridCol w:w="109"/>
        <w:gridCol w:w="109"/>
        <w:gridCol w:w="211"/>
        <w:gridCol w:w="616"/>
        <w:gridCol w:w="109"/>
        <w:gridCol w:w="109"/>
        <w:gridCol w:w="109"/>
        <w:gridCol w:w="109"/>
        <w:gridCol w:w="211"/>
        <w:gridCol w:w="464"/>
        <w:gridCol w:w="109"/>
        <w:gridCol w:w="109"/>
        <w:gridCol w:w="109"/>
        <w:gridCol w:w="109"/>
        <w:gridCol w:w="213"/>
        <w:gridCol w:w="214"/>
        <w:gridCol w:w="485"/>
        <w:gridCol w:w="109"/>
        <w:gridCol w:w="109"/>
        <w:gridCol w:w="109"/>
        <w:gridCol w:w="211"/>
        <w:gridCol w:w="616"/>
        <w:gridCol w:w="109"/>
        <w:gridCol w:w="109"/>
        <w:gridCol w:w="109"/>
        <w:gridCol w:w="109"/>
        <w:gridCol w:w="255"/>
        <w:gridCol w:w="256"/>
        <w:gridCol w:w="550"/>
      </w:tblGrid>
      <w:tr>
        <w:trPr/>
        <w:tc>
          <w:tcPr>
            <w:tcW w:w="57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over 2021</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 revenue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 revenue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Consumables revenue decreased in 2023, as compared to 2022, primarily due to a decrease in our vascular access revenues as a result of lost customers and backorder recovery in the prior year. The revenue decrease was partially offset by an increase in Infusion Therapy and Oncology revenues.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Consumables revenue increased in 2022, as compared to 2021. The increase in revenue was primarily due to $408.4 million in acquired revenue from our January 2022 acquisition of Smiths Medical. In 2022, our legacy operations revenue increased primarily due to customer demand in our global core Infusion, Global Oncology and Renal products.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Infusion Systems revenue (in millions, except percentages):</w:t>
      </w:r>
    </w:p>
    <w:tbl>
      <w:tblPr>
        <w:tblW w:w="10205" w:type="dxa"/>
        <w:jc w:val="left"/>
        <w:tblInd w:w="0" w:type="dxa"/>
        <w:tblLayout w:type="fixed"/>
        <w:tblCellMar>
          <w:top w:w="28" w:type="dxa"/>
          <w:left w:w="28" w:type="dxa"/>
          <w:bottom w:w="28" w:type="dxa"/>
          <w:right w:w="28" w:type="dxa"/>
        </w:tblCellMar>
      </w:tblPr>
      <w:tblGrid>
        <w:gridCol w:w="730"/>
        <w:gridCol w:w="483"/>
        <w:gridCol w:w="487"/>
        <w:gridCol w:w="211"/>
        <w:gridCol w:w="616"/>
        <w:gridCol w:w="271"/>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2"/>
        <w:gridCol w:w="292"/>
        <w:gridCol w:w="294"/>
        <w:gridCol w:w="109"/>
        <w:gridCol w:w="109"/>
        <w:gridCol w:w="109"/>
        <w:gridCol w:w="211"/>
        <w:gridCol w:w="616"/>
        <w:gridCol w:w="109"/>
        <w:gridCol w:w="109"/>
        <w:gridCol w:w="109"/>
        <w:gridCol w:w="109"/>
        <w:gridCol w:w="270"/>
        <w:gridCol w:w="270"/>
        <w:gridCol w:w="388"/>
      </w:tblGrid>
      <w:tr>
        <w:trPr/>
        <w:tc>
          <w:tcPr>
            <w:tcW w:w="73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over 2021</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w:t>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Systems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Infusion Systems revenue increased in 2023, as compared to 2022, primarily due to higher sales of our syringe pumps and large volume pump ("LVP") dedicated sets.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 revenue increased in 2022, as compared to 2021, primarily due to $266.4 million in acquired revenue from our January 2022 acquisition of Smiths Medical. Offsetting the acquired revenue increase was a slight decrease in our legacy operations revenue due to the impact of foreign currency which offset increased sales of our LVP dedicated sets and software as a result of growth in our installed base of LVPs.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Vital Care revenue (in millions, except percentages):</w:t>
      </w:r>
    </w:p>
    <w:tbl>
      <w:tblPr>
        <w:tblW w:w="10205" w:type="dxa"/>
        <w:jc w:val="left"/>
        <w:tblInd w:w="0" w:type="dxa"/>
        <w:tblLayout w:type="fixed"/>
        <w:tblCellMar>
          <w:top w:w="28" w:type="dxa"/>
          <w:left w:w="28" w:type="dxa"/>
          <w:bottom w:w="28" w:type="dxa"/>
          <w:right w:w="28" w:type="dxa"/>
        </w:tblCellMar>
      </w:tblPr>
      <w:tblGrid>
        <w:gridCol w:w="767"/>
        <w:gridCol w:w="450"/>
        <w:gridCol w:w="452"/>
        <w:gridCol w:w="211"/>
        <w:gridCol w:w="616"/>
        <w:gridCol w:w="271"/>
        <w:gridCol w:w="109"/>
        <w:gridCol w:w="109"/>
        <w:gridCol w:w="109"/>
        <w:gridCol w:w="211"/>
        <w:gridCol w:w="616"/>
        <w:gridCol w:w="109"/>
        <w:gridCol w:w="109"/>
        <w:gridCol w:w="109"/>
        <w:gridCol w:w="109"/>
        <w:gridCol w:w="211"/>
        <w:gridCol w:w="616"/>
        <w:gridCol w:w="109"/>
        <w:gridCol w:w="109"/>
        <w:gridCol w:w="109"/>
        <w:gridCol w:w="109"/>
        <w:gridCol w:w="211"/>
        <w:gridCol w:w="539"/>
        <w:gridCol w:w="109"/>
        <w:gridCol w:w="109"/>
        <w:gridCol w:w="109"/>
        <w:gridCol w:w="109"/>
        <w:gridCol w:w="293"/>
        <w:gridCol w:w="293"/>
        <w:gridCol w:w="294"/>
        <w:gridCol w:w="109"/>
        <w:gridCol w:w="109"/>
        <w:gridCol w:w="109"/>
        <w:gridCol w:w="211"/>
        <w:gridCol w:w="616"/>
        <w:gridCol w:w="109"/>
        <w:gridCol w:w="109"/>
        <w:gridCol w:w="109"/>
        <w:gridCol w:w="109"/>
        <w:gridCol w:w="270"/>
        <w:gridCol w:w="270"/>
        <w:gridCol w:w="389"/>
      </w:tblGrid>
      <w:tr>
        <w:trPr/>
        <w:tc>
          <w:tcPr>
            <w:tcW w:w="76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over 2021</w:t>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68.2%</w:t>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Vital Care revenue decreased in 2023, as compared to 2022, primarily due to lower sales volume of IV Solutions which was impacted by supply disruptions related to finished good products purchased from third party manufacturers and lower sales volume for products acquired from Smiths Group due to backorder recovery in the prior year.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Vital Care revenue increased in 2022, as compared to 2021, primarily due to $276.8 million of acquired revenue from our January 2022 acquisition of Smiths Medical. In 2022, our legacy operations revenue increased primarily due to an increase in IV Solutions contract manufacturing sales to Pfizer.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Gross Margins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margins were 32.8%, 30.6% and 37.3% for 2023, 2022 and 2021,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gross margin in 2023, as compared to 2022, was primarily driven by lower freight costs, lower spend on quality remediation and the cost recognition of a purchase accounting write-up of inventory in 2022, offset by continued inflationary impacts on costs and stronger Mexican peso.</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margin in 2022, as compared to 2021, was primarily driven by the acquisition of Smiths Medical, inflationary cost increases in our supply chain, and lower manufacturing absorption due to supply chain disruptions. Smiths Medical gross margins were lower than historical ICU margins primarily due to spending on quality systems and product-related remediation, the cost recognition of the purchase accounting write-up of inventory and lower manufacturing volumes. The inflationary cost increases during 2022 caused by COVID-19 and the war in the Ukraine notably impacted our freight rates, as well as, labor and materials costs.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("SG&amp;A")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SG&amp;A expenses (in millions, except percentages):</w:t>
      </w:r>
    </w:p>
    <w:tbl>
      <w:tblPr>
        <w:tblW w:w="9348" w:type="dxa"/>
        <w:jc w:val="center"/>
        <w:tblInd w:w="0" w:type="dxa"/>
        <w:tblLayout w:type="fixed"/>
        <w:tblCellMar>
          <w:top w:w="28" w:type="dxa"/>
          <w:left w:w="28" w:type="dxa"/>
          <w:bottom w:w="28" w:type="dxa"/>
          <w:right w:w="28" w:type="dxa"/>
        </w:tblCellMar>
      </w:tblPr>
      <w:tblGrid>
        <w:gridCol w:w="233"/>
        <w:gridCol w:w="204"/>
        <w:gridCol w:w="20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7"/>
        <w:gridCol w:w="496"/>
        <w:gridCol w:w="112"/>
        <w:gridCol w:w="109"/>
        <w:gridCol w:w="109"/>
        <w:gridCol w:w="109"/>
        <w:gridCol w:w="239"/>
        <w:gridCol w:w="241"/>
        <w:gridCol w:w="507"/>
        <w:gridCol w:w="109"/>
        <w:gridCol w:w="109"/>
        <w:gridCol w:w="109"/>
        <w:gridCol w:w="211"/>
        <w:gridCol w:w="616"/>
        <w:gridCol w:w="109"/>
        <w:gridCol w:w="109"/>
        <w:gridCol w:w="109"/>
        <w:gridCol w:w="109"/>
        <w:gridCol w:w="308"/>
        <w:gridCol w:w="308"/>
        <w:gridCol w:w="570"/>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over 2021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decreased slightly in 2023, as compared to 2022, primarily due to decreases of $7.5 million in depreciation and amortization, $4.8 million in dealer fees, $3.9 million of office expenses, and $2.6 million of IT expenses. The overall decreases were mostly offset by increases of $7.8 million in compensation costs, $5.2 million in commissions, $3.5 million in stock based compensation, and $1.3 million in sales and marketing expenses. Depreciation and amortization decreased in 2023 as the trademark intangible recognized as part of the January 2022 Smiths Medical acquisition had a useful life of six months and was fully amortized in the prior year. Dealer fees decreased due to a decrease in revenues to distributors. Office and IT expenses decreased based on current operating needs. Compensation costs increased primarily due to an increase in cash incentive compensation and employee benefits. Commissions increased primarily due to sales performance in the current period measured against preset sales targets as compared to sales performance achieved against targets in the comparable prior year period. Stock based compensation increased due to an increase in the fair value of amounts awarded in the current year over the fair value of the awards in the prior year. Sales and marketing expenses increased due to an increase in trade show, conference, and related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increased in 2022, as compared to 2021. In 2022, SG&amp;A increased $296.6 million due to the impact of the Smiths Medical acquisition, which included $103.8 million of salaries and benefits, $116.8 million of depreciation and amortization expense and $19.7 million of IT and business support services. The remainder of the increase in SG&amp;A was attributable mostly due to higher selling expense due to revenue growth and the impact of inflation.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("R&amp;D")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total R&amp;D expenses (in millions, except percentages):</w:t>
      </w:r>
    </w:p>
    <w:tbl>
      <w:tblPr>
        <w:tblW w:w="8718" w:type="dxa"/>
        <w:jc w:val="center"/>
        <w:tblInd w:w="0" w:type="dxa"/>
        <w:tblLayout w:type="fixed"/>
        <w:tblCellMar>
          <w:top w:w="28" w:type="dxa"/>
          <w:left w:w="28" w:type="dxa"/>
          <w:bottom w:w="28" w:type="dxa"/>
          <w:right w:w="28" w:type="dxa"/>
        </w:tblCellMar>
      </w:tblPr>
      <w:tblGrid>
        <w:gridCol w:w="195"/>
        <w:gridCol w:w="171"/>
        <w:gridCol w:w="1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7"/>
        <w:gridCol w:w="496"/>
        <w:gridCol w:w="112"/>
        <w:gridCol w:w="109"/>
        <w:gridCol w:w="109"/>
        <w:gridCol w:w="109"/>
        <w:gridCol w:w="239"/>
        <w:gridCol w:w="241"/>
        <w:gridCol w:w="507"/>
        <w:gridCol w:w="109"/>
        <w:gridCol w:w="109"/>
        <w:gridCol w:w="109"/>
        <w:gridCol w:w="211"/>
        <w:gridCol w:w="511"/>
        <w:gridCol w:w="109"/>
        <w:gridCol w:w="109"/>
        <w:gridCol w:w="109"/>
        <w:gridCol w:w="109"/>
        <w:gridCol w:w="255"/>
        <w:gridCol w:w="256"/>
        <w:gridCol w:w="570"/>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over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over 2021</w:t>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in 2023, as compared to 2022, due to organizational synergies and project reprioritization as a result as a result of the Smiths Medical acquisition. R&amp;D expenses are primarily related to headcount and employment expenses in support of ongoing R&amp;D projects. R&amp;D expenses generally include compensation and benefit expenses, consulting fees, production supplies, samples, travel costs, utilities and other miscellaneous administrative costs incurred in our ongoing R&amp;D projects.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increased in 2022, as compared to 2021, due to the acquisition of Smiths Medical.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Restructuring, Strategic Transaction 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 expenses were $41.3 million, $71.4 million and $18.0 million in 2023, 2022 and 2021,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incurred restructuring charges net of reversed accruals of $5.7 million primarily related to severance costs. We reversed approximately $1.0 million in accrued restructuring balances related to severance and facility closure costs that will not be utilized.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incurred restructuring charges of $9.7 million primarily related to severance costs.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adjusted certain facility restructuring liabilities by $2.0 million to reflect actual amounts owed resulting in annual net restructuring credits of $(1.8)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incurred $35.6 million in strategic transaction and integration expenses primarily related to consulting expenses and employee costs incurred to integrate our Smiths Medical business acquired in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incurred $61.7 million in strategic transaction and integration expenses primarily related to our acquisition of Smiths Medical, which included legal expenses, bank fees and employee costs, and a United Kingdom stamp tax.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incurred $19.8 million in strategic transaction and integration expenses primarily related to integration costs associated with acquisitions, the Hospira Infusion Systems ("HIS") earn-out dispute with Pfizer, one-time costs incurred to comply with regulatory initiatives and transaction expenses incurred in connection with entering into the definitive agreement to acquire Smiths Medical.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 in fair value of contingent earn-out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the fair value revaluation of our contingent earn-outs resulted in a decrease in value of $16.2 million. This decrease was primarily related to the fair value revaluation of our Smiths Medical contingent earn-out liability. The change in fair value of the Smiths Medical contingent earn-out was driven by a decrease in our stock price.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fair value revaluation of our contingent earn-outs resulted in a decrease in value of $32.1 million. This decrease was primarily related to the fair value revaluation of our Smiths Medical contingent earn-out 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Settlement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and 2022, we did not incur any contract settlement charges. In 2021, we recorded $0.1 million in contract settlement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net (in thousands): </w:t>
      </w:r>
    </w:p>
    <w:tbl>
      <w:tblPr>
        <w:tblW w:w="6833" w:type="dxa"/>
        <w:jc w:val="left"/>
        <w:tblInd w:w="0" w:type="dxa"/>
        <w:tblLayout w:type="fixed"/>
        <w:tblCellMar>
          <w:top w:w="28" w:type="dxa"/>
          <w:left w:w="28" w:type="dxa"/>
          <w:bottom w:w="28" w:type="dxa"/>
          <w:right w:w="28" w:type="dxa"/>
        </w:tblCellMar>
      </w:tblPr>
      <w:tblGrid>
        <w:gridCol w:w="918"/>
        <w:gridCol w:w="804"/>
        <w:gridCol w:w="812"/>
        <w:gridCol w:w="109"/>
        <w:gridCol w:w="109"/>
        <w:gridCol w:w="109"/>
        <w:gridCol w:w="211"/>
        <w:gridCol w:w="901"/>
        <w:gridCol w:w="109"/>
        <w:gridCol w:w="109"/>
        <w:gridCol w:w="109"/>
        <w:gridCol w:w="109"/>
        <w:gridCol w:w="211"/>
        <w:gridCol w:w="796"/>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to partially fund our acquisition of Smiths Medical, we entered into senior secured credit facilities that refinanced our Prior Credit Facility in full, see "Liquidity and Capital Resources" in the remainder of this item for additional information and the estimated impact to future interest expense.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and 2022, interest expense primarily includes the contractual interest incurred on borrowings under the Credit Agreement, the per annum commitment fee charged on the available amount of the revolving credit facility contained in the Credit Agreement, the amortization of debt issuance costs incurred in connection with entering into the Credit Agreement (see Note 11: Long-Term Obligations in our accompanying consolidated financial statements) offset by the impact of the interest rate swaps (see Note 7: Derivatives and Hedging in our accompanying consolidated financial statements). The interest expense increased in 2023, as compared to 2022, primarily due to increases in the applicable SOFR reference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interest income, net primarily includes the per annum commitment fee charged on the unused portion of the revolver under our then five-year revolving credit facility and the amortization of financing costs that were incurred in 2017 in connection with entering into the then existing credit facility.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 all years was related to interest received on our interest-bearing securities.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Other (expense) income,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expense, net (in thousands): </w:t>
      </w:r>
    </w:p>
    <w:tbl>
      <w:tblPr>
        <w:tblW w:w="7644" w:type="dxa"/>
        <w:jc w:val="left"/>
        <w:tblInd w:w="0" w:type="dxa"/>
        <w:tblLayout w:type="fixed"/>
        <w:tblCellMar>
          <w:top w:w="28" w:type="dxa"/>
          <w:left w:w="28" w:type="dxa"/>
          <w:bottom w:w="28" w:type="dxa"/>
          <w:right w:w="28" w:type="dxa"/>
        </w:tblCellMar>
      </w:tblPr>
      <w:tblGrid>
        <w:gridCol w:w="1298"/>
        <w:gridCol w:w="1142"/>
        <w:gridCol w:w="1145"/>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exchange losses in 2023 were primarily related to the devaluation of the Argentine peso during the fourth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other miscellaneous income, net primarily includes $3.7 million in fees related to our accounts receivable purchase program (see Note 17: Accounts Receivable Purchase Program) mostly offset by a business interruption gain recognized upon receipt of insurance proceeds. We received total insurance recoveries for property damage and business interruption of $3.1 million, $2.6 million of which was related to insurance proceeds for business interruption included within other miscellaneous income, net. In 2022, other miscellaneous income, net primarily related to the sale of certain other assets.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were accrued at an estimated annual effective tax rate of 62%, 35% and 16% in 2023, 2022 and 2021,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in 2023 differs from the federal statutory rate of 21% principally because of the effect of the mix of U.S. and foreign income, state income taxes, section 162(m) excess compensation, foreign-derived intangible income (“FDII”), and tax credits. The effective tax rate in 2023 included a tax benefit of $9.6 million primarily related to unrecognized tax benefits released as a result of the expiration of the statute of limitations. The effective tax rate for 2023 also included a tax benefit of $0.8 million related to the excess tax benefits recognized on stock option exercises and the vesting of restricted stock units during the period. Additionally, the effective tax rate for 2023 included a tax benefit of $6.5 million related to U.S. federal return-to-provision adjustments net of related tax reserves. The adjustments related primarily to changes in estimates for the research and development credit and foreign tax credits. Additionally, the effective tax rate 2023 included the nil tax impact of the revaluation of contingent consideration of $16.2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the European Union agreed to implement Pillar Two, the OECD’s global minimum tax rate of 15% for multinationals that meet a global revenue threshold. A number of countries have enacted or have announced plans to enact legislation to adopt Pillar Two. The Pillar Two legislation is effective for our fiscal year beginning January 1, 2024 and for fiscal year 2024 we do not anticipate that it will have a material impact to our tax provision or effective tax rate. However, the Pillar Two rules continue to evolve and their application may alter our tax obligations in certain countries in which we operate for fiscal periods beyond 2024 as we continue to assess the impact of tax legislation in these jurisdictions.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in 2022 differs from the federal statutory rate of 21% principally because of the effect of the mix of U.S. and foreign incomes, state income taxes, section 162(m) excess compensation, FDII, global intangible low-taxed income ("GILTI") and tax credits. The effective tax rate during 2022 included a tax benefit of $4.2 million related to the excess tax benefits recognized on stock option exercises and the vesting of restricted stock units during the period. The effective tax rate during 2022 also included a $0.0 million tax impact of the revaluation of contingent consideration of $6.8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in 2021 differs from the federal statutory rate of 21% principally because of the effect of the mix of U.S. and foreign incomes, state income taxes, GILTI, FDII and tax credits. The effective tax rate in 2021 included a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of $4.9 million related to the excess tax benefits recognized on stock option exercises and the vesting of restricted stock units during the period. The effective tax rate for 2021 also included U.S. federal and state return-to-provision adjustments net of related reserve changes for the year ended December 31, 2020 of $0.9 million tax provision primarily due to changes in estimates for GILTI, FDII, subpart F, and related foreign tax credits along with other prior period adjustments.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and cash equivalents, our short-term investment portfolio, cash flows from our operations and access to borrowing arrangements.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Funds generated from operations are held in cash and cash equivalents and investment securities. During 2023, our cash and cash equivalents and short-term investment securities increased by $41.7 million from $213.0 million at December 31, 2022 to $254.7 million at December 31, 2023. This increase was primarily due to cash generated from operations. Our short-term investment portfolio currently consists of investment-grade corporate bonds and is primarily intended to facilitate capital preservation.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Facilities and Access to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11: Long-Term Obligations to our accompanying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$1.6 billion as of December 31, 2023,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December 31, 2023. As part of entering into the Senior Secured Credit Facilities, we were assigned issuer and Term Loan B credit ratings. At the date of issuance of this report, our issuer and Term Loan B credit ratings assigned and outlook were as follows:</w:t>
      </w:r>
    </w:p>
    <w:p>
      <w:pPr>
        <w:pStyle w:val="TextBody"/>
        <w:bidi w:val="0"/>
        <w:spacing w:before="0" w:after="0"/>
        <w:ind w:left="0" w:right="0" w:firstLine="720"/>
        <w:jc w:val="left"/>
        <w:rPr/>
      </w:pPr>
      <w:r>
        <w:rPr/>
      </w:r>
    </w:p>
    <w:tbl>
      <w:tblPr>
        <w:tblW w:w="4425" w:type="dxa"/>
        <w:jc w:val="left"/>
        <w:tblInd w:w="0" w:type="dxa"/>
        <w:tblLayout w:type="fixed"/>
        <w:tblCellMar>
          <w:top w:w="28" w:type="dxa"/>
          <w:left w:w="28" w:type="dxa"/>
          <w:bottom w:w="28" w:type="dxa"/>
          <w:right w:w="28" w:type="dxa"/>
        </w:tblCellMar>
      </w:tblPr>
      <w:tblGrid>
        <w:gridCol w:w="619"/>
        <w:gridCol w:w="543"/>
        <w:gridCol w:w="548"/>
        <w:gridCol w:w="609"/>
        <w:gridCol w:w="609"/>
        <w:gridCol w:w="611"/>
        <w:gridCol w:w="259"/>
        <w:gridCol w:w="259"/>
        <w:gridCol w:w="368"/>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Issuer/Term Loan B</w:t>
              <w:br/>
              <w:t>Credit Ratings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Moody's</w:t>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Ba3/Ba3</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Fitch</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 &amp; Poor's</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11: Long-Term Obligations to our accompanying consolidated financial statements). We were in compliance with these financial covenants as of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 receivables purchase agreement with Bank of the West, which was subsequently acquired by BMO in February 2023. This agreement provides for an additional source of capital (see Note 17: Accounts Receivable 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along with cash flows expected to be generated from future operations, cash received from our uncommitted trade accounts receivable purchase facility and the funds received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for discussion of the risks and uncertainties associated with our debt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Uses of Liquidity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relate to the expansion and maintenance of our business. While we can provide no assurances, we estimate that our capital expenditures in 2024 will be in the range of $90 million to $110 million. We anticipate making additional investments in machinery and equipment in our manufacturing operations in Costa Rica, Europe, Mexico and the U.S. to support new and existing products and in infusion pumps that get placed with customers outside the U.S. We expect to use our cash and cash equivalents to fund our capital expenditures. Amounts of spending are estimates and actual spending may substantially differ from those amounts.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2022, we acquired Smiths Medical. We financed the $1.9 billion cash portion of the purchase price at closing with a combination of proceeds from the Senior Secured Credit Facilities and our cash and cash equivalents. See Note 2: Acquisitions and Note 11: Long-Term Obligations in our accompanying consolidated financial statements for additional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at December 31, 2023 include both short and long-term future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non-cancelable operating lease agreements where we are contractually obligated for certain lease payment amounts. For more information regarding our operating lease obligations, (see Note 5: Leases in our accompanying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applicable margin on of 2.00% for term loan A and 2.50% for term loan B and the revolver commitment fees were estimated using a rate of 0.30%. The applicable margin rate and commitment fee rate will change from time to time in accordance with a preset pricing grid based on the leverage ratio (see Note 11: Long-Term Obligations in our accompanying consolidated financial statements for pricing grids related to the Senior Secured Credit Facilities). We expect to fund these obligations with our existing cash and cash equivalents and cash generated from our future operations.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tbl>
      <w:tblPr>
        <w:tblW w:w="8431" w:type="dxa"/>
        <w:jc w:val="left"/>
        <w:tblInd w:w="0" w:type="dxa"/>
        <w:tblLayout w:type="fixed"/>
        <w:tblCellMar>
          <w:top w:w="28" w:type="dxa"/>
          <w:left w:w="28" w:type="dxa"/>
          <w:bottom w:w="28" w:type="dxa"/>
          <w:right w:w="28" w:type="dxa"/>
        </w:tblCellMar>
      </w:tblPr>
      <w:tblGrid>
        <w:gridCol w:w="1009"/>
        <w:gridCol w:w="889"/>
        <w:gridCol w:w="892"/>
        <w:gridCol w:w="211"/>
        <w:gridCol w:w="616"/>
        <w:gridCol w:w="109"/>
        <w:gridCol w:w="211"/>
        <w:gridCol w:w="616"/>
        <w:gridCol w:w="109"/>
        <w:gridCol w:w="211"/>
        <w:gridCol w:w="616"/>
        <w:gridCol w:w="109"/>
        <w:gridCol w:w="211"/>
        <w:gridCol w:w="616"/>
        <w:gridCol w:w="109"/>
        <w:gridCol w:w="211"/>
        <w:gridCol w:w="511"/>
        <w:gridCol w:w="109"/>
        <w:gridCol w:w="229"/>
        <w:gridCol w:w="669"/>
        <w:gridCol w:w="168"/>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Principal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Interest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Principal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Interest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 Commitment Fee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Future Capital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January 2022 acquisition of Smiths Medical, we estimate the investment needed in 2024 for restructuring and integration expenses along with spending to support quality systems and quality compliance objectives to be in the range of $90 million to $110 million, which includes acquired accrued field action liabilities. We expect to fund these obligations with our cash and cash equivalents and cash generated from our operations.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Historical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operations was $166.2 million in 2023. The changes in operating assets and liabilities included a $48.6 million decrease in accounts receivable and a $11.7 million decrease in prepaid expenses and other current assets. Offsetting these amounts was a $6.1 million increase in inventories, a $68.3 million decrease in accounts payable, a $24.7 million increase in other assets, a $14.5 million decrease in accrued liabilities, and $82.4 million in net changes in income taxes, including excess tax benefits and deferred income taxes . The decrease in accounts receivable was primarily due to the sale of accounts receivable as part of our accounts receivable purchase program with Bank of the West, which was subsequently acquired by BMO in February 2023 (see Note 17: Accounts Receivable Purchase Program). The decrease in prepaid expenses and other current assets was primarily attributable to insurance, property taxes, and prepaid vendor expenses. The increase in inventory was primarily to build inventory safety stock levels. The decrease in accounts payable was due to the timing of payments. The increase in other assets was due to the purchase of spare parts. The primary drivers for the net decrease in accrued liabilities was primarily due to payments for field corrective actions, operating lease liabilities and distributor rebates as well as a decrease in deferred revenue offset partially by increases in accrued employee costs. The net changes in income taxes was a result of recording the current deferred provision and the timing of payments.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used in operations was $(62.1) million in 2022. The changes in operating assets and liabilities included a $201.1 million increase in inventories, a $21.3 million increase in other assets, a $55.8 million decrease in accrued liabilities, $66.7 million in net changes in income taxes, including excess tax benefits and deferred income taxes, and a $19.2 million increase in accounts receivable. Offsetting these amounts was a $22.9 million decrease in prepaid expenses and other current assets and a $37.5 million increase in accounts payable. The increase in inventory was primarily to build inventory safety stock levels. The increase in other assets was due to the purchase of spare parts. The primary drivers for the net decrease in accrued liabilities was primarily due to the payout of annual bonuses and decrease in deferred revenue. The net changes in income taxes was a result of recording the current deferred provision and the timing of payments. The increase in accounts receivable was primarily due to the net impact of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operations was $267.5 million in 2021. The changes in operating assets and liabilities included a $20.8 million decrease in inventories, a $13.8 million decrease in accounts receivable, a $6.3 million increase in accrued liabilities, a $2.3 million increase in accounts payable, and $0.9 million in net changes in income taxes, including excess tax benefits and deferred income taxes. Offsetting these amounts was a $21.0 million increase in other assets and a $8.0 million increase in prepaid expenses and other current assets. The decrease in inventory was primarily due to the timing of production and customer purchases. The decrease in accounts receivable is primarily due to collection efforts. The increase in accrued liabilities was primarily due to the accrual of incentive bonuses, deferred revenue collected on certain arrangements and accruals related to the Smiths Medical transaction. The increase in accounts payable was primarily due to the timing of payments. The net changes in income taxes was a result of the timing of payments. The increase in other assets was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purchase of spare parts. The net increase in prepaid expenses and other current assets was primarily due to an increase in deferred costs.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our investing cash flows (in thousands):</w:t>
      </w:r>
    </w:p>
    <w:tbl>
      <w:tblPr>
        <w:tblW w:w="10205" w:type="dxa"/>
        <w:jc w:val="center"/>
        <w:tblInd w:w="0" w:type="dxa"/>
        <w:tblLayout w:type="fixed"/>
        <w:tblCellMar>
          <w:top w:w="28" w:type="dxa"/>
          <w:left w:w="28" w:type="dxa"/>
          <w:bottom w:w="28" w:type="dxa"/>
          <w:right w:w="28" w:type="dxa"/>
        </w:tblCellMar>
      </w:tblPr>
      <w:tblGrid>
        <w:gridCol w:w="990"/>
        <w:gridCol w:w="554"/>
        <w:gridCol w:w="556"/>
        <w:gridCol w:w="109"/>
        <w:gridCol w:w="109"/>
        <w:gridCol w:w="109"/>
        <w:gridCol w:w="211"/>
        <w:gridCol w:w="752"/>
        <w:gridCol w:w="109"/>
        <w:gridCol w:w="109"/>
        <w:gridCol w:w="109"/>
        <w:gridCol w:w="109"/>
        <w:gridCol w:w="211"/>
        <w:gridCol w:w="1007"/>
        <w:gridCol w:w="109"/>
        <w:gridCol w:w="109"/>
        <w:gridCol w:w="109"/>
        <w:gridCol w:w="109"/>
        <w:gridCol w:w="211"/>
        <w:gridCol w:w="752"/>
        <w:gridCol w:w="109"/>
        <w:gridCol w:w="109"/>
        <w:gridCol w:w="109"/>
        <w:gridCol w:w="109"/>
        <w:gridCol w:w="211"/>
        <w:gridCol w:w="976"/>
        <w:gridCol w:w="109"/>
        <w:gridCol w:w="109"/>
        <w:gridCol w:w="109"/>
        <w:gridCol w:w="109"/>
        <w:gridCol w:w="211"/>
        <w:gridCol w:w="1007"/>
        <w:gridCol w:w="109"/>
        <w:gridCol w:w="109"/>
        <w:gridCol w:w="109"/>
        <w:gridCol w:w="158"/>
      </w:tblGrid>
      <w:tr>
        <w:trPr/>
        <w:tc>
          <w:tcPr>
            <w:tcW w:w="9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non-marketable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(1,909,468)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(1,818,781)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Our purchases of property, plant and equipment will vary from period to period based on additional investments needed to support new and existing products and expansion of our manufacturing facilities.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In 2021, we recorded a $6.6 million intangible asset related to a three-year non-compete agreement with one of our international distributors, of which $2.6 million was non-cash offset with a contingent earn-out.</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 xml:space="preserve">Our business acquisitions will vary from period to period based upon our current growth strategy and our ability to execute on desirable target companies. In 2022, we acquired Smiths Medical. The cash consideration for the transaction was $1.9 billion, which was financed with existing cash balances and borrowings under the Credit Agreement. Acquired cash was $78.8 million. In 2021, we acquired a small foreign infusion systems supplier for approximately $15.4 million.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(4)    </w:t>
      </w:r>
      <w:r>
        <w:rPr>
          <w:rFonts w:ascii="Times New Roman;sans-serif" w:hAnsi="Times New Roman;sans-serif"/>
          <w:b w:val="false"/>
          <w:color w:val="000000"/>
          <w:sz w:val="20"/>
        </w:rPr>
        <w:t>In 2021, we paid $3.3 million to acquire approximately a 20% non-marketable equity interest in a non-public company.</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(5)    </w:t>
      </w:r>
      <w:r>
        <w:rPr>
          <w:rFonts w:ascii="Times New Roman;sans-serif" w:hAnsi="Times New Roman;sans-serif"/>
          <w:b w:val="false"/>
          <w:color w:val="000000"/>
          <w:sz w:val="20"/>
        </w:rPr>
        <w:t>Our purchases of investment securities will vary from period to period based on current cash needs, planning for known future transactions and changes in our investment strategy. Our investment policy allows for the purchase of securities with final maturities in excess of one year. If cash is not needed for known future transactions our investment strategy takes advantage of the long-term securities with higher yields. Typically, our longer term securities have maturities up to three years.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(6)    </w:t>
      </w:r>
      <w:r>
        <w:rPr>
          <w:rFonts w:ascii="Times New Roman;sans-serif" w:hAnsi="Times New Roman;sans-serif"/>
          <w:b w:val="false"/>
          <w:color w:val="000000"/>
          <w:sz w:val="20"/>
        </w:rPr>
        <w:t>Proceeds from the sale of our investment securities will vary based on the maturity dates of the investments. In 2022, proceeds from sale of investment securities includes $19.0 million received from a promissory note related to an acquired investment as part of the Smiths Medical acquisition.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our financing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52"/>
        <w:gridCol w:w="645"/>
        <w:gridCol w:w="647"/>
        <w:gridCol w:w="109"/>
        <w:gridCol w:w="109"/>
        <w:gridCol w:w="109"/>
        <w:gridCol w:w="211"/>
        <w:gridCol w:w="748"/>
        <w:gridCol w:w="109"/>
        <w:gridCol w:w="109"/>
        <w:gridCol w:w="109"/>
        <w:gridCol w:w="109"/>
        <w:gridCol w:w="211"/>
        <w:gridCol w:w="976"/>
        <w:gridCol w:w="109"/>
        <w:gridCol w:w="109"/>
        <w:gridCol w:w="109"/>
        <w:gridCol w:w="109"/>
        <w:gridCol w:w="211"/>
        <w:gridCol w:w="748"/>
        <w:gridCol w:w="109"/>
        <w:gridCol w:w="109"/>
        <w:gridCol w:w="109"/>
        <w:gridCol w:w="109"/>
        <w:gridCol w:w="211"/>
        <w:gridCol w:w="1003"/>
        <w:gridCol w:w="109"/>
        <w:gridCol w:w="109"/>
        <w:gridCol w:w="109"/>
        <w:gridCol w:w="109"/>
        <w:gridCol w:w="211"/>
        <w:gridCol w:w="976"/>
        <w:gridCol w:w="109"/>
        <w:gridCol w:w="109"/>
        <w:gridCol w:w="109"/>
        <w:gridCol w:w="157"/>
      </w:tblGrid>
      <w:tr>
        <w:trPr/>
        <w:tc>
          <w:tcPr>
            <w:tcW w:w="85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 net of lender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third-party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__________________________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color w:val="000000"/>
        </w:rPr>
        <w:t xml:space="preserve"> </w:t>
      </w:r>
      <w:r>
        <w:rPr>
          <w:rFonts w:ascii="Times New Roman;sans-serif" w:hAnsi="Times New Roman;sans-serif"/>
          <w:b w:val="false"/>
          <w:color w:val="000000"/>
          <w:sz w:val="20"/>
        </w:rPr>
        <w:t>During 2022, we borrowed an aggregate of $1.7 billion under the Senior Secured Credit Facilities contained in the Credit Agreement to partially finance our acquisition of Smiths Medical (see Note 11: Long-Term Obligations to our accompanying consolidated financial statements for additional information). The proceeds are net of $37.8 million in payments of lender debt issuance costs.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 xml:space="preserve">Relates to scheduled principal payments on the Senior Secured Credit Facilities.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Relates to third-party debt issuance costs in connection with entering into the Senior Secured Credit Facilities.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Proceeds from the exercise of stock options will vary from period to period based on the volume of options exercised and the exercise price of the specific options exercised.</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(5)    </w:t>
      </w:r>
      <w:r>
        <w:rPr>
          <w:rFonts w:ascii="Times New Roman;sans-serif" w:hAnsi="Times New Roman;sans-serif"/>
          <w:b w:val="false"/>
          <w:color w:val="000000"/>
          <w:sz w:val="20"/>
        </w:rPr>
        <w:t>During 2021, we paid $26.3 million in cash related to the settlement of the Pursuit contingent earn-out. Of the $26.3 million, the amount recorded as the acquisition date fair value, which is considered financing cash flows, was $17.3 million (see Note 8: Fair Value Measurements).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(6)    </w:t>
      </w:r>
      <w:r>
        <w:rPr>
          <w:rFonts w:ascii="Times New Roman;sans-serif" w:hAnsi="Times New Roman;sans-serif"/>
          <w:b w:val="false"/>
          <w:color w:val="000000"/>
          <w:sz w:val="20"/>
        </w:rPr>
        <w:t xml:space="preserve">In 2023, our employees surrendered 59,377 shares of our common stock from vested restricted stock awards as consideration for approximately $9.4 million in minimum statutory withholding obligations paid on their behalf. In 2022, our employees surrendered 47,664 shares of our common stock from vested restricted stock awards as consideration for approximately $10.9 million in minimum statutory withholding obligations paid on their behalf. In 2021, our employees surrendered 40,350 shares of our common stock from vested restricted stock awards as consideration for approximately $8.3 million in minimum statutory withholding obligations paid on their behalf.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purchase plan, which authorized the repurchase of up to $100.0 million of our common stock, was approved by our Board of Directors in August 2019. This plan has no expiration date. As of December 31, 2023, all of the $100.0 million available for purchase was remaining under the plan. We are limited on share purchases in accordance with the terms and conditions of our Credit Agreement (see Note 11: Long-Term Obligations in our accompanying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Basis of Presentation and Significant Accounting Policies to the Consolidated Financial Statements in Part II, Item 8 of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revenue recognition, accounts receivable, and business combinations have the most potential impact on our consolidated financial statements. Historically, our estimates, assumptions and judgments relative to our critical accounting policies have not differed materially from actual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Revenue recognition</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revenues when we transfer control of promised goods to our customers, which for the majority of our sales of products sold on a standalone basis to our distributors and end customers for direct sales, is deemed to be at point of shipment. Our software license renewals are considered to be transferred to a customer at a point in time at the start of each renewal period, therefore revenue is recognized at that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variable consideration includes distributor chargebacks, product returns and end customer rebates, with distributor chargebacks representing the majority and subject to the greatest judgment.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trends in accrued versus paid chargebacks and impacts from price changes and similar metrics.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chargeback reserve reflects a reasonable estimate of the amount of consideration using the expected value method and is recorded as a reduction of accounts receivable, net on the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volume-based rebates to both our distribution and end-customers, which we record as variable consideration when calculating the transaction price. Rebates are offered on both a fixed and tiered/variable basis. In both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warrant products against defects and have a policy permitting the return of defective products, for which we accrue and expense at the time of sale using information available and our historical experience.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Accounts receivable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net realizable value. Our accounts receivable are recorded net of reserves including distributor chargebacks, estimated rebates and allowance for doubtful accounts. See above for significant judgments related to distributor chargebacks and rebates. An allowance is provided for estimated collection losses based on an analysis of the age of the receivable, on specific past due accounts for which we consider collection to be doubtful and based on current receivables where known economic conditions specific to individual significant customers may indicate collection is doubtful. We rely on prior payment trends, financial status and other factors to estimate the cash which ultimately will be received. Such amounts cannot be known with certainty at the financial statement date. We regularly review individual past due balances for collectability. We also have credit exposure with international customers for whom normal payment terms are long in comparison to those of our other customers and with domestic distributors. If actual collection losses exceed expectations, we could be required to accrue additional bad debt expense, which could have an adverse effect on our operating results in the period in which the accrual occurs.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i/>
          <w:color w:val="000000"/>
          <w:sz w:val="20"/>
        </w:rPr>
        <w:t>Business</w:t>
      </w:r>
      <w:r>
        <w:rPr>
          <w:color w:val="000000"/>
        </w:rPr>
        <w:t xml:space="preserve"> </w:t>
      </w:r>
      <w:r>
        <w:rPr>
          <w:rFonts w:ascii="Times New Roman;sans-serif" w:hAnsi="Times New Roman;sans-serif"/>
          <w:b w:val="false"/>
          <w:i/>
          <w:color w:val="000000"/>
          <w:sz w:val="20"/>
        </w:rPr>
        <w:t>Combinations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the estimates, assumptions and judgments we have made are reasonable, they are based in part on historical experience, industry data, information obtained from the management of the acquired companies and assistance from independent third-party appraisal/valuation firms, and are inherently uncertain.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Examples of critical estimates in valuing certain of the tangible and intangible assets we have acquired, and certain liabilities assumed include but are not limited to: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Inventories</w:t>
      </w:r>
      <w:r>
        <w:rPr>
          <w:color w:val="000000"/>
        </w:rPr>
        <w:t xml:space="preserve"> </w:t>
      </w:r>
      <w:r>
        <w:rPr>
          <w:rFonts w:ascii="Times New Roman;sans-serif" w:hAnsi="Times New Roman;sans-serif"/>
          <w:b w:val="false"/>
          <w:color w:val="000000"/>
          <w:sz w:val="20"/>
        </w:rPr>
        <w:t>- we used the comparative sales method, which estimates the selling price of finished goods and work-in-progress inventory, reduced by 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 the fair value estimate of acquired property, plant and equipment is determined based upon the nature of the asset using 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 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Identifiable Intangible Assets </w:t>
      </w:r>
      <w:r>
        <w:rPr>
          <w:rFonts w:ascii="Times New Roman;sans-serif" w:hAnsi="Times New Roman;sans-serif"/>
          <w:b w:val="false"/>
          <w:color w:val="000000"/>
          <w:sz w:val="20"/>
        </w:rPr>
        <w:t>- The fair value of the significant acquired identifiable intangible assets generally is determined using varying methods 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 Other critical estimates used to estimate the fair value are derived from royalty rates, customer retention rates and/or estimated useful lives.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Contingent Earn-out Liability - </w:t>
      </w:r>
      <w:r>
        <w:rPr>
          <w:rFonts w:ascii="Times New Roman;sans-serif" w:hAnsi="Times New Roman;sans-serif"/>
          <w:b w:val="false"/>
          <w:color w:val="000000"/>
          <w:sz w:val="20"/>
        </w:rPr>
        <w:t>The fair value of the earn-out liabilities were valued using a Monte Carlo simulation and a probability-weighted cash flow model, as appropriate (see Note 8: Fair Value Measurements to the consolidated financial statements in Part II, Item 8 of this Annual Report on Form 10-K for details).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Unanticipated events and circumstances may occur which may affect the accuracy or validity of such assumptions, estimates or actual results.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A facility currently bears interest based on Adjusted Term SOFR plus an applicable margin of 2.00% per year. The term loan B facility currently bears interest based on Adjusted Term SOFR subject to a 0.50% floor plus an applicable margin of 2.5%. We used a sensitivity analysis to measure our interest rate risk exposure. If the SOFR rate increases or decreases 1% from December 31, 2023, the additional annual interest expense or savings related to the term loans would be approximately $16.5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pay a fixed rate of 1.32% and receive the greater of 3-month USD SOFR or (0.15)%. The term loan B swap has an initial notional amount of $750.0 million, reducing to $46.9 million evenly on a quarterly basis through its final maturity on March 30, 2026 and we pay a fixed rate of 1.17% and receive the greater of 3-month USD SOFR or 0.35%. In June 2023, we entered into an additional swap with a notional amount of $300 million with a maturity date of June 30, 2028 and we pay a fixed rate of 3.8765% starting on June 30, 2023 and receive 3-month USD SOFR. (see Note 7: Derivatives and Hedging Activities to the Consolidated Financial Statements in Part II, Item 8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accounts receivable purchase program with Bank of the West, which was subsequently acquired by BMO in February 2023, bears discount rates tied to SOFR. These variable discount rates would affect the amount of factoring costs we incur, and the amount of cash we receive upon the sales of accounts receivable under this program. A 1% change in SOFR rates on the accounts receivable sales would not have a material impact on our results of operations, (see Note 17: Accounts Receivable Purchase Program to the Consolidated Financial Statements in Part II, Item 8. Of this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potentially significant earnings volatility due to foreign exchange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foreign exchange forward contracts to hedge a portion of our forecasted foreign currency-denominated revenues and expenses (principally Mexican Pesos, Euros, Japanese Yen, U.S. Dollar, Chinese Renminbi, Canadian Dollar, and Australian Dollar) that differ from the functional currency of the operating unit. These derivative contracts are designated and qualify as cash flow hedges (see Note 7: Derivatives and Hedging Activities to the consolidated financial statements in Part II, Item 8 of this Annual Report on Form 10-K). We performed a sensitivity analysis to estimate changes in the fair value of our foreign exchange derivatives due to potential changes in near-term foreign exchange rates. At December 31, 2023, the effect of a hypothetical 10% weakening in the actual foreign exchange rates used for the applicable currencies would result in an estimated decrease in the fair value of these outstanding derivatives contracts by approximately $4.6 million. The sensitivity analysis recalculates the fair value of the exchange contracts outstanding at December 31, 2023 using the actual forward rates at December 31, 2023, which are then adjusted to be 10% weaker for each respective currency.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10205" w:type="dxa"/>
        <w:jc w:val="center"/>
        <w:tblInd w:w="0" w:type="dxa"/>
        <w:tblLayout w:type="fixed"/>
        <w:tblCellMar>
          <w:top w:w="28" w:type="dxa"/>
          <w:left w:w="28" w:type="dxa"/>
          <w:bottom w:w="28" w:type="dxa"/>
          <w:right w:w="28" w:type="dxa"/>
        </w:tblCellMar>
      </w:tblPr>
      <w:tblGrid>
        <w:gridCol w:w="2758"/>
        <w:gridCol w:w="2295"/>
        <w:gridCol w:w="2295"/>
        <w:gridCol w:w="833"/>
        <w:gridCol w:w="833"/>
        <w:gridCol w:w="1191"/>
      </w:tblGrid>
      <w:tr>
        <w:trPr/>
        <w:tc>
          <w:tcPr>
            <w:tcW w:w="275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 SCHEDULE</w:t>
            </w:r>
          </w:p>
        </w:tc>
      </w:tr>
      <w:tr>
        <w:trPr/>
        <w:tc>
          <w:tcPr>
            <w:tcW w:w="7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7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55">
              <w:r>
                <w:rPr>
                  <w:rStyle w:val="InternetLink"/>
                  <w:rFonts w:ascii="Times New Roman;sans-serif" w:hAnsi="Times New Roman;sans-serif"/>
                  <w:b w:val="false"/>
                  <w:strike w:val="false"/>
                  <w:dstrike w:val="false"/>
                  <w:color w:val="000000"/>
                  <w:sz w:val="20"/>
                  <w:u w:val="none"/>
                  <w:effect w:val="none"/>
                </w:rPr>
                <w:t>Reports of Independent Registered Public Accounting Firm</w:t>
              </w:r>
            </w:hyperlink>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55">
              <w:r>
                <w:rPr>
                  <w:rStyle w:val="InternetLink"/>
                  <w:rFonts w:ascii="Times New Roman;sans-serif" w:hAnsi="Times New Roman;sans-serif"/>
                  <w:b w:val="false"/>
                  <w:strike w:val="false"/>
                  <w:dstrike w:val="false"/>
                  <w:color w:val="000000"/>
                  <w:sz w:val="20"/>
                  <w:u w:val="none"/>
                  <w:effect w:val="none"/>
                </w:rPr>
                <w:t>59</w:t>
              </w:r>
            </w:hyperlink>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58">
              <w:r>
                <w:rPr>
                  <w:rStyle w:val="InternetLink"/>
                  <w:rFonts w:ascii="Times New Roman;sans-serif" w:hAnsi="Times New Roman;sans-serif"/>
                  <w:b w:val="false"/>
                  <w:strike w:val="false"/>
                  <w:dstrike w:val="false"/>
                  <w:color w:val="000080"/>
                  <w:sz w:val="20"/>
                  <w:u w:val="single"/>
                  <w:effect w:val="none"/>
                </w:rPr>
                <w:t>Consolidated Balance Sheets as of December 31, 202</w:t>
              </w:r>
            </w:hyperlink>
            <w:hyperlink w:anchor="ie367aa308e554ece8927496a6557c9ae_58">
              <w:r>
                <w:rPr>
                  <w:rStyle w:val="InternetLink"/>
                  <w:rFonts w:ascii="Times New Roman;sans-serif" w:hAnsi="Times New Roman;sans-serif"/>
                  <w:b w:val="false"/>
                  <w:strike w:val="false"/>
                  <w:dstrike w:val="false"/>
                  <w:color w:val="000080"/>
                  <w:sz w:val="20"/>
                  <w:u w:val="single"/>
                  <w:effect w:val="none"/>
                </w:rPr>
                <w:t>3</w:t>
              </w:r>
            </w:hyperlink>
            <w:hyperlink w:anchor="ie367aa308e554ece8927496a6557c9ae_58">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2</w:t>
            </w:r>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58">
              <w:r>
                <w:rPr>
                  <w:rStyle w:val="InternetLink"/>
                  <w:rFonts w:ascii="Times New Roman;sans-serif" w:hAnsi="Times New Roman;sans-serif"/>
                  <w:b w:val="false"/>
                  <w:strike w:val="false"/>
                  <w:dstrike w:val="false"/>
                  <w:color w:val="000000"/>
                  <w:sz w:val="20"/>
                  <w:u w:val="none"/>
                  <w:effect w:val="none"/>
                </w:rPr>
                <w:t>62</w:t>
              </w:r>
            </w:hyperlink>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61">
              <w:r>
                <w:rPr>
                  <w:rStyle w:val="InternetLink"/>
                  <w:rFonts w:ascii="Times New Roman;sans-serif" w:hAnsi="Times New Roman;sans-serif"/>
                  <w:b w:val="false"/>
                  <w:strike w:val="false"/>
                  <w:dstrike w:val="false"/>
                  <w:color w:val="000080"/>
                  <w:sz w:val="20"/>
                  <w:u w:val="single"/>
                  <w:effect w:val="none"/>
                </w:rPr>
                <w:t>Consolidated Statements of Operations for the Years Ended December 31, 202</w:t>
              </w:r>
            </w:hyperlink>
            <w:hyperlink w:anchor="ie367aa308e554ece8927496a6557c9ae_61">
              <w:r>
                <w:rPr>
                  <w:rStyle w:val="InternetLink"/>
                  <w:rFonts w:ascii="Times New Roman;sans-serif" w:hAnsi="Times New Roman;sans-serif"/>
                  <w:b w:val="false"/>
                  <w:strike w:val="false"/>
                  <w:dstrike w:val="false"/>
                  <w:color w:val="000080"/>
                  <w:sz w:val="20"/>
                  <w:u w:val="single"/>
                  <w:effect w:val="none"/>
                </w:rPr>
                <w:t>3</w:t>
              </w:r>
            </w:hyperlink>
            <w:hyperlink w:anchor="ie367aa308e554ece8927496a6557c9ae_61">
              <w:r>
                <w:rPr>
                  <w:rStyle w:val="InternetLink"/>
                  <w:rFonts w:ascii="Times New Roman;sans-serif" w:hAnsi="Times New Roman;sans-serif"/>
                  <w:b w:val="false"/>
                  <w:strike w:val="false"/>
                  <w:dstrike w:val="false"/>
                  <w:color w:val="000080"/>
                  <w:sz w:val="20"/>
                  <w:u w:val="single"/>
                  <w:effect w:val="none"/>
                </w:rPr>
                <w:t>, 202</w:t>
              </w:r>
            </w:hyperlink>
            <w:hyperlink w:anchor="ie367aa308e554ece8927496a6557c9ae_61">
              <w:r>
                <w:rPr>
                  <w:rStyle w:val="InternetLink"/>
                  <w:rFonts w:ascii="Times New Roman;sans-serif" w:hAnsi="Times New Roman;sans-serif"/>
                  <w:b w:val="false"/>
                  <w:strike w:val="false"/>
                  <w:dstrike w:val="false"/>
                  <w:color w:val="000080"/>
                  <w:sz w:val="20"/>
                  <w:u w:val="single"/>
                  <w:effect w:val="none"/>
                </w:rPr>
                <w:t>2</w:t>
              </w:r>
            </w:hyperlink>
            <w:hyperlink w:anchor="ie367aa308e554ece8927496a6557c9ae_61">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1</w:t>
            </w:r>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61">
              <w:r>
                <w:rPr>
                  <w:rStyle w:val="InternetLink"/>
                  <w:rFonts w:ascii="Times New Roman;sans-serif" w:hAnsi="Times New Roman;sans-serif"/>
                  <w:b w:val="false"/>
                  <w:strike w:val="false"/>
                  <w:dstrike w:val="false"/>
                  <w:color w:val="000000"/>
                  <w:sz w:val="20"/>
                  <w:u w:val="none"/>
                  <w:effect w:val="none"/>
                </w:rPr>
                <w:t>63</w:t>
              </w:r>
            </w:hyperlink>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64">
              <w:r>
                <w:rPr>
                  <w:rStyle w:val="InternetLink"/>
                  <w:rFonts w:ascii="Times New Roman;sans-serif" w:hAnsi="Times New Roman;sans-serif"/>
                  <w:b w:val="false"/>
                  <w:strike w:val="false"/>
                  <w:dstrike w:val="false"/>
                  <w:color w:val="000080"/>
                  <w:sz w:val="20"/>
                  <w:u w:val="single"/>
                  <w:effect w:val="none"/>
                </w:rPr>
                <w:t>Consolidated Statements of Comprehensive (Loss) Income for the Years Ended December 31, 202</w:t>
              </w:r>
            </w:hyperlink>
            <w:hyperlink w:anchor="ie367aa308e554ece8927496a6557c9ae_64">
              <w:r>
                <w:rPr>
                  <w:rStyle w:val="InternetLink"/>
                  <w:rFonts w:ascii="Times New Roman;sans-serif" w:hAnsi="Times New Roman;sans-serif"/>
                  <w:b w:val="false"/>
                  <w:strike w:val="false"/>
                  <w:dstrike w:val="false"/>
                  <w:color w:val="000080"/>
                  <w:sz w:val="20"/>
                  <w:u w:val="single"/>
                  <w:effect w:val="none"/>
                </w:rPr>
                <w:t>3</w:t>
              </w:r>
            </w:hyperlink>
            <w:hyperlink w:anchor="ie367aa308e554ece8927496a6557c9ae_64">
              <w:r>
                <w:rPr>
                  <w:rStyle w:val="InternetLink"/>
                  <w:rFonts w:ascii="Times New Roman;sans-serif" w:hAnsi="Times New Roman;sans-serif"/>
                  <w:b w:val="false"/>
                  <w:strike w:val="false"/>
                  <w:dstrike w:val="false"/>
                  <w:color w:val="000080"/>
                  <w:sz w:val="20"/>
                  <w:u w:val="single"/>
                  <w:effect w:val="none"/>
                </w:rPr>
                <w:t>, 202</w:t>
              </w:r>
            </w:hyperlink>
            <w:hyperlink w:anchor="ie367aa308e554ece8927496a6557c9ae_64">
              <w:r>
                <w:rPr>
                  <w:rStyle w:val="InternetLink"/>
                  <w:rFonts w:ascii="Times New Roman;sans-serif" w:hAnsi="Times New Roman;sans-serif"/>
                  <w:b w:val="false"/>
                  <w:strike w:val="false"/>
                  <w:dstrike w:val="false"/>
                  <w:color w:val="000080"/>
                  <w:sz w:val="20"/>
                  <w:u w:val="single"/>
                  <w:effect w:val="none"/>
                </w:rPr>
                <w:t>2</w:t>
              </w:r>
            </w:hyperlink>
            <w:hyperlink w:anchor="ie367aa308e554ece8927496a6557c9ae_64">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1</w:t>
            </w:r>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64">
              <w:r>
                <w:rPr>
                  <w:rStyle w:val="InternetLink"/>
                  <w:rFonts w:ascii="Times New Roman;sans-serif" w:hAnsi="Times New Roman;sans-serif"/>
                  <w:b w:val="false"/>
                  <w:strike w:val="false"/>
                  <w:dstrike w:val="false"/>
                  <w:color w:val="000000"/>
                  <w:sz w:val="20"/>
                  <w:u w:val="none"/>
                  <w:effect w:val="none"/>
                </w:rPr>
                <w:t>64</w:t>
              </w:r>
            </w:hyperlink>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67">
              <w:r>
                <w:rPr>
                  <w:rStyle w:val="InternetLink"/>
                  <w:rFonts w:ascii="Times New Roman;sans-serif" w:hAnsi="Times New Roman;sans-serif"/>
                  <w:b w:val="false"/>
                  <w:strike w:val="false"/>
                  <w:dstrike w:val="false"/>
                  <w:color w:val="000080"/>
                  <w:sz w:val="20"/>
                  <w:u w:val="single"/>
                  <w:effect w:val="none"/>
                </w:rPr>
                <w:t>Consolidated Statements of Stockholders’ Equity for the Years Ended December 31, 202</w:t>
              </w:r>
            </w:hyperlink>
            <w:hyperlink w:anchor="ie367aa308e554ece8927496a6557c9ae_67">
              <w:r>
                <w:rPr>
                  <w:rStyle w:val="InternetLink"/>
                  <w:rFonts w:ascii="Times New Roman;sans-serif" w:hAnsi="Times New Roman;sans-serif"/>
                  <w:b w:val="false"/>
                  <w:strike w:val="false"/>
                  <w:dstrike w:val="false"/>
                  <w:color w:val="000080"/>
                  <w:sz w:val="20"/>
                  <w:u w:val="single"/>
                  <w:effect w:val="none"/>
                </w:rPr>
                <w:t>3</w:t>
              </w:r>
            </w:hyperlink>
            <w:hyperlink w:anchor="ie367aa308e554ece8927496a6557c9ae_67">
              <w:r>
                <w:rPr>
                  <w:rStyle w:val="InternetLink"/>
                  <w:rFonts w:ascii="Times New Roman;sans-serif" w:hAnsi="Times New Roman;sans-serif"/>
                  <w:b w:val="false"/>
                  <w:strike w:val="false"/>
                  <w:dstrike w:val="false"/>
                  <w:color w:val="000080"/>
                  <w:sz w:val="20"/>
                  <w:u w:val="single"/>
                  <w:effect w:val="none"/>
                </w:rPr>
                <w:t>, 202</w:t>
              </w:r>
            </w:hyperlink>
            <w:hyperlink w:anchor="ie367aa308e554ece8927496a6557c9ae_67">
              <w:r>
                <w:rPr>
                  <w:rStyle w:val="InternetLink"/>
                  <w:rFonts w:ascii="Times New Roman;sans-serif" w:hAnsi="Times New Roman;sans-serif"/>
                  <w:b w:val="false"/>
                  <w:strike w:val="false"/>
                  <w:dstrike w:val="false"/>
                  <w:color w:val="000080"/>
                  <w:sz w:val="20"/>
                  <w:u w:val="single"/>
                  <w:effect w:val="none"/>
                </w:rPr>
                <w:t>2</w:t>
              </w:r>
            </w:hyperlink>
            <w:hyperlink w:anchor="ie367aa308e554ece8927496a6557c9ae_67">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1</w:t>
            </w:r>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67">
              <w:r>
                <w:rPr>
                  <w:rStyle w:val="InternetLink"/>
                  <w:rFonts w:ascii="Times New Roman;sans-serif" w:hAnsi="Times New Roman;sans-serif"/>
                  <w:b w:val="false"/>
                  <w:strike w:val="false"/>
                  <w:dstrike w:val="false"/>
                  <w:color w:val="000000"/>
                  <w:sz w:val="20"/>
                  <w:u w:val="none"/>
                  <w:effect w:val="none"/>
                </w:rPr>
                <w:t>65</w:t>
              </w:r>
            </w:hyperlink>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70">
              <w:r>
                <w:rPr>
                  <w:rStyle w:val="InternetLink"/>
                  <w:rFonts w:ascii="Times New Roman;sans-serif" w:hAnsi="Times New Roman;sans-serif"/>
                  <w:b w:val="false"/>
                  <w:strike w:val="false"/>
                  <w:dstrike w:val="false"/>
                  <w:color w:val="000080"/>
                  <w:sz w:val="20"/>
                  <w:u w:val="single"/>
                  <w:effect w:val="none"/>
                </w:rPr>
                <w:t>Consolidated Statements of Cash Flows for the Years Ended December 31, 202</w:t>
              </w:r>
            </w:hyperlink>
            <w:hyperlink w:anchor="ie367aa308e554ece8927496a6557c9ae_70">
              <w:r>
                <w:rPr>
                  <w:rStyle w:val="InternetLink"/>
                  <w:rFonts w:ascii="Times New Roman;sans-serif" w:hAnsi="Times New Roman;sans-serif"/>
                  <w:b w:val="false"/>
                  <w:strike w:val="false"/>
                  <w:dstrike w:val="false"/>
                  <w:color w:val="000080"/>
                  <w:sz w:val="20"/>
                  <w:u w:val="single"/>
                  <w:effect w:val="none"/>
                </w:rPr>
                <w:t>3</w:t>
              </w:r>
            </w:hyperlink>
            <w:hyperlink w:anchor="ie367aa308e554ece8927496a6557c9ae_70">
              <w:r>
                <w:rPr>
                  <w:rStyle w:val="InternetLink"/>
                  <w:rFonts w:ascii="Times New Roman;sans-serif" w:hAnsi="Times New Roman;sans-serif"/>
                  <w:b w:val="false"/>
                  <w:strike w:val="false"/>
                  <w:dstrike w:val="false"/>
                  <w:color w:val="000080"/>
                  <w:sz w:val="20"/>
                  <w:u w:val="single"/>
                  <w:effect w:val="none"/>
                </w:rPr>
                <w:t>, 202</w:t>
              </w:r>
            </w:hyperlink>
            <w:hyperlink w:anchor="ie367aa308e554ece8927496a6557c9ae_70">
              <w:r>
                <w:rPr>
                  <w:rStyle w:val="InternetLink"/>
                  <w:rFonts w:ascii="Times New Roman;sans-serif" w:hAnsi="Times New Roman;sans-serif"/>
                  <w:b w:val="false"/>
                  <w:strike w:val="false"/>
                  <w:dstrike w:val="false"/>
                  <w:color w:val="000080"/>
                  <w:sz w:val="20"/>
                  <w:u w:val="single"/>
                  <w:effect w:val="none"/>
                </w:rPr>
                <w:t>2</w:t>
              </w:r>
            </w:hyperlink>
            <w:hyperlink w:anchor="ie367aa308e554ece8927496a6557c9ae_70">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1</w:t>
            </w:r>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70">
              <w:r>
                <w:rPr>
                  <w:rStyle w:val="InternetLink"/>
                  <w:rFonts w:ascii="Times New Roman;sans-serif" w:hAnsi="Times New Roman;sans-serif"/>
                  <w:b w:val="false"/>
                  <w:strike w:val="false"/>
                  <w:dstrike w:val="false"/>
                  <w:color w:val="000000"/>
                  <w:sz w:val="20"/>
                  <w:u w:val="none"/>
                  <w:effect w:val="none"/>
                </w:rPr>
                <w:t>66</w:t>
              </w:r>
            </w:hyperlink>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73">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73">
              <w:r>
                <w:rPr>
                  <w:rStyle w:val="InternetLink"/>
                  <w:rFonts w:ascii="Times New Roman;sans-serif" w:hAnsi="Times New Roman;sans-serif"/>
                  <w:b w:val="false"/>
                  <w:strike w:val="false"/>
                  <w:dstrike w:val="false"/>
                  <w:color w:val="000000"/>
                  <w:sz w:val="20"/>
                  <w:u w:val="none"/>
                  <w:effect w:val="none"/>
                </w:rPr>
                <w:t>68</w:t>
              </w:r>
            </w:hyperlink>
          </w:p>
        </w:tc>
      </w:tr>
      <w:tr>
        <w:trPr/>
        <w:tc>
          <w:tcPr>
            <w:tcW w:w="73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75">
              <w:r>
                <w:rPr>
                  <w:rStyle w:val="InternetLink"/>
                  <w:rFonts w:ascii="Times New Roman;sans-serif" w:hAnsi="Times New Roman;sans-serif"/>
                  <w:b w:val="false"/>
                  <w:strike w:val="false"/>
                  <w:dstrike w:val="false"/>
                  <w:color w:val="000000"/>
                  <w:sz w:val="20"/>
                  <w:u w:val="none"/>
                  <w:effect w:val="none"/>
                </w:rPr>
                <w:t>Schedule II-Valuation and Qualifying Accounts</w:t>
              </w:r>
            </w:hyperlink>
          </w:p>
        </w:tc>
        <w:tc>
          <w:tcPr>
            <w:tcW w:w="2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175">
              <w:r>
                <w:rPr>
                  <w:rStyle w:val="InternetLink"/>
                  <w:rFonts w:ascii="Times New Roman;sans-serif" w:hAnsi="Times New Roman;sans-serif"/>
                  <w:b w:val="false"/>
                  <w:strike w:val="false"/>
                  <w:dstrike w:val="false"/>
                  <w:color w:val="000000"/>
                  <w:sz w:val="20"/>
                  <w:u w:val="none"/>
                  <w:effect w:val="none"/>
                </w:rPr>
                <w:t>119</w:t>
              </w:r>
            </w:hyperlink>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ICU Medical,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ICU Medical, Inc. and subsidiaries (the "Company") as of December 31, 2023 and 2022, the related consolidated statements of operations, comprehensive (loss) income, stockholders' equity,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February 27, 2024, expressed an unqualified opinion on the Company's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Recognition – Chargeback Reserve — Refer to Notes 1 and 4 to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and the related accounts receivable for product sales, net of a reserve for estimated chargebacks. Chargebacks are the difference between prices the Company charges distribution customers and contracted prices the Company has with the end-customer which are processed as credits to the distribution customers.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Chargebacks are accounted for as variable consideration when determining the transaction price for purposes of recognizing revenue. Variable consideration is included in net sales only to the extent that a significant reversal in revenue is not probable when the uncertainty is resolved. The Company estimates and reserves for chargebacks as a reduction of revenue and the related accounts receivable at the time of sale to its distribution customers using information available at that time, including historical experience.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subjectivity and complexity of evaluating management’s assumptions used in the determination of the chargeback reserve, including the estimated chargeback amount for sales to distribution customers and the time to settle chargeback obligations, auditing the chargeback reserve requires a high degree of auditor judgment and an increased extent of effort.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chargeback reserve included the following, among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tested the effectiveness of certain controls related to management's assessment of assumptions related to estimating the provision for chargeback reserves, the provisioning, processing, and monitoring of chargeback transactions, and the reconciliation of chargeback reserves.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tested chargeback estimates for purposes of determining whether revenues recognized at the time of sale were recorded in the proper period.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evaluated the methods and assumptions used by management to estimate the chargeback reserve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Analyzing trends in the chargeback provision as a percent of revenues and the chargeback reserve as a percent of revenues.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Testing the underlying data, including historical sales to distribution customers, chargeback settlements with distribution customers, and inventory days on hand reported from distributors, that are utilized as the basis for the chargeback reserve, to test whether the inputs to the estimate were reasonable.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Developing an expectation of the chargeback reserve based on monthly sales to distribution customers, historical experience, and the time to settle chargeback obligations, and comparing our expectation to the amount recorded by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Performing retrospective reviews comparing management's estimates of expected chargeback reserves to actual amounts incurred subsequent to the dates of estimation, to assess management's ability to reasonably estimate these obligations and to identify potential bias in management's assessment of the 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tbl>
      <w:tblPr>
        <w:tblW w:w="4782" w:type="dxa"/>
        <w:jc w:val="center"/>
        <w:tblInd w:w="0" w:type="dxa"/>
        <w:tblLayout w:type="fixed"/>
        <w:tblCellMar>
          <w:top w:w="28" w:type="dxa"/>
          <w:left w:w="28" w:type="dxa"/>
          <w:bottom w:w="28" w:type="dxa"/>
          <w:right w:w="28" w:type="dxa"/>
        </w:tblCellMar>
      </w:tblPr>
      <w:tblGrid>
        <w:gridCol w:w="1595"/>
        <w:gridCol w:w="1405"/>
        <w:gridCol w:w="1410"/>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ICU Medical, Inc.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internal control over financial reporting of ICU Medical, Inc. and subsidiaries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par value data and treasury shares) </w:t>
      </w:r>
    </w:p>
    <w:tbl>
      <w:tblPr>
        <w:tblW w:w="10205" w:type="dxa"/>
        <w:jc w:val="center"/>
        <w:tblInd w:w="0" w:type="dxa"/>
        <w:tblLayout w:type="fixed"/>
        <w:tblCellMar>
          <w:top w:w="28" w:type="dxa"/>
          <w:left w:w="28" w:type="dxa"/>
          <w:bottom w:w="28" w:type="dxa"/>
          <w:right w:w="28" w:type="dxa"/>
        </w:tblCellMar>
      </w:tblPr>
      <w:tblGrid>
        <w:gridCol w:w="2907"/>
        <w:gridCol w:w="2155"/>
        <w:gridCol w:w="2178"/>
        <w:gridCol w:w="211"/>
        <w:gridCol w:w="976"/>
        <w:gridCol w:w="109"/>
        <w:gridCol w:w="109"/>
        <w:gridCol w:w="109"/>
        <w:gridCol w:w="109"/>
        <w:gridCol w:w="211"/>
        <w:gridCol w:w="976"/>
        <w:gridCol w:w="155"/>
      </w:tblGrid>
      <w:tr>
        <w:trPr/>
        <w:tc>
          <w:tcPr>
            <w:tcW w:w="2907"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SHORT-TERM INVESTMENT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doubtful accounts of $11,064 and $8,530 at December 31, 2023 and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4,515,641 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$1.00 par value; Authorized—500 shares; Issued and outstanding— none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$0.10 par value; Authorized—80,000 shares; Issued—24,144 and 23,995 shares at December 31, 2023 and 2022, respectively, and outstanding—24,141 and 23,993 shares at December 31, 2023 and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(2,428 and 1,633 shares,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2,089,928 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4,515,641 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data)</w:t>
      </w:r>
    </w:p>
    <w:tbl>
      <w:tblPr>
        <w:tblW w:w="8831" w:type="dxa"/>
        <w:jc w:val="center"/>
        <w:tblInd w:w="0" w:type="dxa"/>
        <w:tblLayout w:type="fixed"/>
        <w:tblCellMar>
          <w:top w:w="28" w:type="dxa"/>
          <w:left w:w="28" w:type="dxa"/>
          <w:bottom w:w="28" w:type="dxa"/>
          <w:right w:w="28" w:type="dxa"/>
        </w:tblCellMar>
      </w:tblPr>
      <w:tblGrid>
        <w:gridCol w:w="1538"/>
        <w:gridCol w:w="1349"/>
        <w:gridCol w:w="1357"/>
        <w:gridCol w:w="211"/>
        <w:gridCol w:w="976"/>
        <w:gridCol w:w="109"/>
        <w:gridCol w:w="109"/>
        <w:gridCol w:w="109"/>
        <w:gridCol w:w="109"/>
        <w:gridCol w:w="211"/>
        <w:gridCol w:w="976"/>
        <w:gridCol w:w="109"/>
        <w:gridCol w:w="109"/>
        <w:gridCol w:w="109"/>
        <w:gridCol w:w="109"/>
        <w:gridCol w:w="211"/>
        <w:gridCol w:w="97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settlement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COMPREHENSIVE (LOSS)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457"/>
        <w:gridCol w:w="1867"/>
        <w:gridCol w:w="1764"/>
        <w:gridCol w:w="211"/>
        <w:gridCol w:w="762"/>
        <w:gridCol w:w="109"/>
        <w:gridCol w:w="109"/>
        <w:gridCol w:w="109"/>
        <w:gridCol w:w="109"/>
        <w:gridCol w:w="211"/>
        <w:gridCol w:w="867"/>
        <w:gridCol w:w="109"/>
        <w:gridCol w:w="109"/>
        <w:gridCol w:w="109"/>
        <w:gridCol w:w="109"/>
        <w:gridCol w:w="211"/>
        <w:gridCol w:w="826"/>
        <w:gridCol w:w="157"/>
      </w:tblGrid>
      <w:tr>
        <w:trPr/>
        <w:tc>
          <w:tcPr>
            <w:tcW w:w="245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 adjustments, net of tax of $(5,951), $12,941 and $(954) for the years ended December 31, 2023, 2022 and 2021,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net of tax of $0 for all periods </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 of tax of $0 for all periods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ICU MEDICAL, INC. AND SUBSIDIARIES</w:t>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bl>
      <w:tblPr>
        <w:tblW w:w="10823"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330"/>
        <w:gridCol w:w="331"/>
        <w:gridCol w:w="211"/>
        <w:gridCol w:w="109"/>
        <w:gridCol w:w="109"/>
        <w:gridCol w:w="109"/>
        <w:gridCol w:w="196"/>
        <w:gridCol w:w="571"/>
        <w:gridCol w:w="109"/>
        <w:gridCol w:w="109"/>
        <w:gridCol w:w="109"/>
        <w:gridCol w:w="109"/>
        <w:gridCol w:w="196"/>
        <w:gridCol w:w="886"/>
        <w:gridCol w:w="109"/>
        <w:gridCol w:w="109"/>
        <w:gridCol w:w="109"/>
        <w:gridCol w:w="109"/>
        <w:gridCol w:w="214"/>
        <w:gridCol w:w="477"/>
        <w:gridCol w:w="120"/>
        <w:gridCol w:w="109"/>
        <w:gridCol w:w="109"/>
        <w:gridCol w:w="109"/>
        <w:gridCol w:w="196"/>
        <w:gridCol w:w="751"/>
        <w:gridCol w:w="109"/>
        <w:gridCol w:w="109"/>
        <w:gridCol w:w="109"/>
        <w:gridCol w:w="109"/>
        <w:gridCol w:w="264"/>
        <w:gridCol w:w="893"/>
        <w:gridCol w:w="14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21,058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693,068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808,652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(1,522)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1,502,265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21,280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721,412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911,787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(19,269)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1,616,031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23,995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1,331,249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837,501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(80,978)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2,089,928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24,144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1,366,493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807,846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(53,081)</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2,123,410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60" w:after="283"/>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ICU MEDICAL, INC. AND SUBSIDIARIES</w:t>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bl>
      <w:tblPr>
        <w:tblW w:w="10205" w:type="dxa"/>
        <w:jc w:val="center"/>
        <w:tblInd w:w="0" w:type="dxa"/>
        <w:tblLayout w:type="fixed"/>
        <w:tblCellMar>
          <w:top w:w="28" w:type="dxa"/>
          <w:left w:w="28" w:type="dxa"/>
          <w:bottom w:w="28" w:type="dxa"/>
          <w:right w:w="28" w:type="dxa"/>
        </w:tblCellMar>
      </w:tblPr>
      <w:tblGrid>
        <w:gridCol w:w="2321"/>
        <w:gridCol w:w="2019"/>
        <w:gridCol w:w="2030"/>
        <w:gridCol w:w="196"/>
        <w:gridCol w:w="736"/>
        <w:gridCol w:w="109"/>
        <w:gridCol w:w="109"/>
        <w:gridCol w:w="109"/>
        <w:gridCol w:w="109"/>
        <w:gridCol w:w="197"/>
        <w:gridCol w:w="746"/>
        <w:gridCol w:w="109"/>
        <w:gridCol w:w="109"/>
        <w:gridCol w:w="109"/>
        <w:gridCol w:w="109"/>
        <w:gridCol w:w="196"/>
        <w:gridCol w:w="736"/>
        <w:gridCol w:w="156"/>
      </w:tblGrid>
      <w:tr>
        <w:trPr/>
        <w:tc>
          <w:tcPr>
            <w:tcW w:w="2321"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income to net cash (used in)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expense for inventory step-up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warranty and returns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or write-off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premium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Usage of spare parts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amounts acquired: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including excess tax benefits and 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non-marketable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(90,687)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 net of lender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third-party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contingent earn-out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 AND SUBSIDIARIES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9867" w:type="dxa"/>
        <w:jc w:val="center"/>
        <w:tblInd w:w="0" w:type="dxa"/>
        <w:tblLayout w:type="fixed"/>
        <w:tblCellMar>
          <w:top w:w="28" w:type="dxa"/>
          <w:left w:w="28" w:type="dxa"/>
          <w:bottom w:w="28" w:type="dxa"/>
          <w:right w:w="28" w:type="dxa"/>
        </w:tblCellMar>
      </w:tblPr>
      <w:tblGrid>
        <w:gridCol w:w="2208"/>
        <w:gridCol w:w="1937"/>
        <w:gridCol w:w="1945"/>
        <w:gridCol w:w="196"/>
        <w:gridCol w:w="646"/>
        <w:gridCol w:w="109"/>
        <w:gridCol w:w="109"/>
        <w:gridCol w:w="109"/>
        <w:gridCol w:w="109"/>
        <w:gridCol w:w="196"/>
        <w:gridCol w:w="871"/>
        <w:gridCol w:w="109"/>
        <w:gridCol w:w="109"/>
        <w:gridCol w:w="109"/>
        <w:gridCol w:w="109"/>
        <w:gridCol w:w="196"/>
        <w:gridCol w:w="646"/>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year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year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for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 agreement with associated contingent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Detail of assets acquired and liabilities assumed in acquisitions: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assets acquired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acquired/adjusted during period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Liabilities assumed/Adjustments to liabilities assumed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Nature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 ("ICU" or "we"), a Delaware corporation, develops, manufactures and sells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All significant operating decisions are based on analysis of ICU as a single global business, accordingly, we operate in one business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sell the majority of our products globally through our direct sales force and through independent distributors throughout the U.S. and internationally. We also sell certain products on an original equipment manufacturer basis to other medical device manufacturers.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subsidiaries are wholly owned and are included in the consolidated financial statements. All intercompany accounts and transactions have been eliminated. Results of operations of companies purchased are included from the dates of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reflect all adjustments, which are normal and recurring in nature, necessary for fair financial statement presentation. These consolidated financial statements were prepared in accordance with accounting principles generally accepted in the U.S. ("GAAP").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reclassifications have been made to the prior year footnotes to conform to the presentation used in the current year. In the statements of operations, we reclassified interest income to interest expense, net from other expense, net and in Note 4: Revenues, certain reclassifications were made to revenues disaggregated by product line and by geography. These reclassifications had no impact on total revenues, net loss, shareholder's equity or cash flows as previously reported.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are short-term, highly liquid investments that are readily convertible to known amounts of cash and have original maturities of three months or less from the date of purchase.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net realizable value. An allowance is provided for estimated collection losses based on an assessment of various factors.  We consider prior payment trends, the age of the accounts receivable balances, the financial status of our customers and other factors to estimate the cash which ultimately will be received.  Such amounts cannot be known with certainty at the financial statement date.  We regularly review individual past due balances for collectability.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with cost determined using the first-in, first-out method.  Inventory costs include material, labor and overhead related to the manufacturing of our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4089" w:type="dxa"/>
        <w:jc w:val="left"/>
        <w:tblInd w:w="0" w:type="dxa"/>
        <w:tblLayout w:type="fixed"/>
        <w:tblCellMar>
          <w:top w:w="28" w:type="dxa"/>
          <w:left w:w="28" w:type="dxa"/>
          <w:bottom w:w="28" w:type="dxa"/>
          <w:right w:w="28" w:type="dxa"/>
        </w:tblCellMar>
      </w:tblPr>
      <w:tblGrid>
        <w:gridCol w:w="516"/>
        <w:gridCol w:w="453"/>
        <w:gridCol w:w="456"/>
        <w:gridCol w:w="211"/>
        <w:gridCol w:w="826"/>
        <w:gridCol w:w="10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Property, Plant and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consists of the following (in thousands): </w:t>
      </w:r>
    </w:p>
    <w:tbl>
      <w:tblPr>
        <w:tblW w:w="6293" w:type="dxa"/>
        <w:jc w:val="left"/>
        <w:tblInd w:w="0" w:type="dxa"/>
        <w:tblLayout w:type="fixed"/>
        <w:tblCellMar>
          <w:top w:w="28" w:type="dxa"/>
          <w:left w:w="28" w:type="dxa"/>
          <w:bottom w:w="28" w:type="dxa"/>
          <w:right w:w="28" w:type="dxa"/>
        </w:tblCellMar>
      </w:tblPr>
      <w:tblGrid>
        <w:gridCol w:w="1313"/>
        <w:gridCol w:w="1154"/>
        <w:gridCol w:w="1162"/>
        <w:gridCol w:w="211"/>
        <w:gridCol w:w="826"/>
        <w:gridCol w:w="109"/>
        <w:gridCol w:w="109"/>
        <w:gridCol w:w="109"/>
        <w:gridCol w:w="109"/>
        <w:gridCol w:w="211"/>
        <w:gridCol w:w="826"/>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 and 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Instruments placed with customers</w:t>
            </w:r>
            <w:r>
              <w:rPr>
                <w:rFonts w:ascii="Times New Roman;sans-serif" w:hAnsi="Times New Roman;sans-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cost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Instruments placed with customers consist of drug-delivery and monitoring systems placed with customers under 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property, plant and equipment are stated at cost. We use the straight-line method for depreciating property, plant and equipment over their estimated useful lives.  Estimated useful lives are:</w:t>
      </w:r>
    </w:p>
    <w:tbl>
      <w:tblPr>
        <w:tblW w:w="4528" w:type="dxa"/>
        <w:jc w:val="left"/>
        <w:tblInd w:w="0" w:type="dxa"/>
        <w:tblLayout w:type="fixed"/>
        <w:tblCellMar>
          <w:top w:w="28" w:type="dxa"/>
          <w:left w:w="28" w:type="dxa"/>
          <w:bottom w:w="28" w:type="dxa"/>
          <w:right w:w="28" w:type="dxa"/>
        </w:tblCellMar>
      </w:tblPr>
      <w:tblGrid>
        <w:gridCol w:w="1208"/>
        <w:gridCol w:w="1062"/>
        <w:gridCol w:w="1074"/>
        <w:gridCol w:w="346"/>
        <w:gridCol w:w="346"/>
        <w:gridCol w:w="492"/>
      </w:tblGrid>
      <w:tr>
        <w:trPr/>
        <w:tc>
          <w:tcPr>
            <w:tcW w:w="120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15 - 30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15 - 30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 and molds</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2 - 15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Instruments placed with customers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operations at the time of disposal. Depreciation expense was $96.7 million, $95.8 million and $65.9 million in 2023, 2022 and 2021,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Goodwill</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goodwill for impairment on an annual basis in the month of November, or more frequently if an event occurs or circumstances change that would indicate that impairment may exist. In 2023, we bypassed a qualitative assessment and performed a quantitative assessment to determine whether an impairment exists. We determine the fair value of our reporting unit using the income approach and market approach to valuation, as well as other generally accepted valuation methodologies. The income approach utilizes a discounted cash flow analysis using management's assumptions. The market approach compares our reporting unit to similar companies with the assumption that companies operating in the same industry will share similar characteristics and that company values will correlate to those characteristics. If the carrying amount of the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exceeds the reporting unit’s fair value, we recognize an impairment loss equal to the difference between the carrying amount and the estimated fair value of the reporting unit. We concluded that there was no impairment of goodwill during fiscal 2023, 2022, or 2021.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carrying amount of our goodwill for 2023, 2022 and 2021 (in thousands):</w:t>
      </w:r>
    </w:p>
    <w:tbl>
      <w:tblPr>
        <w:tblW w:w="4487"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11"/>
        <w:gridCol w:w="97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 acquired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Disposition</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 2021, we acquired a small foreign infusion systems supplier, which resulted in $10.6 million of goodwill.</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Relates to Smiths Medical acquired on January 6, 2022 (see Note 2: Acquisitions).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Reflects a measurement period adjustment related to the 2021 acquisition of a small foreign infusion systems supplier.</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Relates to the sale of a certain line of infusion products in China.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carried at cost less accumulated amortization and amortized on a straight-lined basis, were as follows (in thousands):</w:t>
      </w:r>
    </w:p>
    <w:tbl>
      <w:tblPr>
        <w:tblW w:w="10205" w:type="dxa"/>
        <w:jc w:val="left"/>
        <w:tblInd w:w="0" w:type="dxa"/>
        <w:tblLayout w:type="fixed"/>
        <w:tblCellMar>
          <w:top w:w="28" w:type="dxa"/>
          <w:left w:w="28" w:type="dxa"/>
          <w:bottom w:w="28" w:type="dxa"/>
          <w:right w:w="28" w:type="dxa"/>
        </w:tblCellMar>
      </w:tblPr>
      <w:tblGrid>
        <w:gridCol w:w="1018"/>
        <w:gridCol w:w="898"/>
        <w:gridCol w:w="833"/>
        <w:gridCol w:w="109"/>
        <w:gridCol w:w="109"/>
        <w:gridCol w:w="109"/>
        <w:gridCol w:w="837"/>
        <w:gridCol w:w="837"/>
        <w:gridCol w:w="83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Internally developed software will be amortized when the projects are complete and the assets are ready for their intended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8"/>
        <w:gridCol w:w="898"/>
        <w:gridCol w:w="833"/>
        <w:gridCol w:w="109"/>
        <w:gridCol w:w="109"/>
        <w:gridCol w:w="109"/>
        <w:gridCol w:w="837"/>
        <w:gridCol w:w="837"/>
        <w:gridCol w:w="83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982,766 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Internally developed software will be amortized when the projects are complete and the assets are ready for their intended use.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$132.1 million, $139.4 million and $23.8 million in 2023, 2022 and 2021, respectively.</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estimated annual amortization for our intangible assets for each of the next five years is approximately (in thousands):</w:t>
      </w:r>
    </w:p>
    <w:tbl>
      <w:tblPr>
        <w:tblW w:w="2464"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intangible assets that are not subject to amortization are reviewed annually for impairment or more often if there are indications of possible impairment. We perform our annual intangible assets impairment test in November of each year. We did not have any intangible asset impairments in 2023, 2022 or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Long-Lived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 We did not have any long-lived asset impairments in 2023, 2022 or 2021.</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exclusive of cash equivalents, are marketable securities intended to be sold within one year and may include trading securities, available-for-sale securities, and held-to-maturity securities (if maturing within one year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time of acquisition). Long-term investments are marketable securities intended to be sold after one year and may include trading securities, available-for-sale securities, and held-to-maturity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Investments in Available-for-sale Securities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are considered available-for-sale and consist of corporate bonds, U.S. treasury securities, and government bonds. These securities are considered “investment grade” and are carried at fair value. We assess our investment in available-for-sale debt securities for impairment each reporting period. If an unrealized loss exists, we determine whether any portion of the decline in fair value below the carrying value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(loss) income. We did not have any investments in available-for-sale debt securities in unrealized loss positions as of December 31, 2023 or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of the debt securities and U.S treasury securities is adjusted for the amortization of premiums computed under the effective interest method. Such amortization is included in interest (expense) income, net in the consolidated statements of operations. Realized gains and losses are accounted for on the specific identification method. There have been no realized gains or losses on the disposal of these investments. The scheduled maturities of our current debt securities are in 2024. All short-term investment securities are callable within one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short-term and long-term investments in available-for-sale securities consist of the following (in thousands):</w:t>
      </w:r>
    </w:p>
    <w:tbl>
      <w:tblPr>
        <w:tblW w:w="8894" w:type="dxa"/>
        <w:jc w:val="center"/>
        <w:tblInd w:w="0" w:type="dxa"/>
        <w:tblLayout w:type="fixed"/>
        <w:tblCellMar>
          <w:top w:w="28" w:type="dxa"/>
          <w:left w:w="28" w:type="dxa"/>
          <w:bottom w:w="28" w:type="dxa"/>
          <w:right w:w="28" w:type="dxa"/>
        </w:tblCellMar>
      </w:tblPr>
      <w:tblGrid>
        <w:gridCol w:w="1150"/>
        <w:gridCol w:w="1013"/>
        <w:gridCol w:w="1016"/>
        <w:gridCol w:w="297"/>
        <w:gridCol w:w="870"/>
        <w:gridCol w:w="153"/>
        <w:gridCol w:w="109"/>
        <w:gridCol w:w="109"/>
        <w:gridCol w:w="109"/>
        <w:gridCol w:w="800"/>
        <w:gridCol w:w="1542"/>
        <w:gridCol w:w="418"/>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Holding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 securities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corporate bonds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Holding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 securities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corporate bonds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Non-Marketable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2021, we acquired approximately a 20.0%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seller's intellectual property. At the expiration of the distribution agreement we have the right but not the obligation to acquire the remaining interest in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report our proportionate share of the investee's income or (loss) resulting from this investment in other expense, net in our consolidated statements of operations. The carrying value of our equity method investment is reported in other assets on the consolidated balance sheets. We assess our equity method investments for impairment on an annual basis or whenever events or circumstances indicate that the carrying value of the investment may not be recoverable. During 2023 and 2022, there were no indications that our non-marketable equity method investment was impaired. Our recorded share of the investee's loss was not material for the years ended December 31, 2023 and 2022. We did not receive any dividend distributions from this investment during 2023 and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non-marketable equity method investment consists of the following (in thousands):</w:t>
      </w:r>
    </w:p>
    <w:p>
      <w:pPr>
        <w:pStyle w:val="TextBody"/>
        <w:bidi w:val="0"/>
        <w:spacing w:before="0" w:after="0"/>
        <w:ind w:left="0" w:right="0" w:firstLine="720"/>
        <w:jc w:val="left"/>
        <w:rPr/>
      </w:pPr>
      <w:r>
        <w:rPr/>
      </w:r>
    </w:p>
    <w:tbl>
      <w:tblPr>
        <w:tblW w:w="4524" w:type="dxa"/>
        <w:jc w:val="left"/>
        <w:tblInd w:w="0" w:type="dxa"/>
        <w:tblLayout w:type="fixed"/>
        <w:tblCellMar>
          <w:top w:w="28" w:type="dxa"/>
          <w:left w:w="28" w:type="dxa"/>
          <w:bottom w:w="28" w:type="dxa"/>
          <w:right w:w="28" w:type="dxa"/>
        </w:tblCellMar>
      </w:tblPr>
      <w:tblGrid>
        <w:gridCol w:w="826"/>
        <w:gridCol w:w="726"/>
        <w:gridCol w:w="728"/>
        <w:gridCol w:w="211"/>
        <w:gridCol w:w="616"/>
        <w:gridCol w:w="109"/>
        <w:gridCol w:w="109"/>
        <w:gridCol w:w="109"/>
        <w:gridCol w:w="109"/>
        <w:gridCol w:w="211"/>
        <w:gridCol w:w="61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non-marketable debt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received $19.0 million in proceeds from a promissory note related to an acquired investment as part of the Smiths Medical acquisition.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accrued for interest and penalties of $2.9 million and $2.0 million, respectively, as of December 31, 2023 and $2.2 million and $2.3 million, respectively, as of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Foreign Currency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loss,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consolidated statements of operations in other expense, net (see Other expense, net table below). Foreign currency transaction losses (gains), net were $5.9 million, $5.8 million and $1.0 million in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revenues when we transfer control of promised goods to our customers, which for the majority of our sales of products sold on a standalone basis to our distributors and end customers for direct sales, is deemed to be at point of shipment. Our software license renewals are considered to be transferred to a customer at a point in time at the start of each renewal period, therefore revenue is recognized at that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variable consideration includes distributor chargebacks, product returns and end customer rebates, with distributor chargebacks representing the majority and subject to the greatest judgment.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chargeback reserve reflects a reasonable estimate of the amount of consideration using the expected value method and is recorded as a reduction of accounts receivable, net on the consolidated balance sheets.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volume-based rebates to both our distribution and end customers, which we record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with Multiple Deliverables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software maintenance services and extended warranties. 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solutions are separate performance obligations, recognized at a point in time.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Shipping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to ship finished goods to our customers are included in cost of goods sold on the consolidated statements of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Post-retirement and Post-employment Benefits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sponsor a Section 401(k) retirement plan ("plan") for employees. Our contributions to our 401(k) plan were approximately $19.2 million, $14.6 million and $11.0 million in 2023, 2022 and 2021, respectively. We also have post-retirement and post-employment obligations related to employees located in certain international countries. These obligations are immaterial to our financial statements taken as a whole.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Research and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income, net (in thousands): </w:t>
      </w:r>
    </w:p>
    <w:tbl>
      <w:tblPr>
        <w:tblW w:w="6506" w:type="dxa"/>
        <w:jc w:val="left"/>
        <w:tblInd w:w="0" w:type="dxa"/>
        <w:tblLayout w:type="fixed"/>
        <w:tblCellMar>
          <w:top w:w="28" w:type="dxa"/>
          <w:left w:w="28" w:type="dxa"/>
          <w:bottom w:w="28" w:type="dxa"/>
          <w:right w:w="28" w:type="dxa"/>
        </w:tblCellMar>
      </w:tblPr>
      <w:tblGrid>
        <w:gridCol w:w="918"/>
        <w:gridCol w:w="804"/>
        <w:gridCol w:w="812"/>
        <w:gridCol w:w="211"/>
        <w:gridCol w:w="901"/>
        <w:gridCol w:w="109"/>
        <w:gridCol w:w="109"/>
        <w:gridCol w:w="109"/>
        <w:gridCol w:w="109"/>
        <w:gridCol w:w="211"/>
        <w:gridCol w:w="796"/>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expense, net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expense, net (in thousands): </w:t>
      </w:r>
    </w:p>
    <w:tbl>
      <w:tblPr>
        <w:tblW w:w="6491" w:type="dxa"/>
        <w:jc w:val="left"/>
        <w:tblInd w:w="0" w:type="dxa"/>
        <w:tblLayout w:type="fixed"/>
        <w:tblCellMar>
          <w:top w:w="28" w:type="dxa"/>
          <w:left w:w="28" w:type="dxa"/>
          <w:bottom w:w="28" w:type="dxa"/>
          <w:right w:w="28" w:type="dxa"/>
        </w:tblCellMar>
      </w:tblPr>
      <w:tblGrid>
        <w:gridCol w:w="999"/>
        <w:gridCol w:w="879"/>
        <w:gridCol w:w="881"/>
        <w:gridCol w:w="211"/>
        <w:gridCol w:w="691"/>
        <w:gridCol w:w="109"/>
        <w:gridCol w:w="109"/>
        <w:gridCol w:w="109"/>
        <w:gridCol w:w="109"/>
        <w:gridCol w:w="211"/>
        <w:gridCol w:w="691"/>
        <w:gridCol w:w="109"/>
        <w:gridCol w:w="109"/>
        <w:gridCol w:w="109"/>
        <w:gridCol w:w="109"/>
        <w:gridCol w:w="211"/>
        <w:gridCol w:w="69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foreign exchange losses in 2023 were primarily related to the devaluation of the Argentine peso.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other miscellaneous income, net primarily includes $3.7 million in fees related to our accounts receivable purchase program (see Note 17: Accounts Receivable Purchase Program) mostly offset by a business interruption gain. We received total insurance recoveries for property damage and business interruption of $3.1 million, $2.6 million of which was related to insurance proceeds for business interruption included within other miscellaneous income, net. In 2022, other miscellaneous income, net primarily relates to sale of certain other assets.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(Loss) Income Per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earnings per share is computed by dividing net (loss) income by the weighted-average number of common shares outstanding for the period. Diluted net (loss) income per share is computed by dividing net (loss) income by the weighted-average number of common shares outstanding plus any dilutive potential securities. Dilutive potential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Restricted stock units that are anti-dilutive are not included in the treasury stock method. Due to the net loss for the years ended December 31, 2023 and 2022 the inclusion of any potential securities is antidilutive, accordingly, basic and diluted net loss per share is the same for this period. There were 12,354 anti-dilutive shares in 2021.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net earnings per common share (“EPS”) — basic and diluted (in thousands, except per share data): </w:t>
      </w:r>
    </w:p>
    <w:tbl>
      <w:tblPr>
        <w:tblW w:w="10205" w:type="dxa"/>
        <w:jc w:val="left"/>
        <w:tblInd w:w="0" w:type="dxa"/>
        <w:tblLayout w:type="fixed"/>
        <w:tblCellMar>
          <w:top w:w="28" w:type="dxa"/>
          <w:left w:w="28" w:type="dxa"/>
          <w:bottom w:w="28" w:type="dxa"/>
          <w:right w:w="28" w:type="dxa"/>
        </w:tblCellMar>
      </w:tblPr>
      <w:tblGrid>
        <w:gridCol w:w="2122"/>
        <w:gridCol w:w="1841"/>
        <w:gridCol w:w="1857"/>
        <w:gridCol w:w="109"/>
        <w:gridCol w:w="109"/>
        <w:gridCol w:w="109"/>
        <w:gridCol w:w="211"/>
        <w:gridCol w:w="785"/>
        <w:gridCol w:w="109"/>
        <w:gridCol w:w="109"/>
        <w:gridCol w:w="109"/>
        <w:gridCol w:w="109"/>
        <w:gridCol w:w="211"/>
        <w:gridCol w:w="785"/>
        <w:gridCol w:w="109"/>
        <w:gridCol w:w="109"/>
        <w:gridCol w:w="109"/>
        <w:gridCol w:w="109"/>
        <w:gridCol w:w="211"/>
        <w:gridCol w:w="826"/>
        <w:gridCol w:w="157"/>
      </w:tblGrid>
      <w:tr>
        <w:trPr/>
        <w:tc>
          <w:tcPr>
            <w:tcW w:w="2122"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21,206 </w:t>
            </w:r>
          </w:p>
        </w:tc>
        <w:tc>
          <w:tcPr>
            <w:tcW w:w="15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and common equivalent shares outstanding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New Accounting Pronouncements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Issued Accounting Standards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Financial Accounting Standards Board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were effective for all entities as of March 12, 2020 through December 31, 2022. ASU No. 2022-06, Reference Rate Reform: Deferral of the Sunset Date of Topic 848 deferred the sunset date of Topic 848 from December 31, 2022 to December 31, 2024. In November 2021, we entered into two forward-starting swaps whereby the variable leg of the swap references LIBOR, these swaps were amended in early 2022 to transition to an alternative reference rate (see Note 7: Derivatives and Hedging Activities). The amendments in this ASU allow for certain expedients that allowed us to assume that our hedged interest payments are probable of occurring regardless of any expected modification in their terms related to reference rate reform and allowed us to continue hedge accounting for a cash flow hedge for which the hedged interest rate risk changes if the hedge is highly effective under ASC 815, Derivatives and Hedging or the optional expedient under this ASU is elected. The impact of these ASU's on our contracts has not been and is not expected to be material.</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The amendments in this update expand disclosures about a public entity’s reportable segments and requires more enhanced information about a reportable segment’s significant expenses, interim segment profit or loss, and a description of how a public entity’s chief operating decision maker uses reported segment profit or loss information in assessing segment performance and allocating resources. The amendments clarify that a single reportable segment entity must apply ASC 280 in its entirety. The update will be effective for annual periods beginning after December 15, 2023, and for interim periods within fiscal years beginning after December 15, 2024. This ASU is applicable to our Annual Report on Form 10-K for the fiscal year ended December 31, 2024, and subsequent interim periods, with early application permitted. We are currently assessing the effect of this update on our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The amendments in this update expand disclosures in an entity’s income tax rate reconciliation table and regarding cash taxes paid information. The update will be effective for annual periods beginning after December 15, 2024 and is applicable to our Annual Report on Form 10-K for the fiscal year December 31, 2025, with early application permitted. We are currently assessing the effect of this update on our consolidated financial statements and related disclosures.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100% of the equity interests in Smiths Medical, the holding company of Smiths Group plc's global medical device business, from Smiths Group International Holdings Limited (“Smiths”). The acquisition of Smiths Medical aligns with our strategic growth plans, enabling us to broaden our product offerings to include syringe and ambulatory infusion devices, vascular access, and vital care products and to strengthen and expand our global market reach.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consideration for the acquisition was $1.9 billion, which was financed with existing cash balances and proceeds from the credit agreement entered into on January 6, 2022 (see Note 11: Long-Term Obligations). We also issued share consideration to Smiths of 2.5 million shares of our common stock. The fair value of the common shares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 As of December 31, 2023, the estimated fair value of the contingent earn-out was $4.0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Smiths became a related party to us when we issued 2.5 million shares of our common stock as partial consideration for the acquisition of Smiths Medical. Additionally, we entered in to a transition services agreement ("TSA") with certain members of Smiths Group, plc. The TSA includes certain information technology, human resource and tax support services for an initial term of twelve months with the option to extend up to 24 months. In 2023, we expensed $8.3 million for services provided under the TSA and we had no related open payables as of December 31, 2023. In 2022, we expensed $37.6 million for services provided under the TSA and we had $5.1 million in related open payables as of December 31,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Final Price Allocation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purchase price and the final allocation of the purchase price related to the assets acquired and liabilities assumed (in thousands):</w:t>
      </w:r>
    </w:p>
    <w:tbl>
      <w:tblPr>
        <w:tblW w:w="7232" w:type="dxa"/>
        <w:jc w:val="left"/>
        <w:tblInd w:w="0" w:type="dxa"/>
        <w:tblLayout w:type="fixed"/>
        <w:tblCellMar>
          <w:top w:w="28" w:type="dxa"/>
          <w:left w:w="28" w:type="dxa"/>
          <w:bottom w:w="28" w:type="dxa"/>
          <w:right w:w="28" w:type="dxa"/>
        </w:tblCellMar>
      </w:tblPr>
      <w:tblGrid>
        <w:gridCol w:w="2016"/>
        <w:gridCol w:w="1771"/>
        <w:gridCol w:w="1777"/>
        <w:gridCol w:w="109"/>
        <w:gridCol w:w="109"/>
        <w:gridCol w:w="109"/>
        <w:gridCol w:w="211"/>
        <w:gridCol w:w="97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for acquired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payable to Smiths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ICU Medical, Inc.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issued to Smiths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per share (ICU's opening market price on the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ICU shares issued to Smiths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liabilities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not tax deductible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Identifiable intangible assets included $510.0 million of customer relationships, $400.0 million of developed technology, $30.0 million of internally developed software, and $5.0 million of trade 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 mark.</w:t>
      </w:r>
    </w:p>
    <w:p>
      <w:pPr>
        <w:pStyle w:val="TextBody"/>
        <w:bidi w:val="0"/>
        <w:spacing w:before="0" w:after="6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Accrued liabilities includes, among other things, accrued warranty reserves, accrued restructuring initiatives, accrued salaries and related benefits, deferred revenue and accrued sales and use taxes.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and other long-lived assets acquired have been valued utilizing Level 3 inputs as defined in Note 8: Fair Value Measurements. The fair value of identifiable intangible assets were generally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inventory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Smiths Medical is included in our consolidated results beginning on January 7, 2022. Total revenues and net loss attributable to Smiths Medical for the period from January 7, 2022 to December 31, 2022 were $950.7 million and $(74.3) million, respectively. The net loss figure is an estimate as the results by company are less identifiable due to integration. The following unaudited pro forma financial information presents the combined results of operations of ICU and Smiths Medical as if the acquisition had occurred on January 1, 2021. The pro forma financial information is presented for informational purposes only and is not indicative of the results of operations that would have been achieved if the acquisition had taken place on the date indicated or of results that may occur in the future. </w:t>
      </w:r>
    </w:p>
    <w:p>
      <w:pPr>
        <w:pStyle w:val="TextBody"/>
        <w:bidi w:val="0"/>
        <w:spacing w:before="0" w:after="0"/>
        <w:ind w:left="0" w:right="0" w:firstLine="720"/>
        <w:jc w:val="left"/>
        <w:rPr/>
      </w:pPr>
      <w:r>
        <w:rPr/>
      </w:r>
    </w:p>
    <w:tbl>
      <w:tblPr>
        <w:tblW w:w="4553" w:type="dxa"/>
        <w:jc w:val="left"/>
        <w:tblInd w:w="0" w:type="dxa"/>
        <w:tblLayout w:type="fixed"/>
        <w:tblCellMar>
          <w:top w:w="28" w:type="dxa"/>
          <w:left w:w="28" w:type="dxa"/>
          <w:bottom w:w="28" w:type="dxa"/>
          <w:right w:w="28" w:type="dxa"/>
        </w:tblCellMar>
      </w:tblPr>
      <w:tblGrid>
        <w:gridCol w:w="575"/>
        <w:gridCol w:w="505"/>
        <w:gridCol w:w="509"/>
        <w:gridCol w:w="211"/>
        <w:gridCol w:w="976"/>
        <w:gridCol w:w="109"/>
        <w:gridCol w:w="109"/>
        <w:gridCol w:w="109"/>
        <w:gridCol w:w="109"/>
        <w:gridCol w:w="211"/>
        <w:gridCol w:w="97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results presented above include the impact of the following adjustments: incremental amortization expense on intangible assets acquired of $1.9 million and $24.7 million for the twelve months ended December 31, 2022, and 2021, respectively, incremental interest expense, including amortization of debt discount and debt issuance costs, on the Credit Facilities of $1.2 million and $73.5 million for the twelve months ended December 31, 2022, and 2021, respectively and a $27.4 million expense related to the increase in fair value of inventory for the twelve months ended December 31, 2021. The unaudited pro forma results include IFRS to U.S. GAAP adjustments for Smiths Medical historical results and adjustments for accounting policy alignment, which were materially similar to the Company. Any differences in accounting policies were adjusted to reflect the accounting policies of the Company in the unaudited pro forma results presented.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November 2021, we acquired a small foreign infusion systems supplier and paid an initial gross cash payment of approximately $15.4 million. In addition to the initial cash consideration, total consideration for the acquisition includes an additional holdback of $0.5 million, to be paid two years from the completion date of the acquisition, and also a potential earn-out payment of up to $2.5 million, consisting of (i) a cash payment of $1.0 million contingent on the achievement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targets for the annual period ending December 31, 2022 and, separately, (ii) a cash payment of $1.5 million contingent on certain product-related regulatory certifications obtained by May 26, 2024. The contingent earn-out based on the achievement of certain revenue targets obtained for the annual period ending December 31, 2022 was forfeited at December 31, 2022 as the minimum threshold for earning the earn-out was not met. As of December 31, 2023, the estimated fair value for the contingent earn-out related to certain product-related regulatory certifications was $1.5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RESTRUCTURING, STRATEGIC TRANSACTION AND INTEGRATION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strategic transaction and integration expenses were $41.3 million, $71.4 million and $18.0 million in 2023, 2022 and 2021,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 net of any reversed accruals were $5.7 million, $9.7 million and $(1.8) million in 2023, 2022 and 2021, respectively, and are included in the above restructuring, strategic transaction and integration expenses in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incurred restructuring charges primarily related to severance expenses. We adjusted certain facility and severance restructuring accrued balances, shown in the table below under "Other adjustments", to reverse certain accrued balances that will not be utilized.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incurred restructuring charges primarily related to severance in connection with the January 6, 2022 acquisition of Smiths Medical, see Note 2: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adjusted certain facility restructuring liabilities by $2.0 million, shown in the table below under "Other adjustments," to reflect actual amounts owed which resulted in net restructuring credits of $(1.8) million.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activity in our restructuring-related accrual by major type of cost (in thousands): </w:t>
      </w:r>
    </w:p>
    <w:tbl>
      <w:tblPr>
        <w:tblW w:w="10205" w:type="dxa"/>
        <w:jc w:val="left"/>
        <w:tblInd w:w="0" w:type="dxa"/>
        <w:tblLayout w:type="fixed"/>
        <w:tblCellMar>
          <w:top w:w="28" w:type="dxa"/>
          <w:left w:w="28" w:type="dxa"/>
          <w:bottom w:w="28" w:type="dxa"/>
          <w:right w:w="28" w:type="dxa"/>
        </w:tblCellMar>
      </w:tblPr>
      <w:tblGrid>
        <w:gridCol w:w="1149"/>
        <w:gridCol w:w="997"/>
        <w:gridCol w:w="1002"/>
        <w:gridCol w:w="109"/>
        <w:gridCol w:w="109"/>
        <w:gridCol w:w="109"/>
        <w:gridCol w:w="484"/>
        <w:gridCol w:w="1414"/>
        <w:gridCol w:w="249"/>
        <w:gridCol w:w="109"/>
        <w:gridCol w:w="109"/>
        <w:gridCol w:w="109"/>
        <w:gridCol w:w="109"/>
        <w:gridCol w:w="639"/>
        <w:gridCol w:w="1867"/>
        <w:gridCol w:w="329"/>
        <w:gridCol w:w="109"/>
        <w:gridCol w:w="109"/>
        <w:gridCol w:w="109"/>
        <w:gridCol w:w="211"/>
        <w:gridCol w:w="616"/>
        <w:gridCol w:w="158"/>
      </w:tblGrid>
      <w:tr>
        <w:trPr/>
        <w:tc>
          <w:tcPr>
            <w:tcW w:w="11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Pay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Retention and Facility Closure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Relates to accrued restructuring charges for estimated facility closure costs and severance costs that will not be utilized and were reversed during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$35.6 million, $61.7 million and $19.8 million in strategic transaction and integration expenses in 2023, 2022 and 2021, respectively, which are included in restructuring, strategic transaction and integration expenses in our consolidated statement of operations. The strategic transaction and integration expenses during 2023 were primarily related to consulting expenses and employee costs incurred to integrate our Smiths Medical business acquired in 2022. The strategic transaction and integration expenses during 2022 were primarily related to transaction and integration expenses associated with our acquisition of Smiths Medical on January 6, 2022 (see Note 2: Acquisitions) which primarily included legal expenses, bank fees, employee costs and a United Kingdom stamp tax. The strategic transaction and integration expenses during 2021 were related to integration costs associated with acquisitions, the Hospira Infusion Systems ("HIS") earn-out dispute with Pfizer, one-time costs incurred to comply with regulatory initiatives and transaction expenses incurred in connection with entering into a definitive agreement to acquire Smiths Medical.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As part of the integration of our acquisition of Smiths Medical, we have renamed our business units and reorganized the products thereunder and, as of January 1, 2023, our business unit structure is composed of Consumables, Infusion Systems and Vital Care.</w:t>
      </w:r>
      <w:r>
        <w:rPr>
          <w:color w:val="000000"/>
        </w:rPr>
        <w:t xml:space="preserve"> </w:t>
      </w:r>
      <w:r>
        <w:rPr>
          <w:rFonts w:ascii="Times New Roman;sans-serif" w:hAnsi="Times New Roman;sans-serif"/>
          <w:b w:val="false"/>
          <w:color w:val="000000"/>
          <w:sz w:val="20"/>
        </w:rPr>
        <w:t>All prior periods herein have been retrospectively conformed to the current presentation. The vast majority of our sales of these products within these business units are made on a stand-alone basis to hospitals and distributors. Revenue is typically recognized upon transfer of control of the products, which we deem to be at point of shipment. For purposes of revenue recognition for our software licenses and renewals, we consider the control of these products to be transferred to a customer at a certain point in time; therefore, we recognize revenue at the start of the applicable license term.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 (see Note 1: Basis of Presentation and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We also warrant products against defects and have a policy permitting the return of defective products.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See Note 1. Basis of Presentation and Significant Accounting Policies for further discussion.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with Multiple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enter into arrangements which include multiple performance obligations, (see Note 1: Basis of Presentation and Summary of Significant Accounting Policies). The most significant judgments related to these arrangements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Identifying the various performance obligations of these arrangements.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Estimating the relative standalone selling price of each performance obligation, typically using a directly observable method or calculated on a cost plus margin basis method.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product line (in thousands) and our disaggregated product line revenue as a percentage of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04"/>
        <w:gridCol w:w="443"/>
        <w:gridCol w:w="449"/>
        <w:gridCol w:w="211"/>
        <w:gridCol w:w="976"/>
        <w:gridCol w:w="109"/>
        <w:gridCol w:w="109"/>
        <w:gridCol w:w="109"/>
        <w:gridCol w:w="109"/>
        <w:gridCol w:w="263"/>
        <w:gridCol w:w="241"/>
        <w:gridCol w:w="574"/>
        <w:gridCol w:w="109"/>
        <w:gridCol w:w="109"/>
        <w:gridCol w:w="109"/>
        <w:gridCol w:w="211"/>
        <w:gridCol w:w="976"/>
        <w:gridCol w:w="109"/>
        <w:gridCol w:w="109"/>
        <w:gridCol w:w="109"/>
        <w:gridCol w:w="109"/>
        <w:gridCol w:w="263"/>
        <w:gridCol w:w="241"/>
        <w:gridCol w:w="574"/>
        <w:gridCol w:w="109"/>
        <w:gridCol w:w="109"/>
        <w:gridCol w:w="109"/>
        <w:gridCol w:w="211"/>
        <w:gridCol w:w="976"/>
        <w:gridCol w:w="109"/>
        <w:gridCol w:w="109"/>
        <w:gridCol w:w="109"/>
        <w:gridCol w:w="109"/>
        <w:gridCol w:w="250"/>
        <w:gridCol w:w="237"/>
        <w:gridCol w:w="64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line</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Vital Care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report revenue on a "where sold" basis, which reflects the revenue within the country or region in which the ultimate sale is made to our external customer.    </w:t>
      </w:r>
    </w:p>
    <w:p>
      <w:pPr>
        <w:pStyle w:val="TextBody"/>
        <w:bidi w:val="0"/>
        <w:spacing w:lineRule="auto" w:line="288" w:before="0" w:after="60"/>
        <w:jc w:val="left"/>
        <w:rPr>
          <w:color w:val="000000"/>
        </w:rPr>
      </w:pPr>
      <w:r>
        <w:rPr>
          <w:color w:val="000000"/>
        </w:rPr>
        <w:t>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geography (in thousands):</w:t>
      </w:r>
    </w:p>
    <w:tbl>
      <w:tblPr>
        <w:tblW w:w="7556" w:type="dxa"/>
        <w:jc w:val="center"/>
        <w:tblInd w:w="0" w:type="dxa"/>
        <w:tblLayout w:type="fixed"/>
        <w:tblCellMar>
          <w:top w:w="28" w:type="dxa"/>
          <w:left w:w="28" w:type="dxa"/>
          <w:bottom w:w="28" w:type="dxa"/>
          <w:right w:w="28" w:type="dxa"/>
        </w:tblCellMar>
      </w:tblPr>
      <w:tblGrid>
        <w:gridCol w:w="1074"/>
        <w:gridCol w:w="945"/>
        <w:gridCol w:w="950"/>
        <w:gridCol w:w="211"/>
        <w:gridCol w:w="976"/>
        <w:gridCol w:w="109"/>
        <w:gridCol w:w="109"/>
        <w:gridCol w:w="109"/>
        <w:gridCol w:w="109"/>
        <w:gridCol w:w="211"/>
        <w:gridCol w:w="976"/>
        <w:gridCol w:w="109"/>
        <w:gridCol w:w="109"/>
        <w:gridCol w:w="109"/>
        <w:gridCol w:w="109"/>
        <w:gridCol w:w="211"/>
        <w:gridCol w:w="97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Geography</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Domestic sales accounted for 64%, 64% and 72% of total revenue in 2023, 2022 and 2021, respectively. International sales accounted for 36%, 36% and 28% of total revenue in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 balances (deferred revenue) are recorded in accrued liabilities and other long-term liabilities in our consolidated balance sheet (see Note 10: Accrued Liabilities and Other Long-term Liabilities). The following table presents the changes in our contract balances for the years ended December 31, 2023 and 2022,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6119" w:type="dxa"/>
        <w:jc w:val="center"/>
        <w:tblInd w:w="0" w:type="dxa"/>
        <w:tblLayout w:type="fixed"/>
        <w:tblCellMar>
          <w:top w:w="28" w:type="dxa"/>
          <w:left w:w="28" w:type="dxa"/>
          <w:bottom w:w="28" w:type="dxa"/>
          <w:right w:w="28" w:type="dxa"/>
        </w:tblCellMar>
      </w:tblPr>
      <w:tblGrid>
        <w:gridCol w:w="1559"/>
        <w:gridCol w:w="1368"/>
        <w:gridCol w:w="1377"/>
        <w:gridCol w:w="330"/>
        <w:gridCol w:w="1245"/>
        <w:gridCol w:w="240"/>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Liabilities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2022</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deferred revenue</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deferred revenue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recognized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December 31, 2022</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(45,866)</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deferred revenue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December 31, 2023</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(42,177)</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recognized $29.8 million in revenue that was included in the opening contract balances as of December 31,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revenue from remaining performance obligations is as follows (in thousands):</w:t>
      </w:r>
    </w:p>
    <w:p>
      <w:pPr>
        <w:pStyle w:val="TextBody"/>
        <w:bidi w:val="0"/>
        <w:spacing w:before="0" w:after="0"/>
        <w:jc w:val="left"/>
        <w:rPr/>
      </w:pPr>
      <w:r>
        <w:rPr/>
      </w:r>
    </w:p>
    <w:tbl>
      <w:tblPr>
        <w:tblW w:w="5073" w:type="dxa"/>
        <w:jc w:val="left"/>
        <w:tblInd w:w="0" w:type="dxa"/>
        <w:tblLayout w:type="fixed"/>
        <w:tblCellMar>
          <w:top w:w="28" w:type="dxa"/>
          <w:left w:w="28" w:type="dxa"/>
          <w:bottom w:w="28" w:type="dxa"/>
          <w:right w:w="28" w:type="dxa"/>
        </w:tblCellMar>
      </w:tblPr>
      <w:tblGrid>
        <w:gridCol w:w="886"/>
        <w:gridCol w:w="778"/>
        <w:gridCol w:w="781"/>
        <w:gridCol w:w="211"/>
        <w:gridCol w:w="796"/>
        <w:gridCol w:w="109"/>
        <w:gridCol w:w="109"/>
        <w:gridCol w:w="109"/>
        <w:gridCol w:w="109"/>
        <w:gridCol w:w="215"/>
        <w:gridCol w:w="813"/>
        <w:gridCol w:w="157"/>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Recognition Timing</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&lt;12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&gt; 12 Months</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Government grant revenue</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deferred revenue</w:t>
            </w:r>
            <w:r>
              <w:rPr>
                <w:rFonts w:ascii="Times New Roman;sans-serif" w:hAnsi="Times New Roman;sans-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government grant deferred income is amortized over the life of the related depreciable asset as a reduction to depreciation expense.</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Other deferred revenue includes pump development programs, purchased training and extended warranty.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to Obtain a Contract with a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cost to obtain a contract, we may pay incremental commissions to sales employees upon entering into a sales contract. Under ASC Topic 606, we have elected to expense these costs as incurred as the period of benefit is less than one year.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 and exemptions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Our operating lease assets are separately stated in operating lease right-of-use ("ROU") assets and our financing lease assets are included in other assets on our consolidated balance sheets. Our lease liabilities are included in accrued liabilities and other long-term liabilities on our consolidated balance sheets. We have elected not to recognize an ROU asset and lease liability for leases with terms of twelve months or 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    </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lease cost (in thousands):</w:t>
      </w:r>
    </w:p>
    <w:tbl>
      <w:tblPr>
        <w:tblW w:w="7571" w:type="dxa"/>
        <w:jc w:val="center"/>
        <w:tblInd w:w="0" w:type="dxa"/>
        <w:tblLayout w:type="fixed"/>
        <w:tblCellMar>
          <w:top w:w="28" w:type="dxa"/>
          <w:left w:w="28" w:type="dxa"/>
          <w:bottom w:w="28" w:type="dxa"/>
          <w:right w:w="28" w:type="dxa"/>
        </w:tblCellMar>
      </w:tblPr>
      <w:tblGrid>
        <w:gridCol w:w="1356"/>
        <w:gridCol w:w="1193"/>
        <w:gridCol w:w="1200"/>
        <w:gridCol w:w="211"/>
        <w:gridCol w:w="721"/>
        <w:gridCol w:w="109"/>
        <w:gridCol w:w="109"/>
        <w:gridCol w:w="109"/>
        <w:gridCol w:w="109"/>
        <w:gridCol w:w="211"/>
        <w:gridCol w:w="721"/>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reduction of ROU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our finance leases is included in interest expense, net in our consolidated statements of operations. The reduction of the operating and finance ROU assets is included as noncash lease expense in costs of goods sold and selling, general and administrative expenses in our consolidated statements of operations.</w:t>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information related to our leases (in thousands):</w:t>
      </w:r>
    </w:p>
    <w:tbl>
      <w:tblPr>
        <w:tblW w:w="9686" w:type="dxa"/>
        <w:jc w:val="center"/>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cash flows from operating leases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 January 2022, we acquired $55.2 million of operating right-of-use assets as part of the Smiths Medical acquisition, see Note 2: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operating leases (in thousands, except lease term and discount rate):</w:t>
      </w:r>
    </w:p>
    <w:tbl>
      <w:tblPr>
        <w:tblW w:w="6133" w:type="dxa"/>
        <w:jc w:val="center"/>
        <w:tblInd w:w="0" w:type="dxa"/>
        <w:tblLayout w:type="fixed"/>
        <w:tblCellMar>
          <w:top w:w="28" w:type="dxa"/>
          <w:left w:w="28" w:type="dxa"/>
          <w:bottom w:w="28" w:type="dxa"/>
          <w:right w:w="28" w:type="dxa"/>
        </w:tblCellMar>
      </w:tblPr>
      <w:tblGrid>
        <w:gridCol w:w="1358"/>
        <w:gridCol w:w="1192"/>
        <w:gridCol w:w="1199"/>
        <w:gridCol w:w="266"/>
        <w:gridCol w:w="245"/>
        <w:gridCol w:w="483"/>
        <w:gridCol w:w="114"/>
        <w:gridCol w:w="114"/>
        <w:gridCol w:w="114"/>
        <w:gridCol w:w="272"/>
        <w:gridCol w:w="239"/>
        <w:gridCol w:w="537"/>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60,916</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years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finance leases (in thousands, except lease term and discount rate):</w:t>
      </w:r>
    </w:p>
    <w:tbl>
      <w:tblPr>
        <w:tblW w:w="6015" w:type="dxa"/>
        <w:jc w:val="center"/>
        <w:tblInd w:w="0" w:type="dxa"/>
        <w:tblLayout w:type="fixed"/>
        <w:tblCellMar>
          <w:top w:w="28" w:type="dxa"/>
          <w:left w:w="28" w:type="dxa"/>
          <w:bottom w:w="28" w:type="dxa"/>
          <w:right w:w="28" w:type="dxa"/>
        </w:tblCellMar>
      </w:tblPr>
      <w:tblGrid>
        <w:gridCol w:w="1358"/>
        <w:gridCol w:w="1192"/>
        <w:gridCol w:w="1200"/>
        <w:gridCol w:w="288"/>
        <w:gridCol w:w="223"/>
        <w:gridCol w:w="424"/>
        <w:gridCol w:w="114"/>
        <w:gridCol w:w="114"/>
        <w:gridCol w:w="114"/>
        <w:gridCol w:w="292"/>
        <w:gridCol w:w="219"/>
        <w:gridCol w:w="477"/>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maturities of our operating and finance lease liabilities for each of the next five years are approximately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5244" w:type="dxa"/>
        <w:jc w:val="center"/>
        <w:tblInd w:w="0" w:type="dxa"/>
        <w:tblLayout w:type="fixed"/>
        <w:tblCellMar>
          <w:top w:w="28" w:type="dxa"/>
          <w:left w:w="28" w:type="dxa"/>
          <w:bottom w:w="28" w:type="dxa"/>
          <w:right w:w="28" w:type="dxa"/>
        </w:tblCellMar>
      </w:tblPr>
      <w:tblGrid>
        <w:gridCol w:w="683"/>
        <w:gridCol w:w="599"/>
        <w:gridCol w:w="607"/>
        <w:gridCol w:w="322"/>
        <w:gridCol w:w="1101"/>
        <w:gridCol w:w="166"/>
        <w:gridCol w:w="109"/>
        <w:gridCol w:w="109"/>
        <w:gridCol w:w="109"/>
        <w:gridCol w:w="309"/>
        <w:gridCol w:w="904"/>
        <w:gridCol w:w="226"/>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SHARE-BASED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stock incentive plan for employees and directors and an employee stock purchase plan, however, the employee stock purchase plan was suspended in 2017.  Shares to be issued under these plans will be issued either from authorized but unissued shares or from treasury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stock compensation expense for stock options, restricted stock units ("RSU") and performance restricted stock units ("PRSU"). We receive a tax benefit on stock compensation expense and direct tax benefits from the exercise of stock options and vesting of restricted stock units. We also have indirect tax benefits upon exercise of stock options and vesting of restricted stock units related to research and development tax credits which are recorded as a reduction of income tax expense.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compensation costs and related tax benefits (in thousands):</w:t>
      </w:r>
    </w:p>
    <w:tbl>
      <w:tblPr>
        <w:tblW w:w="8183" w:type="dxa"/>
        <w:jc w:val="left"/>
        <w:tblInd w:w="0" w:type="dxa"/>
        <w:tblLayout w:type="fixed"/>
        <w:tblCellMar>
          <w:top w:w="28" w:type="dxa"/>
          <w:left w:w="28" w:type="dxa"/>
          <w:bottom w:w="28" w:type="dxa"/>
          <w:right w:w="28" w:type="dxa"/>
        </w:tblCellMar>
      </w:tblPr>
      <w:tblGrid>
        <w:gridCol w:w="1462"/>
        <w:gridCol w:w="1283"/>
        <w:gridCol w:w="128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$43.1 million of unamortized stock compensation cost which we will recognize as an expense over a weighted-average period of approximately 0.9 years.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 Plans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2011 Stock Incentive Plan ("2011 Plan") replaced our 2003 Stock Option Plan ("2003 Plan"). Our 2011 Plan initially had 650,000 shares available for issuance, plus the remaining available shares for grant from the 2003 Plan and any shares that were forfeited, terminated or expired that would have otherwise returned to the 2003 Plan. In years 2012, 2014, 2017 and 2023, our stockholders approved amendments to the 2011 plan that increased the shares available for issuance by a total of 5,461,000, bringing the initial shares available for issuance to 6,111,000, plus the remaining 248,700 shares that remained available for grant from the 2003 Plan. As of December 31, 2023, the 2011 Plan has 6,374,300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 "non-statutory stock options" which expire no more than ten years from date of grant or "incentive stock options" as defined in Section 422 of the Internal Revenue Code of 1986, as amended.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Time-based Stock Options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all options granted under 2011 Plan and 2003 Plan have been non-statutory stock options. The majority of the time-based outstanding employee option grants vested 25% after one year from the grant date and the balance vested ratably on a monthly basis over 36 months. The outstanding employee option grants are all fully vested. The majority of the outstanding options granted to non-employee directors vest one year from the grant date. The options generally expire 10 years from the grant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total time-based stock options granted, total valuation and the weighted-average assumptions (dollars and shares in thousands, except per option amounts):</w:t>
      </w:r>
    </w:p>
    <w:tbl>
      <w:tblPr>
        <w:tblW w:w="8198" w:type="dxa"/>
        <w:jc w:val="left"/>
        <w:tblInd w:w="0" w:type="dxa"/>
        <w:tblLayout w:type="fixed"/>
        <w:tblCellMar>
          <w:top w:w="28" w:type="dxa"/>
          <w:left w:w="28" w:type="dxa"/>
          <w:bottom w:w="28" w:type="dxa"/>
          <w:right w:w="28" w:type="dxa"/>
        </w:tblCellMar>
      </w:tblPr>
      <w:tblGrid>
        <w:gridCol w:w="1764"/>
        <w:gridCol w:w="1550"/>
        <w:gridCol w:w="1561"/>
        <w:gridCol w:w="109"/>
        <w:gridCol w:w="109"/>
        <w:gridCol w:w="109"/>
        <w:gridCol w:w="109"/>
        <w:gridCol w:w="109"/>
        <w:gridCol w:w="211"/>
        <w:gridCol w:w="721"/>
        <w:gridCol w:w="271"/>
        <w:gridCol w:w="109"/>
        <w:gridCol w:w="109"/>
        <w:gridCol w:w="109"/>
        <w:gridCol w:w="211"/>
        <w:gridCol w:w="721"/>
        <w:gridCol w:w="316"/>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time-based options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of 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Weighted-average assumptions for stock option 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grant-price per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grant-date fair value per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granted during the year ended December 31, 2023.</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as of and for the year ended December 31, 2023 is as follows:</w:t>
      </w:r>
    </w:p>
    <w:tbl>
      <w:tblPr>
        <w:tblW w:w="10205" w:type="dxa"/>
        <w:jc w:val="left"/>
        <w:tblInd w:w="0" w:type="dxa"/>
        <w:tblLayout w:type="fixed"/>
        <w:tblCellMar>
          <w:top w:w="28" w:type="dxa"/>
          <w:left w:w="28" w:type="dxa"/>
          <w:bottom w:w="28" w:type="dxa"/>
          <w:right w:w="28" w:type="dxa"/>
        </w:tblCellMar>
      </w:tblPr>
      <w:tblGrid>
        <w:gridCol w:w="732"/>
        <w:gridCol w:w="643"/>
        <w:gridCol w:w="644"/>
        <w:gridCol w:w="109"/>
        <w:gridCol w:w="109"/>
        <w:gridCol w:w="109"/>
        <w:gridCol w:w="413"/>
        <w:gridCol w:w="413"/>
        <w:gridCol w:w="211"/>
        <w:gridCol w:w="109"/>
        <w:gridCol w:w="109"/>
        <w:gridCol w:w="109"/>
        <w:gridCol w:w="464"/>
        <w:gridCol w:w="1355"/>
        <w:gridCol w:w="240"/>
        <w:gridCol w:w="109"/>
        <w:gridCol w:w="109"/>
        <w:gridCol w:w="109"/>
        <w:gridCol w:w="690"/>
        <w:gridCol w:w="690"/>
        <w:gridCol w:w="691"/>
        <w:gridCol w:w="109"/>
        <w:gridCol w:w="109"/>
        <w:gridCol w:w="109"/>
        <w:gridCol w:w="331"/>
        <w:gridCol w:w="1132"/>
        <w:gridCol w:w="248"/>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459,828 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intrinsic values for options exercisable, outstanding and vested or expected to vest at December 31, 2023 are based on our closing stock price of $99.74 at December 31, 2023 and are before applicable taxes.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stock option activity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7778" w:type="dxa"/>
        <w:jc w:val="left"/>
        <w:tblInd w:w="0" w:type="dxa"/>
        <w:tblLayout w:type="fixed"/>
        <w:tblCellMar>
          <w:top w:w="28" w:type="dxa"/>
          <w:left w:w="28" w:type="dxa"/>
          <w:bottom w:w="28" w:type="dxa"/>
          <w:right w:w="28" w:type="dxa"/>
        </w:tblCellMar>
      </w:tblPr>
      <w:tblGrid>
        <w:gridCol w:w="1353"/>
        <w:gridCol w:w="1189"/>
        <w:gridCol w:w="1192"/>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granted PRSUs to our executive officers. For the executive officers other than the Chief Executive Officer ("CEO"), Chief Operations Officer ("COO"), the Chief Financial Officer ("CFO") and the Corporate Vice President, General Counsel ("CVP, GC"), the PRSUs will vest as to one-third of the total number of PRSUs underlying the award on the first, second and third anniversaries of the applicable grant date, subject to a determination by the CEO and Compensation Committee that the officers have met their individual performance goals for the applicable year and continued service through such vesting date. For the CEO, COO, the CFO, and the CVP, GC, the PRSUs will cliff-vest on March 15, 2026, subject to continued service through such vesting date and the achievement of minimum three-year adjusted revenue and Adjusted EBITDA compound annual growth rates, commencing on January 1, 2023 and ending on December 31, 2025, which when reviewed against a predetermined vesting matrix could result in the vesting of 0% to 250% of the awarded PRSUs.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granted our annual PRSUs to our executive officers and certain other non-executive employees. These PRSUs will cliff-vest on March 7, 2024, subject to continued service through such vesting date and the achievement of net synergy savings targets related to the Smiths Medical acquisition achieved during the performance period commencing on January 1, 2022 and ending on December 31, 2023, which when reviewed against predetermined targets could result in the vesting of 0% to 200% of the awarded PRSUs. We also granted certain other one-off PRSU awards to non-executive employees with various performance requirements, whereby the PRSUs will be earned if the minimum requirements are met within a specified time period. The performance period related to the annual 2022 PRSUs ended on December 31, 2023 and is subject to the Compensation Committee review and determination that between 0% and 200% of the PRSUs awarded were earned based on the actual net synergy savings related to the Smiths Medical acquisition achieved during the performance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granted PRSUs to our executive officers. For the executive officers other than the CEO, COO and the CFO, the PRSUs will vest as to one-third of the total number of PRSUs underlying the award on the first, second and third anniversaries of the applicable grant date, subject to a determination by the CEO and Compensation Committee that the officers have met their individual performance goals for the applicable years and continued service through such vesting date. For the CEO, COO and the CFO, the PRSUs will cliff-vest on March 8, 2024, subject to continued service through such vesting date and the achievement of minimum three-year cumulative adjusted revenue dollar target frowth rate and adjusted EPS dollar target growth rate targets, commencing on January 1, 2021 and ending on December 31, 2023, which when reviewed against a predetermined vesting matrix could result in the vesting of 0% to 250% of the awarded PRSUs. In February 2022, the Compensation Committee made the determination that the executive officers other than the CEO, CFO and COO met their individual performance goals for 2021, therefore one-third of their 2021 PRSUs awarded vested during 2022. In February 2023, the Compensation Committee made the determination that the executive officers other than the CEO, CFO and COO met their individual performance goals for 2022, therefore one-third of their 2021 PRSUs awarded vested during 2023. The performance period related to the final third of the PRSUs awarded to the executive officers other than the CEO, CFO and COO ended on December 31, 2023 and is subject to the Compensation Committee review and determination that the PRSUs will be earned at 100% of the awarded PRSUs based on whether the officers met their individual performance goals for 2023. The performance period related to the 2021 CEO, COO and CFO PRSUs ended on December 31, 2023 and is subject to the Compensation Committee review and determination that between 0% and 250% of the awarded PRSUs will be earned based on the actual cumulative adjusted revenue dollar target growth rate and adjusted EPS dollar target growth rate achieved during the performance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we granted PRSUs to our executive officers. For the executive officers other than the CEO, COO and the CFO, the PRSUs vested as to one-third of the total number of PRSUs underlying the award on the first, second and third anniversaries of the applicable grant date, subject to a determination by the CEO and Compensation Committee that the officers had met their individual performance goals for the applicable years and continued service through such vesting date. For the CEO, COO and the CFO, the PRSUs cliff-vested on March 6, 2023 and were further subjected to continued service through such vesting date and the achievement of minimum three-year cumulative adjusted revenue dollar target growth rate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EPS dollar target growth rate targets, which when reviewed against a predetermined vesting matrix could have resulted in the vesting 0% to 250% of the awarded PRSUs. In February 2021, the Compensation Committee made the determination that the executive officers other than the CEO, COO and CFO met their individual performance goals for 2020; therefore one-third of their 2020 PRSUs awarded vested during 2021. Additionally, during February 2021, the Compensation Committee, modified the potential vesting percentages related to the 2020 PRSU awards for the CEO, COO and CFO, as the original potential percentages were established immediately before the onset of the COVID-19 pandemic. The Compensation Committee determined to adjust the CEO, COO and CFO's potential to earn from between 0% and 250% of the awarded PRSUs, to an increased potential to earn between 50% and 300% of the award granted, subject to the same minimum threshold revenue and EPS targets set forth above to be achieved by the Company. The additional compensation expense as a result of modifying the 2020 PRSUs granted to our CEO, COO and CFO totaled $2.1 million recognized over the remaining amortization period from the date of modification. In February 2022, the Compensation Committee made the determination that the executive officers other than the CEO, CFO and COO met their individual performance goals for 2021, therefore one-third of their 2020 PRSUs awarded vested during 2022. In February 2023, the Compensation Committee made the determination that the executive officers other than the CEO, CFO and COO met their individual performance goals for 2022, therefore the final third of their 2020 PRSUs awarded vested during 2023. The performance period related to the 2020 CEO, COO and CFO PRSUs ended on December 31, 2022 and in February 2023 the Compensation Committee determined that 188% of the awarded PRSUs were earned based on the actual cumulative adjusted revenue dollar growth rate and adjusted EPS dollar target growth rate achieved during the performance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2019, we granted PRSUs to our executive officers. For the executive officers other than the CEO and the COO, the PRSUs vested as to one-third of the total number of PRSUs underlying the award on the first, second and third anniversaries of the applicable grant date, subject to a determination by the CEO and Compensation Committee that the officers had met their individual performance goals for the applicable years and continued service through such vesting date. For the CEO and the COO, the PRSUs were to cliff-vest on March 6, 2022, subject to continued service through such vesting date and the achievement of a minimum Cumulative Adjusted EBITDA growth target over the performance period. If, for the three-year period ending on December 31, 2021, the Cumulative Adjusted EBITDA had a growth of at least 6% to 8%, 50% of the awarded PRSUs would have vested. If, on the vesting date, the Cumulative Adjusted EBITDA had a growth of between 8% to 10%, 100% of the awarded PRSUs would have vested. If, on the vesting date, the Cumulative Adjusted EBITDA had a growth of over 10%, 200% of the awarded PRSUs would have vested. In 2019, we also granted PRSUs to one of our non-executive employees. These PRSUs vested at the end of a three-year period ending on March 31, 2022, based on meeting certain minimum performance goals. In February 2020, the Compensation Committee made the determination that the executive officers other than the CEO and COO met their individual performance goals for 2019, therefore, one-third of their 2019 PRSUs awarded vested during 2020. In February 2021, the Compensation Committee made the determination that the executive officers other than the CEO and COO met their individual performance goals for 2020, therefore, one-third of their 2019 PRSUs awarded vested during 2021. In February 2022, the Compensation Committee made the determination that the executive officers other than the CEO and COO met their individual performance goals for 2021, therefore, the final third of their 2019 PRSUs awarded vested during 2022. The performance period related to the 2019 CEO and COO PRSUs ended on December 31, 2021 and in February 2022 the Compensation Committee determined that zero PRSUs were earned based on the actual Cumulative Adjusted EBITDA growth achieved during the performance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we granted PRSUs to our executive officers. For the executive officers other than the CEO and the COO, the PRSUs were vested as to one-third of the total number of PRSUs underlying the award on the first, second and third anniversaries of the applicable grant date, subject to a determination by the CEO and Compensation Committee that the officers have met their individual performance goals for the applicable year and continued service through such vesting date. For the CEO and the COO, the PRSUs cliff-vested ending on February 15, 2021, subject to continued service through such vesting date and the achievement of a minimum Cumulative Adjusted EBITDA growth target over the performance period. If, for the three -year period ending on December 31, 2020, the Cumulative Adjusted EBITDA had a growth of at least 6% to 8%, 50% of the awarded PRSUs would vest. If, on the vesting date, the Cumulative Adjusted EBITDA had a growth of between 8% to 10%, 100% of the awarded PRSUs would vest. If, on the vesting date, the Cumulative Adjusted EBITDA had a growth of over 10%, 200% of the awarded PRSUs would vest. In February 2019, the Compensation Committee made the determination that six of the eight executive officers other than the CEO and COO who received a 2018 PRSU award met their individual performance goals for 2018, therefore, one-third of the 2018 PRSUs awarded for those executives vested during 2019. In February 2020, the Compensation Committee made the determination that the executive officers other than the CEO and COO met their individual performance goals for 2019, therefore, one-third of their 2018 PRSUs awarded vested during 2020. The two executive officers who did not earn one-third of the PRSUs awarded during the 2018 performance period additionally earned those shares in 2019.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Compensation Committee made the determination that the executive officers other than the CEO and COO met their individual performance goals for 2020, therefore, the final third of their 2018 PRSUs awarded vested during 2021. Also in February 2021, the Compensation Committee determined that based on the actual Cumulative Adjusted EBITDA growth achieved during the performance period, the CEO and COO's 2018 PRSUs were earned at 100% of the PRSUs granted.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units are granted annually to our non-employee directors and vest on the first anniversary of the grant date, or the date of our annual meeting, whichever occurs first.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2022 and 2021, we granted RSUs to certain employees that vest ratably on the anniversary of the grant over three years. We recognize forfeitures as they occur.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grant-date fair market value of our PRSUs and RSUs is determined by our stock price on the grant date.</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restricted stock award activity (dollars in thousands):</w:t>
      </w:r>
    </w:p>
    <w:tbl>
      <w:tblPr>
        <w:tblW w:w="6699" w:type="dxa"/>
        <w:jc w:val="center"/>
        <w:tblInd w:w="0" w:type="dxa"/>
        <w:tblLayout w:type="fixed"/>
        <w:tblCellMar>
          <w:top w:w="28" w:type="dxa"/>
          <w:left w:w="28" w:type="dxa"/>
          <w:bottom w:w="28" w:type="dxa"/>
          <w:right w:w="28" w:type="dxa"/>
        </w:tblCellMar>
      </w:tblPr>
      <w:tblGrid>
        <w:gridCol w:w="919"/>
        <w:gridCol w:w="807"/>
        <w:gridCol w:w="82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Shares earned</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PRSU shares earned in 2023 were related to performance awards granted to executives in 2020 and 2021 and performance awards granted to a non-executive employees in 2022. PRSU shares earned in 2022 were related to performance awards granted to executives in 2019, 2020 and 2021 and performance award granted to a non-executive employee in 2019, 2020, and 2021. PRSU shares earned in 2021 were related to performance awards granted to executives in 2018, 2019 and 2020. </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summary of our PRSU and RSU activity as of and for the year ended December 31, 2023:  </w:t>
      </w:r>
    </w:p>
    <w:tbl>
      <w:tblPr>
        <w:tblW w:w="10205" w:type="dxa"/>
        <w:jc w:val="left"/>
        <w:tblInd w:w="0" w:type="dxa"/>
        <w:tblLayout w:type="fixed"/>
        <w:tblCellMar>
          <w:top w:w="28" w:type="dxa"/>
          <w:left w:w="28" w:type="dxa"/>
          <w:bottom w:w="28" w:type="dxa"/>
          <w:right w:w="28" w:type="dxa"/>
        </w:tblCellMar>
      </w:tblPr>
      <w:tblGrid>
        <w:gridCol w:w="901"/>
        <w:gridCol w:w="680"/>
        <w:gridCol w:w="685"/>
        <w:gridCol w:w="109"/>
        <w:gridCol w:w="109"/>
        <w:gridCol w:w="109"/>
        <w:gridCol w:w="469"/>
        <w:gridCol w:w="402"/>
        <w:gridCol w:w="319"/>
        <w:gridCol w:w="109"/>
        <w:gridCol w:w="109"/>
        <w:gridCol w:w="109"/>
        <w:gridCol w:w="311"/>
        <w:gridCol w:w="1064"/>
        <w:gridCol w:w="160"/>
        <w:gridCol w:w="109"/>
        <w:gridCol w:w="109"/>
        <w:gridCol w:w="109"/>
        <w:gridCol w:w="709"/>
        <w:gridCol w:w="709"/>
        <w:gridCol w:w="710"/>
        <w:gridCol w:w="109"/>
        <w:gridCol w:w="109"/>
        <w:gridCol w:w="109"/>
        <w:gridCol w:w="344"/>
        <w:gridCol w:w="1176"/>
        <w:gridCol w:w="258"/>
      </w:tblGrid>
      <w:tr>
        <w:trPr/>
        <w:tc>
          <w:tcPr>
            <w:tcW w:w="9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354,004 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units due to performance expectations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234,324 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(140,091)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expected to vest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448,601 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Relates to adjustments to 2020 PRSUs granted to executives that vested during 2023.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ESPP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ESPP under which U.S. employees may purchase up to $25,000 annually of common stock at 85% of its fair market value at the beginning or the end of a six-month offering period, whichever is lower. There are 750,000 shares of common stock reserved for issuance under the ESPP, which is subject to an annual increase of the least of 300,000 shares, two percent of the shares outstanding or such a number as determined by the Board. To date, there have been no increases. The ESPP is intended to constitute an “employee stock purchase plan” within the meaning of Section 423 of the Internal Revenue Code. We suspended our ESPP in 2017. All shares unissued under the plan expired during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DERIVATIVES AND HEDGING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Hedge Accounting and Hedging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purposes of our cash flow hedging programs are to manage the foreign currency exchange rate risk on forecasted expenses denominated in currencies other than the functional currency of the operating unit, and to manage floating interest rate risk associated with future interest payments on variable-rate term loans issued in January 2022. We do not issue derivatives for trading or speculative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consolidated balance sheets and are classified based on the instrument's maturity date. We record changes in the fair value of the effective portion of the gain or loss on the derivative instrument as a component of other comprehensive (loss) income and we reclassify that gain or loss into earnings in the same line item associated with the forecasted transaction and in the same period during which the hedged transaction affects earnings.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 Exchange Forward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current foreign exchange forward contracts hedge exposures principally denominated in Mexican Pesos ("MXN"), Euros, Japanese Yen ("JPY"), Chinese Renminbi ("CNH"), Canadian Dollar ("CAD"), U.S. Dollar ("USD") and Australian Dollar ("AUD") and have varying maturities with an average term of approximately twelve months. The total notional amount of these outstanding derivative contracts as of December 31, 2023 was $172.6 million, which included the notional equivalent of $27.1 million in MXN, $35.6 million in Euros, $17.4 million in JPY, $8.1 million in CNH, $18.4 million in CAD, $14.2 million in AUD, $42.6 million in USD and $9.2 million in other foreign currencies, with terms currently through November 2025.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Cross-currency Par Forward Contracts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2020, we entered into a one-year cross-currency par forward contract. The total notional amount of this outstanding derivative as of December 31, 2020 was approximately 436.8 million MXN. The term of this one-year contract was November 3, 2020 to December 1, 2021. The derivative instrument matured in equal monthly amounts at a fixed forward rate of 24.26 MXN/USD.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entered into a one-year cross-currency par forward contract. The total notional amount of this outstanding derivative as of December 31, 2021 was approximately 413.1 million MXN. The term of this one-year contract was December 1, 2021 to December 1, 2022. The derivative instrument matured in equal monthly amounts at a fixed forward rate of 21.60 MXN/USD.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Floating Interest Rate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in anticipation of entering into the new senior secured credit facilities in January 2022, which included a variable-rate term loan A and a variable-rate term loan B (see Note 11: Long-Term Obligations),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The term loan A swap, as amended, has an initial notional amount of $300.0 million, reducing to $150.0 million evenly on a quarterly basis through its final maturity on March 30, 2027. We pay a fixed rate of 1.32% and will receive the greater of 3-month USD SOFR or (0.15)%. The total notional amount of this outstanding derivative as of December 31, 2023 was approximately $244.7 million. The term loan B swap, as amended, has an initial notional amount of $750.0 million, reducing to $46.9 million evenly on a quarterly basis through its final maturity on March 30, 2026. We pay a fixed rate of 1.17% and receive the greater of 3-month USD SOFR or 0.35%. The total notional amount of this outstanding derivative as of December 31, 2023 was approximately $421.9 million. In June 2023, we entered into an additional interest rate swap that hedges both term loan A and term loan B interest payments. The total notional amount of the swap is $300.0 million. The hedge matures on June 30, 2028. We pay a fixed rate of 3.88% and receive 3-months USD SOFR. These forward-starting swaps effectively convert the relevant portion of the floating-rate term loans to fixed rates.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fair values of our derivative instruments included within the consolidated balance sheets (in thousands): </w:t>
      </w:r>
    </w:p>
    <w:tbl>
      <w:tblPr>
        <w:tblW w:w="10205" w:type="dxa"/>
        <w:jc w:val="center"/>
        <w:tblInd w:w="0" w:type="dxa"/>
        <w:tblLayout w:type="fixed"/>
        <w:tblCellMar>
          <w:top w:w="28" w:type="dxa"/>
          <w:left w:w="28" w:type="dxa"/>
          <w:bottom w:w="28" w:type="dxa"/>
          <w:right w:w="28" w:type="dxa"/>
        </w:tblCellMar>
      </w:tblPr>
      <w:tblGrid>
        <w:gridCol w:w="915"/>
        <w:gridCol w:w="804"/>
        <w:gridCol w:w="809"/>
        <w:gridCol w:w="109"/>
        <w:gridCol w:w="109"/>
        <w:gridCol w:w="109"/>
        <w:gridCol w:w="552"/>
        <w:gridCol w:w="1564"/>
        <w:gridCol w:w="305"/>
        <w:gridCol w:w="200"/>
        <w:gridCol w:w="200"/>
        <w:gridCol w:w="200"/>
        <w:gridCol w:w="575"/>
        <w:gridCol w:w="1771"/>
        <w:gridCol w:w="284"/>
        <w:gridCol w:w="109"/>
        <w:gridCol w:w="109"/>
        <w:gridCol w:w="109"/>
        <w:gridCol w:w="266"/>
        <w:gridCol w:w="884"/>
        <w:gridCol w:w="222"/>
      </w:tblGrid>
      <w:tr>
        <w:trPr/>
        <w:tc>
          <w:tcPr>
            <w:tcW w:w="91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Consolidated Balance Sheet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Exchange Forward Contracts</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Derivatives</w:t>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15"/>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27,941 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Exchange Forward Contracts</w:t>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Forward-Starting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Derivatives</w:t>
            </w:r>
          </w:p>
        </w:tc>
      </w:tr>
      <w:tr>
        <w:trPr/>
        <w:tc>
          <w:tcPr>
            <w:tcW w:w="2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28,431 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55,184 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60,138 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left"/>
        <w:rPr>
          <w:color w:val="000000"/>
        </w:rPr>
      </w:pPr>
      <w:r>
        <w:rPr>
          <w:color w:val="000000"/>
        </w:rPr>
        <w:t>    </w:t>
      </w:r>
      <w:r>
        <w:rPr>
          <w:rFonts w:ascii="Times New Roman;sans-serif" w:hAnsi="Times New Roman;sans-serif"/>
          <w:b w:val="false"/>
          <w:color w:val="000000"/>
          <w:sz w:val="20"/>
        </w:rPr>
        <w:t>The following table presents the effects of our derivative instruments designated as cash flow hedges on the Consolidated Statements of Operations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1"/>
        <w:gridCol w:w="801"/>
        <w:gridCol w:w="803"/>
        <w:gridCol w:w="932"/>
        <w:gridCol w:w="932"/>
        <w:gridCol w:w="935"/>
        <w:gridCol w:w="140"/>
        <w:gridCol w:w="140"/>
        <w:gridCol w:w="140"/>
        <w:gridCol w:w="252"/>
        <w:gridCol w:w="833"/>
        <w:gridCol w:w="140"/>
        <w:gridCol w:w="140"/>
        <w:gridCol w:w="140"/>
        <w:gridCol w:w="140"/>
        <w:gridCol w:w="252"/>
        <w:gridCol w:w="833"/>
        <w:gridCol w:w="140"/>
        <w:gridCol w:w="140"/>
        <w:gridCol w:w="140"/>
        <w:gridCol w:w="140"/>
        <w:gridCol w:w="252"/>
        <w:gridCol w:w="717"/>
        <w:gridCol w:w="212"/>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Reclassified From Accumulated Other Comprehensive (Loss) Income into Income</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in the Consolidated Statements of Operations</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2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Other expense, net</w:t>
            </w:r>
            <w:r>
              <w:rPr>
                <w:rFonts w:ascii="Times New Roman;sans-serif" w:hAnsi="Times New Roman;sans-serif"/>
                <w:b w:val="false"/>
                <w:color w:val="000000"/>
                <w:sz w:val="12"/>
              </w:rPr>
              <w:t>(1)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Interest expense</w:t>
            </w:r>
            <w:r>
              <w:rPr>
                <w:rFonts w:ascii="Times New Roman;sans-serif" w:hAnsi="Times New Roman;sans-serif"/>
                <w:b w:val="false"/>
                <w:color w:val="000000"/>
                <w:sz w:val="12"/>
              </w:rPr>
              <w:t>(2)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2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Represents location of gain reclassified from accumulated other comprehensive income (loss) into other expense, net as a result of ineffectiveness.</w:t>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Represents location of gain reclassified from accumulated other comprehensive income (loss) into interest expense as a result of a forecasted transaction being no longer probable of occurring.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gains (losses) on our derivative instruments designated as cash flow hedges in other comprehensive income (loss) before reclassifications to income (in thousands):</w:t>
      </w:r>
    </w:p>
    <w:tbl>
      <w:tblPr>
        <w:tblW w:w="10205" w:type="dxa"/>
        <w:jc w:val="center"/>
        <w:tblInd w:w="0" w:type="dxa"/>
        <w:tblLayout w:type="fixed"/>
        <w:tblCellMar>
          <w:top w:w="28" w:type="dxa"/>
          <w:left w:w="28" w:type="dxa"/>
          <w:bottom w:w="28" w:type="dxa"/>
          <w:right w:w="28" w:type="dxa"/>
        </w:tblCellMar>
      </w:tblPr>
      <w:tblGrid>
        <w:gridCol w:w="1507"/>
        <w:gridCol w:w="1325"/>
        <w:gridCol w:w="1329"/>
        <w:gridCol w:w="109"/>
        <w:gridCol w:w="109"/>
        <w:gridCol w:w="109"/>
        <w:gridCol w:w="329"/>
        <w:gridCol w:w="1086"/>
        <w:gridCol w:w="183"/>
        <w:gridCol w:w="183"/>
        <w:gridCol w:w="183"/>
        <w:gridCol w:w="183"/>
        <w:gridCol w:w="329"/>
        <w:gridCol w:w="1086"/>
        <w:gridCol w:w="183"/>
        <w:gridCol w:w="183"/>
        <w:gridCol w:w="183"/>
        <w:gridCol w:w="183"/>
        <w:gridCol w:w="329"/>
        <w:gridCol w:w="828"/>
        <w:gridCol w:w="266"/>
      </w:tblGrid>
      <w:tr>
        <w:trPr/>
        <w:tc>
          <w:tcPr>
            <w:tcW w:w="15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of Gain (Loss) Recognized in Other Comprehensive Income (Loss) </w:t>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72,374 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expect an estimated $4.2 million in deferred gains on the outstanding foreign exchange forward contract and an estimated $23.9 million in deferred gains on the forward-starting interest rate swaps will be reclassified from accumulated other comprehensive loss to net income during the next 12 months concurrent with the underlying hedged transactions also being reported in net (loss)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unobservable inputs that are supported by little or no market activity and that are significant to the fair values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earn-out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2019, we recognized an earn-out liability related to the acquisition of Pursuit (see Note 2: Acquisitions). Pursuit's former equity holders were entitled up to $50.0 million in additional cash consideration contingent upon the achievement of certain sales and gross profit targets for specific customers. The earn-out was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 simulation model utilized multiple input variables to determine the value of the earn-out liability including historical volatility, a risk-free interest rate, counter party credit risk and projected future gross profit (see the simulation input table below related to Pursuit). The historical volatility was based on the median of ICU and a certain peer group. The risk-free interest rate was equal to the yield, as of the valuation date, of the zero-coupon U.S. Treasury bill that was commensurate with the term of the earn-out. The counter party credit risk was based on a synthetic credit rating of B1. As of June 30, 2021, the earn-out measurement period ended. Based on the actual sales and gross profit achieved during the measurement period, we calculated the actual earn-out amount to be $26.3 million. The $26.3 million earn-out calculation was finalized and accepted by Pursuit's former equity holders and was paid out in the fourth quarter of 2021.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in the first quarter of 2024.The estimated fair value of the contingent earn-out is calculated using a probability-weighted cash flow model based on historical revenue streams and the likelihood that the revenue targets will be met.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2023, the estimated fair value for the contingent consideration related to certain product-related regulatory certifications was estimated to be $1.5 million. As of December 31, 2022, the measurement period related to the contingent earn-out based on certain revenue targets ended and based on the actual revenue achieved during the measurement period we determined the fair value of the contingent earn-out was zero as the minimum threshold for earning the earn-out was not met.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2: Acquisitions) and provided Smiths beneficially owns at least 50.0% of the shares of common stock issued at closing at the time the Price Target is achieved. The initial estimated fair value of the earn-out was determined to be $53.5 million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December 31, 2023, the estimated fair value of the contingent earn-out is $4.0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contingent earn-out liabilities are separately stated on our consolidated balance sheets.</w:t>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our Level 3 earn-out liabilities measured at estimated fair value based on an initial valuation and updated quarterly for the years ended December 31, 2023, 2022 and 2021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9417" w:type="dxa"/>
        <w:jc w:val="center"/>
        <w:tblInd w:w="0" w:type="dxa"/>
        <w:tblLayout w:type="fixed"/>
        <w:tblCellMar>
          <w:top w:w="28" w:type="dxa"/>
          <w:left w:w="28" w:type="dxa"/>
          <w:bottom w:w="28" w:type="dxa"/>
          <w:right w:w="28" w:type="dxa"/>
        </w:tblCellMar>
      </w:tblPr>
      <w:tblGrid>
        <w:gridCol w:w="2733"/>
        <w:gridCol w:w="2399"/>
        <w:gridCol w:w="2413"/>
        <w:gridCol w:w="109"/>
        <w:gridCol w:w="109"/>
        <w:gridCol w:w="109"/>
        <w:gridCol w:w="304"/>
        <w:gridCol w:w="1002"/>
        <w:gridCol w:w="239"/>
      </w:tblGrid>
      <w:tr>
        <w:trPr/>
        <w:tc>
          <w:tcPr>
            <w:tcW w:w="2733"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earn-out non-compete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Transfer of Pursuit earn-out liability into Level 2</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Acquisition date fair value estimate of earn-out</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fair value of contingent earn-out (included in income from operations as a separate line item)</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(32,091)</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25,572 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Change in fair value of contingent earn-out (included in income from operations as a separate line item)</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Transfer of Mediverse earn-out liability into Level 2</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earn-out liability,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Pursuit earn-out was transferred out of Level 3 and into Level 2 in the third quarter of 2021 when the amount of the actual payment was known, and subsequently settled during the fourth quarter of 2021.</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 xml:space="preserve">(2) </w:t>
      </w:r>
      <w:r>
        <w:rPr>
          <w:color w:val="000000"/>
        </w:rPr>
        <w:t>    </w:t>
      </w:r>
      <w:r>
        <w:rPr>
          <w:rFonts w:ascii="Times New Roman;sans-serif" w:hAnsi="Times New Roman;sans-serif"/>
          <w:b w:val="false"/>
          <w:color w:val="000000"/>
          <w:sz w:val="20"/>
        </w:rPr>
        <w:t>$53.5 million relates to our acquisition of Smiths Medical and $1.6 million relates to our acquisition of a small foreign infusions systems supplier in the fourth quarter of 2021 (see Note 2: Acquisitions).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 xml:space="preserve">(3) </w:t>
      </w:r>
      <w:r>
        <w:rPr>
          <w:color w:val="000000"/>
        </w:rPr>
        <w:t>    </w:t>
      </w:r>
      <w:r>
        <w:rPr>
          <w:rFonts w:ascii="Times New Roman;sans-serif" w:hAnsi="Times New Roman;sans-serif"/>
          <w:b w:val="false"/>
          <w:color w:val="000000"/>
          <w:sz w:val="20"/>
        </w:rPr>
        <w:t>Primarily relates to the change in fair value of our Smiths Medical earn-out and an adjustment to reduce to zero a contingent earn-out issued as part of the 2021 acquisition of a small foreign infusion systems supplier. The contingent earn-out was not earned based on our determination that the threshold target was not met.</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 xml:space="preserve">(4) </w:t>
      </w:r>
      <w:r>
        <w:rPr>
          <w:color w:val="000000"/>
        </w:rPr>
        <w:t>    </w:t>
      </w:r>
      <w:r>
        <w:rPr>
          <w:rFonts w:ascii="Times New Roman;sans-serif" w:hAnsi="Times New Roman;sans-serif"/>
          <w:b w:val="false"/>
          <w:color w:val="000000"/>
          <w:sz w:val="20"/>
        </w:rPr>
        <w:t>Primarily relates to the change in fair value of our Smiths Medical earn-out and the earn-out with one of our international distributors.</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(5)    </w:t>
      </w:r>
      <w:r>
        <w:rPr>
          <w:rFonts w:ascii="Times New Roman;sans-serif" w:hAnsi="Times New Roman;sans-serif"/>
          <w:b w:val="false"/>
          <w:color w:val="000000"/>
          <w:sz w:val="20"/>
        </w:rPr>
        <w:t>Primarily relates to the reclassification to accrued liabilities of a holdback liability not subject to unobservable inputs when determining the fair market value.</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(6)    </w:t>
      </w:r>
      <w:r>
        <w:rPr>
          <w:rFonts w:ascii="Times New Roman;sans-serif" w:hAnsi="Times New Roman;sans-serif"/>
          <w:b w:val="false"/>
          <w:color w:val="000000"/>
          <w:sz w:val="20"/>
        </w:rPr>
        <w:t>The Mediverse earn-out was transferred out of Level 3 and into Level 2 in the fourth quarter of 2023 when the amount of the actual payment was known, and subsequently settled during first quarter of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quantitative information about Level 3 inputs for fair value measurement of our earn-out liabilities related to Smiths Medical: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Smiths Medical Earn-out</w:t>
      </w:r>
    </w:p>
    <w:tbl>
      <w:tblPr>
        <w:tblW w:w="5352"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109"/>
        <w:gridCol w:w="354"/>
        <w:gridCol w:w="354"/>
        <w:gridCol w:w="836"/>
        <w:gridCol w:w="109"/>
        <w:gridCol w:w="109"/>
        <w:gridCol w:w="109"/>
        <w:gridCol w:w="333"/>
        <w:gridCol w:w="333"/>
        <w:gridCol w:w="92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 2022</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Simulation Input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283"/>
        <w:jc w:val="left"/>
        <w:rPr/>
      </w:pPr>
      <w:r>
        <w:rPr>
          <w:rFonts w:ascii="Times New Roman;sans-serif" w:hAnsi="Times New Roman;sans-serif"/>
          <w:b w:val="false"/>
          <w:i/>
          <w:color w:val="000000"/>
          <w:sz w:val="20"/>
        </w:rPr>
        <w:t>Investments, Foreign Currency Contracts and Interest Rate Contracts</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historically consist of corporate, government bonds and U.S. treasury securities. The fair value of our corporate and government bonds are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Level 2 forward currency contracts is estimated using observable market inputs such as known notional value amounts, spot and forward exchange rates. These inputs relate to liquid, heavily traded currencies with active markets which are available for the full term of the derivative.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Level 2 interest rate swaps is estimated using a pricing model that reflects the terms of the contracts, including the period to maturity, and relies on observable market inputs such as known notional value amounts and USD interest rate curves.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Mediverse earn-out liability described above, there were no transfers between levels in 2023 or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assets and liabilities measured at fair value on a recurring basis consisted of the following (Level 1, 2 and 3 inputs as defined above) (in thousands): </w:t>
      </w:r>
    </w:p>
    <w:tbl>
      <w:tblPr>
        <w:tblW w:w="9320" w:type="dxa"/>
        <w:jc w:val="center"/>
        <w:tblInd w:w="0" w:type="dxa"/>
        <w:tblLayout w:type="fixed"/>
        <w:tblCellMar>
          <w:top w:w="28" w:type="dxa"/>
          <w:left w:w="28" w:type="dxa"/>
          <w:bottom w:w="28" w:type="dxa"/>
          <w:right w:w="28" w:type="dxa"/>
        </w:tblCellMar>
      </w:tblPr>
      <w:tblGrid>
        <w:gridCol w:w="1245"/>
        <w:gridCol w:w="1099"/>
        <w:gridCol w:w="1105"/>
        <w:gridCol w:w="243"/>
        <w:gridCol w:w="831"/>
        <w:gridCol w:w="127"/>
        <w:gridCol w:w="109"/>
        <w:gridCol w:w="109"/>
        <w:gridCol w:w="109"/>
        <w:gridCol w:w="344"/>
        <w:gridCol w:w="662"/>
        <w:gridCol w:w="179"/>
        <w:gridCol w:w="109"/>
        <w:gridCol w:w="109"/>
        <w:gridCol w:w="109"/>
        <w:gridCol w:w="249"/>
        <w:gridCol w:w="852"/>
        <w:gridCol w:w="129"/>
        <w:gridCol w:w="109"/>
        <w:gridCol w:w="109"/>
        <w:gridCol w:w="109"/>
        <w:gridCol w:w="273"/>
        <w:gridCol w:w="800"/>
        <w:gridCol w:w="201"/>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December 31, 2023</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liability-ST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9485" w:type="dxa"/>
        <w:jc w:val="center"/>
        <w:tblInd w:w="0" w:type="dxa"/>
        <w:tblLayout w:type="fixed"/>
        <w:tblCellMar>
          <w:top w:w="28" w:type="dxa"/>
          <w:left w:w="28" w:type="dxa"/>
          <w:bottom w:w="28" w:type="dxa"/>
          <w:right w:w="28" w:type="dxa"/>
        </w:tblCellMar>
      </w:tblPr>
      <w:tblGrid>
        <w:gridCol w:w="1305"/>
        <w:gridCol w:w="1152"/>
        <w:gridCol w:w="1158"/>
        <w:gridCol w:w="243"/>
        <w:gridCol w:w="831"/>
        <w:gridCol w:w="127"/>
        <w:gridCol w:w="109"/>
        <w:gridCol w:w="109"/>
        <w:gridCol w:w="109"/>
        <w:gridCol w:w="266"/>
        <w:gridCol w:w="779"/>
        <w:gridCol w:w="139"/>
        <w:gridCol w:w="109"/>
        <w:gridCol w:w="109"/>
        <w:gridCol w:w="109"/>
        <w:gridCol w:w="249"/>
        <w:gridCol w:w="852"/>
        <w:gridCol w:w="129"/>
        <w:gridCol w:w="109"/>
        <w:gridCol w:w="109"/>
        <w:gridCol w:w="109"/>
        <w:gridCol w:w="247"/>
        <w:gridCol w:w="846"/>
        <w:gridCol w:w="181"/>
      </w:tblGrid>
      <w:tr>
        <w:trPr/>
        <w:tc>
          <w:tcPr>
            <w:tcW w:w="130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December 31, 2022</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unobservable</w:t>
              <w:br/>
              <w:t>inputs (level 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corporate bonds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Prepaid expenses and other current assets</w:t>
            </w:r>
            <w:r>
              <w:rPr>
                <w:rFonts w:ascii="Times New Roman;sans-serif" w:hAnsi="Times New Roman;sans-serif"/>
                <w:b w:val="false"/>
                <w:color w:val="000000"/>
                <w:sz w:val="13"/>
              </w:rPr>
              <w:t>(1)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w:t>
            </w:r>
            <w:r>
              <w:rPr>
                <w:rFonts w:ascii="Times New Roman;sans-serif" w:hAnsi="Times New Roman;sans-serif"/>
                <w:b w:val="false"/>
                <w:color w:val="000000"/>
                <w:sz w:val="13"/>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Prepaid expenses and other current assets</w:t>
            </w:r>
            <w:r>
              <w:rPr>
                <w:rFonts w:ascii="Times New Roman;sans-serif" w:hAnsi="Times New Roman;sans-serif"/>
                <w:b w:val="false"/>
                <w:color w:val="000000"/>
                <w:sz w:val="13"/>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w:t>
            </w:r>
            <w:r>
              <w:rPr>
                <w:rFonts w:ascii="Times New Roman;sans-serif" w:hAnsi="Times New Roman;sans-serif"/>
                <w:b w:val="false"/>
                <w:color w:val="000000"/>
                <w:sz w:val="13"/>
              </w:rPr>
              <w:t>(1)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liabilities</w:t>
            </w:r>
            <w:r>
              <w:rPr>
                <w:rFonts w:ascii="Times New Roman;sans-serif" w:hAnsi="Times New Roman;sans-serif"/>
                <w:b w:val="false"/>
                <w:color w:val="000000"/>
                <w:sz w:val="13"/>
              </w:rPr>
              <w:t>(1)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Subsequent to the issuance of the financial statements as of and for the year ended December 31, 2022, the Company determined that the tabular disclosure of the level for these amounts were incorrectly presented within level 3, and accordingly the Company has corrected these disclosures to present them as level 2 within this table. The Company determined the impact of the adjustments to the table to be immaterial, individually and in the aggregate, based on consideration of quantitative and qualitative factors.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PREPAID EXPENSES AND OTHER CURRENT ASSETS AND OTHER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5769" w:type="dxa"/>
        <w:jc w:val="left"/>
        <w:tblInd w:w="0" w:type="dxa"/>
        <w:tblLayout w:type="fixed"/>
        <w:tblCellMar>
          <w:top w:w="28" w:type="dxa"/>
          <w:left w:w="28" w:type="dxa"/>
          <w:bottom w:w="28" w:type="dxa"/>
          <w:right w:w="28" w:type="dxa"/>
        </w:tblCellMar>
      </w:tblPr>
      <w:tblGrid>
        <w:gridCol w:w="1200"/>
        <w:gridCol w:w="1056"/>
        <w:gridCol w:w="1059"/>
        <w:gridCol w:w="211"/>
        <w:gridCol w:w="721"/>
        <w:gridCol w:w="109"/>
        <w:gridCol w:w="109"/>
        <w:gridCol w:w="109"/>
        <w:gridCol w:w="109"/>
        <w:gridCol w:w="211"/>
        <w:gridCol w:w="721"/>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vendor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property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VAT/GST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charge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 (in thousands):</w:t>
      </w:r>
    </w:p>
    <w:tbl>
      <w:tblPr>
        <w:tblW w:w="5273" w:type="dxa"/>
        <w:jc w:val="left"/>
        <w:tblInd w:w="0" w:type="dxa"/>
        <w:tblLayout w:type="fixed"/>
        <w:tblCellMar>
          <w:top w:w="28" w:type="dxa"/>
          <w:left w:w="28" w:type="dxa"/>
          <w:bottom w:w="28" w:type="dxa"/>
          <w:right w:w="28" w:type="dxa"/>
        </w:tblCellMar>
      </w:tblPr>
      <w:tblGrid>
        <w:gridCol w:w="983"/>
        <w:gridCol w:w="864"/>
        <w:gridCol w:w="867"/>
        <w:gridCol w:w="211"/>
        <w:gridCol w:w="721"/>
        <w:gridCol w:w="109"/>
        <w:gridCol w:w="109"/>
        <w:gridCol w:w="109"/>
        <w:gridCol w:w="109"/>
        <w:gridCol w:w="211"/>
        <w:gridCol w:w="82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 lease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NOTE 10. ACCRUED LIABILITIES AND OTHER LONG-TERM LIABILITIES</w:t>
      </w:r>
    </w:p>
    <w:p>
      <w:pPr>
        <w:pStyle w:val="TextBody"/>
        <w:bidi w:val="0"/>
        <w:spacing w:before="60" w:after="283"/>
        <w:ind w:left="0" w:right="0" w:firstLine="72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6485" w:type="dxa"/>
        <w:jc w:val="left"/>
        <w:tblInd w:w="0" w:type="dxa"/>
        <w:tblLayout w:type="fixed"/>
        <w:tblCellMar>
          <w:top w:w="28" w:type="dxa"/>
          <w:left w:w="28" w:type="dxa"/>
          <w:bottom w:w="28" w:type="dxa"/>
          <w:right w:w="28" w:type="dxa"/>
        </w:tblCellMar>
      </w:tblPr>
      <w:tblGrid>
        <w:gridCol w:w="1263"/>
        <w:gridCol w:w="1114"/>
        <w:gridCol w:w="1117"/>
        <w:gridCol w:w="109"/>
        <w:gridCol w:w="109"/>
        <w:gridCol w:w="109"/>
        <w:gridCol w:w="211"/>
        <w:gridCol w:w="826"/>
        <w:gridCol w:w="109"/>
        <w:gridCol w:w="109"/>
        <w:gridCol w:w="109"/>
        <w:gridCol w:w="109"/>
        <w:gridCol w:w="211"/>
        <w:gridCol w:w="82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Italy medical device payback provision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audit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Primarily includes field corrective actions associated with certain products in connection with a 2021 Warning Letter received by Smiths Medical from the FDA following an inspection of Smiths Medical's Oakdale, Minnesota Facility, see Note 15: Commitments and Contingencies for further detail.</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As of December 31, 2022, there was an additional $12.1 million in payback provision recorded as a reduction to accounts receivable, net. Whereas we recorded the amount for the payback provision to accrued liabilities from accounts receivable in Q3 2023, the payback provision was not reclassified as of December 31, 2022 to conform to the current year presentation.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(in thousands):</w:t>
      </w:r>
    </w:p>
    <w:tbl>
      <w:tblPr>
        <w:tblW w:w="5394" w:type="dxa"/>
        <w:jc w:val="left"/>
        <w:tblInd w:w="0" w:type="dxa"/>
        <w:tblLayout w:type="fixed"/>
        <w:tblCellMar>
          <w:top w:w="28" w:type="dxa"/>
          <w:left w:w="28" w:type="dxa"/>
          <w:bottom w:w="28" w:type="dxa"/>
          <w:right w:w="28" w:type="dxa"/>
        </w:tblCellMar>
      </w:tblPr>
      <w:tblGrid>
        <w:gridCol w:w="988"/>
        <w:gridCol w:w="869"/>
        <w:gridCol w:w="873"/>
        <w:gridCol w:w="211"/>
        <w:gridCol w:w="826"/>
        <w:gridCol w:w="109"/>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liability-LT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liability-LT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Related to field corrective actions associated with certain products in connection with a 2021 Warning Letter received by Smiths Medical from the FDA following an inspection of Smiths Medical's Oakdale, Minnesota Facility, see Note 15: Commitments and Contingencies for further detail.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LONG-TERM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consolidated balance sheets. These costs are being amortized to interest expense over the term of the Revolving Credit Facility using the straight-line method.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funds received from the Term Loan A and the Term Loan B, after deducting debt issuance costs, were $834.2 million and $836.6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Maturity Dates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Base Rate is defined as the highest of (a) the Prime Rate, (b) the Federal Funds Rate plus 0.50% and (c) Adjusted Term SOFR (as defined below) for a one-month period plus, in each case,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 Commitment Fee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ended June 30, 2022, the commitment fee is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Applicable Interest Margins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A and borrowings under the Revolving Credit Facility have an initial applicable margin of 0.75% per annum for Base Rate Loans and 1.75%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ended June 30, 2022, the applicable margin for the Term Loan A and borrowings under the Revolving Credit Facility is determined by reference to the leverage ratio in effect from time to time as set forth in the following table: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216"/>
        <w:gridCol w:w="1068"/>
        <w:gridCol w:w="1075"/>
        <w:gridCol w:w="871"/>
        <w:gridCol w:w="871"/>
        <w:gridCol w:w="873"/>
        <w:gridCol w:w="831"/>
        <w:gridCol w:w="831"/>
        <w:gridCol w:w="834"/>
        <w:gridCol w:w="506"/>
        <w:gridCol w:w="506"/>
        <w:gridCol w:w="723"/>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Fee Rate</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4.00 to 1.0</w:t>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4.00 to 1.0 but greater than 3.00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3.00 to 1.0 but greater than 2.50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2.50 to 1.0 but greater than 2.00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2.00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has an initial applicable margin of 1.5% per annum for Base Rate Loans and 2.5%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ended June 30, 2022, the applicable margin for the Term Loan B is determined by reference to the leverage ratio in effect from time to time as set forth in the following table: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9194" w:type="dxa"/>
        <w:jc w:val="left"/>
        <w:tblInd w:w="0" w:type="dxa"/>
        <w:tblLayout w:type="fixed"/>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2.75 to 1.0</w:t>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payments on the Term Loans are due on the last day of each calendar quarter commencing on June 30,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amortizes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matures in twenty-seven consecutive quarterly installments in an amount equal to 0.25% of the original principal amount, with a final payment of the remaining outstanding principal balance due on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March 2022, we prepaid $16.0 million in principal payments on the Term Loan A principal balance, total principal paid on both Term Loans for the year ended December 31, 2022 was $22.4 million. For the twelve months ended December 31, 2023, total principal payments on both Term Loans was $29.7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consolidated statements of operations.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Guarantors and Collateral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Agreement are unconditionally guaranteed, on a joint and several basis, by ICU Medical, Inc. and certain of our existing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covenants include the Senior Secured Leverage Ratio and the Interest Coverage Ratio, both defined below, and pertain to the Term Loan A and the Revolving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Secured Leverage Ratio is defined, at any measurement date, as the ratio of: (a) all Funded Debt, as defined in the Credit Agreement, that is secured by a lien on any asset or property minus the lesser of (i) all unrestricted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financial covenants as of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2017 Credit Facility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On November 8, 2017, we entered into a five-year senior secured revolving credit facility with various lenders for $150.0 million, with Wells Fargo Bank, National Association as the administrative agent, swingline lender and issuing lender (the "Credit Facility"). The Credit Facility, which was set to mature on November 8, 2022, was terminated in connection with entering into the Credit Agreement on January 6, 2022. There were no borrowings outstanding under the Credit Facility at that date or at December 31, 2021. The remaining unamortized deferred debt issuance costs related to the Credit Facility were not material and were expensed in connection with its termination.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long-term debt consist of the following (in thousands):</w:t>
      </w:r>
    </w:p>
    <w:p>
      <w:pPr>
        <w:pStyle w:val="TextBody"/>
        <w:bidi w:val="0"/>
        <w:spacing w:before="0" w:after="0"/>
        <w:ind w:left="0" w:right="0" w:firstLine="720"/>
        <w:jc w:val="left"/>
        <w:rPr/>
      </w:pPr>
      <w:r>
        <w:rPr/>
      </w:r>
    </w:p>
    <w:tbl>
      <w:tblPr>
        <w:tblW w:w="7249" w:type="dxa"/>
        <w:jc w:val="center"/>
        <w:tblInd w:w="0" w:type="dxa"/>
        <w:tblLayout w:type="fixed"/>
        <w:tblCellMar>
          <w:top w:w="28" w:type="dxa"/>
          <w:left w:w="28" w:type="dxa"/>
          <w:bottom w:w="28" w:type="dxa"/>
          <w:right w:w="28" w:type="dxa"/>
        </w:tblCellMar>
      </w:tblPr>
      <w:tblGrid>
        <w:gridCol w:w="1194"/>
        <w:gridCol w:w="1051"/>
        <w:gridCol w:w="1054"/>
        <w:gridCol w:w="403"/>
        <w:gridCol w:w="403"/>
        <w:gridCol w:w="1009"/>
        <w:gridCol w:w="109"/>
        <w:gridCol w:w="109"/>
        <w:gridCol w:w="109"/>
        <w:gridCol w:w="251"/>
        <w:gridCol w:w="1164"/>
        <w:gridCol w:w="130"/>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 principal</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 principal</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 principal</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(1)</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long-term debt</w:t>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1,628,770 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1,577,770 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20"/>
        </w:rPr>
        <w:t>Comprised of $9.3 million and $9.9 million relating to the Term Loan A and the Term Loan B,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amount of principal repayments of our long-term debt (including any current portion) for each of the next five years is approximately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2614"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97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interest expense related to our long-term debt (in thousands):</w:t>
      </w:r>
    </w:p>
    <w:p>
      <w:pPr>
        <w:pStyle w:val="TextBody"/>
        <w:bidi w:val="0"/>
        <w:spacing w:before="0" w:after="0"/>
        <w:ind w:left="0" w:right="0" w:firstLine="720"/>
        <w:jc w:val="left"/>
        <w:rPr/>
      </w:pPr>
      <w:r>
        <w:rPr/>
      </w:r>
    </w:p>
    <w:tbl>
      <w:tblPr>
        <w:tblW w:w="7526" w:type="dxa"/>
        <w:jc w:val="center"/>
        <w:tblInd w:w="0" w:type="dxa"/>
        <w:tblLayout w:type="fixed"/>
        <w:tblCellMar>
          <w:top w:w="28" w:type="dxa"/>
          <w:left w:w="28" w:type="dxa"/>
          <w:bottom w:w="28" w:type="dxa"/>
          <w:right w:w="28" w:type="dxa"/>
        </w:tblCellMar>
      </w:tblPr>
      <w:tblGrid>
        <w:gridCol w:w="1394"/>
        <w:gridCol w:w="1227"/>
        <w:gridCol w:w="1233"/>
        <w:gridCol w:w="211"/>
        <w:gridCol w:w="826"/>
        <w:gridCol w:w="109"/>
        <w:gridCol w:w="109"/>
        <w:gridCol w:w="109"/>
        <w:gridCol w:w="109"/>
        <w:gridCol w:w="211"/>
        <w:gridCol w:w="721"/>
        <w:gridCol w:w="109"/>
        <w:gridCol w:w="109"/>
        <w:gridCol w:w="109"/>
        <w:gridCol w:w="109"/>
        <w:gridCol w:w="211"/>
        <w:gridCol w:w="46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continuing operations before taxes consisted of the following (in thousands): </w:t>
      </w:r>
    </w:p>
    <w:tbl>
      <w:tblPr>
        <w:tblW w:w="5813"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901"/>
        <w:gridCol w:w="109"/>
        <w:gridCol w:w="109"/>
        <w:gridCol w:w="109"/>
        <w:gridCol w:w="109"/>
        <w:gridCol w:w="211"/>
        <w:gridCol w:w="90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consisted of the following (in thousands):</w:t>
      </w:r>
    </w:p>
    <w:tbl>
      <w:tblPr>
        <w:tblW w:w="5169" w:type="dxa"/>
        <w:jc w:val="left"/>
        <w:tblInd w:w="0" w:type="dxa"/>
        <w:tblLayout w:type="fixed"/>
        <w:tblCellMar>
          <w:top w:w="28" w:type="dxa"/>
          <w:left w:w="28" w:type="dxa"/>
          <w:bottom w:w="28" w:type="dxa"/>
          <w:right w:w="28" w:type="dxa"/>
        </w:tblCellMar>
      </w:tblPr>
      <w:tblGrid>
        <w:gridCol w:w="325"/>
        <w:gridCol w:w="271"/>
        <w:gridCol w:w="274"/>
        <w:gridCol w:w="109"/>
        <w:gridCol w:w="109"/>
        <w:gridCol w:w="109"/>
        <w:gridCol w:w="211"/>
        <w:gridCol w:w="796"/>
        <w:gridCol w:w="109"/>
        <w:gridCol w:w="109"/>
        <w:gridCol w:w="109"/>
        <w:gridCol w:w="109"/>
        <w:gridCol w:w="211"/>
        <w:gridCol w:w="796"/>
        <w:gridCol w:w="109"/>
        <w:gridCol w:w="109"/>
        <w:gridCol w:w="109"/>
        <w:gridCol w:w="109"/>
        <w:gridCol w:w="211"/>
        <w:gridCol w:w="721"/>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accrued for tax contingencies for potential tax assessments, and in 2023 we recognized a $24.5 million net increase, most of which related to various federal, state and foreign tax reserves.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provision for income taxes at the statutory rate to our effective tax rate is as follows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0"/>
        <w:gridCol w:w="639"/>
        <w:gridCol w:w="644"/>
        <w:gridCol w:w="109"/>
        <w:gridCol w:w="109"/>
        <w:gridCol w:w="109"/>
        <w:gridCol w:w="211"/>
        <w:gridCol w:w="763"/>
        <w:gridCol w:w="109"/>
        <w:gridCol w:w="109"/>
        <w:gridCol w:w="109"/>
        <w:gridCol w:w="109"/>
        <w:gridCol w:w="255"/>
        <w:gridCol w:w="256"/>
        <w:gridCol w:w="376"/>
        <w:gridCol w:w="109"/>
        <w:gridCol w:w="109"/>
        <w:gridCol w:w="109"/>
        <w:gridCol w:w="211"/>
        <w:gridCol w:w="763"/>
        <w:gridCol w:w="109"/>
        <w:gridCol w:w="109"/>
        <w:gridCol w:w="109"/>
        <w:gridCol w:w="109"/>
        <w:gridCol w:w="255"/>
        <w:gridCol w:w="256"/>
        <w:gridCol w:w="376"/>
        <w:gridCol w:w="109"/>
        <w:gridCol w:w="109"/>
        <w:gridCol w:w="109"/>
        <w:gridCol w:w="211"/>
        <w:gridCol w:w="721"/>
        <w:gridCol w:w="109"/>
        <w:gridCol w:w="109"/>
        <w:gridCol w:w="109"/>
        <w:gridCol w:w="109"/>
        <w:gridCol w:w="255"/>
        <w:gridCol w:w="256"/>
        <w:gridCol w:w="428"/>
      </w:tblGrid>
      <w:tr>
        <w:trPr/>
        <w:tc>
          <w:tcPr>
            <w:tcW w:w="10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at the expected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low-taxed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reserve releases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C16AE"/>
                <w:sz w:val="20"/>
              </w:rPr>
            </w:pPr>
            <w:r>
              <w:rPr>
                <w:rFonts w:ascii="Times New Roman;sans-serif" w:hAnsi="Times New Roman;sans-serif"/>
                <w:b w:val="false"/>
                <w:color w:val="4C16AE"/>
                <w:sz w:val="20"/>
              </w:rPr>
              <w:t>(6,884)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C16AE"/>
                <w:sz w:val="20"/>
              </w:rPr>
            </w:pPr>
            <w:r>
              <w:rPr>
                <w:rFonts w:ascii="Times New Roman;sans-serif" w:hAnsi="Times New Roman;sans-serif"/>
                <w:b w:val="false"/>
                <w:color w:val="4C16AE"/>
                <w:sz w:val="20"/>
              </w:rPr>
              <w:t>8.8 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C16AE"/>
                <w:sz w:val="20"/>
              </w:rPr>
            </w:pPr>
            <w:r>
              <w:rPr>
                <w:rFonts w:ascii="Times New Roman;sans-serif" w:hAnsi="Times New Roman;sans-serif"/>
                <w:b w:val="false"/>
                <w:color w:val="4C16AE"/>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C16AE"/>
                <w:sz w:val="20"/>
              </w:rPr>
            </w:pPr>
            <w:r>
              <w:rPr>
                <w:rFonts w:ascii="Times New Roman;sans-serif" w:hAnsi="Times New Roman;sans-serif"/>
                <w:b w:val="false"/>
                <w:color w:val="4C16AE"/>
                <w:sz w:val="20"/>
              </w:rPr>
              <w:t>(1,834)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C16AE"/>
                <w:sz w:val="20"/>
              </w:rPr>
            </w:pPr>
            <w:r>
              <w:rPr>
                <w:rFonts w:ascii="Times New Roman;sans-serif" w:hAnsi="Times New Roman;sans-serif"/>
                <w:b w:val="false"/>
                <w:color w:val="4C16AE"/>
                <w:sz w:val="20"/>
              </w:rPr>
              <w:t>1.6 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C16AE"/>
                <w:sz w:val="20"/>
              </w:rPr>
            </w:pPr>
            <w:r>
              <w:rPr>
                <w:rFonts w:ascii="Times New Roman;sans-serif" w:hAnsi="Times New Roman;sans-serif"/>
                <w:b w:val="false"/>
                <w:color w:val="4C16AE"/>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4C16AE"/>
              </w:rPr>
            </w:pPr>
            <w:r>
              <w:rPr>
                <w:color w:val="4C16AE"/>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4C16AE"/>
              </w:rPr>
            </w:pPr>
            <w:r>
              <w:rPr>
                <w:color w:val="4C16AE"/>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4C16AE"/>
                <w:sz w:val="20"/>
              </w:rPr>
            </w:pPr>
            <w:r>
              <w:rPr>
                <w:rFonts w:ascii="Times New Roman;sans-serif" w:hAnsi="Times New Roman;sans-serif"/>
                <w:b w:val="false"/>
                <w:color w:val="4C16AE"/>
                <w:sz w:val="20"/>
              </w:rPr>
              <w:t>%</w:t>
            </w:r>
          </w:p>
        </w:tc>
      </w:tr>
      <w:tr>
        <w:trPr/>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in 2023, 2022 and 2021 consist principally of research and developmental tax credits. </w:t>
      </w:r>
    </w:p>
    <w:p>
      <w:pPr>
        <w:pStyle w:val="TextBody"/>
        <w:bidi w:val="0"/>
        <w:spacing w:before="0" w:after="0"/>
        <w:ind w:left="0" w:right="0" w:firstLine="72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our deferred income tax assets (liabilities) are as follows (in thousands):</w:t>
      </w:r>
    </w:p>
    <w:tbl>
      <w:tblPr>
        <w:tblW w:w="8555" w:type="dxa"/>
        <w:jc w:val="center"/>
        <w:tblInd w:w="0" w:type="dxa"/>
        <w:tblLayout w:type="fixed"/>
        <w:tblCellMar>
          <w:top w:w="28" w:type="dxa"/>
          <w:left w:w="28" w:type="dxa"/>
          <w:bottom w:w="28" w:type="dxa"/>
          <w:right w:w="28" w:type="dxa"/>
        </w:tblCellMar>
      </w:tblPr>
      <w:tblGrid>
        <w:gridCol w:w="2019"/>
        <w:gridCol w:w="1767"/>
        <w:gridCol w:w="1778"/>
        <w:gridCol w:w="109"/>
        <w:gridCol w:w="109"/>
        <w:gridCol w:w="109"/>
        <w:gridCol w:w="211"/>
        <w:gridCol w:w="826"/>
        <w:gridCol w:w="109"/>
        <w:gridCol w:w="109"/>
        <w:gridCol w:w="109"/>
        <w:gridCol w:w="109"/>
        <w:gridCol w:w="211"/>
        <w:gridCol w:w="826"/>
        <w:gridCol w:w="154"/>
      </w:tblGrid>
      <w:tr>
        <w:trPr/>
        <w:tc>
          <w:tcPr>
            <w:tcW w:w="201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future tax deductions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163(j) - interest expense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 discounts, customer concessions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481(a) adjustment - change in accounting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derivative instrument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Tax Holidays and Carryforwards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operating loss ("NOL") carryforwards consist of: (a) federal NOL carryforwards of $1.4 million which will expire at various dates from 2031 to indefinite carryforward periods, (b) state NOL carryforwards of $4.1 million which will expire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various dates from 2026 to indefinite carryforward periods and (c) foreign NOL carryforwards of $32.6 million which will expire at various dates from 2024 to indefinite carryforward periods. We believe that it is more likely than not that the benefit from certain foreign NOL carryforwards will not be realized. In recognition of this risk, we have provided a valuation allowance of $9.0 million on the $9.5 million deferred tax assets related to these foreign NOL carryforwards. Under Section 382 of the Internal Revenue Code, certain ownership changes limit the utilization of the NOL carryforwards, and the amount of federal NOL carryforwards recorded is the net federal benefit available.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carryforwards include state research and development (“R&amp;D”) tax credit carryforwards of $20.4 million, which have an indefinite carryforward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manufacturing operations in Costa Rica operate under various tax holiday and tax incentive programs due to expire in whole or in part in 2029. Certain of the holidays may be extended if specific conditions are met. The net impact of these tax holiday and tax incentives was an increase to our net earnings by $8.0 million or $0.33 per diluted share in 2023 and by $8.1 million or $0.34 per diluted share in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derivative instrument adjustments, and related tax effects, are an element of “other comprehensive income” and are not included in net income other than the revaluation of the associated deferred tax asset due to the Tax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estimated $246.8 million of undistributed foreign earnings and profits. Such earnings were previously subject to U.S. tax as a result of the Tax Act and much of any future remittances would generally be subject to no U.S. tax as a result of dividends received deductions and/or foreign tax credit relief. We intend to invest substantially all of our foreign subsidiary earnings, as well as our capital in our foreign subsidiaries, indefinitely outside of the U.S. in those jurisdictions in which we incur significant additional costs upon repatriation of such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the U.S. and various states and foreign jurisdictions. Our U.S. federal income tax returns for tax years 2020 and forward are subject to examination by the Internal Revenue Service. Our principal state income tax returns for tax years 2012 and forward are subject to examination by the state tax authorities. The total gross amount of unrecognized tax benefits as of December 31, 2023 was $78.6 million which, if recognized, would impact the effective tax rate. We believe that adequate provision has been made for any adjustments that may result from tax examinations. However, the outcome of tax examinations cannot be predicted with certainty. As of December 31, 2023, it is reasonably possible that the expiration of the U.S. federal statute of limitations will cause the gross amount of unrecognized tax benefits to decrease by $6.7 million within the next twelve months. It is not possible to estimate any other amount of change, if any, in the unrecognized tax benefits that is reasonably possible within the next twelve months. We recognize accrued interest and penalties related to unrecognized tax benefits as a component of income tax expense. We recognized $1.4 million of interest expense and $0.2 million of penalties in income tax benefit during 2023 and released $0.7 million of interest expense and $0.6 million of penalties in 2023. In total, we have accrued for interest and penalties of $2.9 million and $2.0 million, respectively as of December 31, 2023, and $2.2 million and $2.3 million, respectively, as of December 31, 2022.</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cumulative gross unrecognized tax benefits (in thousands): </w:t>
      </w:r>
    </w:p>
    <w:tbl>
      <w:tblPr>
        <w:tblW w:w="8378" w:type="dxa"/>
        <w:jc w:val="left"/>
        <w:tblInd w:w="0" w:type="dxa"/>
        <w:tblLayout w:type="fixed"/>
        <w:tblCellMar>
          <w:top w:w="28" w:type="dxa"/>
          <w:left w:w="28" w:type="dxa"/>
          <w:bottom w:w="28" w:type="dxa"/>
          <w:right w:w="28" w:type="dxa"/>
        </w:tblCellMar>
      </w:tblPr>
      <w:tblGrid>
        <w:gridCol w:w="1533"/>
        <w:gridCol w:w="1345"/>
        <w:gridCol w:w="135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related to lapse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related to settlements with tax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European Union agreed to implement Pillar Two, the OECD’s global minimum tax rate of 15% for multinationals that meet a global revenue threshold. A number of countries have enacted or have announced plans to enact legislation to adopt Pillar Two. The Pillar Two legislation is effective for our fiscal year beginning January 1, 2024 and for fiscal year 2024 we do not anticipate that it will have a material impact to our tax provision or effective tax rate. However, the Pillar Two rules continue to evolve and their application may alter our tax obligations in certain countries in which we operate for fiscal periods beyond 2024 as we continue to assess the impact of tax legislation in these jurisdictions.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GEOGRAPHIC INFORMATION AND SIGNIFICANT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products worldwide, on credit terms on an unsecured basis, as an OEM supplier, to independent medical supply distributors and directly to the end customer. The manufacturers and distributors, in turn, sell our products to healthcare providers. In 2023, we had net sales to Medline of 16% of consolidated worldwide net sales.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our gross long-lived assets, consisting of property, plant and equipment, by country or region (in thousands):</w:t>
      </w:r>
    </w:p>
    <w:tbl>
      <w:tblPr>
        <w:tblW w:w="4791" w:type="dxa"/>
        <w:jc w:val="center"/>
        <w:tblInd w:w="0" w:type="dxa"/>
        <w:tblLayout w:type="fixed"/>
        <w:tblCellMar>
          <w:top w:w="28" w:type="dxa"/>
          <w:left w:w="28" w:type="dxa"/>
          <w:bottom w:w="28" w:type="dxa"/>
          <w:right w:w="28" w:type="dxa"/>
        </w:tblCellMar>
      </w:tblPr>
      <w:tblGrid>
        <w:gridCol w:w="543"/>
        <w:gridCol w:w="476"/>
        <w:gridCol w:w="481"/>
        <w:gridCol w:w="109"/>
        <w:gridCol w:w="109"/>
        <w:gridCol w:w="109"/>
        <w:gridCol w:w="211"/>
        <w:gridCol w:w="976"/>
        <w:gridCol w:w="109"/>
        <w:gridCol w:w="109"/>
        <w:gridCol w:w="109"/>
        <w:gridCol w:w="109"/>
        <w:gridCol w:w="211"/>
        <w:gridCol w:w="97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Foreign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2019, our Board of Directors approved a common stock purchase plan to purchase up to $100.0 million of our common stock. This plan has no expiration date. We have $100.0 million remaining on this purchase plan. We did not purchase any of our common stock under our common stock purchase plan in 2023, 2022 or 2021. We are limited on share purchases in accordance with the terms and conditions of our Senior Secured Credit Facilities (see Note 11: Long-Term Obligations).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withheld 59,377 shares of our common stock from employee vested restricted stock units in consideration for $9.4 million in payments for the employees' share award income tax withholding obligations. We had 2,428 shares remaining in treasury at December 31,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withheld 47,664 shares of our common stock from employee vested restricted stock units in consideration for $10.9 million in payments for the employees' share award income tax withholding obligations. We had 1,633 shares remaining in treasury at December 31,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withheld 40,350 shares of our common stock from employee vested restricted stock units in consideration for $8.3 million in payments for the employees' share award income tax withholding obligations. We had 119 shares remaining in treasury at December 31, 2020.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treasury stock to issue shares for stock option exercises and restricted stock grants.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 Income ("AOCI")</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AOCI, net of tax, were as follows (in thousands):</w:t>
      </w:r>
    </w:p>
    <w:tbl>
      <w:tblPr>
        <w:tblW w:w="10205" w:type="dxa"/>
        <w:jc w:val="center"/>
        <w:tblInd w:w="0" w:type="dxa"/>
        <w:tblLayout w:type="fixed"/>
        <w:tblCellMar>
          <w:top w:w="28" w:type="dxa"/>
          <w:left w:w="28" w:type="dxa"/>
          <w:bottom w:w="28" w:type="dxa"/>
          <w:right w:w="28" w:type="dxa"/>
        </w:tblCellMar>
      </w:tblPr>
      <w:tblGrid>
        <w:gridCol w:w="1203"/>
        <w:gridCol w:w="692"/>
        <w:gridCol w:w="691"/>
        <w:gridCol w:w="109"/>
        <w:gridCol w:w="109"/>
        <w:gridCol w:w="109"/>
        <w:gridCol w:w="341"/>
        <w:gridCol w:w="1419"/>
        <w:gridCol w:w="176"/>
        <w:gridCol w:w="109"/>
        <w:gridCol w:w="109"/>
        <w:gridCol w:w="109"/>
        <w:gridCol w:w="400"/>
        <w:gridCol w:w="1367"/>
        <w:gridCol w:w="206"/>
        <w:gridCol w:w="109"/>
        <w:gridCol w:w="109"/>
        <w:gridCol w:w="109"/>
        <w:gridCol w:w="287"/>
        <w:gridCol w:w="840"/>
        <w:gridCol w:w="149"/>
        <w:gridCol w:w="109"/>
        <w:gridCol w:w="109"/>
        <w:gridCol w:w="109"/>
        <w:gridCol w:w="211"/>
        <w:gridCol w:w="756"/>
        <w:gridCol w:w="159"/>
      </w:tblGrid>
      <w:tr>
        <w:trPr/>
        <w:tc>
          <w:tcPr>
            <w:tcW w:w="120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(76,784)</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 Balance Sheet Arrangements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November 2019, we acquired Pursuit. Total consideration for the acquisition included a potential contractual earn-out of up to $50.0 million to be paid to former Pursuit equity holders, calculated based upon the achievement of certain performance targets during the earn-out period. As of June 30, 2021, the earn-out measurement period had ended and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sales and gross profit achieved during the measurement period we calculated the actual earn-out to be $26.3 million. In October 2021, the $26.3 million earn-out was finalized and paid to the former Pursuit equity holders (see Note 8: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in the first quarter of 2024 (see Note 8: 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2023, the estimated fair value for the contingent consideration related to certain product-related regulatory certifications was estimated to be $1.5 million. As of December 31, 2022, the measurement period related to the contingent earn-out based on certain revenue targets ended and based on the actual revenue achieved during the measurement period we determined the fair value of the contingent earn-out was zero as the minimum threshold for earning the earn-out was not met.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Smiths Medical. Total consideration for the acquisition includes a potential earn-out payment of $100.0 million in cash contingent on our common stock achieving a certain volume-weighted average price from the closing date to either the third or fourth anniversary of closing. As of December 31, 2023, the estimated fair value of the contingent earn-out is $4.0 million (see Note 8: 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years ended December 31, 2023 and 2022, we recorded additional expense of $20.3 million and $5.3 million, respectively, primarily related to additional field corrective actions identified and initiated during those periods. As of December 31, 2023, approximately $53.6 million of the $56.3 million of accrued field service corrective action was related to Smiths Medical.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non-cancelable operating lease agreements where we are contractually obligated to pay certain lease payment amounts (see Note 5: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COLLABORATIVE AND OTHER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We no longer purchase products from Pfizer under the MSA as described in (i)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MSA described in (ii) above provides each party with mutually beneficial interests and is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agreement, whereby Pfizer manufactures and supplies to us certain agreed upon products. The Product Addendum includes the supply of additional product to us subject to certain time and pricing terms and conditions. The Product Addendum included a minimum purchase obligation of $29.6 million. The minimum purchase obligation under the addendum was satisfied during 2022. The Product Addendum expired on November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ACCOUNTS RECEIVABLE 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19, 2023, we entered into a revolving $150 million uncommitted receivables purchase agreement with Bank of The West ("BOW"), which was subsequently acquired by BMO in February 2023. This agreement provided for a less expensive form of capital. The discount rate applied to the sold receivables equals a rate per annum equal to the sum of (i) an applicable margin of 1.75%,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BOW has the right upon purchase to pledge and/or exchange the transferred assets without restrictions. The Company acts as collection agent for BOW and collection services are undertaken by our accounts receivable personnel in their normal course of business and collected funds are remitted to BOW.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carrying value of trade receivables sold to BOW in connection with the purchase program was $629.1 million. In exchange for the sale of trade receivables, we received cash of $625.3 million. For the year ended December 31, 2023, the sale of the receivables resulted in a loss of $3.7 million, recorded in other expense, net in our consolidated statement of operations. For the year ended December 31, 2023, we have collected and remitted $553.2 million in cash to BOW. As of December 31, 2023, cash remaining to be collected on behalf of BOW was $75.9 million, which has been removed from our consolidated balance sheet as of December 31, 2023 and is reflected as cash provided by operating activities in the consolidated statement of cash flows. There were no such balances at December 31, 2022. The carrying value of the sold receivables approximated the fair value at December 31,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of the end of the period covered by this Report. Disclosure controls and procedures are designed to ensure that the information required to be disclosed in the reports that we file or submit under the Exchange Act is recorded, processed, summarized and reported within the time periods specified in the rules and forms of the Securities Exchange Commission, and that such information is accumulated and communicated to our management, including our principal executive officer and principal financial officer, as appropriate to allow timely decisions regarding required disclosure. B</w:t>
      </w:r>
      <w:r>
        <w:rPr>
          <w:rFonts w:ascii="Times New Roman;sans-serif" w:hAnsi="Times New Roman;sans-serif"/>
          <w:b w:val="false"/>
          <w:color w:val="000000"/>
          <w:sz w:val="20"/>
          <w:shd w:fill="FFFFFF" w:val="clear"/>
        </w:rPr>
        <w:t xml:space="preserve">ased upon that evaluation, our principal executive officer and our principal financial officer concluded that, as of December 31, 2023, </w:t>
      </w:r>
      <w:r>
        <w:rPr>
          <w:rFonts w:ascii="Times New Roman;sans-serif" w:hAnsi="Times New Roman;sans-serif"/>
          <w:b w:val="false"/>
          <w:color w:val="000000"/>
          <w:sz w:val="20"/>
        </w:rPr>
        <w:t>our disclosure controls and procedures were effective at the reasonable assurance level.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Management’s Annual Report on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Management has used the criteria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to evaluate the effectiveness of its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criteria, management of the Company has concluded that the Company has maintained effective internal control over its financial reporting as of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that audited the December 31, 2023 financial statements included in this Annual Report on Form 10-K has independently assessed the effectiveness of our internal control over financial reporting and its report is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following table shows any </w:t>
      </w:r>
      <w:r>
        <w:rPr>
          <w:color w:val="000000"/>
        </w:rPr>
        <w:t>“</w:t>
      </w:r>
      <w:r>
        <w:rPr>
          <w:rFonts w:ascii="Times New Roman;sans-serif" w:hAnsi="Times New Roman;sans-serif"/>
          <w:b w:val="false"/>
          <w:color w:val="000000"/>
          <w:sz w:val="20"/>
        </w:rPr>
        <w:t>Rule 10b5-1 trading arrangement</w:t>
      </w:r>
      <w:r>
        <w:rPr>
          <w:color w:val="000000"/>
        </w:rPr>
        <w:t xml:space="preserve">” </w:t>
      </w:r>
      <w:r>
        <w:rPr>
          <w:rFonts w:ascii="Times New Roman;sans-serif" w:hAnsi="Times New Roman;sans-serif"/>
          <w:b w:val="false"/>
          <w:color w:val="000000"/>
          <w:sz w:val="20"/>
        </w:rPr>
        <w:t xml:space="preserve">or </w:t>
      </w:r>
      <w:r>
        <w:rPr>
          <w:color w:val="000000"/>
        </w:rPr>
        <w:t>“</w:t>
      </w:r>
      <w:r>
        <w:rPr>
          <w:rFonts w:ascii="Times New Roman;sans-serif" w:hAnsi="Times New Roman;sans-serif"/>
          <w:b w:val="false"/>
          <w:color w:val="000000"/>
          <w:sz w:val="20"/>
        </w:rPr>
        <w:t>non-Rule 10b5-1 trading arrangement,</w:t>
      </w:r>
      <w:r>
        <w:rPr>
          <w:color w:val="000000"/>
        </w:rPr>
        <w:t xml:space="preserve">” </w:t>
      </w:r>
      <w:r>
        <w:rPr>
          <w:rFonts w:ascii="Times New Roman;sans-serif" w:hAnsi="Times New Roman;sans-serif"/>
          <w:b w:val="false"/>
          <w:color w:val="000000"/>
          <w:sz w:val="20"/>
        </w:rPr>
        <w:t xml:space="preserve">each as defined in Item 408(a) of Regulation S-K, adopted, modified, or terminated by our directors or "officers" (as defined in Rule 16a-1(f) under the Exchange Act) during the three months ended December 31, 2023.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8"/>
        <w:gridCol w:w="587"/>
        <w:gridCol w:w="559"/>
        <w:gridCol w:w="315"/>
        <w:gridCol w:w="315"/>
        <w:gridCol w:w="319"/>
        <w:gridCol w:w="466"/>
        <w:gridCol w:w="420"/>
        <w:gridCol w:w="422"/>
        <w:gridCol w:w="354"/>
        <w:gridCol w:w="354"/>
        <w:gridCol w:w="356"/>
        <w:gridCol w:w="370"/>
        <w:gridCol w:w="370"/>
        <w:gridCol w:w="334"/>
        <w:gridCol w:w="817"/>
        <w:gridCol w:w="752"/>
        <w:gridCol w:w="755"/>
        <w:gridCol w:w="480"/>
        <w:gridCol w:w="480"/>
        <w:gridCol w:w="692"/>
      </w:tblGrid>
      <w:tr>
        <w:trPr/>
        <w:tc>
          <w:tcPr>
            <w:tcW w:w="68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Name/Title</w:t>
            </w:r>
          </w:p>
        </w:tc>
        <w:tc>
          <w:tcPr>
            <w:tcW w:w="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Action</w:t>
            </w:r>
          </w:p>
        </w:tc>
        <w:tc>
          <w:tcPr>
            <w:tcW w:w="13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of Plan</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Adoption Date</w:t>
            </w:r>
          </w:p>
        </w:tc>
        <w:tc>
          <w:tcPr>
            <w:tcW w:w="1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 Date</w:t>
            </w:r>
          </w:p>
        </w:tc>
        <w:tc>
          <w:tcPr>
            <w:tcW w:w="2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Number of Securities to be Sold</w:t>
            </w:r>
          </w:p>
        </w:tc>
        <w:tc>
          <w:tcPr>
            <w:tcW w:w="16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Plan Description</w:t>
            </w:r>
          </w:p>
        </w:tc>
      </w:tr>
      <w:tr>
        <w:trPr/>
        <w:tc>
          <w:tcPr>
            <w:tcW w:w="1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Vivek Jain, Chief Executive Officer</w:t>
            </w:r>
          </w:p>
        </w:tc>
        <w:tc>
          <w:tcPr>
            <w:tcW w:w="9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Terminated*</w:t>
            </w:r>
          </w:p>
        </w:tc>
        <w:tc>
          <w:tcPr>
            <w:tcW w:w="13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Rule 10b5-1 trading plan</w:t>
            </w:r>
          </w:p>
        </w:tc>
        <w:tc>
          <w:tcPr>
            <w:tcW w:w="1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15, 2023</w:t>
            </w:r>
          </w:p>
        </w:tc>
        <w:tc>
          <w:tcPr>
            <w:tcW w:w="1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9, 2024</w:t>
            </w:r>
          </w:p>
        </w:tc>
        <w:tc>
          <w:tcPr>
            <w:tcW w:w="156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206,366 </w:t>
            </w:r>
          </w:p>
        </w:tc>
        <w:tc>
          <w:tcPr>
            <w:tcW w:w="7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and sale of options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Jain's plan terminated as of November 3, 2023. His plan termination was previously disclosed in our Quarterly Report on 2023 Form 10-Q for the quarter ended September 30,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disclosed above, no other officer (as defined in Rule 16a-1(f) under the Exchange Act) or director of the Company adopted, modified, or terminated a "Rule 10b5-1 trading arrangement" or “non-Rule 10b5-1 trading arrangement,” each as defined in Item 408(a) of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lists the names, ages, certain positions and offices held by our executive officers and directors as of January 31, 2024:</w:t>
      </w:r>
    </w:p>
    <w:tbl>
      <w:tblPr>
        <w:tblW w:w="7605" w:type="dxa"/>
        <w:jc w:val="center"/>
        <w:tblInd w:w="0" w:type="dxa"/>
        <w:tblLayout w:type="fixed"/>
        <w:tblCellMar>
          <w:top w:w="28" w:type="dxa"/>
          <w:left w:w="28" w:type="dxa"/>
          <w:bottom w:w="28" w:type="dxa"/>
          <w:right w:w="28" w:type="dxa"/>
        </w:tblCellMar>
      </w:tblPr>
      <w:tblGrid>
        <w:gridCol w:w="716"/>
        <w:gridCol w:w="630"/>
        <w:gridCol w:w="633"/>
        <w:gridCol w:w="145"/>
        <w:gridCol w:w="145"/>
        <w:gridCol w:w="146"/>
        <w:gridCol w:w="1515"/>
        <w:gridCol w:w="1515"/>
        <w:gridCol w:w="2160"/>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 Held</w:t>
            </w:r>
          </w:p>
        </w:tc>
      </w:tr>
      <w:tr>
        <w:trPr/>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("CEO") and Chairman of the Board</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Bonnell</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("CFO") and Treasurer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 Voigtlander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("COO")</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Woolson</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General Manager - Infusion Systems</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Sanzone</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General Counsel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George A. Lopez, M.D.</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C. Greenberg</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Elisha Finney</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Hoffmeister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Donald Abbey</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Laurie Hernandez</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Kolleen T. Kennedy</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William Seeger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Mr. Jain</w:t>
      </w:r>
      <w:r>
        <w:rPr>
          <w:color w:val="000000"/>
        </w:rPr>
        <w:t xml:space="preserve"> </w:t>
      </w:r>
      <w:r>
        <w:rPr>
          <w:rFonts w:ascii="Times New Roman;sans-serif" w:hAnsi="Times New Roman;sans-serif"/>
          <w:b w:val="false"/>
          <w:color w:val="000000"/>
          <w:sz w:val="20"/>
        </w:rPr>
        <w:t xml:space="preserve">joined the Company in February 2014 as Chairman of the Board and Chief Executive Officer. Mr. Jain served as CareFusion Corporation's ("CareFusion") President of Procedural Solutions from 2011 to February 2014. Mr. Jain served as President, Medical Technologies and Services of CareFusion from 2009 until 2011. Mr. Jain served as the Executive Vice-President-Strategy and Corporate Development of Cardinal Health from 2007 until 2009. Mr. Jain served as Senior Vice President, Business Development and M&amp;A for the Philips Medical Systems business of Koninklijke Philips Electronics N.V.,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electronics company from 2006 to August 2007. Mr. Jain served as an investment banker at J.P. Morgan Securities, Inc., an investment banking firm, from 1994 to 2006. Mr. Jain's last position with J.P. Morgan was as Co-Head of Global Healthcare Investment Banking from 2002 to 2006.</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0"/>
        </w:rPr>
        <w:t xml:space="preserve">Mr. Voigtlander </w:t>
      </w:r>
      <w:r>
        <w:rPr>
          <w:rFonts w:ascii="Times New Roman;sans-serif" w:hAnsi="Times New Roman;sans-serif"/>
          <w:b w:val="false"/>
          <w:color w:val="000000"/>
          <w:sz w:val="20"/>
        </w:rPr>
        <w:t xml:space="preserve">has served as our Chief Operating Officer since January 2018. From February 2017 to January 2018, Mr. Voigtlander served as the Company’s Corporate Vice President, Business Development and General Manager, Infusion Solutions. From June 2015 to February 2017, Mr. Voigtlander served as the Company’s Vice President, Business Development. Prior to May 2015, Mr. Voigtlander held various roles at CareFusion and last served as Senior Vice President, Business Development and Strategy.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Mr. Bonnell </w:t>
      </w:r>
      <w:r>
        <w:rPr>
          <w:rFonts w:ascii="Times New Roman;sans-serif" w:hAnsi="Times New Roman;sans-serif"/>
          <w:b w:val="false"/>
          <w:color w:val="000000"/>
          <w:sz w:val="20"/>
        </w:rPr>
        <w:t>has served as our Chief Financial Officer and Treasurer since March 3, 2020. From May 2018 until March 2020, Mr. Bonnell served as the Company’s Corporate Vice President, Finance. Prior to joining the Company, Mr. Bonnell served as Treasurer and Head of Financial Planning and Analysis at Alere Inc. from May 2015 until December 2017. Prior to May 2015, Mr. Bonnell held various roles at CareFusion Corporation in Finance and last served as Senior Vice President, Tax and</w:t>
      </w:r>
      <w:r>
        <w:rPr>
          <w:color w:val="000000"/>
        </w:rPr>
        <w:t xml:space="preserve"> </w:t>
      </w:r>
      <w:r>
        <w:rPr>
          <w:rFonts w:ascii="Times New Roman;sans-serif" w:hAnsi="Times New Roman;sans-serif"/>
          <w:b w:val="false"/>
          <w:color w:val="000000"/>
          <w:sz w:val="20"/>
        </w:rPr>
        <w:t>Treasurer.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Mr. Woolson </w:t>
      </w:r>
      <w:r>
        <w:rPr>
          <w:rFonts w:ascii="Times New Roman;sans-serif" w:hAnsi="Times New Roman;sans-serif"/>
          <w:b w:val="false"/>
          <w:color w:val="000000"/>
          <w:sz w:val="20"/>
        </w:rPr>
        <w:t>has served as our Corporate Vice President, General Manager - Infusion Systems since January 2017. Mr. Woolson served as President, Respiratory Solutions for Becton Dickinson from March 2015 to November 2016. Prior to March 2015, Mr. Woolson held various roles at CareFusion and last served as Vice President/General Manager, Specialty Disposables.</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0"/>
        </w:rPr>
        <w:t xml:space="preserve">Ms. Sanzone </w:t>
      </w:r>
      <w:r>
        <w:rPr>
          <w:rFonts w:ascii="Times New Roman;sans-serif" w:hAnsi="Times New Roman;sans-serif"/>
          <w:b w:val="false"/>
          <w:color w:val="000000"/>
          <w:sz w:val="20"/>
        </w:rPr>
        <w:t>has served as our Corporate Vice President, General Counsel and Secretary since January 2018.  Ms. Sanzone also serves as our Compliance Officer.  Ms. Sanzone served as the Company’s Vice President, General Counsel from August of 2015 to January 2018. Prior to August of 2015, Ms. Sanzone held various roles at CareFusion and last served as Senior Vice President, Associate General Counsel - Business Segments &amp; Americas.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Dr. George A. Lopez, M.D.</w:t>
      </w:r>
      <w:r>
        <w:rPr>
          <w:color w:val="000000"/>
        </w:rPr>
        <w:t xml:space="preserve"> </w:t>
      </w:r>
      <w:r>
        <w:rPr>
          <w:rFonts w:ascii="Times New Roman;sans-serif" w:hAnsi="Times New Roman;sans-serif"/>
          <w:b w:val="false"/>
          <w:color w:val="000000"/>
          <w:sz w:val="20"/>
        </w:rPr>
        <w:t xml:space="preserve">has been a director since 1984. He is the founder of the Company and served as Chairman of the Board, President and CEO from 1989 to October 2013, stepping down from these positions for health reasons. The Board believes Mr. Lopez should serve as a director due to his extensive experience with the Company and industry knowledge provides an invaluable insight to the Board on issues involving the Company and its goals.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0"/>
        </w:rPr>
        <w:t>Mr. David C. Greenberg</w:t>
      </w:r>
      <w:r>
        <w:rPr>
          <w:color w:val="000000"/>
        </w:rPr>
        <w:t xml:space="preserve"> </w:t>
      </w:r>
      <w:r>
        <w:rPr>
          <w:rFonts w:ascii="Times New Roman;sans-serif" w:hAnsi="Times New Roman;sans-serif"/>
          <w:b w:val="false"/>
          <w:color w:val="000000"/>
          <w:sz w:val="20"/>
        </w:rPr>
        <w:t>has been a director since 2015, serves as Lead Independent Director and Chair of the Compensation Committee and is a member of the Audit Committee. Mr. Greenberg is currently serving as Chief Executive Officer of HomeThrive, Inc. Mr. Greenberg joined HomeThrive, Inc. in October 2018. Mr. Greenberg was Executive Vice President, Strategy of Medline Industries, Inc. (“Medline”) from June 2008 to October 2018. Medline is a privately held manufacturer and distributor of medical supplies uniquely positioned to provide products, education and support across the continuum of care. In that capacity, Mr. Greenberg was a member of Medline’s Executive Board and advised top leadership/ownership on all aspects of the business. Mr. Greenberg was responsible for Strategy, Business Development and M&amp;A. Additionally, Mr. Greenberg was a Group President and had responsibility for Medline’s distribution business and several manufacturing and marketing divisions. Mr. Greenberg has served on the board of directors for Amendia, Inc., a spinal implant company. Previously, Mr. Greenberg spent thirteen years in a variety of leadership positions within Aon Corporation, including Chief Financial Officer of its Aon Global subsidiary. Mr. Greenberg previously served as a director at Potrero Medical, Inc., the latest spinout of medical device incubator Theranova, LLC. Currently Mr. Greenberg serves on the board of directors of HomeThrive, Inc. since October 2018, Canadian Hospital Specialties, a privately held medical device manufacturer and specialty distributor, since April 2021 and Access &amp; Integrated Practice Holdings, LLC a comprehensive variable access medical services platform since 2023. The Board believes Mr. Greenberg should serve as a director due to his extensive knowledge and experience in the medical industry, demonstrated executive leadership in business and insight into financial matters.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0"/>
        </w:rPr>
        <w:t>Ms. Elisha W. Finney</w:t>
      </w:r>
      <w:r>
        <w:rPr>
          <w:color w:val="000000"/>
        </w:rPr>
        <w:t xml:space="preserve"> </w:t>
      </w:r>
      <w:r>
        <w:rPr>
          <w:rFonts w:ascii="Times New Roman;sans-serif" w:hAnsi="Times New Roman;sans-serif"/>
          <w:b w:val="false"/>
          <w:color w:val="000000"/>
          <w:sz w:val="20"/>
        </w:rPr>
        <w:t xml:space="preserve">has been a director since January 2016, and serves as Chair of the Nominating and Governance Committee and is a member of the Audit Committee. Ms. Finney, now retired, was named Vice President, Finance and CFO of Varian Medical Systems in April 1999. In January 2005, she was promoted to Senior Vice President and given additional management responsibility for the Corporate Information Systems group. She was named Executive Vice President in February 2012. Varian Medical Systems is a leading manufacturer of medical devices and software for treating cancer and other medical conditions with radiotherapy, radiosurgery, proton therapy and brachytherapy. Ms. Finney managed a worldwide staff of 400. Her management responsibilities included corporate accounting; corporate communications and investor relations; internal financial and compliance audit; risk management; tax and treasury, and corporate information systems. Ms. Finney joined Varian as risk manager in 1988 and has assumed a wide variety of finance functions over her last 29 years with the company. Prior to joining Varian, Ms. Finney was with the Fox Group in Foster City, CA, and Beatrice Foods, a major food processing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in Chicago, IL. Ms. Finney has served on the boards of: NanoString Technologies, a company that specializes in development of cancer diagnostics tools, since May 2017; Mettler Toledo, a multinational manufacturer of scales and analytical instruments, since November 2017; and Viatris, a global pharmaceutical and healthcare corporation, since December 2022. Ms. Finney previously served on the boards of directors of: Laserscope from August 2005 until July 2006 when Laserscope was sold to American Medical Systems; Thoratec, a developer, manufacturer and marketer of proprietary medical devices for mechanical circulatory support from July 2007 to May 2013; Altera Corporation, a manufacturer of programmable logic devices from September 2011 until December 2015, when Altera was sold to Intel; Cutera, Inc. a global provider of laser and other energy-based aesthetic systems, from November 2017 to May 2019; and iRobot Corporation, a robotics technology company, from January 2017 to November 2021. The Board believes Ms. Finney should serve as a director due to her extensive knowledge and experience in the medical industry and her financial knowledge and experience, particularly with respect to her service on the Audit Committee.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0"/>
        </w:rPr>
        <w:t>Mr. David F. Hoffmeister</w:t>
      </w:r>
      <w:r>
        <w:rPr>
          <w:color w:val="000000"/>
        </w:rPr>
        <w:t xml:space="preserve"> </w:t>
      </w:r>
      <w:r>
        <w:rPr>
          <w:rFonts w:ascii="Times New Roman;sans-serif" w:hAnsi="Times New Roman;sans-serif"/>
          <w:b w:val="false"/>
          <w:color w:val="000000"/>
          <w:sz w:val="20"/>
        </w:rPr>
        <w:t>has been director since January 2018 and serves as Chair of the Audit Committee and a member of the Compensation Committee. Mr. Hoffmeister served as Senior Vice President and Chief Financial Officer of Life Technologies Corp. from 2004 to 2014. Prior to joining Life Technologies, Mr. Hoffmeister was a senior partner with McKinsey &amp; Co., focusing on health care, private equity and chemicals industries. Before joining McKinsey, Mr. Hoffmeister held financial positions at GTE Corp. and W.R. Grace and Co. Mr. Hoffmeister currently serves on the boards of Kaiser Foundation Health Plan, Inc. and Kaiser Foundation Hospitals and has since November of 2014. Mr. Hoffmeister currently serves on the Board of Directors of Glaukos Corp. and has since 2014; Celanese Corp., since 2005; and Stepstone Group, Inc. since 2020. Mr. Hoffmeister received a bachelor’s of science degree from University of Minnesota and a M.B.A. from University of Chicago. The Board believes Mr. Hoffmeister should serve as a director due to his strong finance background and extensive experience as a chief financial officer of a global biotechnology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0"/>
        </w:rPr>
        <w:t>Mr. Donald M. Abbey</w:t>
      </w:r>
      <w:r>
        <w:rPr>
          <w:color w:val="000000"/>
        </w:rPr>
        <w:t xml:space="preserve"> </w:t>
      </w:r>
      <w:r>
        <w:rPr>
          <w:rFonts w:ascii="Times New Roman;sans-serif" w:hAnsi="Times New Roman;sans-serif"/>
          <w:b w:val="false"/>
          <w:color w:val="000000"/>
          <w:sz w:val="20"/>
        </w:rPr>
        <w:t>has been a director since January 2018 and is a member of the Nominating Governance Committee and the Compensation Committee. Mr. Abbey is currently serving as Executive Vice President, Global Business Services, IT, Quality and Regulatory Affairs at Dexcom, Inc. (“Dexcom”). Mr. Abbey joined Dexcom in May of 2016. Prior to joining Dexcom, Mr. Abbey was with Becton Dickinson (who acquired CareFusion Corporation in 2015 and which was spun out of Cardinal Health in 2009 (collectively, “BD”) from 2007. Mr. Abbey served in many roles over his years at BD including most recently as the Senior Vice President, Quality and Regulatory. Prior to his time at BD, Mr. Abbey held senior quality and regulatory affairs and general management positions with Respironics, Welch Allyn and Philips Healthcare. Mr. Abbey began his career at Varian Medical and Boston Scientific holding positions with increasing responsibility in research and development and quality. Mr. Abbey received a B.S.E.E from Washington State University and a M.B.A from University of Washington.</w:t>
      </w:r>
      <w:r>
        <w:rPr>
          <w:color w:val="000000"/>
        </w:rPr>
        <w:t xml:space="preserve"> </w:t>
      </w:r>
      <w:r>
        <w:rPr>
          <w:rFonts w:ascii="Times New Roman;sans-serif" w:hAnsi="Times New Roman;sans-serif"/>
          <w:b w:val="false"/>
          <w:color w:val="000000"/>
          <w:sz w:val="20"/>
        </w:rPr>
        <w:t xml:space="preserve">The Board believes Mr. Abbey should serve as a director due to his extensive knowledge and experience in the medical industry and particularly, his knowledge of compliance and regulatory requirements.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Ms. Laurie Hernandez</w:t>
      </w:r>
      <w:r>
        <w:rPr>
          <w:color w:val="000000"/>
        </w:rPr>
        <w:t xml:space="preserve"> </w:t>
      </w:r>
      <w:r>
        <w:rPr>
          <w:rFonts w:ascii="Times New Roman;sans-serif" w:hAnsi="Times New Roman;sans-serif"/>
          <w:b w:val="false"/>
          <w:color w:val="000000"/>
          <w:sz w:val="20"/>
        </w:rPr>
        <w:t xml:space="preserve">has been a director since July 2021 and is a member of the Nominating and Governance Committee. Ms. Hernandez is a retired healthcare executive with over 25 years of strategic healthcare experience. Ms. Hernandez joined Baxter Healthcare Corporation (“Baxter”) in November of 2007 and has assumed a wide variety of strategic positions over her 10 years with that company. Prior to joining Baxter, Ms. Hernandez was with Hospira Inc. in Lake Forest, Illinois. Ms. Hernandez previously served on the boards of Sinai Health System in Chicago, Illinois and Lambs Farm in Libertyville, Illinois. The Board believes Ms. Hernandez should serve as a director due to her extensive experience in the medical industry. </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Ms. Kolleen T. Kennedy</w:t>
      </w:r>
      <w:r>
        <w:rPr>
          <w:color w:val="000000"/>
        </w:rPr>
        <w:t xml:space="preserve"> </w:t>
      </w:r>
      <w:r>
        <w:rPr>
          <w:rFonts w:ascii="Times New Roman;sans-serif" w:hAnsi="Times New Roman;sans-serif"/>
          <w:b w:val="false"/>
          <w:color w:val="000000"/>
          <w:sz w:val="20"/>
        </w:rPr>
        <w:t xml:space="preserve">has been a director since December 2021 and recently retired as President, Proton Solutions &amp; Chief Growth Officer at Varian Medical Systems (“Varian”) in December 2021. Ms. Kennedy joined Varian in 1997 as Marketing Manager for radiation therapy delivery systems, and assumed other strategic roles over 24 years including Executive Vice President of Varian Oncology Systems, the market leading radiation therapy business division with nearly 7,000 employees worldwide. Prior to joining Varian, Ms. Kennedy was with Siemens Medical Systems and Radiation Oncology Computer Systems in oncology product sales and marketing. Ms. Kennedy received BS degrees in Radiation Oncology and Psychology from Wayne State University as well as an MS degree in Medical Physics from the University of Colorado. Ms. Kennedy currently serves on the boards of IPG Photonics since 2023 and Wayne State University Foundation since 2018, served on the board of the City Cancer Challenge Foundation from 2018 to 2022, and served on the board of the Radiation Oncology Institute from 2018 to 2021. The Board believes Ms. Kennedy should serve as a director due to her relevant knowledge and history in the medical industry. </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Mr. William Seeger</w:t>
      </w:r>
      <w:r>
        <w:rPr>
          <w:color w:val="000000"/>
        </w:rPr>
        <w:t xml:space="preserve"> </w:t>
      </w:r>
      <w:r>
        <w:rPr>
          <w:rFonts w:ascii="Times New Roman;sans-serif" w:hAnsi="Times New Roman;sans-serif"/>
          <w:b w:val="false"/>
          <w:color w:val="000000"/>
          <w:sz w:val="20"/>
        </w:rPr>
        <w:t xml:space="preserve">has been a director since February 2022. Mr Seeger, now retired, joined GKN plc, a global engineering group, in 2003 and was Group Finance Director until his retirement in 2014. At GKN plc he also held the roles of CEO of the Propulsion Systems Division, and CFO of the Aerospace Division. Earlier in his career Mr. Seeger spent 30 years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TRW, a U.S.-based automotive and aerospace group, where he held various senior finance positions. Mr. Seeger currently serves on the board of Spectris plc since 2015, Smiths Group PLC since 2014 and served on the board of GKN plc from 2007 to 2014. As mentioned above, in connection with the Company's issuance of stock consideration for the acquisition of Smiths, the Company and Smiths Group entered into a Shareholder's Agreement which gives Smiths Group the right to designate one individual for election to the Board so long as Smiths Group beneficially owns at least 5% of the total outstanding shares of the Company stock. Mr. Seeger is Smiths Group’s designated director.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Corporate Governance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Code of Business Conduct and Ethics applicable to all our directors, officers, and other employees, including our principal executive officer, principal financial officer, principal accounting officer or controller, or persons performing similar functions. A copy is available on our website, www.icumed.com in the "Investors" section. We intend to satisfy the disclosure requirement under Item 5.05 of Form 8-K regarding any future amendments to, or waiver from, a provision of our Code of Business Conduct and Ethics, as well as Nasdaq's requirement to disclose waivers with respect to directors and executive officers, by posting such information on our website at the address and location specified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Additional information as required by this Item 10 of Form 10-K will be set forth under the captions </w:t>
      </w:r>
      <w:r>
        <w:rPr>
          <w:rFonts w:ascii="Times New Roman;sans-serif" w:hAnsi="Times New Roman;sans-serif"/>
          <w:b w:val="false"/>
          <w:i/>
          <w:color w:val="000000"/>
          <w:sz w:val="20"/>
        </w:rPr>
        <w:t>Executive Officers, Election of Directors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Audit Committee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Compliance with Section 16(a) Beneficial Ownership Reporting Compliance</w:t>
      </w:r>
      <w:r>
        <w:rPr>
          <w:color w:val="000000"/>
        </w:rPr>
        <w:t xml:space="preserve"> </w:t>
      </w:r>
      <w:r>
        <w:rPr>
          <w:rFonts w:ascii="Times New Roman;sans-serif" w:hAnsi="Times New Roman;sans-serif"/>
          <w:b w:val="false"/>
          <w:color w:val="000000"/>
          <w:sz w:val="20"/>
        </w:rPr>
        <w:t xml:space="preserve">in our definitive Proxy Statement to be filed in connection with our 2024 Annual Meeting of Stockholders, and such information is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required by this Item 11 of Form 10-K will be set forth under the caption </w:t>
      </w:r>
      <w:r>
        <w:rPr>
          <w:rFonts w:ascii="Times New Roman;sans-serif" w:hAnsi="Times New Roman;sans-serif"/>
          <w:b w:val="false"/>
          <w:i/>
          <w:color w:val="000000"/>
          <w:sz w:val="20"/>
        </w:rPr>
        <w:t>Executive Officer and Director Compensation</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Compensation Committee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Compensation Committee Interlocks and Insider Participation</w:t>
      </w:r>
      <w:r>
        <w:rPr>
          <w:color w:val="000000"/>
        </w:rPr>
        <w:t xml:space="preserve"> </w:t>
      </w:r>
      <w:r>
        <w:rPr>
          <w:rFonts w:ascii="Times New Roman;sans-serif" w:hAnsi="Times New Roman;sans-serif"/>
          <w:b w:val="false"/>
          <w:color w:val="000000"/>
          <w:sz w:val="20"/>
        </w:rPr>
        <w:t>in our definitive Proxy Statement to be filed in connection with our 2024 Annual Meeting of Stockholders, and such information is incorporated herein by reference.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required by this Item 12 of Form 10-K will be set forth under the caption </w:t>
      </w:r>
      <w:r>
        <w:rPr>
          <w:rFonts w:ascii="Times New Roman;sans-serif" w:hAnsi="Times New Roman;sans-serif"/>
          <w:b w:val="false"/>
          <w:i/>
          <w:color w:val="000000"/>
          <w:sz w:val="20"/>
        </w:rPr>
        <w:t>Security Ownership of Certain Beneficial Owners and Management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Equity Compensation Plan Information </w:t>
      </w:r>
      <w:r>
        <w:rPr>
          <w:rFonts w:ascii="Times New Roman;sans-serif" w:hAnsi="Times New Roman;sans-serif"/>
          <w:b w:val="false"/>
          <w:color w:val="000000"/>
          <w:sz w:val="20"/>
        </w:rPr>
        <w:t>in our definitive Proxy Statement to be filed in connection with our 2024 Annual Meeting of Stockholders, and such information is incorporated herein by reference.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required by this Item 13 of Form 10-K will be set forth under the caption </w:t>
      </w:r>
      <w:r>
        <w:rPr>
          <w:rFonts w:ascii="Times New Roman;sans-serif" w:hAnsi="Times New Roman;sans-serif"/>
          <w:b w:val="false"/>
          <w:i/>
          <w:color w:val="000000"/>
          <w:sz w:val="20"/>
        </w:rPr>
        <w:t>Transactions with Related Persons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Policies and Procedures Regarding Transactions with Related Persons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Director Independence</w:t>
      </w:r>
      <w:r>
        <w:rPr>
          <w:color w:val="000000"/>
        </w:rPr>
        <w:t xml:space="preserve"> </w:t>
      </w:r>
      <w:r>
        <w:rPr>
          <w:rFonts w:ascii="Times New Roman;sans-serif" w:hAnsi="Times New Roman;sans-serif"/>
          <w:b w:val="false"/>
          <w:color w:val="000000"/>
          <w:sz w:val="20"/>
        </w:rPr>
        <w:t>in our definitive Proxy Statement to be filed in connection with our 2024 Annual Meeting of Stockholders, and such information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information about aggregate fees billed to us by our principal accountant, Deloitte &amp; Touche LLP (PCAOB No. 34) as required by this Item 14 of Form 10-K will be set forth under the caption </w:t>
      </w:r>
      <w:r>
        <w:rPr>
          <w:rFonts w:ascii="Times New Roman;sans-serif" w:hAnsi="Times New Roman;sans-serif"/>
          <w:b w:val="false"/>
          <w:i/>
          <w:color w:val="000000"/>
          <w:sz w:val="20"/>
        </w:rPr>
        <w:t>Ratification of Auditors</w:t>
      </w:r>
      <w:r>
        <w:rPr>
          <w:color w:val="000000"/>
        </w:rPr>
        <w:t xml:space="preserve"> </w:t>
      </w:r>
      <w:r>
        <w:rPr>
          <w:rFonts w:ascii="Times New Roman;sans-serif" w:hAnsi="Times New Roman;sans-serif"/>
          <w:b w:val="false"/>
          <w:color w:val="000000"/>
          <w:sz w:val="20"/>
        </w:rPr>
        <w:t>in our definitive Proxy Statement to be filed in connection with our 2024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63"/>
        <w:gridCol w:w="2683"/>
        <w:gridCol w:w="2692"/>
        <w:gridCol w:w="109"/>
        <w:gridCol w:w="109"/>
        <w:gridCol w:w="109"/>
        <w:gridCol w:w="406"/>
        <w:gridCol w:w="406"/>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 10-K Page 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See Index to Consolidated Financial Statements in Part II, Item 8 of this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52">
              <w:r>
                <w:rPr>
                  <w:rStyle w:val="InternetLink"/>
                  <w:rFonts w:ascii="Times New Roman;sans-serif" w:hAnsi="Times New Roman;sans-serif"/>
                  <w:b w:val="false"/>
                  <w:strike w:val="false"/>
                  <w:dstrike w:val="false"/>
                  <w:color w:val="000000"/>
                  <w:sz w:val="20"/>
                  <w:u w:val="none"/>
                  <w:effect w:val="none"/>
                </w:rPr>
                <w:t>58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72">
              <w:r>
                <w:rPr>
                  <w:rStyle w:val="InternetLink"/>
                  <w:rFonts w:ascii="Times New Roman;sans-serif" w:hAnsi="Times New Roman;sans-serif"/>
                  <w:b w:val="false"/>
                  <w:strike w:val="false"/>
                  <w:dstrike w:val="false"/>
                  <w:color w:val="000000"/>
                  <w:sz w:val="20"/>
                  <w:u w:val="none"/>
                  <w:effect w:val="none"/>
                </w:rPr>
                <w:t>Exhibits</w:t>
              </w:r>
            </w:hyperlink>
            <w:r>
              <w:rPr>
                <w:rFonts w:ascii="Times New Roman;sans-serif" w:hAnsi="Times New Roman;sans-serif"/>
                <w:b w:val="false"/>
                <w:color w:val="000000"/>
                <w:sz w:val="20"/>
              </w:rPr>
              <w:t>. The exhibits listed in the accompanying Exhibit Index are filed or incorporated by reference as part of this 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172">
              <w:r>
                <w:rPr>
                  <w:rStyle w:val="InternetLink"/>
                  <w:rFonts w:ascii="Times New Roman;sans-serif" w:hAnsi="Times New Roman;sans-serif"/>
                  <w:b w:val="false"/>
                  <w:strike w:val="false"/>
                  <w:dstrike w:val="false"/>
                  <w:color w:val="000000"/>
                  <w:sz w:val="20"/>
                  <w:u w:val="none"/>
                  <w:effect w:val="none"/>
                </w:rPr>
                <w:t>117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The Financial Statement Schedules required to be filed as a part of this Report 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67aa308e554ece8927496a6557c9ae_175">
              <w:r>
                <w:rPr>
                  <w:rStyle w:val="InternetLink"/>
                  <w:rFonts w:ascii="Times New Roman;sans-serif" w:hAnsi="Times New Roman;sans-serif"/>
                  <w:b w:val="false"/>
                  <w:strike w:val="false"/>
                  <w:dstrike w:val="false"/>
                  <w:color w:val="000000"/>
                  <w:sz w:val="20"/>
                  <w:u w:val="none"/>
                  <w:effect w:val="none"/>
                </w:rPr>
                <w:t>Schedule II — Valuation and Qualifying Accounts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67aa308e554ece8927496a6557c9ae_175">
              <w:r>
                <w:rPr>
                  <w:rStyle w:val="InternetLink"/>
                  <w:rFonts w:ascii="Times New Roman;sans-serif" w:hAnsi="Times New Roman;sans-serif"/>
                  <w:b w:val="false"/>
                  <w:strike w:val="false"/>
                  <w:dstrike w:val="false"/>
                  <w:color w:val="000000"/>
                  <w:sz w:val="20"/>
                  <w:u w:val="none"/>
                  <w:effect w:val="none"/>
                </w:rPr>
                <w:t>119</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899"/>
        <w:gridCol w:w="2471"/>
        <w:gridCol w:w="351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ans-serif" w:hAnsi="Times New Roman;sans-serif"/>
                  <w:b w:val="false"/>
                  <w:color w:val="00000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Sale and Purchase Agreement, dated September 8, 2021, by and between Smiths Group International Holdings Limited, a private limited company incorporated in England and Wales, and ICU Medical, Inc., a Delaware corporation. Filed as an Exhibit to Registrant's Current Report on Form 8-K filed on September 8, 2021 (File No. 001-34634).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ans-serif" w:hAnsi="Times New Roman;sans-serif"/>
                  <w:b w:val="false"/>
                  <w:color w:val="000000"/>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Deed from ICU Medical, Inc., a Delaware corporation to Smiths Group International Holdings Limited, a private limited company incorporated in England and Wales. Filed as an Exhibit to Registrant's Current Report on Form 8-K filed on September 8, 2021 (File No. 001-34634).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ans-serif" w:hAnsi="Times New Roman;sans-serif"/>
                  <w:b w:val="false"/>
                  <w:color w:val="000000"/>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Certificate of Incorporation, as amended and restated. Filed as an Exhibit to Registrant's Current Report on Form 8-K filed on June 10, 2014 (File No. 001-34634).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ans-serif" w:hAnsi="Times New Roman;sans-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Bylaws, as amended and restated. Filed as an Exhibit to Registrant's Current Report on Form 8-K filed on November 3, 2023 (File No. 001-34634).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ans-serif" w:hAnsi="Times New Roman;sans-serif"/>
                  <w:b w:val="false"/>
                  <w:color w:val="000000"/>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Exchange Act. Filed as an Exhibit to Registrant's Annual Report on Form 10-K for the year ended December 31, 2019, filed on March 2, 3020 (File No. 001-34634).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Times New Roman;sans-serif" w:hAnsi="Times New Roman;sans-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with Directors and Executive Officers. Filed as an Exhibit to Registrant's Quarterly Report on Form 10-Q for the Quarter ended September 30, 2010, filed on October 22, 2010 (File No. 001-34634).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2002 Employee Stock Purchase Plan.* Filed as an Exhibit to Registrant's definitive Proxy Statement filed pursuant to Regulation 14A on April 3, 2002 (File No. 000-19974).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3executiveofficer.htm">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officer compensation*</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104non-employeedire.htm">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 compensation*</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2008 Performance-Based Incentive Plan, as amended.* Filed as Annex A to Registrant's proxy statement filed April 3, 2013 (File No. 001-34634).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ICU Medical, Inc. 2011 Stock Incentive Plan.* Filed as an Exhibit to Registrant's Quarterly Report on Form 10-Q for the Quarter ended March 31, 2018 (File No. 001-34634).</w:t>
              <w:br/>
              <w:t> </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ICU Medical, Inc. Amended and Restated 2011 Stock Incentive Plan. Filed as an Exhibit to Registrant's Annual Report on Form 10-K for the year ended December 31, 2019, filed on March 2, 2020 (File No.001-34634).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3013"/>
        <w:gridCol w:w="2598"/>
        <w:gridCol w:w="368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ICU Medical, Inc. Amended and Restated 2011 Stock Incentive Plan. Filed as an Exhibit to Registrant's Current Report on Form 8-K filed on May 22, 2023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Executive Employment Agreement, dated as of April 15, 2022, by and between ICU Medical, Inc. and Vivek Jain.* Filed as an Exhibit to Registrant's Current Report on Form 8-K filed on April 20, 2022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between the Registrant and Alison Burcar, effective April 1, 2019.* Filed as an Exhibit to Registrant's Quarterly Report on Form 10-Q for the Quarter ended March 31, 2019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 Executive Severance Plan.* Filed as an Exhibit to Registrant’s Current Report on Form 8-K filed on January 6, 2017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Times New Roman;sans-serif" w:hAnsi="Times New Roman;sans-serif"/>
                  <w:b w:val="false"/>
                  <w:color w:val="000000"/>
                  <w:sz w:val="20"/>
                  <w:u w:val="single"/>
                </w:rPr>
                <w:t>10.1</w:t>
              </w:r>
            </w:hyperlink>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ICU Medical, Inc. Executive Severance Plan. *Filed as an Exhibit to Registrant's Current Report on Form 8-K filed on January 6, 2020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Times New Roman;sans-serif" w:hAnsi="Times New Roman;sans-serif"/>
                  <w:b w:val="false"/>
                  <w:color w:val="000000"/>
                  <w:sz w:val="20"/>
                  <w:u w:val="single"/>
                </w:rPr>
                <w:t>10.1</w:t>
              </w:r>
            </w:hyperlink>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the ICU Medical, Inc. Executive Severance Plan. *Filed as an Exhibit to Registrant's Current Report on Form 8-K filed on January 3, 2023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January 6, 2022, by and among ICU Medical, Inc. as Borrower, certain subsidiaries as guarantors, Wells Fargo Bank, National Association, as Administrative Agent, Wells Fargo Securities, LLC and Barclays Bank PLC as joint bookrunners and joint lead arrangers and the other joint bookrunners and joint lead arrangers listed therein.# Filed as an Exhibit to Registrant's Current Report on Form 8-K filed January 7, 2022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Times New Roman;sans-serif" w:hAnsi="Times New Roman;sans-serif"/>
                  <w:b w:val="false"/>
                  <w:color w:val="000000"/>
                  <w:sz w:val="20"/>
                  <w:u w:val="single"/>
                </w:rPr>
                <w:t>10</w:t>
              </w:r>
            </w:hyperlink>
            <w:r>
              <w:rPr>
                <w:rFonts w:ascii="Times New Roman;sans-serif" w:hAnsi="Times New Roman;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Agreement, dated as of January 6, 2022, by and between ICU Medical, Inc. and Smiths Group International Holdings Limited. Filed as an Exhibit to Registrant's Current Report on Form 8-K filed on January 7, 2022 (File No. 001-34634).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1subsidiariesofreg.htm">
              <w:r>
                <w:rPr>
                  <w:rStyle w:val="InternetLink"/>
                  <w:rFonts w:ascii="Times New Roman;sans-serif" w:hAnsi="Times New Roman;sans-serif"/>
                  <w:b w:val="false"/>
                  <w:color w:val="00000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Registrant.</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31consentofdeloitt.htm">
              <w:r>
                <w:rPr>
                  <w:rStyle w:val="InternetLink"/>
                  <w:rFonts w:ascii="Times New Roman;sans-serif" w:hAnsi="Times New Roman;sans-serif"/>
                  <w:b w:val="false"/>
                  <w:color w:val="000000"/>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Deloitte &amp; Touche LLP</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1123123.htm">
              <w:r>
                <w:rPr>
                  <w:rStyle w:val="InternetLink"/>
                  <w:rFonts w:ascii="Times New Roman;sans-serif" w:hAnsi="Times New Roman;sans-serif"/>
                  <w:b w:val="false"/>
                  <w:color w:val="000000"/>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12123123.htm">
              <w:r>
                <w:rPr>
                  <w:rStyle w:val="InternetLink"/>
                  <w:rFonts w:ascii="Times New Roman;sans-serif" w:hAnsi="Times New Roman;sans-serif"/>
                  <w:b w:val="false"/>
                  <w:color w:val="000000"/>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32123123.htm">
              <w:r>
                <w:rPr>
                  <w:rStyle w:val="InternetLink"/>
                  <w:rFonts w:ascii="Times New Roman;sans-serif" w:hAnsi="Times New Roman;sans-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of Chief Executive Officer and Chief Financial Officer pursuant to Section 906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971clawbackpolicy.htm">
              <w:r>
                <w:rPr>
                  <w:rStyle w:val="InternetLink"/>
                  <w:rFonts w:ascii="Times New Roman;sans-serif" w:hAnsi="Times New Roman;sans-serif"/>
                  <w:b w:val="false"/>
                  <w:color w:val="000000"/>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Policy Relating to Recovery of Erroneously Awarded Compensation</w:t>
            </w:r>
          </w:p>
        </w:tc>
      </w:tr>
    </w:tbl>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1"/>
        <w:gridCol w:w="423"/>
        <w:gridCol w:w="424"/>
        <w:gridCol w:w="109"/>
        <w:gridCol w:w="109"/>
        <w:gridCol w:w="109"/>
        <w:gridCol w:w="2523"/>
        <w:gridCol w:w="2488"/>
        <w:gridCol w:w="3539"/>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(Extensible Business Reporting Language) tags are embedded within the Inline XBRL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 plan or other arrangement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Annexes, schedules and exhibits have been omitted pursuant to Item 601(a)(5)(b)(2) of Regulation S-K. The Registrant hereby agrees to furnish supplementally a copy of any omitted annex, schedule or exhibit to the SEC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ICU MEDICAL,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VALUATION AND QUALIFYING ACCOUNTS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44"/>
        <w:gridCol w:w="470"/>
        <w:gridCol w:w="127"/>
        <w:gridCol w:w="109"/>
        <w:gridCol w:w="109"/>
        <w:gridCol w:w="109"/>
        <w:gridCol w:w="211"/>
        <w:gridCol w:w="721"/>
        <w:gridCol w:w="155"/>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thousands)</w:t>
              <w:b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Costs and</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w:t>
              <w:br/>
              <w:t>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Write-off/</w:t>
              <w:br/>
              <w:t>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w:t>
              <w:br/>
              <w:t>of Period</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ended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and return reserve -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and return reserve -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Warranty and return reserve - accounts receivable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Warranty and return reserve - inventory/accrued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 the 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and return reserve -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Warranty and return reserve - inventory/accrued</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w:t>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an acquired balance of $3.8 million related to the Smiths Medical acquisition.</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an acquired balance of $55.2 million in short-term and long-term accrued warranty reserve related to the Smiths Medical acquisition.</w:t>
      </w:r>
    </w:p>
    <w:p>
      <w:pPr>
        <w:pStyle w:val="TextBody"/>
        <w:bidi w:val="0"/>
        <w:spacing w:lineRule="auto" w:line="288" w:before="0" w:after="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Additional charges to expense were primarily related to additional field corrective actions identified and initiated during the period related to the Smiths Medical business FDA warning letter (See Note: 15 Commitments and Contingencies in our accompanying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4853" w:type="dxa"/>
        <w:jc w:val="left"/>
        <w:tblInd w:w="0" w:type="dxa"/>
        <w:tblLayout w:type="fixed"/>
        <w:tblCellMar>
          <w:top w:w="28" w:type="dxa"/>
          <w:left w:w="28" w:type="dxa"/>
          <w:bottom w:w="28" w:type="dxa"/>
          <w:right w:w="28" w:type="dxa"/>
        </w:tblCellMar>
      </w:tblPr>
      <w:tblGrid>
        <w:gridCol w:w="124"/>
        <w:gridCol w:w="109"/>
        <w:gridCol w:w="109"/>
        <w:gridCol w:w="259"/>
        <w:gridCol w:w="259"/>
        <w:gridCol w:w="259"/>
        <w:gridCol w:w="1090"/>
        <w:gridCol w:w="1090"/>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By:</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Vivek Jain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Vivek Jain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Chairman of the Board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Dated:</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pPr>
      <w:r>
        <w:rPr>
          <w:rFonts w:ascii="Times New Roman;sans-serif" w:hAnsi="Times New Roman;sans-serif"/>
          <w:b/>
          <w:color w:val="000000"/>
          <w:sz w:val="20"/>
        </w:rPr>
        <w:t>SIGNATURES</w:t>
      </w: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Registrant and in the capacities and on the dates indicated.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tbl>
      <w:tblPr>
        <w:tblW w:w="8483" w:type="dxa"/>
        <w:jc w:val="left"/>
        <w:tblInd w:w="0" w:type="dxa"/>
        <w:tblLayout w:type="fixed"/>
        <w:tblCellMar>
          <w:top w:w="28" w:type="dxa"/>
          <w:left w:w="28" w:type="dxa"/>
          <w:bottom w:w="28" w:type="dxa"/>
          <w:right w:w="28" w:type="dxa"/>
        </w:tblCellMar>
      </w:tblPr>
      <w:tblGrid>
        <w:gridCol w:w="712"/>
        <w:gridCol w:w="625"/>
        <w:gridCol w:w="628"/>
        <w:gridCol w:w="109"/>
        <w:gridCol w:w="109"/>
        <w:gridCol w:w="109"/>
        <w:gridCol w:w="1461"/>
        <w:gridCol w:w="1461"/>
        <w:gridCol w:w="1487"/>
        <w:gridCol w:w="109"/>
        <w:gridCol w:w="109"/>
        <w:gridCol w:w="109"/>
        <w:gridCol w:w="425"/>
        <w:gridCol w:w="425"/>
        <w:gridCol w:w="605"/>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Vivek Jain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Chairman of the Board 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Vivek Jain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Brian M. Bonnell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Brian M. Bonnell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George A. Lopez, M.D.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George A. Lopez, M.D.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David C. Greenberg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C. Greenberg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Elisha W.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Elisha W.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David F. Hoffmeister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F. Hoffmeister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Donald M.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Donald M.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Laurie Hernandez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Laurie Hernandez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Kolleen T.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Kolleen T.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William Seeger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William Seeger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 Compensation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annual base salaries for our executive officers are as follows:</w:t>
      </w:r>
    </w:p>
    <w:tbl>
      <w:tblPr>
        <w:tblW w:w="9207" w:type="dxa"/>
        <w:jc w:val="center"/>
        <w:tblInd w:w="0" w:type="dxa"/>
        <w:tblLayout w:type="fixed"/>
        <w:tblCellMar>
          <w:top w:w="28" w:type="dxa"/>
          <w:left w:w="28" w:type="dxa"/>
          <w:bottom w:w="28" w:type="dxa"/>
          <w:right w:w="28" w:type="dxa"/>
        </w:tblCellMar>
      </w:tblPr>
      <w:tblGrid>
        <w:gridCol w:w="684"/>
        <w:gridCol w:w="598"/>
        <w:gridCol w:w="608"/>
        <w:gridCol w:w="109"/>
        <w:gridCol w:w="109"/>
        <w:gridCol w:w="109"/>
        <w:gridCol w:w="1708"/>
        <w:gridCol w:w="1708"/>
        <w:gridCol w:w="1729"/>
        <w:gridCol w:w="109"/>
        <w:gridCol w:w="109"/>
        <w:gridCol w:w="109"/>
        <w:gridCol w:w="211"/>
        <w:gridCol w:w="826"/>
        <w:gridCol w:w="109"/>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 Voigtlander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Woolson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General Manager - Infusion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Sanzone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Vice President,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10.4</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Non-Employee Director Compensation</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pay our non-employee directors the following:</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 xml:space="preserve">annual retainer of $98,500 for the Lead Director </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annual retainer of $102,000 for the Chairperson of the Audit Committee</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annual retainer of $92,500 for the Chairperson of the Compensation Committee</w:t>
      </w:r>
    </w:p>
    <w:p>
      <w:pPr>
        <w:pStyle w:val="TextBody"/>
        <w:bidi w:val="0"/>
        <w:spacing w:lineRule="auto" w:line="288" w:before="0" w:after="0"/>
        <w:ind w:left="0" w:right="0" w:firstLine="720"/>
        <w:jc w:val="left"/>
        <w:rPr/>
      </w:pPr>
      <w:r>
        <w:rPr>
          <w:color w:val="000000"/>
        </w:rPr>
        <w:t>•</w:t>
      </w:r>
      <w:r>
        <w:rPr>
          <w:rFonts w:ascii="Times New Roman;sans-serif" w:hAnsi="Times New Roman;sans-serif"/>
          <w:b w:val="false"/>
          <w:color w:val="000000"/>
          <w:sz w:val="20"/>
        </w:rPr>
        <w:t>annual retainer of $85,000 for the Chairperson of the Nominating and Governance Committee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equity component of the director's compensation is valued at $180,000 consisting of restricted stock units. The restricted stock units vest one year from the grant 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Subsidiaries of Registrant</w:t>
      </w:r>
    </w:p>
    <w:tbl>
      <w:tblPr>
        <w:tblW w:w="7211" w:type="dxa"/>
        <w:jc w:val="center"/>
        <w:tblInd w:w="0" w:type="dxa"/>
        <w:tblLayout w:type="fixed"/>
        <w:tblCellMar>
          <w:top w:w="28" w:type="dxa"/>
          <w:left w:w="28" w:type="dxa"/>
          <w:bottom w:w="28" w:type="dxa"/>
          <w:right w:w="28" w:type="dxa"/>
        </w:tblCellMar>
      </w:tblPr>
      <w:tblGrid>
        <w:gridCol w:w="1530"/>
        <w:gridCol w:w="1340"/>
        <w:gridCol w:w="1360"/>
        <w:gridCol w:w="109"/>
        <w:gridCol w:w="109"/>
        <w:gridCol w:w="109"/>
        <w:gridCol w:w="777"/>
        <w:gridCol w:w="777"/>
        <w:gridCol w:w="1100"/>
      </w:tblGrid>
      <w:tr>
        <w:trPr/>
        <w:tc>
          <w:tcPr>
            <w:tcW w:w="153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Country of Incorporation</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 Holding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Excelsior Medical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Tangent Medical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Sales,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de Mexico, S. de R. 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Mexico</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Bidco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World,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ASD,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Izoard Sub.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Medex Cardio-Pulmonary,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Ohio</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Canada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Bahamas,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Bahamas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Netherlands</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Costa Rica,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Bahamas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SA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Africa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Australia Holdings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Medima s.p. z.o.o.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Poland</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Latam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Canada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Hong Kong</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Philippines,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Philippines</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Europe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Italy</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Germany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Germany</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Aust MLA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Italia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Italy</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France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France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Medical Australia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Argentina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Argentina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Chile Limitada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Chile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Colombia Limitada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Colombia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HIS Mexico S. de R.L.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Mexico</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Peru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Peru</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India LLP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UK Medical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Productos Farmacéuticos y Hospitalarios,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Spain</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Unlimited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Australia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Medivet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2020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ICU Medical Group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Group Deutschland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Germany</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Deutschland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Germany</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Do Brasil Produtos Hospitalares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Brazil</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Graseby Medical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47" w:type="dxa"/>
        <w:jc w:val="center"/>
        <w:tblInd w:w="0" w:type="dxa"/>
        <w:tblLayout w:type="fixed"/>
        <w:tblCellMar>
          <w:top w:w="28" w:type="dxa"/>
          <w:left w:w="28" w:type="dxa"/>
          <w:bottom w:w="28" w:type="dxa"/>
          <w:right w:w="28" w:type="dxa"/>
        </w:tblCellMar>
      </w:tblPr>
      <w:tblGrid>
        <w:gridCol w:w="1412"/>
        <w:gridCol w:w="1242"/>
        <w:gridCol w:w="1246"/>
        <w:gridCol w:w="109"/>
        <w:gridCol w:w="109"/>
        <w:gridCol w:w="109"/>
        <w:gridCol w:w="385"/>
        <w:gridCol w:w="385"/>
        <w:gridCol w:w="550"/>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(Portugal) Unipessoal Limitada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Portugal</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Espana S.L.U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Spain</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Schweiz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Switzerland</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Czech Republic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Czech Republic</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China</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France 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France</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Italia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Italy</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Danmark 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Denmark</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Osterreich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Austria</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Sverige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Sweden</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Nederland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Netherlands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Belgium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Belgium</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 Overseas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Healthcare Manufacturing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Mexico</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Japan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Japan</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Australasia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International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Graseby Medical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Hong Kong</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Graseby Medical Instrument (Zhejiang)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China</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Singapore Pte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Singapore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India</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Smiths Medical (Beijing)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China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We consent to the incorporation by reference in Registration Statement Nos.</w:t>
      </w:r>
      <w:r>
        <w:rPr>
          <w:color w:val="212121"/>
        </w:rPr>
        <w:t xml:space="preserve"> </w:t>
      </w:r>
      <w:r>
        <w:rPr>
          <w:rFonts w:ascii="Times New Roman;sans-serif" w:hAnsi="Times New Roman;sans-serif"/>
          <w:b w:val="false"/>
          <w:color w:val="212121"/>
          <w:sz w:val="20"/>
        </w:rPr>
        <w:t xml:space="preserve">333-175239, 333-198256, 333-219106 and 333-270546 </w:t>
      </w:r>
      <w:r>
        <w:rPr>
          <w:rFonts w:ascii="Times New Roman;sans-serif" w:hAnsi="Times New Roman;sans-serif"/>
          <w:b w:val="false"/>
          <w:color w:val="111111"/>
          <w:sz w:val="20"/>
        </w:rPr>
        <w:t>on Form S</w:t>
      </w:r>
      <w:r>
        <w:rPr>
          <w:rFonts w:ascii="Times New Roman;sans-serif" w:hAnsi="Times New Roman;sans-serif"/>
          <w:b w:val="false"/>
          <w:color w:val="4B4B4B"/>
          <w:sz w:val="20"/>
        </w:rPr>
        <w:t>-</w:t>
      </w:r>
      <w:r>
        <w:rPr>
          <w:rFonts w:ascii="Times New Roman;sans-serif" w:hAnsi="Times New Roman;sans-serif"/>
          <w:b w:val="false"/>
          <w:color w:val="212121"/>
          <w:sz w:val="20"/>
        </w:rPr>
        <w:t xml:space="preserve">8 </w:t>
      </w:r>
      <w:r>
        <w:rPr>
          <w:rFonts w:ascii="Times New Roman;sans-serif" w:hAnsi="Times New Roman;sans-serif"/>
          <w:b w:val="false"/>
          <w:color w:val="111111"/>
          <w:sz w:val="20"/>
        </w:rPr>
        <w:t xml:space="preserve">and Registration Statement Nos. </w:t>
      </w:r>
      <w:r>
        <w:rPr>
          <w:rFonts w:ascii="Times New Roman;sans-serif" w:hAnsi="Times New Roman;sans-serif"/>
          <w:b w:val="false"/>
          <w:color w:val="212121"/>
          <w:sz w:val="20"/>
        </w:rPr>
        <w:t>333</w:t>
      </w:r>
      <w:r>
        <w:rPr>
          <w:rFonts w:ascii="Times New Roman;sans-serif" w:hAnsi="Times New Roman;sans-serif"/>
          <w:b w:val="false"/>
          <w:color w:val="4B4B4B"/>
          <w:sz w:val="20"/>
        </w:rPr>
        <w:t>-</w:t>
      </w:r>
      <w:r>
        <w:rPr>
          <w:rFonts w:ascii="Times New Roman;sans-serif" w:hAnsi="Times New Roman;sans-serif"/>
          <w:b w:val="false"/>
          <w:color w:val="212121"/>
          <w:sz w:val="20"/>
        </w:rPr>
        <w:t xml:space="preserve">228390 and 333-270282 on </w:t>
      </w:r>
      <w:r>
        <w:rPr>
          <w:rFonts w:ascii="Times New Roman;sans-serif" w:hAnsi="Times New Roman;sans-serif"/>
          <w:b w:val="false"/>
          <w:color w:val="111111"/>
          <w:sz w:val="20"/>
        </w:rPr>
        <w:t>Form S</w:t>
      </w:r>
      <w:r>
        <w:rPr>
          <w:rFonts w:ascii="Times New Roman;sans-serif" w:hAnsi="Times New Roman;sans-serif"/>
          <w:b w:val="false"/>
          <w:color w:val="4B4B4B"/>
          <w:sz w:val="20"/>
        </w:rPr>
        <w:t>-</w:t>
      </w:r>
      <w:r>
        <w:rPr>
          <w:rFonts w:ascii="Times New Roman;sans-serif" w:hAnsi="Times New Roman;sans-serif"/>
          <w:b w:val="false"/>
          <w:color w:val="212121"/>
          <w:sz w:val="20"/>
        </w:rPr>
        <w:t>3</w:t>
      </w:r>
      <w:r>
        <w:rPr>
          <w:color w:val="111111"/>
        </w:rPr>
        <w:t xml:space="preserve"> </w:t>
      </w:r>
      <w:r>
        <w:rPr>
          <w:rFonts w:ascii="Times New Roman;sans-serif" w:hAnsi="Times New Roman;sans-serif"/>
          <w:b w:val="false"/>
          <w:color w:val="111111"/>
          <w:sz w:val="20"/>
        </w:rPr>
        <w:t xml:space="preserve">of our reports </w:t>
      </w:r>
      <w:r>
        <w:rPr>
          <w:rFonts w:ascii="Times New Roman;sans-serif" w:hAnsi="Times New Roman;sans-serif"/>
          <w:b w:val="false"/>
          <w:color w:val="212121"/>
          <w:sz w:val="20"/>
        </w:rPr>
        <w:t>dated February 27, 2024, relating</w:t>
      </w:r>
      <w:r>
        <w:rPr>
          <w:color w:val="111111"/>
        </w:rPr>
        <w:t xml:space="preserve"> </w:t>
      </w:r>
      <w:r>
        <w:rPr>
          <w:rFonts w:ascii="Times New Roman;sans-serif" w:hAnsi="Times New Roman;sans-serif"/>
          <w:b w:val="false"/>
          <w:color w:val="111111"/>
          <w:sz w:val="20"/>
        </w:rPr>
        <w:t xml:space="preserve">to the financial statements of ICU Medical, Inc. and the effectiveness of ICU Medical Inc.'s internal control over financial reporting appearing in this Annual Report on Form 10-K for the year ended </w:t>
      </w:r>
      <w:r>
        <w:rPr>
          <w:rFonts w:ascii="Times New Roman;sans-serif" w:hAnsi="Times New Roman;sans-serif"/>
          <w:b w:val="false"/>
          <w:color w:val="000000"/>
          <w:sz w:val="20"/>
        </w:rPr>
        <w:t>December 31, 2023.</w:t>
      </w:r>
    </w:p>
    <w:p>
      <w:pPr>
        <w:pStyle w:val="TextBody"/>
        <w:bidi w:val="0"/>
        <w:spacing w:before="0" w:after="0"/>
        <w:jc w:val="left"/>
        <w:rPr/>
      </w:pPr>
      <w:r>
        <w:rPr/>
      </w:r>
    </w:p>
    <w:p>
      <w:pPr>
        <w:pStyle w:val="TextBody"/>
        <w:bidi w:val="0"/>
        <w:spacing w:before="0" w:after="0"/>
        <w:jc w:val="left"/>
        <w:rPr/>
      </w:pPr>
      <w:r>
        <w:rPr/>
      </w:r>
    </w:p>
    <w:tbl>
      <w:tblPr>
        <w:tblW w:w="3072" w:type="dxa"/>
        <w:jc w:val="center"/>
        <w:tblInd w:w="0" w:type="dxa"/>
        <w:tblLayout w:type="fixed"/>
        <w:tblCellMar>
          <w:top w:w="28" w:type="dxa"/>
          <w:left w:w="28" w:type="dxa"/>
          <w:bottom w:w="28" w:type="dxa"/>
          <w:right w:w="28" w:type="dxa"/>
        </w:tblCellMar>
      </w:tblPr>
      <w:tblGrid>
        <w:gridCol w:w="978"/>
        <w:gridCol w:w="860"/>
        <w:gridCol w:w="862"/>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Vivek Jain,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ICU Medical, Inc.;</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455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03"/>
        <w:gridCol w:w="703"/>
        <w:gridCol w:w="10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Brian M. Bonnell,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I have reviewed this annual report on Form 10-K of ICU Medical, Inc.;</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448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683"/>
        <w:gridCol w:w="683"/>
        <w:gridCol w:w="9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ICU Medical, Inc. (the “Company”) on Form 10-K for the period ended December 31, 2023 as filed with the Securities and Exchange Commission on the date hereof (the “Report”), I, Vivek Jain,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45"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703"/>
        <w:gridCol w:w="703"/>
        <w:gridCol w:w="100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ICU Medical, Inc. (the “Company”) on Form 10-K for the period ended December 31, 2023 as filed with the Securities and Exchange Commission on the date hereof (the “Report”), I, Brian M. Bonnell,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71" w:type="dxa"/>
        <w:jc w:val="center"/>
        <w:tblInd w:w="0" w:type="dxa"/>
        <w:tblLayout w:type="fixed"/>
        <w:tblCellMar>
          <w:top w:w="28" w:type="dxa"/>
          <w:left w:w="28" w:type="dxa"/>
          <w:bottom w:w="28" w:type="dxa"/>
          <w:right w:w="28" w:type="dxa"/>
        </w:tblCellMar>
      </w:tblPr>
      <w:tblGrid>
        <w:gridCol w:w="580"/>
        <w:gridCol w:w="511"/>
        <w:gridCol w:w="513"/>
        <w:gridCol w:w="109"/>
        <w:gridCol w:w="109"/>
        <w:gridCol w:w="109"/>
        <w:gridCol w:w="684"/>
        <w:gridCol w:w="684"/>
        <w:gridCol w:w="97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ICU MEDICAL, INC. POLICY FOR RECOVERY OF ERRONEOUSLY AWARDED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COMPENSATION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ICU Medical,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xml:space="preserve">) has adopted this Policy for Recovery of Erroneously </w:t>
      </w:r>
    </w:p>
    <w:p>
      <w:pPr>
        <w:pStyle w:val="TextBody"/>
        <w:bidi w:val="0"/>
        <w:spacing w:lineRule="auto" w:line="288" w:before="0" w:after="0"/>
        <w:jc w:val="both"/>
        <w:rPr/>
      </w:pPr>
      <w:r>
        <w:rPr>
          <w:rFonts w:ascii="Times New Roman;sans-serif" w:hAnsi="Times New Roman;sans-serif"/>
          <w:b w:val="false"/>
          <w:color w:val="000000"/>
          <w:sz w:val="22"/>
        </w:rPr>
        <w:t>Awarded Compensation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effective as of October 2,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Capitalized terms used in this Policy but not otherwise defined herein are defined in Section 11.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1.    </w:t>
      </w:r>
      <w:r>
        <w:rPr>
          <w:rFonts w:ascii="Times New Roman;sans-serif" w:hAnsi="Times New Roman;sans-serif"/>
          <w:b/>
          <w:color w:val="000000"/>
          <w:sz w:val="22"/>
          <w:u w:val="single"/>
        </w:rPr>
        <w:t>Persons Subject to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shall apply to current and former Officers of the Company. Each Officer shall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 required to sign an Acknowledgment Agreement pursuant to which such Officer will agree to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 bound by the terms of, and comply with, this Policy; however, any Officer’s failure to sign any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such Acknowledgment Agreement shall not negate the application of this Policy to the Officer.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2.     </w:t>
      </w:r>
      <w:r>
        <w:rPr>
          <w:rFonts w:ascii="Times New Roman;sans-serif" w:hAnsi="Times New Roman;sans-serif"/>
          <w:b/>
          <w:color w:val="000000"/>
          <w:sz w:val="22"/>
          <w:u w:val="single"/>
        </w:rPr>
        <w:t>Compensation Subject to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shall apply to Incentive-Based Compensation received on or after the Effective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 For purposes of this Policy, the date on which Incentive-Based Compensation is “received”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shall be determined under the Applicable Rules, which generally provide that Incentive-Based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is “received” in the Company’s fiscal period during which the relevant Financial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Reporting Measure is attained or satisfied, without regard to whether the grant, vesting or payment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of the Incentive-Based Compensation occurs after the end of that period.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3.     </w:t>
      </w:r>
      <w:r>
        <w:rPr>
          <w:rFonts w:ascii="Times New Roman;sans-serif" w:hAnsi="Times New Roman;sans-serif"/>
          <w:b/>
          <w:color w:val="000000"/>
          <w:sz w:val="22"/>
          <w:u w:val="single"/>
        </w:rPr>
        <w:t>Recovery of Compensation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that the Company is required to prepare a Restatement, the Company shall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recover, reasonably promptly, the portion of any Incentive-Based Compensation that is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Erroneously Awarded Compensation, unless the Committee has determined that recovery would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 Impracticable. Recovery shall be required in accordance with the preceding sentence regardless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whether the applicable Officer engaged in misconduct or otherwise caused or contributed to the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requirement for the Restatement and regardless of whether or when restated financial statements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are filed by the Company. For clarity, the recovery of Erroneously Awarded Compensation under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will not give rise to any person’s right to voluntarily terminate employment for “good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reason,” or due to a “constructive termination” (or any similar term of like effect) under any plan,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program or policy of or agreement with the Company or any of its affiliates.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4.     </w:t>
      </w:r>
      <w:r>
        <w:rPr>
          <w:rFonts w:ascii="Times New Roman;sans-serif" w:hAnsi="Times New Roman;sans-serif"/>
          <w:b/>
          <w:color w:val="000000"/>
          <w:sz w:val="22"/>
          <w:u w:val="single"/>
        </w:rPr>
        <w:t>Manner of Recovery; Limitation on Duplicative Recovery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Committee shall, in its sole discretion, determine the manner of recovery of any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Erroneously Awarded Compensation, which may include, without limitation, reduction or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cancellation by the Company or an affiliate of the Company of Incentive-Based Compensation,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Erroneously Awarded Compensation or time-vesting equity awards, reimbursement or repayment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by any person subject to this Policy of the Erroneously Awarded Compensation, and, to the extent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permitted by law, an offset of the Erroneously Awarded Compensation against other compensation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payable by the Company or an affiliate of the Company to such person. Notwithstanding the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foregoing, unless otherwise prohibited by the Applicable Rules, to the extent this Policy provides </w:t>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recovery of Erroneously Awarded Compensation already recovered by the Company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Section 304 of the Sarbanes-Oxley Act of 2002 or Other Recovery Arrangements, the amount of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Erroneously Awarded Compensation already recovered by the Company from the recipient of such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Erroneously Awarded Compensation may be credited to the amount of Erroneously Awarded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required to be recovered pursuant to this Policy from such person.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5.     </w:t>
      </w:r>
      <w:r>
        <w:rPr>
          <w:rFonts w:ascii="Times New Roman;sans-serif" w:hAnsi="Times New Roman;sans-serif"/>
          <w:b/>
          <w:color w:val="000000"/>
          <w:sz w:val="22"/>
          <w:u w:val="single"/>
        </w:rPr>
        <w:t xml:space="preserve">Administration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shall be administered, interpreted and construed by the Committee, which is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authorized to make all determinations necessary, appropriate or advisable for such purpose. The </w:t>
      </w:r>
    </w:p>
    <w:p>
      <w:pPr>
        <w:pStyle w:val="TextBody"/>
        <w:bidi w:val="0"/>
        <w:spacing w:lineRule="auto" w:line="288" w:before="0" w:after="0"/>
        <w:jc w:val="both"/>
        <w:rPr/>
      </w:pPr>
      <w:r>
        <w:rPr>
          <w:rFonts w:ascii="Times New Roman;sans-serif" w:hAnsi="Times New Roman;sans-serif"/>
          <w:b w:val="false"/>
          <w:color w:val="000000"/>
          <w:sz w:val="22"/>
        </w:rPr>
        <w:t>Board of Directors of the Company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xml:space="preserve">) may re-vest in itself the authority to administer,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interpret and construe this Policy in accordance with applicable law, and in such event references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herein to the “Committee” shall be deemed to be references to the Board. Subject to any permitted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review by the applicable national securities exchange or association pursuant to the Applicable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Rules, all determinations and decisions made by the Committee pursuant to the provisions of this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Policy shall be final, conclusive and binding on all persons, including the Company and its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affiliates, equityholders and employees. The Committee may delegate administrative duties with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respect to this Policy to one or more directors or employees of the Company, as permitted under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applicable law, including any Applicable Rules.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6.     </w:t>
      </w:r>
      <w:r>
        <w:rPr>
          <w:rFonts w:ascii="Times New Roman;sans-serif" w:hAnsi="Times New Roman;sans-serif"/>
          <w:b/>
          <w:color w:val="000000"/>
          <w:sz w:val="22"/>
          <w:u w:val="single"/>
        </w:rPr>
        <w:t>Interpretation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will be interpreted and applied in a manner that is consistent with the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requirements of the Applicable Rules, and to the extent this Policy is inconsistent with such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Applicable Rules, it shall be deemed amended to the minimum extent necessary to ensure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compliance therewith.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7.     </w:t>
      </w:r>
      <w:r>
        <w:rPr>
          <w:rFonts w:ascii="Times New Roman;sans-serif" w:hAnsi="Times New Roman;sans-serif"/>
          <w:b/>
          <w:color w:val="000000"/>
          <w:sz w:val="22"/>
          <w:u w:val="single"/>
        </w:rPr>
        <w:t>No Indemnification; No Liability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shall not indemnify or insure any person against the loss of any Erroneously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Awarded Compensation pursuant to this Policy, nor shall the Company directly or indirectly pay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or reimburse any person for any premiums for third-party insurance policies that such person may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elect to purchase to fund such person’s potential obligations under this Policy. None of the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an affiliate of the Company or any member of the Committee or the Board shall have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liability to any person as a result of actions taken under this Policy.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8.     </w:t>
      </w:r>
      <w:r>
        <w:rPr>
          <w:rFonts w:ascii="Times New Roman;sans-serif" w:hAnsi="Times New Roman;sans-serif"/>
          <w:b/>
          <w:color w:val="000000"/>
          <w:sz w:val="22"/>
          <w:u w:val="single"/>
        </w:rPr>
        <w:t>Application; Enforceability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Except as otherwise determined by the Committee or the Board, the adoption of this Policy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does not limit, and is intended to apply in addition to, any other clawback, recoupment, forfeiture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or similar policies or provisions of the Company or its affiliates, including any such policies or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provisions of such effect contained in any employment agreement, bonus plan, incentive plan,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equity-based plan or award agreement thereunder or similar plan, program or agreement of the </w:t>
      </w:r>
    </w:p>
    <w:p>
      <w:pPr>
        <w:pStyle w:val="TextBody"/>
        <w:bidi w:val="0"/>
        <w:spacing w:lineRule="auto" w:line="288" w:before="0" w:after="0"/>
        <w:jc w:val="both"/>
        <w:rPr/>
      </w:pPr>
      <w:r>
        <w:rPr>
          <w:rFonts w:ascii="Times New Roman;sans-serif" w:hAnsi="Times New Roman;sans-serif"/>
          <w:b w:val="false"/>
          <w:color w:val="000000"/>
          <w:sz w:val="22"/>
        </w:rPr>
        <w:t>Company or an affiliate or required under applicable law (the “</w:t>
      </w:r>
      <w:r>
        <w:rPr>
          <w:rFonts w:ascii="Times New Roman;sans-serif" w:hAnsi="Times New Roman;sans-serif"/>
          <w:b/>
          <w:i/>
          <w:color w:val="000000"/>
          <w:sz w:val="22"/>
        </w:rPr>
        <w:t>Other Recovery Arrangements</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remedy specified in this Policy shall not be exclusive and shall be in addition to every other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right or remedy at law or in equity that may be available to the Company or an affiliate of the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9.     </w:t>
      </w:r>
      <w:r>
        <w:rPr>
          <w:rFonts w:ascii="Times New Roman;sans-serif" w:hAnsi="Times New Roman;sans-serif"/>
          <w:b/>
          <w:color w:val="000000"/>
          <w:sz w:val="22"/>
          <w:u w:val="single"/>
        </w:rPr>
        <w:t>Severability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provisions in this Policy are intended to be applied to the fullest extent of the law;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provided, however, to the extent that any provision of this Policy is found to be unenforceable or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invalid under any applicable law, such provision will be applied to the maximum extent permitted,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shall automatically be deemed amended in a manner consistent with its objectives to the extent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necessary to conform to any limitations required under applicable law.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10.     </w:t>
      </w:r>
      <w:r>
        <w:rPr>
          <w:rFonts w:ascii="Times New Roman;sans-serif" w:hAnsi="Times New Roman;sans-serif"/>
          <w:b/>
          <w:color w:val="000000"/>
          <w:sz w:val="22"/>
          <w:u w:val="single"/>
        </w:rPr>
        <w:t>Amendment and Termination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Board or the Committee may amend, modify or terminate this Policy in whole or in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part at any time and from time to time in its sole discretion. This Policy will terminate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automatically when the Company does not have a class of securities listed on a national securities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exchange or association.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11.     </w:t>
      </w:r>
      <w:r>
        <w:rPr>
          <w:rFonts w:ascii="Times New Roman;sans-serif" w:hAnsi="Times New Roman;sans-serif"/>
          <w:b/>
          <w:color w:val="000000"/>
          <w:sz w:val="22"/>
          <w:u w:val="single"/>
        </w:rPr>
        <w:t>Definitions</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Applicable Rules</w:t>
      </w:r>
      <w:r>
        <w:rPr>
          <w:color w:val="000000"/>
        </w:rPr>
        <w:t xml:space="preserve">” </w:t>
      </w:r>
      <w:r>
        <w:rPr>
          <w:rFonts w:ascii="Times New Roman;sans-serif" w:hAnsi="Times New Roman;sans-serif"/>
          <w:b w:val="false"/>
          <w:color w:val="000000"/>
          <w:sz w:val="22"/>
        </w:rPr>
        <w:t xml:space="preserve">means Section 10D of the Exchange Act, Rule 10D-1 promulgated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thereunder, the listing rules of the national securities exchange or association on which the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Company’s securities are listed, and any applicable rules, standards or other guidance adopted by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Securities and Exchange Commission or any national securities exchange or association on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which the Company’s securities are listed.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Committee</w:t>
      </w:r>
      <w:r>
        <w:rPr>
          <w:color w:val="000000"/>
        </w:rPr>
        <w:t xml:space="preserve">” </w:t>
      </w:r>
      <w:r>
        <w:rPr>
          <w:rFonts w:ascii="Times New Roman;sans-serif" w:hAnsi="Times New Roman;sans-serif"/>
          <w:b w:val="false"/>
          <w:color w:val="000000"/>
          <w:sz w:val="22"/>
        </w:rPr>
        <w:t xml:space="preserve">means the committee of the Board responsible for executive compensation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decisions comprised solely of independent directors (as determined under the Applicable Rules),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or in the absence of such a committee, a majority of the independent directors serving on the Board.</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Erroneously Awarded Compensation</w:t>
      </w:r>
      <w:r>
        <w:rPr>
          <w:color w:val="000000"/>
        </w:rPr>
        <w:t xml:space="preserve">” </w:t>
      </w:r>
      <w:r>
        <w:rPr>
          <w:rFonts w:ascii="Times New Roman;sans-serif" w:hAnsi="Times New Roman;sans-serif"/>
          <w:b w:val="false"/>
          <w:color w:val="000000"/>
          <w:sz w:val="22"/>
        </w:rPr>
        <w:t xml:space="preserve">means the amount of Incentive-Based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received by a current or former Officer that exceeds the amount of Incentive-Based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that would have been received by such current or former Officer based on a restated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Financial Reporting Measure, as determined on a pre-tax basis in accordance with the Applicable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Rules.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 xml:space="preserve">means the Securities Exchange Act of 1934, as amended.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Financial Reporting Measure</w:t>
      </w:r>
      <w:r>
        <w:rPr>
          <w:color w:val="000000"/>
        </w:rPr>
        <w:t xml:space="preserve">” </w:t>
      </w:r>
      <w:r>
        <w:rPr>
          <w:rFonts w:ascii="Times New Roman;sans-serif" w:hAnsi="Times New Roman;sans-serif"/>
          <w:b w:val="false"/>
          <w:color w:val="000000"/>
          <w:sz w:val="22"/>
        </w:rPr>
        <w:t xml:space="preserve">means any measure determined and presented in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accordance with the accounting principles used in preparing the Company’s financial statements,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any measures derived wholly or in part from such measures, including GAAP, IFRS and non-GAAP/IFRS financial measures, as well as stock or share price and total equityholder return.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GAAP</w:t>
      </w:r>
      <w:r>
        <w:rPr>
          <w:color w:val="000000"/>
        </w:rPr>
        <w:t xml:space="preserve">” </w:t>
      </w:r>
      <w:r>
        <w:rPr>
          <w:rFonts w:ascii="Times New Roman;sans-serif" w:hAnsi="Times New Roman;sans-serif"/>
          <w:b w:val="false"/>
          <w:color w:val="000000"/>
          <w:sz w:val="22"/>
        </w:rPr>
        <w:t>means United States generally accepted accounting principles.</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IFRS</w:t>
      </w:r>
      <w:r>
        <w:rPr>
          <w:color w:val="000000"/>
        </w:rPr>
        <w:t xml:space="preserve">” </w:t>
      </w:r>
      <w:r>
        <w:rPr>
          <w:rFonts w:ascii="Times New Roman;sans-serif" w:hAnsi="Times New Roman;sans-serif"/>
          <w:b w:val="false"/>
          <w:color w:val="000000"/>
          <w:sz w:val="22"/>
        </w:rPr>
        <w:t xml:space="preserve">means international financial reporting standards as adopted by the International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Accounting Standards Board.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Impracticable</w:t>
      </w:r>
      <w:r>
        <w:rPr>
          <w:color w:val="000000"/>
        </w:rPr>
        <w:t xml:space="preserve">” </w:t>
      </w:r>
      <w:r>
        <w:rPr>
          <w:rFonts w:ascii="Times New Roman;sans-serif" w:hAnsi="Times New Roman;sans-serif"/>
          <w:b w:val="false"/>
          <w:color w:val="000000"/>
          <w:sz w:val="22"/>
        </w:rPr>
        <w:t xml:space="preserve">means (a) the direct costs paid to third parties to assist in enforcing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recovery would exceed the Erroneously Awarded Compensation; provided that the Company has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made reasonable attempts to recover the Erroneously Awarded Compensation, (ii) documented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such attempt(s), and (iii) provided such documentation to the relevant listing exchange or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association, (b) to the extent permitted by the Applicable Rules, the recovery would violate the </w:t>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Company’s home country laws pursuant to an opinion of home country counsel; provided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has (i) obtained an opinion of home country counsel, acceptable to the relevant listing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exchange or association, that recovery would result in such violation, and (ii) provided such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opinion to the relevant listing exchange or association, or (c) recovery would likely cause an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otherwise tax-qualified retirement plan, under which benefits are broadly available to employees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the Company, to fail to meet the requirements of 26 U.S.C. 401(a)(13) or 26 U.S.C. 411(a) and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regulations thereunder.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Incentive-Based Compensation</w:t>
      </w:r>
      <w:r>
        <w:rPr>
          <w:color w:val="000000"/>
        </w:rPr>
        <w:t xml:space="preserve">” </w:t>
      </w:r>
      <w:r>
        <w:rPr>
          <w:rFonts w:ascii="Times New Roman;sans-serif" w:hAnsi="Times New Roman;sans-serif"/>
          <w:b w:val="false"/>
          <w:color w:val="000000"/>
          <w:sz w:val="22"/>
        </w:rPr>
        <w:t>means, with respect to a Restatement, any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that is granted, earned, or vested based wholly or in part upon the attainment of one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or more Financial Reporting Measures and received by a person: (a) after beginning service as an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Officer; (b) who served as an Officer at any time during the performance period for that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compensation; (c) while the Company has a class of securities listed on a national securities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exchange or association; and (d) during the applicable Three-Year Period.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Officer</w:t>
      </w:r>
      <w:r>
        <w:rPr>
          <w:color w:val="000000"/>
        </w:rPr>
        <w:t xml:space="preserve">” </w:t>
      </w:r>
      <w:r>
        <w:rPr>
          <w:rFonts w:ascii="Times New Roman;sans-serif" w:hAnsi="Times New Roman;sans-serif"/>
          <w:b w:val="false"/>
          <w:color w:val="000000"/>
          <w:sz w:val="22"/>
        </w:rPr>
        <w:t xml:space="preserve">means each person who serves as an executive officer of the Company, as defined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Rule 10D-1(d) under the Exchange Act.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Restatement</w:t>
      </w:r>
      <w:r>
        <w:rPr>
          <w:color w:val="000000"/>
        </w:rPr>
        <w:t xml:space="preserve">” </w:t>
      </w:r>
      <w:r>
        <w:rPr>
          <w:rFonts w:ascii="Times New Roman;sans-serif" w:hAnsi="Times New Roman;sans-serif"/>
          <w:b w:val="false"/>
          <w:color w:val="000000"/>
          <w:sz w:val="22"/>
        </w:rPr>
        <w:t xml:space="preserve">means an accounting restatement to correct the Company’s material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noncompliance with any financial reporting requirement under securities laws, including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restatements that correct an error in previously issued financial statements (a) that is material to</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previously issued financial statements or (b) that would result in a material misstatement if the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error were corrected in the current period or left uncorrected in the current period.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2"/>
        </w:rPr>
        <w:t>Three-Year Period</w:t>
      </w:r>
      <w:r>
        <w:rPr>
          <w:color w:val="000000"/>
        </w:rPr>
        <w:t xml:space="preserve">” </w:t>
      </w:r>
      <w:r>
        <w:rPr>
          <w:rFonts w:ascii="Times New Roman;sans-serif" w:hAnsi="Times New Roman;sans-serif"/>
          <w:b w:val="false"/>
          <w:color w:val="000000"/>
          <w:sz w:val="22"/>
        </w:rPr>
        <w:t xml:space="preserve">means, with respect to a Restatement, the three completed fiscal years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immediately preceding the date that the Board, a committee of the Board, or the officer or officers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the Company authorized to take such action if Board action is not required, concludes, or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reasonably should have concluded, that the Company is required to prepare such Restatement, or,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earlier, the date on which a court, regulator or other legally authorized body directs the Company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 prepare such Restatement. The “Three-Year Period” also includes any transition period (that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results from a change in the Company’s fiscal year) within or immediately following the three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completed fiscal years identified in the preceding sentence. However, a transition period between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last day of the Company’s previous fiscal year end and the first day of its new fiscal year that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comprises a period of nine to 12 months shall be deemed a completed fiscal year. </w:t>
      </w:r>
    </w:p>
    <w:p>
      <w:pPr>
        <w:pStyle w:val="TextBody"/>
        <w:bidi w:val="0"/>
        <w:spacing w:before="0" w:after="0"/>
        <w:jc w:val="both"/>
        <w:rPr/>
      </w:pPr>
      <w:r>
        <w:rPr/>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0000883984/000119312521267387/d228927dex21.htm" TargetMode="External"/><Relationship Id="rId4" Type="http://schemas.openxmlformats.org/officeDocument/2006/relationships/hyperlink" Target="http://www.sec.gov/Archives/edgar/data/883984/000119312521267387/d228927dex22.htm" TargetMode="External"/><Relationship Id="rId5" Type="http://schemas.openxmlformats.org/officeDocument/2006/relationships/hyperlink" Target="http://www.sec.gov/Archives/edgar/data/883984/000088398414000046/exhibitamendedandrestatedc.htm" TargetMode="External"/><Relationship Id="rId6" Type="http://schemas.openxmlformats.org/officeDocument/2006/relationships/hyperlink" Target="https://www.sec.gov/Archives/edgar/data/883984/000088398423000034/exhibit31_8-k103023.htm" TargetMode="External"/><Relationship Id="rId7" Type="http://schemas.openxmlformats.org/officeDocument/2006/relationships/hyperlink" Target="http://www.sec.gov/Archives/edgar/data/883984/000088398420000014/exhibit41descriptionof.htm" TargetMode="External"/><Relationship Id="rId8" Type="http://schemas.openxmlformats.org/officeDocument/2006/relationships/hyperlink" Target="http://www.sec.gov/Archives/edgar/data/883984/000110465910053238/a10-17276_1ex10d1.htm" TargetMode="External"/><Relationship Id="rId9" Type="http://schemas.openxmlformats.org/officeDocument/2006/relationships/hyperlink" Target="http://www.sec.gov/Archives/edgar/data/883984/000101968702000543/icu_def14a-040202.txt" TargetMode="External"/><Relationship Id="rId10" Type="http://schemas.openxmlformats.org/officeDocument/2006/relationships/hyperlink" Target="http://www.sec.gov/Archives/edgar/data/883984/000088398413000019/icui-def14ax2013.htm" TargetMode="External"/><Relationship Id="rId11" Type="http://schemas.openxmlformats.org/officeDocument/2006/relationships/hyperlink" Target="https://www.sec.gov/Archives/edgar/data/883984/000088398418000017/icui-ex101.htm" TargetMode="External"/><Relationship Id="rId12" Type="http://schemas.openxmlformats.org/officeDocument/2006/relationships/hyperlink" Target="http://www.sec.gov/Archives/edgar/data/883984/000088398420000014/exhibit1012firstamendm.htm" TargetMode="External"/><Relationship Id="rId13" Type="http://schemas.openxmlformats.org/officeDocument/2006/relationships/hyperlink" Target="https://www.sec.gov/Archives/edgar/data/883984/000088398423000024/exhibit101_8-k51723.htm" TargetMode="External"/><Relationship Id="rId14" Type="http://schemas.openxmlformats.org/officeDocument/2006/relationships/hyperlink" Target="https://www.sec.gov/Archives/edgar/data/883984/000088398422000026/exhibit101_41522.htm" TargetMode="External"/><Relationship Id="rId15" Type="http://schemas.openxmlformats.org/officeDocument/2006/relationships/hyperlink" Target="http://www.sec.gov/Archives/edgar/data/883984/000088398419000017/icui-ex101.htm" TargetMode="External"/><Relationship Id="rId16" Type="http://schemas.openxmlformats.org/officeDocument/2006/relationships/hyperlink" Target="http://www.sec.gov/Archives/edgar/data/883984/000088398417000006/exhibit101icumedicalincexe.htm" TargetMode="External"/><Relationship Id="rId17" Type="http://schemas.openxmlformats.org/officeDocument/2006/relationships/hyperlink" Target="http://www.sec.gov/Archives/edgar/data/883984/000088398420000002/exhibit101.htm" TargetMode="External"/><Relationship Id="rId18" Type="http://schemas.openxmlformats.org/officeDocument/2006/relationships/hyperlink" Target="http://www.sec.gov/Archives/edgar/data/883984/000088398423000003/exhibit101_123022.htm" TargetMode="External"/><Relationship Id="rId19" Type="http://schemas.openxmlformats.org/officeDocument/2006/relationships/hyperlink" Target="http://www.sec.gov/Archives/edgar/data/883984/000088398422000005/exhibit102.htm" TargetMode="External"/><Relationship Id="rId20" Type="http://schemas.openxmlformats.org/officeDocument/2006/relationships/hyperlink" Target="http://www.sec.gov/Archives/edgar/data/883984/000088398422000005/exhibit10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75779</Words>
  <Characters>426029</Characters>
  <CharactersWithSpaces>498976</CharactersWithSpaces>
  <Paragraphs>6212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