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4" w:lineRule="exact"/>
        <w:rPr>
          <w:sz w:val="24"/>
          <w:szCs w:val="24"/>
          <w:color w:val="auto"/>
        </w:rPr>
      </w:pPr>
    </w:p>
    <w:p>
      <w:pPr>
        <w:ind w:left="2880"/>
        <w:spacing w:after="0"/>
        <w:rPr>
          <w:sz w:val="20"/>
          <w:szCs w:val="20"/>
          <w:color w:val="auto"/>
        </w:rPr>
      </w:pPr>
      <w:r>
        <w:rPr>
          <w:rFonts w:ascii="Arial" w:cs="Arial" w:eastAsia="Arial" w:hAnsi="Arial"/>
          <w:sz w:val="17"/>
          <w:szCs w:val="17"/>
          <w:b w:val="1"/>
          <w:bCs w:val="1"/>
          <w:color w:val="auto"/>
        </w:rPr>
        <w:t>As filed with the Securities and Exchange Commission on November 15, 2018</w:t>
      </w:r>
    </w:p>
    <w:p>
      <w:pPr>
        <w:spacing w:after="0" w:line="28" w:lineRule="exact"/>
        <w:rPr>
          <w:sz w:val="24"/>
          <w:szCs w:val="24"/>
          <w:color w:val="auto"/>
        </w:rPr>
      </w:pPr>
    </w:p>
    <w:p>
      <w:pPr>
        <w:jc w:val="right"/>
        <w:spacing w:after="0"/>
        <w:rPr>
          <w:sz w:val="20"/>
          <w:szCs w:val="20"/>
          <w:color w:val="auto"/>
        </w:rPr>
      </w:pPr>
      <w:r>
        <w:rPr>
          <w:rFonts w:ascii="Arial" w:cs="Arial" w:eastAsia="Arial" w:hAnsi="Arial"/>
          <w:sz w:val="17"/>
          <w:szCs w:val="17"/>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65405</wp:posOffset>
            </wp:positionV>
            <wp:extent cx="66795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79565" cy="825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106045</wp:posOffset>
            </wp:positionV>
            <wp:extent cx="66795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79565" cy="8255"/>
                    </a:xfrm>
                    <a:prstGeom prst="rect">
                      <a:avLst/>
                    </a:prstGeom>
                    <a:noFill/>
                  </pic:spPr>
                </pic:pic>
              </a:graphicData>
            </a:graphic>
          </wp:anchor>
        </w:drawing>
      </w:r>
    </w:p>
    <w:p>
      <w:pPr>
        <w:spacing w:after="0" w:line="196" w:lineRule="exact"/>
        <w:rPr>
          <w:sz w:val="24"/>
          <w:szCs w:val="24"/>
          <w:color w:val="auto"/>
        </w:rPr>
      </w:pPr>
    </w:p>
    <w:p>
      <w:pPr>
        <w:jc w:val="center"/>
        <w:ind w:right="-879"/>
        <w:spacing w:after="0"/>
        <w:rPr>
          <w:sz w:val="20"/>
          <w:szCs w:val="20"/>
          <w:color w:val="auto"/>
        </w:rPr>
      </w:pPr>
      <w:r>
        <w:rPr>
          <w:rFonts w:ascii="Arial" w:cs="Arial" w:eastAsia="Arial" w:hAnsi="Arial"/>
          <w:sz w:val="31"/>
          <w:szCs w:val="31"/>
          <w:b w:val="1"/>
          <w:bCs w:val="1"/>
          <w:color w:val="auto"/>
        </w:rPr>
        <w:t>UNITED STATES</w:t>
      </w:r>
    </w:p>
    <w:p>
      <w:pPr>
        <w:spacing w:after="0" w:line="28" w:lineRule="exact"/>
        <w:rPr>
          <w:sz w:val="24"/>
          <w:szCs w:val="24"/>
          <w:color w:val="auto"/>
        </w:rPr>
      </w:pPr>
    </w:p>
    <w:p>
      <w:pPr>
        <w:jc w:val="center"/>
        <w:ind w:right="-879"/>
        <w:spacing w:after="0"/>
        <w:rPr>
          <w:sz w:val="20"/>
          <w:szCs w:val="20"/>
          <w:color w:val="auto"/>
        </w:rPr>
      </w:pPr>
      <w:r>
        <w:rPr>
          <w:rFonts w:ascii="Arial" w:cs="Arial" w:eastAsia="Arial" w:hAnsi="Arial"/>
          <w:sz w:val="31"/>
          <w:szCs w:val="31"/>
          <w:b w:val="1"/>
          <w:bCs w:val="1"/>
          <w:color w:val="auto"/>
        </w:rPr>
        <w:t>SECURITIES AND EXCHANGE COMMISSION</w:t>
      </w:r>
    </w:p>
    <w:p>
      <w:pPr>
        <w:spacing w:after="0" w:line="1" w:lineRule="exact"/>
        <w:rPr>
          <w:sz w:val="24"/>
          <w:szCs w:val="24"/>
          <w:color w:val="auto"/>
        </w:rPr>
      </w:pPr>
    </w:p>
    <w:p>
      <w:pPr>
        <w:ind w:left="4480"/>
        <w:spacing w:after="0"/>
        <w:rPr>
          <w:sz w:val="20"/>
          <w:szCs w:val="20"/>
          <w:color w:val="auto"/>
        </w:rPr>
      </w:pPr>
      <w:r>
        <w:rPr>
          <w:rFonts w:ascii="Arial" w:cs="Arial" w:eastAsia="Arial" w:hAnsi="Arial"/>
          <w:sz w:val="24"/>
          <w:szCs w:val="2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2924175</wp:posOffset>
            </wp:positionH>
            <wp:positionV relativeFrom="paragraph">
              <wp:posOffset>214630</wp:posOffset>
            </wp:positionV>
            <wp:extent cx="14077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7795" cy="8255"/>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jc w:val="center"/>
        <w:ind w:right="-879"/>
        <w:spacing w:after="0"/>
        <w:rPr>
          <w:sz w:val="20"/>
          <w:szCs w:val="20"/>
          <w:color w:val="auto"/>
        </w:rPr>
      </w:pPr>
      <w:r>
        <w:rPr>
          <w:rFonts w:ascii="Arial" w:cs="Arial" w:eastAsia="Arial" w:hAnsi="Arial"/>
          <w:sz w:val="31"/>
          <w:szCs w:val="31"/>
          <w:b w:val="1"/>
          <w:bCs w:val="1"/>
          <w:color w:val="auto"/>
        </w:rPr>
        <w:t>Form S-3</w:t>
      </w:r>
    </w:p>
    <w:p>
      <w:pPr>
        <w:spacing w:after="0" w:line="21" w:lineRule="exact"/>
        <w:rPr>
          <w:sz w:val="24"/>
          <w:szCs w:val="24"/>
          <w:color w:val="auto"/>
        </w:rPr>
      </w:pPr>
    </w:p>
    <w:p>
      <w:pPr>
        <w:jc w:val="center"/>
        <w:ind w:right="-879"/>
        <w:spacing w:after="0"/>
        <w:rPr>
          <w:sz w:val="20"/>
          <w:szCs w:val="20"/>
          <w:color w:val="auto"/>
        </w:rPr>
      </w:pPr>
      <w:r>
        <w:rPr>
          <w:rFonts w:ascii="Arial" w:cs="Arial" w:eastAsia="Arial" w:hAnsi="Arial"/>
          <w:sz w:val="31"/>
          <w:szCs w:val="31"/>
          <w:b w:val="1"/>
          <w:bCs w:val="1"/>
          <w:color w:val="auto"/>
        </w:rPr>
        <w:t>REGISTRATION STATEMENT</w:t>
      </w:r>
    </w:p>
    <w:p>
      <w:pPr>
        <w:jc w:val="center"/>
        <w:ind w:right="-879"/>
        <w:spacing w:after="0" w:line="230" w:lineRule="auto"/>
        <w:rPr>
          <w:sz w:val="20"/>
          <w:szCs w:val="20"/>
          <w:color w:val="auto"/>
        </w:rPr>
      </w:pPr>
      <w:r>
        <w:rPr>
          <w:rFonts w:ascii="Arial" w:cs="Arial" w:eastAsia="Arial" w:hAnsi="Arial"/>
          <w:sz w:val="21"/>
          <w:szCs w:val="21"/>
          <w:b w:val="1"/>
          <w:bCs w:val="1"/>
          <w:i w:val="1"/>
          <w:iCs w:val="1"/>
          <w:color w:val="auto"/>
        </w:rPr>
        <w:t>UNDER</w:t>
      </w:r>
    </w:p>
    <w:p>
      <w:pPr>
        <w:spacing w:after="0" w:line="1" w:lineRule="exact"/>
        <w:rPr>
          <w:sz w:val="24"/>
          <w:szCs w:val="24"/>
          <w:color w:val="auto"/>
        </w:rPr>
      </w:pPr>
    </w:p>
    <w:p>
      <w:pPr>
        <w:jc w:val="center"/>
        <w:ind w:right="-879"/>
        <w:spacing w:after="0"/>
        <w:rPr>
          <w:sz w:val="20"/>
          <w:szCs w:val="20"/>
          <w:color w:val="auto"/>
        </w:rPr>
      </w:pPr>
      <w:r>
        <w:rPr>
          <w:rFonts w:ascii="Arial" w:cs="Arial" w:eastAsia="Arial" w:hAnsi="Arial"/>
          <w:sz w:val="21"/>
          <w:szCs w:val="21"/>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2924175</wp:posOffset>
            </wp:positionH>
            <wp:positionV relativeFrom="paragraph">
              <wp:posOffset>208915</wp:posOffset>
            </wp:positionV>
            <wp:extent cx="14077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7795" cy="8255"/>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ind w:left="3760"/>
        <w:spacing w:after="0"/>
        <w:rPr>
          <w:sz w:val="20"/>
          <w:szCs w:val="20"/>
          <w:color w:val="auto"/>
        </w:rPr>
      </w:pPr>
      <w:r>
        <w:rPr>
          <w:rFonts w:ascii="Arial" w:cs="Arial" w:eastAsia="Arial" w:hAnsi="Arial"/>
          <w:sz w:val="41"/>
          <w:szCs w:val="41"/>
          <w:b w:val="1"/>
          <w:bCs w:val="1"/>
          <w:color w:val="auto"/>
        </w:rPr>
        <w:t>ICU MEDICAL, INC.</w:t>
      </w:r>
    </w:p>
    <w:p>
      <w:pPr>
        <w:spacing w:after="0" w:line="49" w:lineRule="exact"/>
        <w:rPr>
          <w:sz w:val="24"/>
          <w:szCs w:val="24"/>
          <w:color w:val="auto"/>
        </w:rPr>
      </w:pPr>
    </w:p>
    <w:p>
      <w:pPr>
        <w:ind w:left="3820"/>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2924175</wp:posOffset>
            </wp:positionH>
            <wp:positionV relativeFrom="paragraph">
              <wp:posOffset>218440</wp:posOffset>
            </wp:positionV>
            <wp:extent cx="14077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07795" cy="8255"/>
                    </a:xfrm>
                    <a:prstGeom prst="rect">
                      <a:avLst/>
                    </a:prstGeom>
                    <a:noFill/>
                  </pic:spPr>
                </pic:pic>
              </a:graphicData>
            </a:graphic>
          </wp:anchor>
        </w:drawing>
      </w:r>
    </w:p>
    <w:p>
      <w:pPr>
        <w:spacing w:after="0" w:line="200" w:lineRule="exact"/>
        <w:rPr>
          <w:sz w:val="24"/>
          <w:szCs w:val="24"/>
          <w:color w:val="auto"/>
        </w:rPr>
      </w:pPr>
    </w:p>
    <w:p>
      <w:pPr>
        <w:spacing w:after="0" w:line="390" w:lineRule="exact"/>
        <w:rPr>
          <w:sz w:val="24"/>
          <w:szCs w:val="24"/>
          <w:color w:val="auto"/>
        </w:rPr>
      </w:pPr>
    </w:p>
    <w:tbl>
      <w:tblPr>
        <w:tblLayout w:type="fixed"/>
        <w:tblInd w:w="2180" w:type="dxa"/>
        <w:tblCellMar>
          <w:top w:w="0" w:type="dxa"/>
          <w:left w:w="0" w:type="dxa"/>
          <w:bottom w:w="0" w:type="dxa"/>
          <w:right w:w="0" w:type="dxa"/>
        </w:tblCellMar>
      </w:tblPr>
      <w:tr>
        <w:trPr>
          <w:trHeight w:val="202"/>
        </w:trPr>
        <w:tc>
          <w:tcPr>
            <w:tcW w:w="3700" w:type="dxa"/>
            <w:vAlign w:val="bottom"/>
          </w:tcPr>
          <w:p>
            <w:pPr>
              <w:jc w:val="center"/>
              <w:ind w:right="1806"/>
              <w:spacing w:after="0"/>
              <w:rPr>
                <w:sz w:val="20"/>
                <w:szCs w:val="20"/>
                <w:color w:val="auto"/>
              </w:rPr>
            </w:pPr>
            <w:r>
              <w:rPr>
                <w:rFonts w:ascii="Arial" w:cs="Arial" w:eastAsia="Arial" w:hAnsi="Arial"/>
                <w:sz w:val="17"/>
                <w:szCs w:val="17"/>
                <w:b w:val="1"/>
                <w:bCs w:val="1"/>
                <w:color w:val="auto"/>
                <w:w w:val="93"/>
              </w:rPr>
              <w:t>Delaware</w:t>
            </w:r>
          </w:p>
        </w:tc>
        <w:tc>
          <w:tcPr>
            <w:tcW w:w="3240" w:type="dxa"/>
            <w:vAlign w:val="bottom"/>
          </w:tcPr>
          <w:p>
            <w:pPr>
              <w:jc w:val="center"/>
              <w:ind w:left="1826"/>
              <w:spacing w:after="0"/>
              <w:rPr>
                <w:sz w:val="20"/>
                <w:szCs w:val="20"/>
                <w:color w:val="auto"/>
              </w:rPr>
            </w:pPr>
            <w:r>
              <w:rPr>
                <w:rFonts w:ascii="Arial" w:cs="Arial" w:eastAsia="Arial" w:hAnsi="Arial"/>
                <w:sz w:val="17"/>
                <w:szCs w:val="17"/>
                <w:b w:val="1"/>
                <w:bCs w:val="1"/>
                <w:color w:val="auto"/>
                <w:w w:val="90"/>
              </w:rPr>
              <w:t>33-0022692</w:t>
            </w:r>
          </w:p>
        </w:tc>
      </w:tr>
      <w:tr>
        <w:trPr>
          <w:trHeight w:val="142"/>
        </w:trPr>
        <w:tc>
          <w:tcPr>
            <w:tcW w:w="3700" w:type="dxa"/>
            <w:vAlign w:val="bottom"/>
          </w:tcPr>
          <w:p>
            <w:pPr>
              <w:jc w:val="center"/>
              <w:ind w:right="1826"/>
              <w:spacing w:after="0" w:line="142" w:lineRule="exact"/>
              <w:rPr>
                <w:sz w:val="20"/>
                <w:szCs w:val="20"/>
                <w:color w:val="auto"/>
              </w:rPr>
            </w:pPr>
            <w:r>
              <w:rPr>
                <w:rFonts w:ascii="Arial" w:cs="Arial" w:eastAsia="Arial" w:hAnsi="Arial"/>
                <w:sz w:val="14"/>
                <w:szCs w:val="14"/>
                <w:b w:val="1"/>
                <w:bCs w:val="1"/>
                <w:color w:val="auto"/>
                <w:w w:val="89"/>
              </w:rPr>
              <w:t>(State or other jurisdiction of</w:t>
            </w:r>
          </w:p>
        </w:tc>
        <w:tc>
          <w:tcPr>
            <w:tcW w:w="3240" w:type="dxa"/>
            <w:vAlign w:val="bottom"/>
          </w:tcPr>
          <w:p>
            <w:pPr>
              <w:jc w:val="center"/>
              <w:ind w:left="1826"/>
              <w:spacing w:after="0" w:line="142" w:lineRule="exact"/>
              <w:rPr>
                <w:sz w:val="20"/>
                <w:szCs w:val="20"/>
                <w:color w:val="auto"/>
              </w:rPr>
            </w:pPr>
            <w:r>
              <w:rPr>
                <w:rFonts w:ascii="Arial" w:cs="Arial" w:eastAsia="Arial" w:hAnsi="Arial"/>
                <w:sz w:val="14"/>
                <w:szCs w:val="14"/>
                <w:b w:val="1"/>
                <w:bCs w:val="1"/>
                <w:color w:val="auto"/>
                <w:w w:val="91"/>
              </w:rPr>
              <w:t>(I.R.S. Employer</w:t>
            </w:r>
          </w:p>
        </w:tc>
      </w:tr>
      <w:tr>
        <w:trPr>
          <w:trHeight w:val="178"/>
        </w:trPr>
        <w:tc>
          <w:tcPr>
            <w:tcW w:w="3700" w:type="dxa"/>
            <w:vAlign w:val="bottom"/>
          </w:tcPr>
          <w:p>
            <w:pPr>
              <w:jc w:val="center"/>
              <w:ind w:right="1826"/>
              <w:spacing w:after="0"/>
              <w:rPr>
                <w:sz w:val="20"/>
                <w:szCs w:val="20"/>
                <w:color w:val="auto"/>
              </w:rPr>
            </w:pPr>
            <w:r>
              <w:rPr>
                <w:rFonts w:ascii="Arial" w:cs="Arial" w:eastAsia="Arial" w:hAnsi="Arial"/>
                <w:sz w:val="14"/>
                <w:szCs w:val="14"/>
                <w:b w:val="1"/>
                <w:bCs w:val="1"/>
                <w:color w:val="auto"/>
                <w:w w:val="90"/>
              </w:rPr>
              <w:t>incorporation or organization)</w:t>
            </w:r>
          </w:p>
        </w:tc>
        <w:tc>
          <w:tcPr>
            <w:tcW w:w="3240" w:type="dxa"/>
            <w:vAlign w:val="bottom"/>
          </w:tcPr>
          <w:p>
            <w:pPr>
              <w:jc w:val="center"/>
              <w:ind w:left="1806"/>
              <w:spacing w:after="0"/>
              <w:rPr>
                <w:sz w:val="20"/>
                <w:szCs w:val="20"/>
                <w:color w:val="auto"/>
              </w:rPr>
            </w:pPr>
            <w:r>
              <w:rPr>
                <w:rFonts w:ascii="Arial" w:cs="Arial" w:eastAsia="Arial" w:hAnsi="Arial"/>
                <w:sz w:val="14"/>
                <w:szCs w:val="14"/>
                <w:b w:val="1"/>
                <w:bCs w:val="1"/>
                <w:color w:val="auto"/>
                <w:w w:val="91"/>
              </w:rPr>
              <w:t>Identification Number)</w:t>
            </w:r>
          </w:p>
        </w:tc>
      </w:tr>
    </w:tbl>
    <w:p>
      <w:pPr>
        <w:spacing w:after="0" w:line="187" w:lineRule="exact"/>
        <w:rPr>
          <w:sz w:val="24"/>
          <w:szCs w:val="24"/>
          <w:color w:val="auto"/>
        </w:rPr>
      </w:pPr>
    </w:p>
    <w:p>
      <w:pPr>
        <w:jc w:val="center"/>
        <w:ind w:right="-879"/>
        <w:spacing w:after="0"/>
        <w:rPr>
          <w:sz w:val="20"/>
          <w:szCs w:val="20"/>
          <w:color w:val="auto"/>
        </w:rPr>
      </w:pPr>
      <w:r>
        <w:rPr>
          <w:rFonts w:ascii="Arial" w:cs="Arial" w:eastAsia="Arial" w:hAnsi="Arial"/>
          <w:sz w:val="17"/>
          <w:szCs w:val="17"/>
          <w:b w:val="1"/>
          <w:bCs w:val="1"/>
          <w:color w:val="auto"/>
        </w:rPr>
        <w:t>951 Calle Amanecer</w:t>
      </w:r>
    </w:p>
    <w:p>
      <w:pPr>
        <w:spacing w:after="0" w:line="28" w:lineRule="exact"/>
        <w:rPr>
          <w:sz w:val="24"/>
          <w:szCs w:val="24"/>
          <w:color w:val="auto"/>
        </w:rPr>
      </w:pPr>
    </w:p>
    <w:p>
      <w:pPr>
        <w:jc w:val="center"/>
        <w:ind w:right="-879"/>
        <w:spacing w:after="0"/>
        <w:rPr>
          <w:sz w:val="20"/>
          <w:szCs w:val="20"/>
          <w:color w:val="auto"/>
        </w:rPr>
      </w:pPr>
      <w:r>
        <w:rPr>
          <w:rFonts w:ascii="Arial" w:cs="Arial" w:eastAsia="Arial" w:hAnsi="Arial"/>
          <w:sz w:val="17"/>
          <w:szCs w:val="17"/>
          <w:b w:val="1"/>
          <w:bCs w:val="1"/>
          <w:color w:val="auto"/>
        </w:rPr>
        <w:t>San Clemente, California 92673</w:t>
      </w:r>
    </w:p>
    <w:p>
      <w:pPr>
        <w:spacing w:after="0" w:line="11" w:lineRule="exact"/>
        <w:rPr>
          <w:sz w:val="24"/>
          <w:szCs w:val="24"/>
          <w:color w:val="auto"/>
        </w:rPr>
      </w:pPr>
    </w:p>
    <w:p>
      <w:pPr>
        <w:jc w:val="center"/>
        <w:ind w:right="-879"/>
        <w:spacing w:after="0"/>
        <w:rPr>
          <w:sz w:val="20"/>
          <w:szCs w:val="20"/>
          <w:color w:val="auto"/>
        </w:rPr>
      </w:pPr>
      <w:r>
        <w:rPr>
          <w:rFonts w:ascii="Arial" w:cs="Arial" w:eastAsia="Arial" w:hAnsi="Arial"/>
          <w:sz w:val="17"/>
          <w:szCs w:val="17"/>
          <w:b w:val="1"/>
          <w:bCs w:val="1"/>
          <w:color w:val="auto"/>
        </w:rPr>
        <w:t>(949) 366-2183</w:t>
      </w:r>
    </w:p>
    <w:p>
      <w:pPr>
        <w:spacing w:after="0" w:line="6" w:lineRule="exact"/>
        <w:rPr>
          <w:sz w:val="24"/>
          <w:szCs w:val="24"/>
          <w:color w:val="auto"/>
        </w:rPr>
      </w:pPr>
    </w:p>
    <w:p>
      <w:pPr>
        <w:ind w:left="2340"/>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2924175</wp:posOffset>
            </wp:positionH>
            <wp:positionV relativeFrom="paragraph">
              <wp:posOffset>204470</wp:posOffset>
            </wp:positionV>
            <wp:extent cx="14077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07795"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879"/>
        <w:spacing w:after="0"/>
        <w:rPr>
          <w:sz w:val="20"/>
          <w:szCs w:val="20"/>
          <w:color w:val="auto"/>
        </w:rPr>
      </w:pPr>
      <w:r>
        <w:rPr>
          <w:rFonts w:ascii="Arial" w:cs="Arial" w:eastAsia="Arial" w:hAnsi="Arial"/>
          <w:sz w:val="17"/>
          <w:szCs w:val="17"/>
          <w:b w:val="1"/>
          <w:bCs w:val="1"/>
          <w:color w:val="auto"/>
        </w:rPr>
        <w:t>Scott E. Lamb</w:t>
      </w:r>
    </w:p>
    <w:p>
      <w:pPr>
        <w:spacing w:after="0" w:line="28" w:lineRule="exact"/>
        <w:rPr>
          <w:sz w:val="24"/>
          <w:szCs w:val="24"/>
          <w:color w:val="auto"/>
        </w:rPr>
      </w:pPr>
    </w:p>
    <w:p>
      <w:pPr>
        <w:jc w:val="center"/>
        <w:ind w:right="-879"/>
        <w:spacing w:after="0"/>
        <w:rPr>
          <w:sz w:val="20"/>
          <w:szCs w:val="20"/>
          <w:color w:val="auto"/>
        </w:rPr>
      </w:pPr>
      <w:r>
        <w:rPr>
          <w:rFonts w:ascii="Arial" w:cs="Arial" w:eastAsia="Arial" w:hAnsi="Arial"/>
          <w:sz w:val="17"/>
          <w:szCs w:val="17"/>
          <w:b w:val="1"/>
          <w:bCs w:val="1"/>
          <w:color w:val="auto"/>
        </w:rPr>
        <w:t>Chief Financial Officer</w:t>
      </w:r>
    </w:p>
    <w:p>
      <w:pPr>
        <w:spacing w:after="0" w:line="11" w:lineRule="exact"/>
        <w:rPr>
          <w:sz w:val="24"/>
          <w:szCs w:val="24"/>
          <w:color w:val="auto"/>
        </w:rPr>
      </w:pPr>
    </w:p>
    <w:p>
      <w:pPr>
        <w:jc w:val="center"/>
        <w:ind w:right="-879"/>
        <w:spacing w:after="0"/>
        <w:rPr>
          <w:sz w:val="20"/>
          <w:szCs w:val="20"/>
          <w:color w:val="auto"/>
        </w:rPr>
      </w:pPr>
      <w:r>
        <w:rPr>
          <w:rFonts w:ascii="Arial" w:cs="Arial" w:eastAsia="Arial" w:hAnsi="Arial"/>
          <w:sz w:val="17"/>
          <w:szCs w:val="17"/>
          <w:b w:val="1"/>
          <w:bCs w:val="1"/>
          <w:color w:val="auto"/>
        </w:rPr>
        <w:t>ICU Medical, Inc.</w:t>
      </w:r>
    </w:p>
    <w:p>
      <w:pPr>
        <w:spacing w:after="0" w:line="11" w:lineRule="exact"/>
        <w:rPr>
          <w:sz w:val="24"/>
          <w:szCs w:val="24"/>
          <w:color w:val="auto"/>
        </w:rPr>
      </w:pPr>
    </w:p>
    <w:p>
      <w:pPr>
        <w:jc w:val="center"/>
        <w:ind w:right="-879"/>
        <w:spacing w:after="0"/>
        <w:rPr>
          <w:sz w:val="20"/>
          <w:szCs w:val="20"/>
          <w:color w:val="auto"/>
        </w:rPr>
      </w:pPr>
      <w:r>
        <w:rPr>
          <w:rFonts w:ascii="Arial" w:cs="Arial" w:eastAsia="Arial" w:hAnsi="Arial"/>
          <w:sz w:val="17"/>
          <w:szCs w:val="17"/>
          <w:b w:val="1"/>
          <w:bCs w:val="1"/>
          <w:color w:val="auto"/>
        </w:rPr>
        <w:t>951 Calle Amanecer</w:t>
      </w:r>
    </w:p>
    <w:p>
      <w:pPr>
        <w:spacing w:after="0" w:line="11" w:lineRule="exact"/>
        <w:rPr>
          <w:sz w:val="24"/>
          <w:szCs w:val="24"/>
          <w:color w:val="auto"/>
        </w:rPr>
      </w:pPr>
    </w:p>
    <w:p>
      <w:pPr>
        <w:jc w:val="center"/>
        <w:ind w:right="-879"/>
        <w:spacing w:after="0"/>
        <w:rPr>
          <w:sz w:val="20"/>
          <w:szCs w:val="20"/>
          <w:color w:val="auto"/>
        </w:rPr>
      </w:pPr>
      <w:r>
        <w:rPr>
          <w:rFonts w:ascii="Arial" w:cs="Arial" w:eastAsia="Arial" w:hAnsi="Arial"/>
          <w:sz w:val="17"/>
          <w:szCs w:val="17"/>
          <w:b w:val="1"/>
          <w:bCs w:val="1"/>
          <w:color w:val="auto"/>
        </w:rPr>
        <w:t>San Clemente, California 92673</w:t>
      </w:r>
    </w:p>
    <w:p>
      <w:pPr>
        <w:spacing w:after="0" w:line="11" w:lineRule="exact"/>
        <w:rPr>
          <w:sz w:val="24"/>
          <w:szCs w:val="24"/>
          <w:color w:val="auto"/>
        </w:rPr>
      </w:pPr>
    </w:p>
    <w:p>
      <w:pPr>
        <w:jc w:val="center"/>
        <w:ind w:right="-879"/>
        <w:spacing w:after="0"/>
        <w:rPr>
          <w:sz w:val="20"/>
          <w:szCs w:val="20"/>
          <w:color w:val="auto"/>
        </w:rPr>
      </w:pPr>
      <w:r>
        <w:rPr>
          <w:rFonts w:ascii="Arial" w:cs="Arial" w:eastAsia="Arial" w:hAnsi="Arial"/>
          <w:sz w:val="17"/>
          <w:szCs w:val="17"/>
          <w:b w:val="1"/>
          <w:bCs w:val="1"/>
          <w:color w:val="auto"/>
        </w:rPr>
        <w:t>(949) 366-2183</w:t>
      </w:r>
    </w:p>
    <w:p>
      <w:pPr>
        <w:spacing w:after="0" w:line="6" w:lineRule="exact"/>
        <w:rPr>
          <w:sz w:val="24"/>
          <w:szCs w:val="24"/>
          <w:color w:val="auto"/>
        </w:rPr>
      </w:pPr>
    </w:p>
    <w:p>
      <w:pPr>
        <w:ind w:left="2980"/>
        <w:spacing w:after="0"/>
        <w:rPr>
          <w:sz w:val="20"/>
          <w:szCs w:val="20"/>
          <w:color w:val="auto"/>
        </w:rPr>
      </w:pPr>
      <w:r>
        <w:rPr>
          <w:rFonts w:ascii="Arial" w:cs="Arial" w:eastAsia="Arial" w:hAnsi="Arial"/>
          <w:sz w:val="14"/>
          <w:szCs w:val="14"/>
          <w:b w:val="1"/>
          <w:bCs w:val="1"/>
          <w:color w:val="auto"/>
        </w:rPr>
        <w:t>(Address,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2924175</wp:posOffset>
            </wp:positionH>
            <wp:positionV relativeFrom="paragraph">
              <wp:posOffset>212725</wp:posOffset>
            </wp:positionV>
            <wp:extent cx="14077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07795" cy="8255"/>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879"/>
        <w:spacing w:after="0"/>
        <w:rPr>
          <w:sz w:val="20"/>
          <w:szCs w:val="20"/>
          <w:color w:val="auto"/>
        </w:rPr>
      </w:pPr>
      <w:r>
        <w:rPr>
          <w:rFonts w:ascii="Arial" w:cs="Arial" w:eastAsia="Arial" w:hAnsi="Arial"/>
          <w:sz w:val="17"/>
          <w:szCs w:val="17"/>
          <w:b w:val="1"/>
          <w:bCs w:val="1"/>
          <w:i w:val="1"/>
          <w:iCs w:val="1"/>
          <w:color w:val="auto"/>
        </w:rPr>
        <w:t>Copies to</w:t>
      </w:r>
      <w:r>
        <w:rPr>
          <w:rFonts w:ascii="Arial" w:cs="Arial" w:eastAsia="Arial" w:hAnsi="Arial"/>
          <w:sz w:val="17"/>
          <w:szCs w:val="17"/>
          <w:b w:val="1"/>
          <w:bCs w:val="1"/>
          <w:color w:val="auto"/>
        </w:rPr>
        <w:t>:</w:t>
      </w:r>
    </w:p>
    <w:p>
      <w:pPr>
        <w:spacing w:after="0" w:line="114" w:lineRule="exact"/>
        <w:rPr>
          <w:sz w:val="24"/>
          <w:szCs w:val="24"/>
          <w:color w:val="auto"/>
        </w:rPr>
      </w:pPr>
    </w:p>
    <w:p>
      <w:pPr>
        <w:jc w:val="center"/>
        <w:ind w:right="-879"/>
        <w:spacing w:after="0"/>
        <w:rPr>
          <w:sz w:val="20"/>
          <w:szCs w:val="20"/>
          <w:color w:val="auto"/>
        </w:rPr>
      </w:pPr>
      <w:r>
        <w:rPr>
          <w:rFonts w:ascii="Arial" w:cs="Arial" w:eastAsia="Arial" w:hAnsi="Arial"/>
          <w:sz w:val="17"/>
          <w:szCs w:val="17"/>
          <w:b w:val="1"/>
          <w:bCs w:val="1"/>
          <w:color w:val="auto"/>
        </w:rPr>
        <w:t>Thomas W. Christopher, Esq.</w:t>
      </w:r>
    </w:p>
    <w:p>
      <w:pPr>
        <w:spacing w:after="0" w:line="28" w:lineRule="exact"/>
        <w:rPr>
          <w:sz w:val="24"/>
          <w:szCs w:val="24"/>
          <w:color w:val="auto"/>
        </w:rPr>
      </w:pPr>
    </w:p>
    <w:p>
      <w:pPr>
        <w:jc w:val="center"/>
        <w:ind w:right="-879"/>
        <w:spacing w:after="0"/>
        <w:rPr>
          <w:sz w:val="20"/>
          <w:szCs w:val="20"/>
          <w:color w:val="auto"/>
        </w:rPr>
      </w:pPr>
      <w:r>
        <w:rPr>
          <w:rFonts w:ascii="Arial" w:cs="Arial" w:eastAsia="Arial" w:hAnsi="Arial"/>
          <w:sz w:val="17"/>
          <w:szCs w:val="17"/>
          <w:b w:val="1"/>
          <w:bCs w:val="1"/>
          <w:color w:val="auto"/>
        </w:rPr>
        <w:t>Charles K. Ruck, Esq.</w:t>
      </w:r>
    </w:p>
    <w:p>
      <w:pPr>
        <w:spacing w:after="0" w:line="11" w:lineRule="exact"/>
        <w:rPr>
          <w:sz w:val="24"/>
          <w:szCs w:val="24"/>
          <w:color w:val="auto"/>
        </w:rPr>
      </w:pPr>
    </w:p>
    <w:p>
      <w:pPr>
        <w:jc w:val="center"/>
        <w:ind w:right="-879"/>
        <w:spacing w:after="0"/>
        <w:rPr>
          <w:sz w:val="20"/>
          <w:szCs w:val="20"/>
          <w:color w:val="auto"/>
        </w:rPr>
      </w:pPr>
      <w:r>
        <w:rPr>
          <w:rFonts w:ascii="Arial" w:cs="Arial" w:eastAsia="Arial" w:hAnsi="Arial"/>
          <w:sz w:val="17"/>
          <w:szCs w:val="17"/>
          <w:b w:val="1"/>
          <w:bCs w:val="1"/>
          <w:color w:val="auto"/>
        </w:rPr>
        <w:t>Daniel E. Rees, Esq.</w:t>
      </w:r>
    </w:p>
    <w:p>
      <w:pPr>
        <w:spacing w:after="0" w:line="11" w:lineRule="exact"/>
        <w:rPr>
          <w:sz w:val="24"/>
          <w:szCs w:val="24"/>
          <w:color w:val="auto"/>
        </w:rPr>
      </w:pPr>
    </w:p>
    <w:p>
      <w:pPr>
        <w:jc w:val="center"/>
        <w:ind w:right="-879"/>
        <w:spacing w:after="0"/>
        <w:rPr>
          <w:sz w:val="20"/>
          <w:szCs w:val="20"/>
          <w:color w:val="auto"/>
        </w:rPr>
      </w:pPr>
      <w:r>
        <w:rPr>
          <w:rFonts w:ascii="Arial" w:cs="Arial" w:eastAsia="Arial" w:hAnsi="Arial"/>
          <w:sz w:val="17"/>
          <w:szCs w:val="17"/>
          <w:b w:val="1"/>
          <w:bCs w:val="1"/>
          <w:color w:val="auto"/>
        </w:rPr>
        <w:t>Latham &amp; Watkins LLP</w:t>
      </w:r>
    </w:p>
    <w:p>
      <w:pPr>
        <w:spacing w:after="0" w:line="11" w:lineRule="exact"/>
        <w:rPr>
          <w:sz w:val="24"/>
          <w:szCs w:val="24"/>
          <w:color w:val="auto"/>
        </w:rPr>
      </w:pPr>
    </w:p>
    <w:p>
      <w:pPr>
        <w:jc w:val="center"/>
        <w:ind w:right="-879"/>
        <w:spacing w:after="0"/>
        <w:rPr>
          <w:sz w:val="20"/>
          <w:szCs w:val="20"/>
          <w:color w:val="auto"/>
        </w:rPr>
      </w:pPr>
      <w:r>
        <w:rPr>
          <w:rFonts w:ascii="Arial" w:cs="Arial" w:eastAsia="Arial" w:hAnsi="Arial"/>
          <w:sz w:val="17"/>
          <w:szCs w:val="17"/>
          <w:b w:val="1"/>
          <w:bCs w:val="1"/>
          <w:color w:val="auto"/>
        </w:rPr>
        <w:t>885 Third Avenue</w:t>
      </w:r>
    </w:p>
    <w:p>
      <w:pPr>
        <w:spacing w:after="0" w:line="11" w:lineRule="exact"/>
        <w:rPr>
          <w:sz w:val="24"/>
          <w:szCs w:val="24"/>
          <w:color w:val="auto"/>
        </w:rPr>
      </w:pPr>
    </w:p>
    <w:p>
      <w:pPr>
        <w:jc w:val="center"/>
        <w:ind w:right="-879"/>
        <w:spacing w:after="0"/>
        <w:rPr>
          <w:sz w:val="20"/>
          <w:szCs w:val="20"/>
          <w:color w:val="auto"/>
        </w:rPr>
      </w:pPr>
      <w:r>
        <w:rPr>
          <w:rFonts w:ascii="Arial" w:cs="Arial" w:eastAsia="Arial" w:hAnsi="Arial"/>
          <w:sz w:val="17"/>
          <w:szCs w:val="17"/>
          <w:b w:val="1"/>
          <w:bCs w:val="1"/>
          <w:color w:val="auto"/>
        </w:rPr>
        <w:t>New York, NY 10022</w:t>
      </w:r>
    </w:p>
    <w:p>
      <w:pPr>
        <w:spacing w:after="0" w:line="11" w:lineRule="exact"/>
        <w:rPr>
          <w:sz w:val="24"/>
          <w:szCs w:val="24"/>
          <w:color w:val="auto"/>
        </w:rPr>
      </w:pPr>
    </w:p>
    <w:p>
      <w:pPr>
        <w:jc w:val="center"/>
        <w:ind w:right="-879"/>
        <w:spacing w:after="0"/>
        <w:rPr>
          <w:sz w:val="20"/>
          <w:szCs w:val="20"/>
          <w:color w:val="auto"/>
        </w:rPr>
      </w:pPr>
      <w:r>
        <w:rPr>
          <w:rFonts w:ascii="Arial" w:cs="Arial" w:eastAsia="Arial" w:hAnsi="Arial"/>
          <w:sz w:val="17"/>
          <w:szCs w:val="17"/>
          <w:b w:val="1"/>
          <w:bCs w:val="1"/>
          <w:color w:val="auto"/>
        </w:rPr>
        <w:t>(212) 906-1200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2924175</wp:posOffset>
            </wp:positionH>
            <wp:positionV relativeFrom="paragraph">
              <wp:posOffset>220980</wp:posOffset>
            </wp:positionV>
            <wp:extent cx="14077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07795" cy="8255"/>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left="460"/>
        <w:spacing w:after="0"/>
        <w:rPr>
          <w:sz w:val="20"/>
          <w:szCs w:val="20"/>
          <w:color w:val="auto"/>
        </w:rPr>
      </w:pPr>
      <w:r>
        <w:rPr>
          <w:rFonts w:ascii="Arial" w:cs="Arial" w:eastAsia="Arial" w:hAnsi="Arial"/>
          <w:sz w:val="15"/>
          <w:szCs w:val="15"/>
          <w:b w:val="1"/>
          <w:bCs w:val="1"/>
          <w:color w:val="auto"/>
        </w:rPr>
        <w:t xml:space="preserve">Approximate date of commencement of proposed sale to the public: </w:t>
      </w:r>
      <w:r>
        <w:rPr>
          <w:rFonts w:ascii="Arial" w:cs="Arial" w:eastAsia="Arial" w:hAnsi="Arial"/>
          <w:sz w:val="15"/>
          <w:szCs w:val="15"/>
          <w:color w:val="auto"/>
        </w:rPr>
        <w:t>From time to time after the effective date of this registration statement.</w:t>
      </w:r>
    </w:p>
    <w:p>
      <w:pPr>
        <w:sectPr>
          <w:pgSz w:w="11900" w:h="16838" w:orient="portrait"/>
          <w:cols w:equalWidth="0" w:num="1">
            <w:col w:w="10540"/>
          </w:cols>
          <w:pgMar w:left="240" w:top="225" w:right="1119" w:bottom="1440" w:gutter="0" w:footer="0" w:header="0"/>
        </w:sectPr>
      </w:pPr>
    </w:p>
    <w:bookmarkStart w:id="1" w:name="page2"/>
    <w:bookmarkEnd w:id="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right="380"/>
        <w:spacing w:after="0" w:line="222" w:lineRule="exact"/>
        <w:rPr>
          <w:sz w:val="20"/>
          <w:szCs w:val="20"/>
          <w:color w:val="auto"/>
        </w:rPr>
      </w:pPr>
      <w:r>
        <w:rPr>
          <w:rFonts w:ascii="Arial" w:cs="Arial" w:eastAsia="Arial" w:hAnsi="Arial"/>
          <w:sz w:val="17"/>
          <w:szCs w:val="17"/>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7"/>
          <w:szCs w:val="17"/>
          <w:color w:val="auto"/>
        </w:rPr>
        <w:t>☐</w:t>
      </w:r>
    </w:p>
    <w:p>
      <w:pPr>
        <w:spacing w:after="0" w:line="176" w:lineRule="exact"/>
        <w:rPr>
          <w:sz w:val="20"/>
          <w:szCs w:val="20"/>
          <w:color w:val="auto"/>
        </w:rPr>
      </w:pPr>
    </w:p>
    <w:p>
      <w:pPr>
        <w:ind w:left="460" w:right="100"/>
        <w:spacing w:after="0" w:line="222" w:lineRule="exact"/>
        <w:rPr>
          <w:sz w:val="20"/>
          <w:szCs w:val="20"/>
          <w:color w:val="auto"/>
        </w:rPr>
      </w:pPr>
      <w:r>
        <w:rPr>
          <w:rFonts w:ascii="Arial" w:cs="Arial" w:eastAsia="Arial" w:hAnsi="Arial"/>
          <w:sz w:val="16"/>
          <w:szCs w:val="16"/>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6"/>
          <w:szCs w:val="16"/>
          <w:color w:val="auto"/>
        </w:rPr>
        <w:t>☒</w:t>
      </w:r>
    </w:p>
    <w:p>
      <w:pPr>
        <w:spacing w:after="0" w:line="176" w:lineRule="exact"/>
        <w:rPr>
          <w:sz w:val="20"/>
          <w:szCs w:val="20"/>
          <w:color w:val="auto"/>
        </w:rPr>
      </w:pPr>
    </w:p>
    <w:p>
      <w:pPr>
        <w:ind w:left="460" w:right="100"/>
        <w:spacing w:after="0" w:line="222" w:lineRule="exact"/>
        <w:rPr>
          <w:sz w:val="20"/>
          <w:szCs w:val="20"/>
          <w:color w:val="auto"/>
        </w:rPr>
      </w:pPr>
      <w:r>
        <w:rPr>
          <w:rFonts w:ascii="Arial" w:cs="Arial" w:eastAsia="Arial" w:hAnsi="Arial"/>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176" w:lineRule="exact"/>
        <w:rPr>
          <w:sz w:val="20"/>
          <w:szCs w:val="20"/>
          <w:color w:val="auto"/>
        </w:rPr>
      </w:pPr>
    </w:p>
    <w:p>
      <w:pPr>
        <w:ind w:left="460" w:right="320"/>
        <w:spacing w:after="0" w:line="222" w:lineRule="exact"/>
        <w:rPr>
          <w:sz w:val="20"/>
          <w:szCs w:val="20"/>
          <w:color w:val="auto"/>
        </w:rPr>
      </w:pPr>
      <w:r>
        <w:rPr>
          <w:rFonts w:ascii="Arial" w:cs="Arial" w:eastAsia="Arial" w:hAnsi="Arial"/>
          <w:sz w:val="17"/>
          <w:szCs w:val="17"/>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176" w:lineRule="exact"/>
        <w:rPr>
          <w:sz w:val="20"/>
          <w:szCs w:val="20"/>
          <w:color w:val="auto"/>
        </w:rPr>
      </w:pPr>
    </w:p>
    <w:p>
      <w:pPr>
        <w:ind w:left="460" w:right="60"/>
        <w:spacing w:after="0" w:line="222" w:lineRule="exact"/>
        <w:rPr>
          <w:sz w:val="20"/>
          <w:szCs w:val="20"/>
          <w:color w:val="auto"/>
        </w:rPr>
      </w:pPr>
      <w:r>
        <w:rPr>
          <w:rFonts w:ascii="Arial" w:cs="Arial" w:eastAsia="Arial" w:hAnsi="Arial"/>
          <w:sz w:val="17"/>
          <w:szCs w:val="17"/>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7"/>
          <w:szCs w:val="17"/>
          <w:color w:val="auto"/>
        </w:rPr>
        <w:t>☒</w:t>
      </w:r>
    </w:p>
    <w:p>
      <w:pPr>
        <w:spacing w:after="0" w:line="176" w:lineRule="exact"/>
        <w:rPr>
          <w:sz w:val="20"/>
          <w:szCs w:val="20"/>
          <w:color w:val="auto"/>
        </w:rPr>
      </w:pPr>
    </w:p>
    <w:p>
      <w:pPr>
        <w:ind w:left="460" w:right="220"/>
        <w:spacing w:after="0" w:line="222" w:lineRule="exact"/>
        <w:rPr>
          <w:sz w:val="20"/>
          <w:szCs w:val="20"/>
          <w:color w:val="auto"/>
        </w:rPr>
      </w:pPr>
      <w:r>
        <w:rPr>
          <w:rFonts w:ascii="Arial" w:cs="Arial" w:eastAsia="Arial" w:hAnsi="Arial"/>
          <w:sz w:val="17"/>
          <w:szCs w:val="17"/>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7"/>
          <w:szCs w:val="17"/>
          <w:color w:val="auto"/>
        </w:rPr>
        <w:t>☐</w:t>
      </w:r>
    </w:p>
    <w:p>
      <w:pPr>
        <w:spacing w:after="0" w:line="176" w:lineRule="exact"/>
        <w:rPr>
          <w:sz w:val="20"/>
          <w:szCs w:val="20"/>
          <w:color w:val="auto"/>
        </w:rPr>
      </w:pPr>
    </w:p>
    <w:p>
      <w:pPr>
        <w:ind w:left="460" w:right="140"/>
        <w:spacing w:after="0" w:line="266"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269"/>
        </w:trPr>
        <w:tc>
          <w:tcPr>
            <w:tcW w:w="182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3160" w:type="dxa"/>
            <w:vAlign w:val="bottom"/>
          </w:tcPr>
          <w:p>
            <w:pPr>
              <w:ind w:left="300"/>
              <w:spacing w:after="0" w:line="171" w:lineRule="exact"/>
              <w:rPr>
                <w:sz w:val="20"/>
                <w:szCs w:val="20"/>
                <w:color w:val="auto"/>
              </w:rPr>
            </w:pPr>
            <w:r>
              <w:rPr>
                <w:rFonts w:ascii="MS PGothic" w:cs="MS PGothic" w:eastAsia="MS PGothic" w:hAnsi="MS PGothic"/>
                <w:sz w:val="17"/>
                <w:szCs w:val="17"/>
                <w:color w:val="auto"/>
              </w:rPr>
              <w:t>☒</w:t>
            </w:r>
          </w:p>
        </w:tc>
        <w:tc>
          <w:tcPr>
            <w:tcW w:w="4960" w:type="dxa"/>
            <w:vAlign w:val="bottom"/>
          </w:tcPr>
          <w:p>
            <w:pPr>
              <w:ind w:left="2720"/>
              <w:spacing w:after="0"/>
              <w:rPr>
                <w:sz w:val="20"/>
                <w:szCs w:val="20"/>
                <w:color w:val="auto"/>
              </w:rPr>
            </w:pPr>
            <w:r>
              <w:rPr>
                <w:rFonts w:ascii="Arial" w:cs="Arial" w:eastAsia="Arial" w:hAnsi="Arial"/>
                <w:sz w:val="17"/>
                <w:szCs w:val="17"/>
                <w:color w:val="auto"/>
              </w:rPr>
              <w:t>Accelerated filer</w:t>
            </w:r>
          </w:p>
        </w:tc>
        <w:tc>
          <w:tcPr>
            <w:tcW w:w="520" w:type="dxa"/>
            <w:vAlign w:val="bottom"/>
          </w:tcPr>
          <w:p>
            <w:pPr>
              <w:ind w:left="3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09"/>
        </w:trPr>
        <w:tc>
          <w:tcPr>
            <w:tcW w:w="1820" w:type="dxa"/>
            <w:vAlign w:val="bottom"/>
          </w:tcPr>
          <w:p>
            <w:pPr>
              <w:spacing w:after="0"/>
              <w:rPr>
                <w:sz w:val="20"/>
                <w:szCs w:val="20"/>
                <w:color w:val="auto"/>
              </w:rPr>
            </w:pPr>
            <w:r>
              <w:rPr>
                <w:rFonts w:ascii="Arial" w:cs="Arial" w:eastAsia="Arial" w:hAnsi="Arial"/>
                <w:sz w:val="17"/>
                <w:szCs w:val="17"/>
                <w:color w:val="auto"/>
              </w:rPr>
              <w:t>Non-accelerated filer</w:t>
            </w:r>
          </w:p>
        </w:tc>
        <w:tc>
          <w:tcPr>
            <w:tcW w:w="3160" w:type="dxa"/>
            <w:vAlign w:val="bottom"/>
          </w:tcPr>
          <w:p>
            <w:pPr>
              <w:ind w:left="300"/>
              <w:spacing w:after="0" w:line="171" w:lineRule="exact"/>
              <w:rPr>
                <w:sz w:val="20"/>
                <w:szCs w:val="20"/>
                <w:color w:val="auto"/>
              </w:rPr>
            </w:pPr>
            <w:r>
              <w:rPr>
                <w:rFonts w:ascii="MS PGothic" w:cs="MS PGothic" w:eastAsia="MS PGothic" w:hAnsi="MS PGothic"/>
                <w:sz w:val="17"/>
                <w:szCs w:val="17"/>
                <w:color w:val="auto"/>
              </w:rPr>
              <w:t>☐</w:t>
            </w:r>
          </w:p>
        </w:tc>
        <w:tc>
          <w:tcPr>
            <w:tcW w:w="4960" w:type="dxa"/>
            <w:vAlign w:val="bottom"/>
          </w:tcPr>
          <w:p>
            <w:pPr>
              <w:ind w:left="2720"/>
              <w:spacing w:after="0"/>
              <w:rPr>
                <w:sz w:val="20"/>
                <w:szCs w:val="20"/>
                <w:color w:val="auto"/>
              </w:rPr>
            </w:pPr>
            <w:r>
              <w:rPr>
                <w:rFonts w:ascii="Arial" w:cs="Arial" w:eastAsia="Arial" w:hAnsi="Arial"/>
                <w:sz w:val="17"/>
                <w:szCs w:val="17"/>
                <w:color w:val="auto"/>
              </w:rPr>
              <w:t>Smaller reporting company</w:t>
            </w:r>
          </w:p>
        </w:tc>
        <w:tc>
          <w:tcPr>
            <w:tcW w:w="520" w:type="dxa"/>
            <w:vAlign w:val="bottom"/>
          </w:tcPr>
          <w:p>
            <w:pPr>
              <w:ind w:left="3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09"/>
        </w:trPr>
        <w:tc>
          <w:tcPr>
            <w:tcW w:w="18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4960" w:type="dxa"/>
            <w:vAlign w:val="bottom"/>
          </w:tcPr>
          <w:p>
            <w:pPr>
              <w:ind w:left="2720"/>
              <w:spacing w:after="0"/>
              <w:rPr>
                <w:sz w:val="20"/>
                <w:szCs w:val="20"/>
                <w:color w:val="auto"/>
              </w:rPr>
            </w:pPr>
            <w:r>
              <w:rPr>
                <w:rFonts w:ascii="Arial" w:cs="Arial" w:eastAsia="Arial" w:hAnsi="Arial"/>
                <w:sz w:val="17"/>
                <w:szCs w:val="17"/>
                <w:color w:val="auto"/>
              </w:rPr>
              <w:t>Emerging growth company</w:t>
            </w:r>
          </w:p>
        </w:tc>
        <w:tc>
          <w:tcPr>
            <w:tcW w:w="520" w:type="dxa"/>
            <w:vAlign w:val="bottom"/>
          </w:tcPr>
          <w:p>
            <w:pPr>
              <w:ind w:left="36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175" w:lineRule="exact"/>
        <w:rPr>
          <w:sz w:val="20"/>
          <w:szCs w:val="20"/>
          <w:color w:val="auto"/>
        </w:rPr>
      </w:pPr>
    </w:p>
    <w:p>
      <w:pPr>
        <w:ind w:left="460" w:right="280"/>
        <w:spacing w:after="0" w:line="222"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2924175</wp:posOffset>
            </wp:positionH>
            <wp:positionV relativeFrom="paragraph">
              <wp:posOffset>209550</wp:posOffset>
            </wp:positionV>
            <wp:extent cx="14077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07795" cy="825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ind w:left="4060"/>
        <w:spacing w:after="0"/>
        <w:rPr>
          <w:sz w:val="20"/>
          <w:szCs w:val="20"/>
          <w:color w:val="auto"/>
        </w:rPr>
      </w:pPr>
      <w:r>
        <w:rPr>
          <w:rFonts w:ascii="Arial" w:cs="Arial" w:eastAsia="Arial" w:hAnsi="Arial"/>
          <w:sz w:val="17"/>
          <w:szCs w:val="17"/>
          <w:b w:val="1"/>
          <w:bCs w:val="1"/>
          <w:color w:val="auto"/>
        </w:rPr>
        <w:t>CALCULATION OF REGISTRATION FEE</w:t>
      </w:r>
    </w:p>
    <w:p>
      <w:pPr>
        <w:spacing w:after="0" w:line="87" w:lineRule="exact"/>
        <w:rPr>
          <w:sz w:val="20"/>
          <w:szCs w:val="20"/>
          <w:color w:val="auto"/>
        </w:rPr>
      </w:pPr>
    </w:p>
    <w:tbl>
      <w:tblPr>
        <w:tblLayout w:type="fixed"/>
        <w:tblInd w:w="460" w:type="dxa"/>
        <w:tblCellMar>
          <w:top w:w="0" w:type="dxa"/>
          <w:left w:w="0" w:type="dxa"/>
          <w:bottom w:w="0" w:type="dxa"/>
          <w:right w:w="0" w:type="dxa"/>
        </w:tblCellMar>
      </w:tblPr>
      <w:tr>
        <w:trPr>
          <w:trHeight w:val="40"/>
        </w:trPr>
        <w:tc>
          <w:tcPr>
            <w:tcW w:w="3800" w:type="dxa"/>
            <w:vAlign w:val="bottom"/>
            <w:tcBorders>
              <w:top w:val="single" w:sz="8" w:color="auto"/>
              <w:bottom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1680" w:type="dxa"/>
            <w:vAlign w:val="bottom"/>
            <w:tcBorders>
              <w:top w:val="single" w:sz="8" w:color="auto"/>
              <w:bottom w:val="single" w:sz="8" w:color="auto"/>
            </w:tcBorders>
          </w:tcPr>
          <w:p>
            <w:pPr>
              <w:spacing w:after="0"/>
              <w:rPr>
                <w:sz w:val="3"/>
                <w:szCs w:val="3"/>
                <w:color w:val="auto"/>
              </w:rPr>
            </w:pPr>
          </w:p>
        </w:tc>
        <w:tc>
          <w:tcPr>
            <w:tcW w:w="1680" w:type="dxa"/>
            <w:vAlign w:val="bottom"/>
            <w:tcBorders>
              <w:top w:val="single" w:sz="8" w:color="auto"/>
              <w:bottom w:val="single" w:sz="8" w:color="auto"/>
            </w:tcBorders>
          </w:tcPr>
          <w:p>
            <w:pPr>
              <w:spacing w:after="0"/>
              <w:rPr>
                <w:sz w:val="3"/>
                <w:szCs w:val="3"/>
                <w:color w:val="auto"/>
              </w:rPr>
            </w:pPr>
          </w:p>
        </w:tc>
        <w:tc>
          <w:tcPr>
            <w:tcW w:w="166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98"/>
        </w:trPr>
        <w:tc>
          <w:tcPr>
            <w:tcW w:w="3800" w:type="dxa"/>
            <w:vAlign w:val="bottom"/>
            <w:tcBorders>
              <w:right w:val="single" w:sz="8" w:color="auto"/>
            </w:tcBorders>
          </w:tcPr>
          <w:p>
            <w:pPr>
              <w:spacing w:after="0"/>
              <w:rPr>
                <w:sz w:val="8"/>
                <w:szCs w:val="8"/>
                <w:color w:val="auto"/>
              </w:rPr>
            </w:pPr>
          </w:p>
        </w:tc>
        <w:tc>
          <w:tcPr>
            <w:tcW w:w="1700" w:type="dxa"/>
            <w:vAlign w:val="bottom"/>
            <w:tcBorders>
              <w:right w:val="single" w:sz="8" w:color="auto"/>
            </w:tcBorders>
            <w:vMerge w:val="restart"/>
          </w:tcPr>
          <w:p>
            <w:pPr>
              <w:jc w:val="center"/>
              <w:ind w:left="27"/>
              <w:spacing w:after="0"/>
              <w:rPr>
                <w:sz w:val="20"/>
                <w:szCs w:val="20"/>
                <w:color w:val="auto"/>
              </w:rPr>
            </w:pPr>
            <w:r>
              <w:rPr>
                <w:rFonts w:ascii="Arial" w:cs="Arial" w:eastAsia="Arial" w:hAnsi="Arial"/>
                <w:sz w:val="14"/>
                <w:szCs w:val="14"/>
                <w:b w:val="1"/>
                <w:bCs w:val="1"/>
                <w:color w:val="auto"/>
                <w:w w:val="90"/>
              </w:rPr>
              <w:t>Amount</w:t>
            </w:r>
          </w:p>
        </w:tc>
        <w:tc>
          <w:tcPr>
            <w:tcW w:w="168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b w:val="1"/>
                <w:bCs w:val="1"/>
                <w:color w:val="auto"/>
              </w:rPr>
              <w:t>Proposed</w:t>
            </w:r>
          </w:p>
        </w:tc>
        <w:tc>
          <w:tcPr>
            <w:tcW w:w="168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b w:val="1"/>
                <w:bCs w:val="1"/>
                <w:color w:val="auto"/>
              </w:rPr>
              <w:t>Proposed</w:t>
            </w:r>
          </w:p>
        </w:tc>
        <w:tc>
          <w:tcPr>
            <w:tcW w:w="1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3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5"/>
              </w:rPr>
              <w:t>Title of each class of</w:t>
            </w:r>
          </w:p>
        </w:tc>
        <w:tc>
          <w:tcPr>
            <w:tcW w:w="1700" w:type="dxa"/>
            <w:vAlign w:val="bottom"/>
            <w:tcBorders>
              <w:right w:val="single" w:sz="8" w:color="auto"/>
            </w:tcBorders>
            <w:vMerge w:val="continue"/>
          </w:tcPr>
          <w:p>
            <w:pPr>
              <w:spacing w:after="0"/>
              <w:rPr>
                <w:sz w:val="12"/>
                <w:szCs w:val="12"/>
                <w:color w:val="auto"/>
              </w:rPr>
            </w:pPr>
          </w:p>
        </w:tc>
        <w:tc>
          <w:tcPr>
            <w:tcW w:w="1680" w:type="dxa"/>
            <w:vAlign w:val="bottom"/>
            <w:tcBorders>
              <w:right w:val="single" w:sz="8" w:color="auto"/>
            </w:tcBorders>
          </w:tcPr>
          <w:p>
            <w:pPr>
              <w:jc w:val="center"/>
              <w:ind w:left="10"/>
              <w:spacing w:after="0" w:line="139" w:lineRule="exact"/>
              <w:rPr>
                <w:sz w:val="20"/>
                <w:szCs w:val="20"/>
                <w:color w:val="auto"/>
              </w:rPr>
            </w:pPr>
            <w:r>
              <w:rPr>
                <w:rFonts w:ascii="Arial" w:cs="Arial" w:eastAsia="Arial" w:hAnsi="Arial"/>
                <w:sz w:val="14"/>
                <w:szCs w:val="14"/>
                <w:b w:val="1"/>
                <w:bCs w:val="1"/>
                <w:color w:val="auto"/>
                <w:w w:val="91"/>
              </w:rPr>
              <w:t>maximum</w:t>
            </w:r>
          </w:p>
        </w:tc>
        <w:tc>
          <w:tcPr>
            <w:tcW w:w="1680" w:type="dxa"/>
            <w:vAlign w:val="bottom"/>
            <w:tcBorders>
              <w:right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88"/>
              </w:rPr>
              <w:t>maximum</w:t>
            </w:r>
          </w:p>
        </w:tc>
        <w:tc>
          <w:tcPr>
            <w:tcW w:w="1660" w:type="dxa"/>
            <w:vAlign w:val="bottom"/>
            <w:vMerge w:val="restart"/>
          </w:tcPr>
          <w:p>
            <w:pPr>
              <w:jc w:val="center"/>
              <w:ind w:left="6"/>
              <w:spacing w:after="0"/>
              <w:rPr>
                <w:sz w:val="20"/>
                <w:szCs w:val="20"/>
                <w:color w:val="auto"/>
              </w:rPr>
            </w:pPr>
            <w:r>
              <w:rPr>
                <w:rFonts w:ascii="Arial" w:cs="Arial" w:eastAsia="Arial" w:hAnsi="Arial"/>
                <w:sz w:val="14"/>
                <w:szCs w:val="14"/>
                <w:b w:val="1"/>
                <w:bCs w:val="1"/>
                <w:color w:val="auto"/>
                <w:w w:val="88"/>
              </w:rPr>
              <w:t>Amount of</w:t>
            </w:r>
          </w:p>
        </w:tc>
        <w:tc>
          <w:tcPr>
            <w:tcW w:w="0" w:type="dxa"/>
            <w:vAlign w:val="bottom"/>
          </w:tcPr>
          <w:p>
            <w:pPr>
              <w:spacing w:after="0"/>
              <w:rPr>
                <w:sz w:val="1"/>
                <w:szCs w:val="1"/>
                <w:color w:val="auto"/>
              </w:rPr>
            </w:pPr>
          </w:p>
        </w:tc>
      </w:tr>
      <w:tr>
        <w:trPr>
          <w:trHeight w:val="142"/>
        </w:trPr>
        <w:tc>
          <w:tcPr>
            <w:tcW w:w="3800" w:type="dxa"/>
            <w:vAlign w:val="bottom"/>
            <w:tcBorders>
              <w:right w:val="single" w:sz="8" w:color="auto"/>
            </w:tcBorders>
            <w:vMerge w:val="continue"/>
          </w:tcPr>
          <w:p>
            <w:pPr>
              <w:spacing w:after="0"/>
              <w:rPr>
                <w:sz w:val="12"/>
                <w:szCs w:val="12"/>
                <w:color w:val="auto"/>
              </w:rPr>
            </w:pPr>
          </w:p>
        </w:tc>
        <w:tc>
          <w:tcPr>
            <w:tcW w:w="1700" w:type="dxa"/>
            <w:vAlign w:val="bottom"/>
            <w:tcBorders>
              <w:right w:val="single" w:sz="8" w:color="auto"/>
            </w:tcBorders>
          </w:tcPr>
          <w:p>
            <w:pPr>
              <w:jc w:val="center"/>
              <w:ind w:left="27"/>
              <w:spacing w:after="0" w:line="142" w:lineRule="exact"/>
              <w:rPr>
                <w:sz w:val="20"/>
                <w:szCs w:val="20"/>
                <w:color w:val="auto"/>
              </w:rPr>
            </w:pPr>
            <w:r>
              <w:rPr>
                <w:rFonts w:ascii="Arial" w:cs="Arial" w:eastAsia="Arial" w:hAnsi="Arial"/>
                <w:sz w:val="14"/>
                <w:szCs w:val="14"/>
                <w:b w:val="1"/>
                <w:bCs w:val="1"/>
                <w:color w:val="auto"/>
                <w:w w:val="83"/>
              </w:rPr>
              <w:t>to be</w:t>
            </w:r>
          </w:p>
        </w:tc>
        <w:tc>
          <w:tcPr>
            <w:tcW w:w="1680" w:type="dxa"/>
            <w:vAlign w:val="bottom"/>
            <w:tcBorders>
              <w:right w:val="single" w:sz="8" w:color="auto"/>
            </w:tcBorders>
          </w:tcPr>
          <w:p>
            <w:pPr>
              <w:jc w:val="center"/>
              <w:ind w:left="10"/>
              <w:spacing w:after="0" w:line="142" w:lineRule="exact"/>
              <w:rPr>
                <w:sz w:val="20"/>
                <w:szCs w:val="20"/>
                <w:color w:val="auto"/>
              </w:rPr>
            </w:pPr>
            <w:r>
              <w:rPr>
                <w:rFonts w:ascii="Arial" w:cs="Arial" w:eastAsia="Arial" w:hAnsi="Arial"/>
                <w:sz w:val="14"/>
                <w:szCs w:val="14"/>
                <w:b w:val="1"/>
                <w:bCs w:val="1"/>
                <w:color w:val="auto"/>
                <w:w w:val="89"/>
              </w:rPr>
              <w:t>offering price</w:t>
            </w:r>
          </w:p>
        </w:tc>
        <w:tc>
          <w:tcPr>
            <w:tcW w:w="1680" w:type="dxa"/>
            <w:vAlign w:val="bottom"/>
            <w:tcBorders>
              <w:right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6"/>
              </w:rPr>
              <w:t>aggregate</w:t>
            </w:r>
          </w:p>
        </w:tc>
        <w:tc>
          <w:tcPr>
            <w:tcW w:w="1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securities to be registered</w:t>
            </w:r>
          </w:p>
        </w:tc>
        <w:tc>
          <w:tcPr>
            <w:tcW w:w="1700" w:type="dxa"/>
            <w:vAlign w:val="bottom"/>
            <w:tcBorders>
              <w:bottom w:val="single" w:sz="8" w:color="auto"/>
              <w:right w:val="single" w:sz="8" w:color="auto"/>
            </w:tcBorders>
          </w:tcPr>
          <w:p>
            <w:pPr>
              <w:jc w:val="center"/>
              <w:ind w:left="7"/>
              <w:spacing w:after="0"/>
              <w:rPr>
                <w:sz w:val="20"/>
                <w:szCs w:val="20"/>
                <w:color w:val="auto"/>
              </w:rPr>
            </w:pPr>
            <w:r>
              <w:rPr>
                <w:rFonts w:ascii="Arial" w:cs="Arial" w:eastAsia="Arial" w:hAnsi="Arial"/>
                <w:sz w:val="14"/>
                <w:szCs w:val="14"/>
                <w:b w:val="1"/>
                <w:bCs w:val="1"/>
                <w:color w:val="auto"/>
                <w:w w:val="87"/>
              </w:rPr>
              <w:t>registered (1)</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per share (2)</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offering price (2)</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registration fee (2)</w:t>
            </w:r>
          </w:p>
        </w:tc>
        <w:tc>
          <w:tcPr>
            <w:tcW w:w="0" w:type="dxa"/>
            <w:vAlign w:val="bottom"/>
          </w:tcPr>
          <w:p>
            <w:pPr>
              <w:spacing w:after="0"/>
              <w:rPr>
                <w:sz w:val="1"/>
                <w:szCs w:val="1"/>
                <w:color w:val="auto"/>
              </w:rPr>
            </w:pPr>
          </w:p>
        </w:tc>
      </w:tr>
      <w:tr>
        <w:trPr>
          <w:trHeight w:val="199"/>
        </w:trPr>
        <w:tc>
          <w:tcPr>
            <w:tcW w:w="3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Common stock, par value $0.10 per share</w:t>
            </w:r>
          </w:p>
        </w:tc>
        <w:tc>
          <w:tcPr>
            <w:tcW w:w="1700" w:type="dxa"/>
            <w:vAlign w:val="bottom"/>
            <w:tcBorders>
              <w:bottom w:val="single" w:sz="8" w:color="auto"/>
              <w:right w:val="single" w:sz="8" w:color="auto"/>
            </w:tcBorders>
          </w:tcPr>
          <w:p>
            <w:pPr>
              <w:jc w:val="center"/>
              <w:ind w:left="7"/>
              <w:spacing w:after="0"/>
              <w:rPr>
                <w:sz w:val="20"/>
                <w:szCs w:val="20"/>
                <w:color w:val="auto"/>
              </w:rPr>
            </w:pPr>
            <w:r>
              <w:rPr>
                <w:rFonts w:ascii="Arial" w:cs="Arial" w:eastAsia="Arial" w:hAnsi="Arial"/>
                <w:sz w:val="17"/>
                <w:szCs w:val="17"/>
                <w:color w:val="auto"/>
                <w:w w:val="92"/>
              </w:rPr>
              <w:t>2,500,000</w:t>
            </w:r>
          </w:p>
        </w:tc>
        <w:tc>
          <w:tcPr>
            <w:tcW w:w="1680" w:type="dxa"/>
            <w:vAlign w:val="bottom"/>
            <w:tcBorders>
              <w:bottom w:val="single" w:sz="8" w:color="auto"/>
              <w:right w:val="single" w:sz="8" w:color="auto"/>
            </w:tcBorders>
          </w:tcPr>
          <w:p>
            <w:pPr>
              <w:jc w:val="center"/>
              <w:ind w:left="10"/>
              <w:spacing w:after="0"/>
              <w:rPr>
                <w:sz w:val="20"/>
                <w:szCs w:val="20"/>
                <w:color w:val="auto"/>
              </w:rPr>
            </w:pPr>
            <w:r>
              <w:rPr>
                <w:rFonts w:ascii="Arial" w:cs="Arial" w:eastAsia="Arial" w:hAnsi="Arial"/>
                <w:sz w:val="17"/>
                <w:szCs w:val="17"/>
                <w:color w:val="auto"/>
                <w:w w:val="91"/>
              </w:rPr>
              <w:t>$219.29</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0"/>
              </w:rPr>
              <w:t>$548,225,000</w:t>
            </w:r>
          </w:p>
        </w:tc>
        <w:tc>
          <w:tcPr>
            <w:tcW w:w="1660" w:type="dxa"/>
            <w:vAlign w:val="bottom"/>
            <w:tcBorders>
              <w:bottom w:val="single" w:sz="8" w:color="auto"/>
            </w:tcBorders>
          </w:tcPr>
          <w:p>
            <w:pPr>
              <w:jc w:val="center"/>
              <w:ind w:left="6"/>
              <w:spacing w:after="0"/>
              <w:rPr>
                <w:sz w:val="20"/>
                <w:szCs w:val="20"/>
                <w:color w:val="auto"/>
              </w:rPr>
            </w:pPr>
            <w:r>
              <w:rPr>
                <w:rFonts w:ascii="Arial" w:cs="Arial" w:eastAsia="Arial" w:hAnsi="Arial"/>
                <w:sz w:val="17"/>
                <w:szCs w:val="17"/>
                <w:color w:val="auto"/>
                <w:w w:val="91"/>
              </w:rPr>
              <w:t>$66,444.87</w:t>
            </w:r>
          </w:p>
        </w:tc>
        <w:tc>
          <w:tcPr>
            <w:tcW w:w="0" w:type="dxa"/>
            <w:vAlign w:val="bottom"/>
          </w:tcPr>
          <w:p>
            <w:pPr>
              <w:spacing w:after="0"/>
              <w:rPr>
                <w:sz w:val="1"/>
                <w:szCs w:val="1"/>
                <w:color w:val="auto"/>
              </w:rPr>
            </w:pPr>
          </w:p>
        </w:tc>
      </w:tr>
      <w:tr>
        <w:trPr>
          <w:trHeight w:val="20"/>
        </w:trPr>
        <w:tc>
          <w:tcPr>
            <w:tcW w:w="38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860" w:right="100" w:hanging="406"/>
        <w:spacing w:after="0" w:line="257" w:lineRule="auto"/>
        <w:tabs>
          <w:tab w:leader="none" w:pos="86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shares of common stock will be offered for resale by the selling stockholders pursuant to the prospectus contained herein. Pursuant to Rule 416 under the Securities Act of 1933, as amended, this registration statement also covers any additional securities that may be offered or issued in connection with any stock split, stock dividend or similar transaction.</w:t>
      </w:r>
    </w:p>
    <w:p>
      <w:pPr>
        <w:spacing w:after="0" w:line="1" w:lineRule="exact"/>
        <w:rPr>
          <w:rFonts w:ascii="Arial" w:cs="Arial" w:eastAsia="Arial" w:hAnsi="Arial"/>
          <w:sz w:val="17"/>
          <w:szCs w:val="17"/>
          <w:color w:val="auto"/>
        </w:rPr>
      </w:pPr>
    </w:p>
    <w:p>
      <w:pPr>
        <w:jc w:val="both"/>
        <w:ind w:left="860" w:right="120" w:hanging="406"/>
        <w:spacing w:after="0" w:line="259" w:lineRule="auto"/>
        <w:tabs>
          <w:tab w:leader="none" w:pos="860" w:val="left"/>
        </w:tabs>
        <w:numPr>
          <w:ilvl w:val="0"/>
          <w:numId w:val="1"/>
        </w:numPr>
        <w:rPr>
          <w:rFonts w:ascii="Arial" w:cs="Arial" w:eastAsia="Arial" w:hAnsi="Arial"/>
          <w:sz w:val="17"/>
          <w:szCs w:val="17"/>
          <w:color w:val="auto"/>
        </w:rPr>
      </w:pPr>
      <w:r>
        <w:rPr>
          <w:rFonts w:ascii="Arial" w:cs="Arial" w:eastAsia="Arial" w:hAnsi="Arial"/>
          <w:sz w:val="17"/>
          <w:szCs w:val="17"/>
          <w:color w:val="auto"/>
        </w:rPr>
        <w:t>Estimated solely for the purpose of calculating the registration fee in accordance with Rule 457(c) under the Securities Act of 1933, as amended, based upon the average of the high and low selling prices of the registrant’s common stock on November 13, 2018, as reported on The NASDAQ Global Select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131445</wp:posOffset>
            </wp:positionV>
            <wp:extent cx="66795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79565" cy="825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172085</wp:posOffset>
            </wp:positionV>
            <wp:extent cx="66795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79565" cy="8255"/>
                    </a:xfrm>
                    <a:prstGeom prst="rect">
                      <a:avLst/>
                    </a:prstGeom>
                    <a:noFill/>
                  </pic:spPr>
                </pic:pic>
              </a:graphicData>
            </a:graphic>
          </wp:anchor>
        </w:drawing>
      </w:r>
    </w:p>
    <w:p>
      <w:pPr>
        <w:sectPr>
          <w:pgSz w:w="11900" w:h="16838" w:orient="portrait"/>
          <w:cols w:equalWidth="0" w:num="1">
            <w:col w:w="10980"/>
          </w:cols>
          <w:pgMar w:left="240" w:top="444" w:right="679" w:bottom="1440" w:gutter="0" w:footer="0" w:header="0"/>
        </w:sectPr>
      </w:pPr>
    </w:p>
    <w:bookmarkStart w:id="2" w:name="page3"/>
    <w:bookmarkEnd w:id="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165735</wp:posOffset>
            </wp:positionV>
            <wp:extent cx="1981200" cy="548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8120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479"/>
        <w:spacing w:after="0"/>
        <w:rPr>
          <w:sz w:val="20"/>
          <w:szCs w:val="20"/>
          <w:color w:val="auto"/>
        </w:rPr>
      </w:pPr>
      <w:r>
        <w:rPr>
          <w:rFonts w:ascii="Arial" w:cs="Arial" w:eastAsia="Arial" w:hAnsi="Arial"/>
          <w:sz w:val="41"/>
          <w:szCs w:val="41"/>
          <w:b w:val="1"/>
          <w:bCs w:val="1"/>
          <w:color w:val="auto"/>
        </w:rPr>
        <w:t>ICU Medical, Inc.</w:t>
      </w:r>
    </w:p>
    <w:p>
      <w:pPr>
        <w:spacing w:after="0" w:line="230" w:lineRule="exact"/>
        <w:rPr>
          <w:sz w:val="20"/>
          <w:szCs w:val="20"/>
          <w:color w:val="auto"/>
        </w:rPr>
      </w:pPr>
    </w:p>
    <w:p>
      <w:pPr>
        <w:jc w:val="center"/>
        <w:ind w:right="-479"/>
        <w:spacing w:after="0"/>
        <w:rPr>
          <w:sz w:val="20"/>
          <w:szCs w:val="20"/>
          <w:color w:val="auto"/>
        </w:rPr>
      </w:pPr>
      <w:r>
        <w:rPr>
          <w:rFonts w:ascii="Arial" w:cs="Arial" w:eastAsia="Arial" w:hAnsi="Arial"/>
          <w:sz w:val="24"/>
          <w:szCs w:val="24"/>
          <w:b w:val="1"/>
          <w:bCs w:val="1"/>
          <w:color w:val="auto"/>
        </w:rPr>
        <w:t>Up to 2,500,000 Shares of</w:t>
      </w:r>
    </w:p>
    <w:p>
      <w:pPr>
        <w:spacing w:after="0" w:line="36" w:lineRule="exact"/>
        <w:rPr>
          <w:sz w:val="20"/>
          <w:szCs w:val="20"/>
          <w:color w:val="auto"/>
        </w:rPr>
      </w:pPr>
    </w:p>
    <w:p>
      <w:pPr>
        <w:jc w:val="center"/>
        <w:ind w:right="-479"/>
        <w:spacing w:after="0"/>
        <w:rPr>
          <w:sz w:val="20"/>
          <w:szCs w:val="20"/>
          <w:color w:val="auto"/>
        </w:rPr>
      </w:pPr>
      <w:r>
        <w:rPr>
          <w:rFonts w:ascii="Arial" w:cs="Arial" w:eastAsia="Arial" w:hAnsi="Arial"/>
          <w:sz w:val="24"/>
          <w:szCs w:val="24"/>
          <w:b w:val="1"/>
          <w:bCs w:val="1"/>
          <w:color w:val="auto"/>
        </w:rPr>
        <w:t>Common Stock</w:t>
      </w:r>
    </w:p>
    <w:p>
      <w:pPr>
        <w:spacing w:after="0" w:line="8" w:lineRule="exact"/>
        <w:rPr>
          <w:sz w:val="20"/>
          <w:szCs w:val="20"/>
          <w:color w:val="auto"/>
        </w:rPr>
      </w:pPr>
    </w:p>
    <w:p>
      <w:pPr>
        <w:jc w:val="center"/>
        <w:ind w:right="-479"/>
        <w:spacing w:after="0"/>
        <w:rPr>
          <w:sz w:val="20"/>
          <w:szCs w:val="20"/>
          <w:color w:val="auto"/>
        </w:rPr>
      </w:pPr>
      <w:r>
        <w:rPr>
          <w:rFonts w:ascii="Arial" w:cs="Arial" w:eastAsia="Arial" w:hAnsi="Arial"/>
          <w:sz w:val="24"/>
          <w:szCs w:val="24"/>
          <w:b w:val="1"/>
          <w:bCs w:val="1"/>
          <w:color w:val="auto"/>
        </w:rPr>
        <w:t>Offered by the Selling Stockholders</w:t>
      </w:r>
    </w:p>
    <w:p>
      <w:pPr>
        <w:spacing w:after="0" w:line="197" w:lineRule="exact"/>
        <w:rPr>
          <w:sz w:val="20"/>
          <w:szCs w:val="20"/>
          <w:color w:val="auto"/>
        </w:rPr>
      </w:pPr>
    </w:p>
    <w:p>
      <w:pPr>
        <w:ind w:left="460" w:firstLine="421"/>
        <w:spacing w:after="0" w:line="266" w:lineRule="auto"/>
        <w:rPr>
          <w:sz w:val="20"/>
          <w:szCs w:val="20"/>
          <w:color w:val="auto"/>
        </w:rPr>
      </w:pPr>
      <w:r>
        <w:rPr>
          <w:rFonts w:ascii="Arial" w:cs="Arial" w:eastAsia="Arial" w:hAnsi="Arial"/>
          <w:sz w:val="17"/>
          <w:szCs w:val="17"/>
          <w:color w:val="auto"/>
        </w:rPr>
        <w:t>The selling stockholders identified in this prospectus or in any prospectus supplement may offer and sell from time to time, in one or more series or issuances and on terms that will be determined at the time of the applicable offering, up to 2,500,000 shares of our common stock, par value $0.10 per share. See “Selling Stockholders.”</w:t>
      </w:r>
    </w:p>
    <w:p>
      <w:pPr>
        <w:spacing w:after="0" w:line="175" w:lineRule="exact"/>
        <w:rPr>
          <w:sz w:val="20"/>
          <w:szCs w:val="20"/>
          <w:color w:val="auto"/>
        </w:rPr>
      </w:pPr>
    </w:p>
    <w:p>
      <w:pPr>
        <w:ind w:left="460" w:right="320" w:firstLine="421"/>
        <w:spacing w:after="0" w:line="283" w:lineRule="auto"/>
        <w:rPr>
          <w:sz w:val="20"/>
          <w:szCs w:val="20"/>
          <w:color w:val="auto"/>
        </w:rPr>
      </w:pPr>
      <w:r>
        <w:rPr>
          <w:rFonts w:ascii="Arial" w:cs="Arial" w:eastAsia="Arial" w:hAnsi="Arial"/>
          <w:sz w:val="16"/>
          <w:szCs w:val="16"/>
          <w:color w:val="auto"/>
        </w:rPr>
        <w:t>This prospectus describes the general manner in which the shares of our common stock may be offered and sold by the selling stockholders identified in this prospectus. We will provide specific terms of any offering in a supplement to this prospectus. Any prospectus supplement may also add, update or change information contained in this prospectus. You should carefully read this prospectus and the applicable prospectus supplement, together with the documents we incorporate by reference, before you invest in our common stock.</w:t>
      </w:r>
    </w:p>
    <w:p>
      <w:pPr>
        <w:spacing w:after="0" w:line="164" w:lineRule="exact"/>
        <w:rPr>
          <w:sz w:val="20"/>
          <w:szCs w:val="20"/>
          <w:color w:val="auto"/>
        </w:rPr>
      </w:pPr>
    </w:p>
    <w:p>
      <w:pPr>
        <w:ind w:left="460" w:right="120" w:firstLine="421"/>
        <w:spacing w:after="0" w:line="279" w:lineRule="auto"/>
        <w:rPr>
          <w:sz w:val="20"/>
          <w:szCs w:val="20"/>
          <w:color w:val="auto"/>
        </w:rPr>
      </w:pPr>
      <w:r>
        <w:rPr>
          <w:rFonts w:ascii="Arial" w:cs="Arial" w:eastAsia="Arial" w:hAnsi="Arial"/>
          <w:sz w:val="17"/>
          <w:szCs w:val="17"/>
          <w:color w:val="auto"/>
        </w:rPr>
        <w:t>We are not offering for sale any shares of our common stock pursuant to this prospectus. We will not receive any of the proceeds from the sale of shares of our common stock by the selling stockholders.</w:t>
      </w:r>
    </w:p>
    <w:p>
      <w:pPr>
        <w:spacing w:after="0" w:line="164" w:lineRule="exact"/>
        <w:rPr>
          <w:sz w:val="20"/>
          <w:szCs w:val="20"/>
          <w:color w:val="auto"/>
        </w:rPr>
      </w:pPr>
    </w:p>
    <w:p>
      <w:pPr>
        <w:ind w:left="460" w:right="180" w:firstLine="421"/>
        <w:spacing w:after="0" w:line="279" w:lineRule="auto"/>
        <w:rPr>
          <w:sz w:val="20"/>
          <w:szCs w:val="20"/>
          <w:color w:val="auto"/>
        </w:rPr>
      </w:pPr>
      <w:r>
        <w:rPr>
          <w:rFonts w:ascii="Arial" w:cs="Arial" w:eastAsia="Arial" w:hAnsi="Arial"/>
          <w:sz w:val="17"/>
          <w:szCs w:val="17"/>
          <w:color w:val="auto"/>
        </w:rPr>
        <w:t>Our common stock is listed on The NASDAQ Global Select Market under the symbol “ICUI.” On November 13, 2018, the last sale price of our common stock as reported on The NASDAQ Global Select Market was $221.05 per share.</w:t>
      </w:r>
    </w:p>
    <w:p>
      <w:pPr>
        <w:spacing w:after="0" w:line="158" w:lineRule="exact"/>
        <w:rPr>
          <w:sz w:val="20"/>
          <w:szCs w:val="20"/>
          <w:color w:val="auto"/>
        </w:rPr>
      </w:pPr>
    </w:p>
    <w:p>
      <w:pPr>
        <w:ind w:left="460" w:right="40" w:firstLine="421"/>
        <w:spacing w:after="0" w:line="264" w:lineRule="auto"/>
        <w:rPr>
          <w:rFonts w:ascii="Arial" w:cs="Arial" w:eastAsia="Arial" w:hAnsi="Arial"/>
          <w:sz w:val="17"/>
          <w:szCs w:val="17"/>
          <w:b w:val="1"/>
          <w:bCs w:val="1"/>
          <w:color w:val="auto"/>
        </w:rPr>
      </w:pPr>
      <w:r>
        <w:rPr>
          <w:rFonts w:ascii="Arial" w:cs="Arial" w:eastAsia="Arial" w:hAnsi="Arial"/>
          <w:sz w:val="17"/>
          <w:szCs w:val="17"/>
          <w:b w:val="1"/>
          <w:bCs w:val="1"/>
          <w:color w:val="auto"/>
        </w:rPr>
        <w:t>INVESTING IN OUR COMMON STOCK INVOLVES RISKS. SEE THE “</w:t>
      </w:r>
      <w:hyperlink w:anchor="page10">
        <w:r>
          <w:rPr>
            <w:rFonts w:ascii="Arial" w:cs="Arial" w:eastAsia="Arial" w:hAnsi="Arial"/>
            <w:sz w:val="17"/>
            <w:szCs w:val="17"/>
            <w:b w:val="1"/>
            <w:bCs w:val="1"/>
            <w:i w:val="1"/>
            <w:iCs w:val="1"/>
            <w:u w:val="single" w:color="auto"/>
            <w:color w:val="0000EE"/>
          </w:rPr>
          <w:t>RISK FACTORS</w:t>
        </w:r>
      </w:hyperlink>
      <w:r>
        <w:rPr>
          <w:rFonts w:ascii="Arial" w:cs="Arial" w:eastAsia="Arial" w:hAnsi="Arial"/>
          <w:sz w:val="17"/>
          <w:szCs w:val="17"/>
          <w:b w:val="1"/>
          <w:bCs w:val="1"/>
          <w:color w:val="auto"/>
        </w:rPr>
        <w:t>” ON PAGE 6 OF THIS PROSPECTUS AND ANY SIMILAR SECTION CONTAINED IN THE APPLICABLE PROSPECTUS SUPPLEMENT AND IN THE PERIODIC REPORTS AND OTHER INFORMATION FILED WITH THE SECURITIES AND EXCHANGE COMMISSION CONCERNING FACTORS YOU SHOULD CONSIDER BEFORE INVESTING IN OUR COMMON STOCK.</w:t>
      </w:r>
    </w:p>
    <w:p>
      <w:pPr>
        <w:spacing w:after="0" w:line="171" w:lineRule="exact"/>
        <w:rPr>
          <w:sz w:val="20"/>
          <w:szCs w:val="20"/>
          <w:color w:val="auto"/>
        </w:rPr>
      </w:pPr>
    </w:p>
    <w:p>
      <w:pPr>
        <w:ind w:left="460" w:right="120" w:firstLine="421"/>
        <w:spacing w:after="0" w:line="357" w:lineRule="auto"/>
        <w:rPr>
          <w:sz w:val="20"/>
          <w:szCs w:val="20"/>
          <w:color w:val="auto"/>
        </w:rPr>
      </w:pPr>
      <w:r>
        <w:rPr>
          <w:rFonts w:ascii="Arial" w:cs="Arial" w:eastAsia="Arial" w:hAnsi="Arial"/>
          <w:sz w:val="15"/>
          <w:szCs w:val="15"/>
          <w:b w:val="1"/>
          <w:bCs w:val="1"/>
          <w:color w:val="auto"/>
        </w:rPr>
        <w:t>Neither the Securities and Exchange Commission (the “SEC”) nor any state securities commission has approved or disapproved of these securities or passed upon the adequacy or accuracy of this prospectus. Any representation to the contrary is a criminal offense.</w:t>
      </w:r>
    </w:p>
    <w:p>
      <w:pPr>
        <w:spacing w:after="0" w:line="312" w:lineRule="exact"/>
        <w:rPr>
          <w:sz w:val="20"/>
          <w:szCs w:val="20"/>
          <w:color w:val="auto"/>
        </w:rPr>
      </w:pPr>
    </w:p>
    <w:p>
      <w:pPr>
        <w:ind w:left="3900"/>
        <w:spacing w:after="0"/>
        <w:rPr>
          <w:sz w:val="20"/>
          <w:szCs w:val="20"/>
          <w:color w:val="auto"/>
        </w:rPr>
      </w:pPr>
      <w:r>
        <w:rPr>
          <w:rFonts w:ascii="Arial" w:cs="Arial" w:eastAsia="Arial" w:hAnsi="Arial"/>
          <w:sz w:val="17"/>
          <w:szCs w:val="17"/>
          <w:b w:val="1"/>
          <w:bCs w:val="1"/>
          <w:color w:val="auto"/>
        </w:rPr>
        <w:t>The date of this prospectus is November 15, 2018.</w:t>
      </w:r>
    </w:p>
    <w:p>
      <w:pPr>
        <w:sectPr>
          <w:pgSz w:w="11900" w:h="16838" w:orient="portrait"/>
          <w:cols w:equalWidth="0" w:num="1">
            <w:col w:w="10960"/>
          </w:cols>
          <w:pgMar w:left="240" w:top="444" w:right="6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95"/>
        </w:trPr>
        <w:tc>
          <w:tcPr>
            <w:tcW w:w="6880" w:type="dxa"/>
            <w:vAlign w:val="bottom"/>
            <w:gridSpan w:val="12"/>
          </w:tcPr>
          <w:p>
            <w:pPr>
              <w:spacing w:after="0"/>
              <w:rPr>
                <w:rFonts w:ascii="Arial" w:cs="Arial" w:eastAsia="Arial" w:hAnsi="Arial"/>
                <w:sz w:val="17"/>
                <w:szCs w:val="17"/>
                <w:b w:val="1"/>
                <w:bCs w:val="1"/>
                <w:color w:val="0000EE"/>
              </w:rPr>
            </w:pPr>
            <w:hyperlink w:anchor="page4">
              <w:r>
                <w:rPr>
                  <w:rFonts w:ascii="Arial" w:cs="Arial" w:eastAsia="Arial" w:hAnsi="Arial"/>
                  <w:sz w:val="17"/>
                  <w:szCs w:val="17"/>
                  <w:b w:val="1"/>
                  <w:bCs w:val="1"/>
                  <w:color w:val="0000EE"/>
                </w:rPr>
                <w:t>Table of Contents</w:t>
              </w:r>
            </w:hyperlink>
          </w:p>
        </w:tc>
        <w:tc>
          <w:tcPr>
            <w:tcW w:w="4040" w:type="dxa"/>
            <w:vAlign w:val="bottom"/>
          </w:tcPr>
          <w:p>
            <w:pPr>
              <w:spacing w:after="0"/>
              <w:rPr>
                <w:sz w:val="16"/>
                <w:szCs w:val="16"/>
                <w:color w:val="auto"/>
              </w:rPr>
            </w:pPr>
          </w:p>
        </w:tc>
      </w:tr>
      <w:tr>
        <w:trPr>
          <w:trHeight w:val="507"/>
        </w:trPr>
        <w:tc>
          <w:tcPr>
            <w:tcW w:w="46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20" w:type="dxa"/>
            <w:vAlign w:val="bottom"/>
          </w:tcPr>
          <w:p>
            <w:pPr>
              <w:ind w:left="1540"/>
              <w:spacing w:after="0"/>
              <w:rPr>
                <w:sz w:val="20"/>
                <w:szCs w:val="20"/>
                <w:color w:val="auto"/>
              </w:rPr>
            </w:pPr>
            <w:r>
              <w:rPr>
                <w:rFonts w:ascii="Arial" w:cs="Arial" w:eastAsia="Arial" w:hAnsi="Arial"/>
                <w:sz w:val="17"/>
                <w:szCs w:val="17"/>
                <w:b w:val="1"/>
                <w:bCs w:val="1"/>
                <w:color w:val="auto"/>
              </w:rPr>
              <w:t>TABLE OF CONTENTS</w:t>
            </w:r>
          </w:p>
        </w:tc>
        <w:tc>
          <w:tcPr>
            <w:tcW w:w="4040" w:type="dxa"/>
            <w:vAlign w:val="bottom"/>
          </w:tcPr>
          <w:p>
            <w:pPr>
              <w:spacing w:after="0"/>
              <w:rPr>
                <w:sz w:val="24"/>
                <w:szCs w:val="24"/>
                <w:color w:val="auto"/>
              </w:rPr>
            </w:pPr>
          </w:p>
        </w:tc>
      </w:tr>
      <w:tr>
        <w:trPr>
          <w:trHeight w:val="401"/>
        </w:trPr>
        <w:tc>
          <w:tcPr>
            <w:tcW w:w="460" w:type="dxa"/>
            <w:vAlign w:val="bottom"/>
          </w:tcPr>
          <w:p>
            <w:pPr>
              <w:spacing w:after="0"/>
              <w:rPr>
                <w:sz w:val="24"/>
                <w:szCs w:val="24"/>
                <w:color w:val="auto"/>
              </w:rPr>
            </w:pPr>
          </w:p>
        </w:tc>
        <w:tc>
          <w:tcPr>
            <w:tcW w:w="6420" w:type="dxa"/>
            <w:vAlign w:val="bottom"/>
            <w:gridSpan w:val="11"/>
          </w:tcPr>
          <w:p>
            <w:pPr>
              <w:spacing w:after="0"/>
              <w:rPr>
                <w:rFonts w:ascii="Arial" w:cs="Arial" w:eastAsia="Arial" w:hAnsi="Arial"/>
                <w:sz w:val="17"/>
                <w:szCs w:val="17"/>
                <w:color w:val="0000EE"/>
              </w:rPr>
            </w:pPr>
            <w:hyperlink w:anchor="page5">
              <w:r>
                <w:rPr>
                  <w:rFonts w:ascii="Arial" w:cs="Arial" w:eastAsia="Arial" w:hAnsi="Arial"/>
                  <w:sz w:val="17"/>
                  <w:szCs w:val="17"/>
                  <w:color w:val="0000EE"/>
                </w:rPr>
                <w:t>ABOUT THIS PROSPECTUS</w:t>
              </w:r>
            </w:hyperlink>
          </w:p>
        </w:tc>
        <w:tc>
          <w:tcPr>
            <w:tcW w:w="404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0"/>
        </w:trPr>
        <w:tc>
          <w:tcPr>
            <w:tcW w:w="46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r>
      <w:tr>
        <w:trPr>
          <w:trHeight w:val="186"/>
        </w:trPr>
        <w:tc>
          <w:tcPr>
            <w:tcW w:w="460" w:type="dxa"/>
            <w:vAlign w:val="bottom"/>
          </w:tcPr>
          <w:p>
            <w:pPr>
              <w:spacing w:after="0"/>
              <w:rPr>
                <w:sz w:val="16"/>
                <w:szCs w:val="16"/>
                <w:color w:val="auto"/>
              </w:rPr>
            </w:pPr>
          </w:p>
        </w:tc>
        <w:tc>
          <w:tcPr>
            <w:tcW w:w="2800" w:type="dxa"/>
            <w:vAlign w:val="bottom"/>
            <w:tcBorders>
              <w:bottom w:val="single" w:sz="8" w:color="0000EE"/>
            </w:tcBorders>
            <w:gridSpan w:val="10"/>
          </w:tcPr>
          <w:p>
            <w:pPr>
              <w:spacing w:after="0" w:line="186" w:lineRule="exact"/>
              <w:rPr>
                <w:rFonts w:ascii="Arial" w:cs="Arial" w:eastAsia="Arial" w:hAnsi="Arial"/>
                <w:sz w:val="17"/>
                <w:szCs w:val="17"/>
                <w:color w:val="0000EE"/>
                <w:w w:val="95"/>
              </w:rPr>
            </w:pPr>
            <w:hyperlink w:anchor="page6">
              <w:r>
                <w:rPr>
                  <w:rFonts w:ascii="Arial" w:cs="Arial" w:eastAsia="Arial" w:hAnsi="Arial"/>
                  <w:sz w:val="17"/>
                  <w:szCs w:val="17"/>
                  <w:color w:val="0000EE"/>
                  <w:w w:val="95"/>
                </w:rPr>
                <w:t>FORWARD-LOOKING STATEMENTS</w:t>
              </w:r>
            </w:hyperlink>
          </w:p>
        </w:tc>
        <w:tc>
          <w:tcPr>
            <w:tcW w:w="3620" w:type="dxa"/>
            <w:vAlign w:val="bottom"/>
          </w:tcPr>
          <w:p>
            <w:pPr>
              <w:spacing w:after="0"/>
              <w:rPr>
                <w:sz w:val="16"/>
                <w:szCs w:val="16"/>
                <w:color w:val="auto"/>
              </w:rPr>
            </w:pPr>
          </w:p>
        </w:tc>
        <w:tc>
          <w:tcPr>
            <w:tcW w:w="4040" w:type="dxa"/>
            <w:vAlign w:val="bottom"/>
          </w:tcPr>
          <w:p>
            <w:pPr>
              <w:jc w:val="right"/>
              <w:spacing w:after="0" w:line="186" w:lineRule="exact"/>
              <w:rPr>
                <w:sz w:val="20"/>
                <w:szCs w:val="20"/>
                <w:color w:val="auto"/>
              </w:rPr>
            </w:pPr>
            <w:r>
              <w:rPr>
                <w:rFonts w:ascii="Arial" w:cs="Arial" w:eastAsia="Arial" w:hAnsi="Arial"/>
                <w:sz w:val="17"/>
                <w:szCs w:val="17"/>
                <w:color w:val="auto"/>
              </w:rPr>
              <w:t>2</w:t>
            </w:r>
          </w:p>
        </w:tc>
      </w:tr>
      <w:tr>
        <w:trPr>
          <w:trHeight w:val="186"/>
        </w:trPr>
        <w:tc>
          <w:tcPr>
            <w:tcW w:w="460" w:type="dxa"/>
            <w:vAlign w:val="bottom"/>
          </w:tcPr>
          <w:p>
            <w:pPr>
              <w:spacing w:after="0"/>
              <w:rPr>
                <w:sz w:val="16"/>
                <w:szCs w:val="16"/>
                <w:color w:val="auto"/>
              </w:rPr>
            </w:pPr>
          </w:p>
        </w:tc>
        <w:tc>
          <w:tcPr>
            <w:tcW w:w="6420" w:type="dxa"/>
            <w:vAlign w:val="bottom"/>
            <w:tcBorders>
              <w:bottom w:val="single" w:sz="8" w:color="0000EE"/>
            </w:tcBorders>
            <w:gridSpan w:val="11"/>
          </w:tcPr>
          <w:p>
            <w:pPr>
              <w:spacing w:after="0" w:line="186" w:lineRule="exact"/>
              <w:rPr>
                <w:rFonts w:ascii="Arial" w:cs="Arial" w:eastAsia="Arial" w:hAnsi="Arial"/>
                <w:sz w:val="17"/>
                <w:szCs w:val="17"/>
                <w:color w:val="0000EE"/>
                <w:w w:val="97"/>
              </w:rPr>
            </w:pPr>
            <w:hyperlink w:anchor="page7">
              <w:r>
                <w:rPr>
                  <w:rFonts w:ascii="Arial" w:cs="Arial" w:eastAsia="Arial" w:hAnsi="Arial"/>
                  <w:sz w:val="17"/>
                  <w:szCs w:val="17"/>
                  <w:color w:val="0000EE"/>
                  <w:w w:val="97"/>
                </w:rPr>
                <w:t>WHERE YOU CAN FIND MORE INFORMATION; INCORPORATION BY REFERENCE</w:t>
              </w:r>
            </w:hyperlink>
          </w:p>
        </w:tc>
        <w:tc>
          <w:tcPr>
            <w:tcW w:w="4040" w:type="dxa"/>
            <w:vAlign w:val="bottom"/>
          </w:tcPr>
          <w:p>
            <w:pPr>
              <w:jc w:val="right"/>
              <w:spacing w:after="0" w:line="186" w:lineRule="exact"/>
              <w:rPr>
                <w:sz w:val="20"/>
                <w:szCs w:val="20"/>
                <w:color w:val="auto"/>
              </w:rPr>
            </w:pPr>
            <w:r>
              <w:rPr>
                <w:rFonts w:ascii="Arial" w:cs="Arial" w:eastAsia="Arial" w:hAnsi="Arial"/>
                <w:sz w:val="17"/>
                <w:szCs w:val="17"/>
                <w:color w:val="auto"/>
              </w:rPr>
              <w:t>3</w:t>
            </w:r>
          </w:p>
        </w:tc>
      </w:tr>
      <w:tr>
        <w:trPr>
          <w:trHeight w:val="186"/>
        </w:trPr>
        <w:tc>
          <w:tcPr>
            <w:tcW w:w="460" w:type="dxa"/>
            <w:vAlign w:val="bottom"/>
          </w:tcPr>
          <w:p>
            <w:pPr>
              <w:spacing w:after="0"/>
              <w:rPr>
                <w:sz w:val="16"/>
                <w:szCs w:val="16"/>
                <w:color w:val="auto"/>
              </w:rPr>
            </w:pPr>
          </w:p>
        </w:tc>
        <w:tc>
          <w:tcPr>
            <w:tcW w:w="1220" w:type="dxa"/>
            <w:vAlign w:val="bottom"/>
            <w:tcBorders>
              <w:bottom w:val="single" w:sz="8" w:color="0000EE"/>
            </w:tcBorders>
            <w:gridSpan w:val="4"/>
          </w:tcPr>
          <w:p>
            <w:pPr>
              <w:spacing w:after="0" w:line="186" w:lineRule="exact"/>
              <w:rPr>
                <w:rFonts w:ascii="Arial" w:cs="Arial" w:eastAsia="Arial" w:hAnsi="Arial"/>
                <w:sz w:val="17"/>
                <w:szCs w:val="17"/>
                <w:color w:val="0000EE"/>
                <w:w w:val="96"/>
              </w:rPr>
            </w:pPr>
            <w:hyperlink w:anchor="page9">
              <w:r>
                <w:rPr>
                  <w:rFonts w:ascii="Arial" w:cs="Arial" w:eastAsia="Arial" w:hAnsi="Arial"/>
                  <w:sz w:val="17"/>
                  <w:szCs w:val="17"/>
                  <w:color w:val="0000EE"/>
                  <w:w w:val="96"/>
                </w:rPr>
                <w:t>THE COMPANY</w:t>
              </w:r>
            </w:hyperlink>
          </w:p>
        </w:tc>
        <w:tc>
          <w:tcPr>
            <w:tcW w:w="5200" w:type="dxa"/>
            <w:vAlign w:val="bottom"/>
            <w:gridSpan w:val="7"/>
          </w:tcPr>
          <w:p>
            <w:pPr>
              <w:spacing w:after="0"/>
              <w:rPr>
                <w:sz w:val="16"/>
                <w:szCs w:val="16"/>
                <w:color w:val="auto"/>
              </w:rPr>
            </w:pPr>
          </w:p>
        </w:tc>
        <w:tc>
          <w:tcPr>
            <w:tcW w:w="4040" w:type="dxa"/>
            <w:vAlign w:val="bottom"/>
          </w:tcPr>
          <w:p>
            <w:pPr>
              <w:jc w:val="right"/>
              <w:spacing w:after="0" w:line="186" w:lineRule="exact"/>
              <w:rPr>
                <w:sz w:val="20"/>
                <w:szCs w:val="20"/>
                <w:color w:val="auto"/>
              </w:rPr>
            </w:pPr>
            <w:r>
              <w:rPr>
                <w:rFonts w:ascii="Arial" w:cs="Arial" w:eastAsia="Arial" w:hAnsi="Arial"/>
                <w:sz w:val="17"/>
                <w:szCs w:val="17"/>
                <w:color w:val="auto"/>
              </w:rPr>
              <w:t>5</w:t>
            </w:r>
          </w:p>
        </w:tc>
      </w:tr>
      <w:tr>
        <w:trPr>
          <w:trHeight w:val="186"/>
        </w:trPr>
        <w:tc>
          <w:tcPr>
            <w:tcW w:w="460" w:type="dxa"/>
            <w:vAlign w:val="bottom"/>
          </w:tcPr>
          <w:p>
            <w:pPr>
              <w:spacing w:after="0"/>
              <w:rPr>
                <w:sz w:val="16"/>
                <w:szCs w:val="16"/>
                <w:color w:val="auto"/>
              </w:rPr>
            </w:pPr>
          </w:p>
        </w:tc>
        <w:tc>
          <w:tcPr>
            <w:tcW w:w="6420" w:type="dxa"/>
            <w:vAlign w:val="bottom"/>
            <w:gridSpan w:val="11"/>
          </w:tcPr>
          <w:p>
            <w:pPr>
              <w:spacing w:after="0" w:line="186" w:lineRule="exact"/>
              <w:rPr>
                <w:rFonts w:ascii="Arial" w:cs="Arial" w:eastAsia="Arial" w:hAnsi="Arial"/>
                <w:sz w:val="17"/>
                <w:szCs w:val="17"/>
                <w:color w:val="0000EE"/>
              </w:rPr>
            </w:pPr>
            <w:hyperlink w:anchor="page10">
              <w:r>
                <w:rPr>
                  <w:rFonts w:ascii="Arial" w:cs="Arial" w:eastAsia="Arial" w:hAnsi="Arial"/>
                  <w:sz w:val="17"/>
                  <w:szCs w:val="17"/>
                  <w:color w:val="0000EE"/>
                </w:rPr>
                <w:t>RISK FACTORS</w:t>
              </w:r>
            </w:hyperlink>
          </w:p>
        </w:tc>
        <w:tc>
          <w:tcPr>
            <w:tcW w:w="4040" w:type="dxa"/>
            <w:vAlign w:val="bottom"/>
          </w:tcPr>
          <w:p>
            <w:pPr>
              <w:jc w:val="right"/>
              <w:spacing w:after="0" w:line="186" w:lineRule="exact"/>
              <w:rPr>
                <w:sz w:val="20"/>
                <w:szCs w:val="20"/>
                <w:color w:val="auto"/>
              </w:rPr>
            </w:pPr>
            <w:r>
              <w:rPr>
                <w:rFonts w:ascii="Arial" w:cs="Arial" w:eastAsia="Arial" w:hAnsi="Arial"/>
                <w:sz w:val="17"/>
                <w:szCs w:val="17"/>
                <w:color w:val="auto"/>
              </w:rPr>
              <w:t>6</w:t>
            </w:r>
          </w:p>
        </w:tc>
      </w:tr>
      <w:tr>
        <w:trPr>
          <w:trHeight w:val="20"/>
        </w:trPr>
        <w:tc>
          <w:tcPr>
            <w:tcW w:w="46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80" w:type="dxa"/>
            <w:vAlign w:val="bottom"/>
            <w:gridSpan w:val="2"/>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r>
      <w:tr>
        <w:trPr>
          <w:trHeight w:val="186"/>
        </w:trPr>
        <w:tc>
          <w:tcPr>
            <w:tcW w:w="460" w:type="dxa"/>
            <w:vAlign w:val="bottom"/>
          </w:tcPr>
          <w:p>
            <w:pPr>
              <w:spacing w:after="0"/>
              <w:rPr>
                <w:sz w:val="16"/>
                <w:szCs w:val="16"/>
                <w:color w:val="auto"/>
              </w:rPr>
            </w:pPr>
          </w:p>
        </w:tc>
        <w:tc>
          <w:tcPr>
            <w:tcW w:w="6420" w:type="dxa"/>
            <w:vAlign w:val="bottom"/>
            <w:gridSpan w:val="11"/>
          </w:tcPr>
          <w:p>
            <w:pPr>
              <w:spacing w:after="0" w:line="186" w:lineRule="exact"/>
              <w:rPr>
                <w:rFonts w:ascii="Arial" w:cs="Arial" w:eastAsia="Arial" w:hAnsi="Arial"/>
                <w:sz w:val="17"/>
                <w:szCs w:val="17"/>
                <w:color w:val="0000EE"/>
              </w:rPr>
            </w:pPr>
            <w:hyperlink w:anchor="page11">
              <w:r>
                <w:rPr>
                  <w:rFonts w:ascii="Arial" w:cs="Arial" w:eastAsia="Arial" w:hAnsi="Arial"/>
                  <w:sz w:val="17"/>
                  <w:szCs w:val="17"/>
                  <w:color w:val="0000EE"/>
                </w:rPr>
                <w:t>USE OF PROCEEDS</w:t>
              </w:r>
            </w:hyperlink>
          </w:p>
        </w:tc>
        <w:tc>
          <w:tcPr>
            <w:tcW w:w="4040" w:type="dxa"/>
            <w:vAlign w:val="bottom"/>
          </w:tcPr>
          <w:p>
            <w:pPr>
              <w:jc w:val="right"/>
              <w:spacing w:after="0" w:line="186" w:lineRule="exact"/>
              <w:rPr>
                <w:sz w:val="20"/>
                <w:szCs w:val="20"/>
                <w:color w:val="auto"/>
              </w:rPr>
            </w:pPr>
            <w:r>
              <w:rPr>
                <w:rFonts w:ascii="Arial" w:cs="Arial" w:eastAsia="Arial" w:hAnsi="Arial"/>
                <w:sz w:val="17"/>
                <w:szCs w:val="17"/>
                <w:color w:val="auto"/>
              </w:rPr>
              <w:t>7</w:t>
            </w:r>
          </w:p>
        </w:tc>
      </w:tr>
      <w:tr>
        <w:trPr>
          <w:trHeight w:val="20"/>
        </w:trPr>
        <w:tc>
          <w:tcPr>
            <w:tcW w:w="46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80" w:type="dxa"/>
            <w:vAlign w:val="bottom"/>
            <w:gridSpan w:val="2"/>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r>
      <w:tr>
        <w:trPr>
          <w:trHeight w:val="186"/>
        </w:trPr>
        <w:tc>
          <w:tcPr>
            <w:tcW w:w="460" w:type="dxa"/>
            <w:vAlign w:val="bottom"/>
          </w:tcPr>
          <w:p>
            <w:pPr>
              <w:spacing w:after="0"/>
              <w:rPr>
                <w:sz w:val="16"/>
                <w:szCs w:val="16"/>
                <w:color w:val="auto"/>
              </w:rPr>
            </w:pPr>
          </w:p>
        </w:tc>
        <w:tc>
          <w:tcPr>
            <w:tcW w:w="2740" w:type="dxa"/>
            <w:vAlign w:val="bottom"/>
            <w:tcBorders>
              <w:bottom w:val="single" w:sz="8" w:color="0000EE"/>
            </w:tcBorders>
            <w:gridSpan w:val="9"/>
          </w:tcPr>
          <w:p>
            <w:pPr>
              <w:spacing w:after="0" w:line="186" w:lineRule="exact"/>
              <w:rPr>
                <w:rFonts w:ascii="Arial" w:cs="Arial" w:eastAsia="Arial" w:hAnsi="Arial"/>
                <w:sz w:val="17"/>
                <w:szCs w:val="17"/>
                <w:color w:val="0000EE"/>
                <w:w w:val="95"/>
              </w:rPr>
            </w:pPr>
            <w:hyperlink w:anchor="page12">
              <w:r>
                <w:rPr>
                  <w:rFonts w:ascii="Arial" w:cs="Arial" w:eastAsia="Arial" w:hAnsi="Arial"/>
                  <w:sz w:val="17"/>
                  <w:szCs w:val="17"/>
                  <w:color w:val="0000EE"/>
                  <w:w w:val="95"/>
                </w:rPr>
                <w:t>DESCRIPTION OF CAPITAL STOCK</w:t>
              </w:r>
            </w:hyperlink>
          </w:p>
        </w:tc>
        <w:tc>
          <w:tcPr>
            <w:tcW w:w="3680" w:type="dxa"/>
            <w:vAlign w:val="bottom"/>
            <w:gridSpan w:val="2"/>
          </w:tcPr>
          <w:p>
            <w:pPr>
              <w:spacing w:after="0"/>
              <w:rPr>
                <w:sz w:val="16"/>
                <w:szCs w:val="16"/>
                <w:color w:val="auto"/>
              </w:rPr>
            </w:pPr>
          </w:p>
        </w:tc>
        <w:tc>
          <w:tcPr>
            <w:tcW w:w="4040" w:type="dxa"/>
            <w:vAlign w:val="bottom"/>
          </w:tcPr>
          <w:p>
            <w:pPr>
              <w:jc w:val="right"/>
              <w:spacing w:after="0" w:line="186" w:lineRule="exact"/>
              <w:rPr>
                <w:sz w:val="20"/>
                <w:szCs w:val="20"/>
                <w:color w:val="auto"/>
              </w:rPr>
            </w:pPr>
            <w:r>
              <w:rPr>
                <w:rFonts w:ascii="Arial" w:cs="Arial" w:eastAsia="Arial" w:hAnsi="Arial"/>
                <w:sz w:val="17"/>
                <w:szCs w:val="17"/>
                <w:color w:val="auto"/>
              </w:rPr>
              <w:t>8</w:t>
            </w:r>
          </w:p>
        </w:tc>
      </w:tr>
      <w:tr>
        <w:trPr>
          <w:trHeight w:val="186"/>
        </w:trPr>
        <w:tc>
          <w:tcPr>
            <w:tcW w:w="460" w:type="dxa"/>
            <w:vAlign w:val="bottom"/>
          </w:tcPr>
          <w:p>
            <w:pPr>
              <w:spacing w:after="0"/>
              <w:rPr>
                <w:sz w:val="16"/>
                <w:szCs w:val="16"/>
                <w:color w:val="auto"/>
              </w:rPr>
            </w:pPr>
          </w:p>
        </w:tc>
        <w:tc>
          <w:tcPr>
            <w:tcW w:w="6420" w:type="dxa"/>
            <w:vAlign w:val="bottom"/>
            <w:gridSpan w:val="11"/>
          </w:tcPr>
          <w:p>
            <w:pPr>
              <w:spacing w:after="0" w:line="186" w:lineRule="exact"/>
              <w:rPr>
                <w:rFonts w:ascii="Arial" w:cs="Arial" w:eastAsia="Arial" w:hAnsi="Arial"/>
                <w:sz w:val="17"/>
                <w:szCs w:val="17"/>
                <w:color w:val="0000EE"/>
              </w:rPr>
            </w:pPr>
            <w:hyperlink w:anchor="page14">
              <w:r>
                <w:rPr>
                  <w:rFonts w:ascii="Arial" w:cs="Arial" w:eastAsia="Arial" w:hAnsi="Arial"/>
                  <w:sz w:val="17"/>
                  <w:szCs w:val="17"/>
                  <w:color w:val="0000EE"/>
                </w:rPr>
                <w:t>SELLING STOCKHOLDERS</w:t>
              </w:r>
            </w:hyperlink>
          </w:p>
        </w:tc>
        <w:tc>
          <w:tcPr>
            <w:tcW w:w="4040" w:type="dxa"/>
            <w:vAlign w:val="bottom"/>
          </w:tcPr>
          <w:p>
            <w:pPr>
              <w:jc w:val="right"/>
              <w:spacing w:after="0" w:line="186" w:lineRule="exact"/>
              <w:rPr>
                <w:sz w:val="20"/>
                <w:szCs w:val="20"/>
                <w:color w:val="auto"/>
              </w:rPr>
            </w:pPr>
            <w:r>
              <w:rPr>
                <w:rFonts w:ascii="Arial" w:cs="Arial" w:eastAsia="Arial" w:hAnsi="Arial"/>
                <w:sz w:val="17"/>
                <w:szCs w:val="17"/>
                <w:color w:val="auto"/>
              </w:rPr>
              <w:t>10</w:t>
            </w:r>
          </w:p>
        </w:tc>
      </w:tr>
      <w:tr>
        <w:trPr>
          <w:trHeight w:val="186"/>
        </w:trPr>
        <w:tc>
          <w:tcPr>
            <w:tcW w:w="460" w:type="dxa"/>
            <w:vAlign w:val="bottom"/>
          </w:tcPr>
          <w:p>
            <w:pPr>
              <w:spacing w:after="0"/>
              <w:rPr>
                <w:sz w:val="16"/>
                <w:szCs w:val="16"/>
                <w:color w:val="auto"/>
              </w:rPr>
            </w:pPr>
          </w:p>
        </w:tc>
        <w:tc>
          <w:tcPr>
            <w:tcW w:w="1960" w:type="dxa"/>
            <w:vAlign w:val="bottom"/>
            <w:tcBorders>
              <w:top w:val="single" w:sz="8" w:color="0000EE"/>
              <w:bottom w:val="single" w:sz="8" w:color="0000EE"/>
            </w:tcBorders>
            <w:gridSpan w:val="7"/>
          </w:tcPr>
          <w:p>
            <w:pPr>
              <w:spacing w:after="0" w:line="186" w:lineRule="exact"/>
              <w:rPr>
                <w:rFonts w:ascii="Arial" w:cs="Arial" w:eastAsia="Arial" w:hAnsi="Arial"/>
                <w:sz w:val="17"/>
                <w:szCs w:val="17"/>
                <w:color w:val="0000EE"/>
                <w:w w:val="98"/>
              </w:rPr>
            </w:pPr>
            <w:hyperlink w:anchor="page18">
              <w:r>
                <w:rPr>
                  <w:rFonts w:ascii="Arial" w:cs="Arial" w:eastAsia="Arial" w:hAnsi="Arial"/>
                  <w:sz w:val="17"/>
                  <w:szCs w:val="17"/>
                  <w:color w:val="0000EE"/>
                  <w:w w:val="98"/>
                </w:rPr>
                <w:t>PLAN OF DISTRIBUTION</w:t>
              </w:r>
            </w:hyperlink>
          </w:p>
        </w:tc>
        <w:tc>
          <w:tcPr>
            <w:tcW w:w="160" w:type="dxa"/>
            <w:vAlign w:val="bottom"/>
            <w:tcBorders>
              <w:top w:val="single" w:sz="8" w:color="0000EE"/>
            </w:tcBorders>
          </w:tcPr>
          <w:p>
            <w:pPr>
              <w:spacing w:after="0"/>
              <w:rPr>
                <w:sz w:val="16"/>
                <w:szCs w:val="16"/>
                <w:color w:val="auto"/>
              </w:rPr>
            </w:pPr>
          </w:p>
        </w:tc>
        <w:tc>
          <w:tcPr>
            <w:tcW w:w="4300" w:type="dxa"/>
            <w:vAlign w:val="bottom"/>
            <w:gridSpan w:val="3"/>
          </w:tcPr>
          <w:p>
            <w:pPr>
              <w:spacing w:after="0"/>
              <w:rPr>
                <w:sz w:val="16"/>
                <w:szCs w:val="16"/>
                <w:color w:val="auto"/>
              </w:rPr>
            </w:pPr>
          </w:p>
        </w:tc>
        <w:tc>
          <w:tcPr>
            <w:tcW w:w="4040" w:type="dxa"/>
            <w:vAlign w:val="bottom"/>
          </w:tcPr>
          <w:p>
            <w:pPr>
              <w:jc w:val="right"/>
              <w:spacing w:after="0" w:line="186" w:lineRule="exact"/>
              <w:rPr>
                <w:sz w:val="20"/>
                <w:szCs w:val="20"/>
                <w:color w:val="auto"/>
              </w:rPr>
            </w:pPr>
            <w:r>
              <w:rPr>
                <w:rFonts w:ascii="Arial" w:cs="Arial" w:eastAsia="Arial" w:hAnsi="Arial"/>
                <w:sz w:val="17"/>
                <w:szCs w:val="17"/>
                <w:color w:val="auto"/>
              </w:rPr>
              <w:t>14</w:t>
            </w:r>
          </w:p>
        </w:tc>
      </w:tr>
      <w:tr>
        <w:trPr>
          <w:trHeight w:val="186"/>
        </w:trPr>
        <w:tc>
          <w:tcPr>
            <w:tcW w:w="460" w:type="dxa"/>
            <w:vAlign w:val="bottom"/>
          </w:tcPr>
          <w:p>
            <w:pPr>
              <w:spacing w:after="0"/>
              <w:rPr>
                <w:sz w:val="16"/>
                <w:szCs w:val="16"/>
                <w:color w:val="auto"/>
              </w:rPr>
            </w:pPr>
          </w:p>
        </w:tc>
        <w:tc>
          <w:tcPr>
            <w:tcW w:w="6420" w:type="dxa"/>
            <w:vAlign w:val="bottom"/>
            <w:gridSpan w:val="11"/>
          </w:tcPr>
          <w:p>
            <w:pPr>
              <w:spacing w:after="0" w:line="186" w:lineRule="exact"/>
              <w:rPr>
                <w:rFonts w:ascii="Arial" w:cs="Arial" w:eastAsia="Arial" w:hAnsi="Arial"/>
                <w:sz w:val="17"/>
                <w:szCs w:val="17"/>
                <w:color w:val="0000EE"/>
              </w:rPr>
            </w:pPr>
            <w:hyperlink w:anchor="page20">
              <w:r>
                <w:rPr>
                  <w:rFonts w:ascii="Arial" w:cs="Arial" w:eastAsia="Arial" w:hAnsi="Arial"/>
                  <w:sz w:val="17"/>
                  <w:szCs w:val="17"/>
                  <w:color w:val="0000EE"/>
                </w:rPr>
                <w:t>LEGAL MATTERS</w:t>
              </w:r>
            </w:hyperlink>
          </w:p>
        </w:tc>
        <w:tc>
          <w:tcPr>
            <w:tcW w:w="4040" w:type="dxa"/>
            <w:vAlign w:val="bottom"/>
          </w:tcPr>
          <w:p>
            <w:pPr>
              <w:jc w:val="right"/>
              <w:spacing w:after="0" w:line="186" w:lineRule="exact"/>
              <w:rPr>
                <w:sz w:val="20"/>
                <w:szCs w:val="20"/>
                <w:color w:val="auto"/>
              </w:rPr>
            </w:pPr>
            <w:r>
              <w:rPr>
                <w:rFonts w:ascii="Arial" w:cs="Arial" w:eastAsia="Arial" w:hAnsi="Arial"/>
                <w:sz w:val="17"/>
                <w:szCs w:val="17"/>
                <w:color w:val="auto"/>
              </w:rPr>
              <w:t>16</w:t>
            </w:r>
          </w:p>
        </w:tc>
      </w:tr>
      <w:tr>
        <w:trPr>
          <w:trHeight w:val="186"/>
        </w:trPr>
        <w:tc>
          <w:tcPr>
            <w:tcW w:w="460" w:type="dxa"/>
            <w:vAlign w:val="bottom"/>
          </w:tcPr>
          <w:p>
            <w:pPr>
              <w:spacing w:after="0"/>
              <w:rPr>
                <w:sz w:val="16"/>
                <w:szCs w:val="16"/>
                <w:color w:val="auto"/>
              </w:rPr>
            </w:pPr>
          </w:p>
        </w:tc>
        <w:tc>
          <w:tcPr>
            <w:tcW w:w="1380" w:type="dxa"/>
            <w:vAlign w:val="bottom"/>
            <w:tcBorders>
              <w:top w:val="single" w:sz="8" w:color="0000EE"/>
            </w:tcBorders>
            <w:gridSpan w:val="5"/>
          </w:tcPr>
          <w:p>
            <w:pPr>
              <w:spacing w:after="0" w:line="186" w:lineRule="exact"/>
              <w:rPr>
                <w:rFonts w:ascii="Arial" w:cs="Arial" w:eastAsia="Arial" w:hAnsi="Arial"/>
                <w:sz w:val="17"/>
                <w:szCs w:val="17"/>
                <w:color w:val="0000EE"/>
              </w:rPr>
            </w:pPr>
            <w:hyperlink w:anchor="page20">
              <w:r>
                <w:rPr>
                  <w:rFonts w:ascii="Arial" w:cs="Arial" w:eastAsia="Arial" w:hAnsi="Arial"/>
                  <w:sz w:val="17"/>
                  <w:szCs w:val="17"/>
                  <w:color w:val="0000EE"/>
                </w:rPr>
                <w:t>EXPERTS</w:t>
              </w:r>
            </w:hyperlink>
          </w:p>
        </w:tc>
        <w:tc>
          <w:tcPr>
            <w:tcW w:w="5040" w:type="dxa"/>
            <w:vAlign w:val="bottom"/>
            <w:gridSpan w:val="6"/>
          </w:tcPr>
          <w:p>
            <w:pPr>
              <w:spacing w:after="0"/>
              <w:rPr>
                <w:sz w:val="16"/>
                <w:szCs w:val="16"/>
                <w:color w:val="auto"/>
              </w:rPr>
            </w:pPr>
          </w:p>
        </w:tc>
        <w:tc>
          <w:tcPr>
            <w:tcW w:w="4040" w:type="dxa"/>
            <w:vAlign w:val="bottom"/>
          </w:tcPr>
          <w:p>
            <w:pPr>
              <w:jc w:val="right"/>
              <w:spacing w:after="0" w:line="186" w:lineRule="exact"/>
              <w:rPr>
                <w:sz w:val="20"/>
                <w:szCs w:val="20"/>
                <w:color w:val="auto"/>
              </w:rPr>
            </w:pPr>
            <w:r>
              <w:rPr>
                <w:rFonts w:ascii="Arial" w:cs="Arial" w:eastAsia="Arial" w:hAnsi="Arial"/>
                <w:sz w:val="17"/>
                <w:szCs w:val="17"/>
                <w:color w:val="auto"/>
              </w:rPr>
              <w:t>16</w:t>
            </w:r>
          </w:p>
        </w:tc>
      </w:tr>
      <w:tr>
        <w:trPr>
          <w:trHeight w:val="20"/>
        </w:trPr>
        <w:tc>
          <w:tcPr>
            <w:tcW w:w="46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r>
    </w:tbl>
    <w:p>
      <w:pPr>
        <w:spacing w:after="0" w:line="15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p>
    <w:p>
      <w:pPr>
        <w:jc w:val="center"/>
        <w:ind w:right="-499"/>
        <w:spacing w:after="0"/>
        <w:rPr>
          <w:sz w:val="20"/>
          <w:szCs w:val="20"/>
          <w:color w:val="auto"/>
        </w:rPr>
      </w:pPr>
      <w:r>
        <w:rPr>
          <w:rFonts w:ascii="Arial" w:cs="Arial" w:eastAsia="Arial" w:hAnsi="Arial"/>
          <w:sz w:val="17"/>
          <w:szCs w:val="17"/>
          <w:color w:val="auto"/>
        </w:rPr>
        <w:t>i</w:t>
      </w:r>
    </w:p>
    <w:p>
      <w:pPr>
        <w:sectPr>
          <w:pgSz w:w="11900" w:h="16838" w:orient="portrait"/>
          <w:cols w:equalWidth="0" w:num="1">
            <w:col w:w="10920"/>
          </w:cols>
          <w:pgMar w:left="240" w:top="434" w:right="739" w:bottom="1440" w:gutter="0" w:footer="0" w:header="0"/>
        </w:sectPr>
      </w:pPr>
    </w:p>
    <w:bookmarkStart w:id="4" w:name="page5"/>
    <w:bookmarkEnd w:id="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ABOUT THIS PROSPECTUS</w:t>
      </w:r>
    </w:p>
    <w:p>
      <w:pPr>
        <w:spacing w:after="0" w:line="223" w:lineRule="exact"/>
        <w:rPr>
          <w:sz w:val="20"/>
          <w:szCs w:val="20"/>
          <w:color w:val="auto"/>
        </w:rPr>
      </w:pPr>
    </w:p>
    <w:p>
      <w:pPr>
        <w:ind w:left="460" w:firstLine="421"/>
        <w:spacing w:after="0" w:line="293" w:lineRule="auto"/>
        <w:rPr>
          <w:sz w:val="20"/>
          <w:szCs w:val="20"/>
          <w:color w:val="auto"/>
        </w:rPr>
      </w:pPr>
      <w:r>
        <w:rPr>
          <w:rFonts w:ascii="Arial" w:cs="Arial" w:eastAsia="Arial" w:hAnsi="Arial"/>
          <w:sz w:val="15"/>
          <w:szCs w:val="15"/>
          <w:color w:val="auto"/>
        </w:rPr>
        <w:t>This prospectus is part of a registration statement that we filed with the U.S. Securities and Exchange Commission (the “SEC”) as a “well-known seasoned issuer” as defined in Rule 405 under the Securities Act of 1933, as amended (the “Securities Act”), using a “shelf” registration process. By using a shelf registration statement, the selling stockholders identified in this prospectus may, from time to time, sell up to 2,500,000 shares of common stock in one or more offerings as described in this prospectus. Each time the selling stockholders offer and sell securities, the selling stockholders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 or free writing prospectus may also add, update or change information contained in this prospectus with respect to that offering. If there is any inconsistency between the information in this prospectus and the applicable prospectus supplement or free writing prospectus, you should rely on the prospectus supplement or free writing prospectus, as applicable. Before purchasing any securities, you should carefully read both this prospectus and the applicable prospectus supplement (and any applicable free writing prospectuses), together with the additional information described under the heading “Where You Can Find More Information; Incorporation by Reference.”</w:t>
      </w:r>
    </w:p>
    <w:p>
      <w:pPr>
        <w:spacing w:after="0" w:line="159" w:lineRule="exact"/>
        <w:rPr>
          <w:sz w:val="20"/>
          <w:szCs w:val="20"/>
          <w:color w:val="auto"/>
        </w:rPr>
      </w:pPr>
    </w:p>
    <w:p>
      <w:pPr>
        <w:ind w:left="460" w:firstLine="421"/>
        <w:spacing w:after="0" w:line="271" w:lineRule="auto"/>
        <w:rPr>
          <w:sz w:val="20"/>
          <w:szCs w:val="20"/>
          <w:color w:val="auto"/>
        </w:rPr>
      </w:pPr>
      <w:r>
        <w:rPr>
          <w:rFonts w:ascii="Arial" w:cs="Arial" w:eastAsia="Arial" w:hAnsi="Arial"/>
          <w:sz w:val="16"/>
          <w:szCs w:val="16"/>
          <w:color w:val="auto"/>
        </w:rPr>
        <w:t>Neither we, nor the selling stockholders, have authorized anyone to provide you with any information or to make any representations other than those contained in this prospectus, any applicable prospectus supplement or any free writing prospectuses prepared by or on behalf of us or to which we have referred you. We and the selling stockholders take no responsibility for, and can provide no assurance as to the reliability of, any other information that others may give you. The selling stockholders will not make an offer to sell these securities in any jurisdiction where the offer or sale is not permitted or in which the person making such offer or sale is not qualified to do so or to anyone whom it is unlawful to make an offer or sale. You should assume that the information appearing in this prospectus and any applicable prospectus supplement to this prospectus is accurate only as of the date on its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any prospectus supplement or any applicable free writing prospectus may involve estimates, assumptions and other risks and uncertainties and are subject to change based on various factors, including those discussed under the heading “Risk Factors” contained in this prospectus, the applicable prospectus supplement and any applicable free writing prospectus, and under similar headings in other documents that are incorporated by reference into this prospectus. Accordingly, investors should not place undue reliance on this information.</w:t>
      </w:r>
    </w:p>
    <w:p>
      <w:pPr>
        <w:spacing w:after="0" w:line="181" w:lineRule="exact"/>
        <w:rPr>
          <w:sz w:val="20"/>
          <w:szCs w:val="20"/>
          <w:color w:val="auto"/>
        </w:rPr>
      </w:pPr>
    </w:p>
    <w:p>
      <w:pPr>
        <w:ind w:left="460" w:right="200" w:firstLine="421"/>
        <w:spacing w:after="0" w:line="279" w:lineRule="auto"/>
        <w:rPr>
          <w:sz w:val="20"/>
          <w:szCs w:val="20"/>
          <w:color w:val="auto"/>
        </w:rPr>
      </w:pPr>
      <w:r>
        <w:rPr>
          <w:rFonts w:ascii="Arial" w:cs="Arial" w:eastAsia="Arial" w:hAnsi="Arial"/>
          <w:sz w:val="17"/>
          <w:szCs w:val="17"/>
          <w:color w:val="auto"/>
        </w:rPr>
        <w:t>When we refer to “we,” “our,” “us” and the “Company” in this prospectus, we mean ICU Medical, Inc. and its consolidated subsidiaries, unless otherwise specified. When we refer to “you,” we mean the potential holders of our common stock offered hereby.</w:t>
      </w:r>
    </w:p>
    <w:p>
      <w:pPr>
        <w:spacing w:after="0" w:line="100"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0940"/>
          </w:cols>
          <w:pgMar w:left="240" w:top="444" w:right="719" w:bottom="1440" w:gutter="0" w:footer="0" w:header="0"/>
        </w:sectPr>
      </w:pPr>
    </w:p>
    <w:bookmarkStart w:id="5" w:name="page6"/>
    <w:bookmarkEnd w:id="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FORWARD-LOOKING STATEMENTS</w:t>
      </w:r>
    </w:p>
    <w:p>
      <w:pPr>
        <w:spacing w:after="0" w:line="223" w:lineRule="exact"/>
        <w:rPr>
          <w:sz w:val="20"/>
          <w:szCs w:val="20"/>
          <w:color w:val="auto"/>
        </w:rPr>
      </w:pPr>
    </w:p>
    <w:p>
      <w:pPr>
        <w:ind w:left="460" w:firstLine="421"/>
        <w:spacing w:after="0" w:line="274" w:lineRule="auto"/>
        <w:rPr>
          <w:sz w:val="20"/>
          <w:szCs w:val="20"/>
          <w:color w:val="auto"/>
        </w:rPr>
      </w:pPr>
      <w:r>
        <w:rPr>
          <w:rFonts w:ascii="Arial" w:cs="Arial" w:eastAsia="Arial" w:hAnsi="Arial"/>
          <w:sz w:val="16"/>
          <w:szCs w:val="16"/>
          <w:color w:val="auto"/>
        </w:rPr>
        <w:t>This prospectus and any accompanying prospectus supplement, including the information incorporated by reference into this prospectus and any accompanying prospectus supplement, contain forward-looking statements within the meaning of the federal securities laws. These statements include statements about our plans, strategies and prospects and involve known and unknown risks that are difficult to predict. Therefore, our actual results, performance or achievements may differ materially from those expressed in or implied by these forward-looking statements. In some cases, you can identify forward-looking statements by the use of words such as “anticipate,” “believe,” “expect,” “estimate,” “intend,” “plan,” “will,” “continue,” “could,” “may,” and variations of these terms and similar expressions, or the negatives of these terms or similar expressions. You should not rely on forward-looking statements since they involve known and unknown risks, uncertainties and other factors that are, in some cases, beyond our control and which could materially affect actual results, performances or achievements. Factors that may cause our actual results to differ materially from our current expectations include, but are not limited to:</w:t>
      </w:r>
    </w:p>
    <w:p>
      <w:pPr>
        <w:spacing w:after="0" w:line="82" w:lineRule="exact"/>
        <w:rPr>
          <w:sz w:val="20"/>
          <w:szCs w:val="20"/>
          <w:color w:val="auto"/>
        </w:rPr>
      </w:pPr>
    </w:p>
    <w:p>
      <w:pPr>
        <w:ind w:left="1280" w:hanging="310"/>
        <w:spacing w:after="0"/>
        <w:tabs>
          <w:tab w:leader="none" w:pos="1280" w:val="left"/>
        </w:tabs>
        <w:numPr>
          <w:ilvl w:val="0"/>
          <w:numId w:val="2"/>
        </w:numPr>
        <w:rPr>
          <w:rFonts w:ascii="Arial" w:cs="Arial" w:eastAsia="Arial" w:hAnsi="Arial"/>
          <w:sz w:val="17"/>
          <w:szCs w:val="17"/>
          <w:color w:val="auto"/>
        </w:rPr>
      </w:pPr>
      <w:r>
        <w:rPr>
          <w:rFonts w:ascii="Arial" w:cs="Arial" w:eastAsia="Arial" w:hAnsi="Arial"/>
          <w:sz w:val="17"/>
          <w:szCs w:val="17"/>
          <w:color w:val="auto"/>
        </w:rPr>
        <w:t>general economic and business conditions, both in the U.S. and internationally;</w:t>
      </w:r>
    </w:p>
    <w:p>
      <w:pPr>
        <w:spacing w:after="0" w:line="126" w:lineRule="exact"/>
        <w:rPr>
          <w:rFonts w:ascii="Arial" w:cs="Arial" w:eastAsia="Arial" w:hAnsi="Arial"/>
          <w:sz w:val="17"/>
          <w:szCs w:val="17"/>
          <w:color w:val="auto"/>
        </w:rPr>
      </w:pPr>
    </w:p>
    <w:p>
      <w:pPr>
        <w:ind w:left="1280" w:hanging="310"/>
        <w:spacing w:after="0"/>
        <w:tabs>
          <w:tab w:leader="none" w:pos="1280" w:val="left"/>
        </w:tabs>
        <w:numPr>
          <w:ilvl w:val="0"/>
          <w:numId w:val="2"/>
        </w:numPr>
        <w:rPr>
          <w:rFonts w:ascii="Arial" w:cs="Arial" w:eastAsia="Arial" w:hAnsi="Arial"/>
          <w:sz w:val="17"/>
          <w:szCs w:val="17"/>
          <w:color w:val="auto"/>
        </w:rPr>
      </w:pPr>
      <w:r>
        <w:rPr>
          <w:rFonts w:ascii="Arial" w:cs="Arial" w:eastAsia="Arial" w:hAnsi="Arial"/>
          <w:sz w:val="17"/>
          <w:szCs w:val="17"/>
          <w:color w:val="auto"/>
        </w:rPr>
        <w:t>unexpected changes in our arrangements with our large customers;</w:t>
      </w:r>
    </w:p>
    <w:p>
      <w:pPr>
        <w:spacing w:after="0" w:line="126" w:lineRule="exact"/>
        <w:rPr>
          <w:rFonts w:ascii="Arial" w:cs="Arial" w:eastAsia="Arial" w:hAnsi="Arial"/>
          <w:sz w:val="17"/>
          <w:szCs w:val="17"/>
          <w:color w:val="auto"/>
        </w:rPr>
      </w:pPr>
    </w:p>
    <w:p>
      <w:pPr>
        <w:ind w:left="1280" w:hanging="310"/>
        <w:spacing w:after="0"/>
        <w:tabs>
          <w:tab w:leader="none" w:pos="128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outcome of litigation;</w:t>
      </w:r>
    </w:p>
    <w:p>
      <w:pPr>
        <w:spacing w:after="0" w:line="126" w:lineRule="exact"/>
        <w:rPr>
          <w:rFonts w:ascii="Arial" w:cs="Arial" w:eastAsia="Arial" w:hAnsi="Arial"/>
          <w:sz w:val="17"/>
          <w:szCs w:val="17"/>
          <w:color w:val="auto"/>
        </w:rPr>
      </w:pPr>
    </w:p>
    <w:p>
      <w:pPr>
        <w:ind w:left="1280" w:hanging="310"/>
        <w:spacing w:after="0"/>
        <w:tabs>
          <w:tab w:leader="none" w:pos="1280" w:val="left"/>
        </w:tabs>
        <w:numPr>
          <w:ilvl w:val="0"/>
          <w:numId w:val="2"/>
        </w:numPr>
        <w:rPr>
          <w:rFonts w:ascii="Arial" w:cs="Arial" w:eastAsia="Arial" w:hAnsi="Arial"/>
          <w:sz w:val="17"/>
          <w:szCs w:val="17"/>
          <w:color w:val="auto"/>
        </w:rPr>
      </w:pPr>
      <w:r>
        <w:rPr>
          <w:rFonts w:ascii="Arial" w:cs="Arial" w:eastAsia="Arial" w:hAnsi="Arial"/>
          <w:sz w:val="17"/>
          <w:szCs w:val="17"/>
          <w:color w:val="auto"/>
        </w:rPr>
        <w:t>fluctuations in foreign exchange rates and other risks of doing business internationally;</w:t>
      </w:r>
    </w:p>
    <w:p>
      <w:pPr>
        <w:spacing w:after="0" w:line="126" w:lineRule="exact"/>
        <w:rPr>
          <w:rFonts w:ascii="Arial" w:cs="Arial" w:eastAsia="Arial" w:hAnsi="Arial"/>
          <w:sz w:val="17"/>
          <w:szCs w:val="17"/>
          <w:color w:val="auto"/>
        </w:rPr>
      </w:pPr>
    </w:p>
    <w:p>
      <w:pPr>
        <w:ind w:left="1280" w:hanging="310"/>
        <w:spacing w:after="0"/>
        <w:tabs>
          <w:tab w:leader="none" w:pos="1280" w:val="left"/>
        </w:tabs>
        <w:numPr>
          <w:ilvl w:val="0"/>
          <w:numId w:val="2"/>
        </w:numPr>
        <w:rPr>
          <w:rFonts w:ascii="Arial" w:cs="Arial" w:eastAsia="Arial" w:hAnsi="Arial"/>
          <w:sz w:val="17"/>
          <w:szCs w:val="17"/>
          <w:color w:val="auto"/>
        </w:rPr>
      </w:pPr>
      <w:r>
        <w:rPr>
          <w:rFonts w:ascii="Arial" w:cs="Arial" w:eastAsia="Arial" w:hAnsi="Arial"/>
          <w:sz w:val="17"/>
          <w:szCs w:val="17"/>
          <w:color w:val="auto"/>
        </w:rPr>
        <w:t>increases in labor costs or competition for skilled workers;</w:t>
      </w:r>
    </w:p>
    <w:p>
      <w:pPr>
        <w:spacing w:after="0" w:line="126" w:lineRule="exact"/>
        <w:rPr>
          <w:rFonts w:ascii="Arial" w:cs="Arial" w:eastAsia="Arial" w:hAnsi="Arial"/>
          <w:sz w:val="17"/>
          <w:szCs w:val="17"/>
          <w:color w:val="auto"/>
        </w:rPr>
      </w:pPr>
    </w:p>
    <w:p>
      <w:pPr>
        <w:ind w:left="1280" w:hanging="310"/>
        <w:spacing w:after="0"/>
        <w:tabs>
          <w:tab w:leader="none" w:pos="1280" w:val="left"/>
        </w:tabs>
        <w:numPr>
          <w:ilvl w:val="0"/>
          <w:numId w:val="2"/>
        </w:numPr>
        <w:rPr>
          <w:rFonts w:ascii="Arial" w:cs="Arial" w:eastAsia="Arial" w:hAnsi="Arial"/>
          <w:sz w:val="17"/>
          <w:szCs w:val="17"/>
          <w:color w:val="auto"/>
        </w:rPr>
      </w:pPr>
      <w:r>
        <w:rPr>
          <w:rFonts w:ascii="Arial" w:cs="Arial" w:eastAsia="Arial" w:hAnsi="Arial"/>
          <w:sz w:val="17"/>
          <w:szCs w:val="17"/>
          <w:color w:val="auto"/>
        </w:rPr>
        <w:t>increases in costs or availability of the raw materials needed to manufacture our products;</w:t>
      </w:r>
    </w:p>
    <w:p>
      <w:pPr>
        <w:spacing w:after="0" w:line="126" w:lineRule="exact"/>
        <w:rPr>
          <w:rFonts w:ascii="Arial" w:cs="Arial" w:eastAsia="Arial" w:hAnsi="Arial"/>
          <w:sz w:val="17"/>
          <w:szCs w:val="17"/>
          <w:color w:val="auto"/>
        </w:rPr>
      </w:pPr>
    </w:p>
    <w:p>
      <w:pPr>
        <w:ind w:left="1280" w:hanging="310"/>
        <w:spacing w:after="0"/>
        <w:tabs>
          <w:tab w:leader="none" w:pos="128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effect of price and safety considerations on the healthcare industry;</w:t>
      </w:r>
    </w:p>
    <w:p>
      <w:pPr>
        <w:spacing w:after="0" w:line="126" w:lineRule="exact"/>
        <w:rPr>
          <w:rFonts w:ascii="Arial" w:cs="Arial" w:eastAsia="Arial" w:hAnsi="Arial"/>
          <w:sz w:val="17"/>
          <w:szCs w:val="17"/>
          <w:color w:val="auto"/>
        </w:rPr>
      </w:pPr>
    </w:p>
    <w:p>
      <w:pPr>
        <w:ind w:left="1280" w:hanging="310"/>
        <w:spacing w:after="0"/>
        <w:tabs>
          <w:tab w:leader="none" w:pos="1280" w:val="left"/>
        </w:tabs>
        <w:numPr>
          <w:ilvl w:val="0"/>
          <w:numId w:val="2"/>
        </w:numPr>
        <w:rPr>
          <w:rFonts w:ascii="Arial" w:cs="Arial" w:eastAsia="Arial" w:hAnsi="Arial"/>
          <w:sz w:val="17"/>
          <w:szCs w:val="17"/>
          <w:color w:val="auto"/>
        </w:rPr>
      </w:pPr>
      <w:r>
        <w:rPr>
          <w:rFonts w:ascii="Arial" w:cs="Arial" w:eastAsia="Arial" w:hAnsi="Arial"/>
          <w:sz w:val="17"/>
          <w:szCs w:val="17"/>
          <w:color w:val="auto"/>
        </w:rPr>
        <w:t>competitive factors, such as product innovation, new technologies, marketing and distribution strength and price erosion;</w:t>
      </w:r>
    </w:p>
    <w:p>
      <w:pPr>
        <w:spacing w:after="0" w:line="126" w:lineRule="exact"/>
        <w:rPr>
          <w:rFonts w:ascii="Arial" w:cs="Arial" w:eastAsia="Arial" w:hAnsi="Arial"/>
          <w:sz w:val="17"/>
          <w:szCs w:val="17"/>
          <w:color w:val="auto"/>
        </w:rPr>
      </w:pPr>
    </w:p>
    <w:p>
      <w:pPr>
        <w:ind w:left="1280" w:hanging="310"/>
        <w:spacing w:after="0"/>
        <w:tabs>
          <w:tab w:leader="none" w:pos="128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successful development and marketing of new products;</w:t>
      </w:r>
    </w:p>
    <w:p>
      <w:pPr>
        <w:spacing w:after="0" w:line="126" w:lineRule="exact"/>
        <w:rPr>
          <w:rFonts w:ascii="Arial" w:cs="Arial" w:eastAsia="Arial" w:hAnsi="Arial"/>
          <w:sz w:val="17"/>
          <w:szCs w:val="17"/>
          <w:color w:val="auto"/>
        </w:rPr>
      </w:pPr>
    </w:p>
    <w:p>
      <w:pPr>
        <w:ind w:left="1280" w:hanging="310"/>
        <w:spacing w:after="0"/>
        <w:tabs>
          <w:tab w:leader="none" w:pos="1280" w:val="left"/>
        </w:tabs>
        <w:numPr>
          <w:ilvl w:val="0"/>
          <w:numId w:val="2"/>
        </w:numPr>
        <w:rPr>
          <w:rFonts w:ascii="Arial" w:cs="Arial" w:eastAsia="Arial" w:hAnsi="Arial"/>
          <w:sz w:val="17"/>
          <w:szCs w:val="17"/>
          <w:color w:val="auto"/>
        </w:rPr>
      </w:pPr>
      <w:r>
        <w:rPr>
          <w:rFonts w:ascii="Arial" w:cs="Arial" w:eastAsia="Arial" w:hAnsi="Arial"/>
          <w:sz w:val="17"/>
          <w:szCs w:val="17"/>
          <w:color w:val="auto"/>
        </w:rPr>
        <w:t>unanticipated market shifts and trends;</w:t>
      </w:r>
    </w:p>
    <w:p>
      <w:pPr>
        <w:spacing w:after="0" w:line="126" w:lineRule="exact"/>
        <w:rPr>
          <w:rFonts w:ascii="Arial" w:cs="Arial" w:eastAsia="Arial" w:hAnsi="Arial"/>
          <w:sz w:val="17"/>
          <w:szCs w:val="17"/>
          <w:color w:val="auto"/>
        </w:rPr>
      </w:pPr>
    </w:p>
    <w:p>
      <w:pPr>
        <w:ind w:left="1280" w:hanging="310"/>
        <w:spacing w:after="0"/>
        <w:tabs>
          <w:tab w:leader="none" w:pos="128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impact of legislation affecting government reimbursement of healthcare costs;</w:t>
      </w:r>
    </w:p>
    <w:p>
      <w:pPr>
        <w:spacing w:after="0" w:line="126" w:lineRule="exact"/>
        <w:rPr>
          <w:rFonts w:ascii="Arial" w:cs="Arial" w:eastAsia="Arial" w:hAnsi="Arial"/>
          <w:sz w:val="17"/>
          <w:szCs w:val="17"/>
          <w:color w:val="auto"/>
        </w:rPr>
      </w:pPr>
    </w:p>
    <w:p>
      <w:pPr>
        <w:ind w:left="1280" w:hanging="310"/>
        <w:spacing w:after="0"/>
        <w:tabs>
          <w:tab w:leader="none" w:pos="1280" w:val="left"/>
        </w:tabs>
        <w:numPr>
          <w:ilvl w:val="0"/>
          <w:numId w:val="2"/>
        </w:numPr>
        <w:rPr>
          <w:rFonts w:ascii="Arial" w:cs="Arial" w:eastAsia="Arial" w:hAnsi="Arial"/>
          <w:sz w:val="16"/>
          <w:szCs w:val="16"/>
          <w:color w:val="auto"/>
        </w:rPr>
      </w:pPr>
      <w:r>
        <w:rPr>
          <w:rFonts w:ascii="Arial" w:cs="Arial" w:eastAsia="Arial" w:hAnsi="Arial"/>
          <w:sz w:val="16"/>
          <w:szCs w:val="16"/>
          <w:color w:val="auto"/>
        </w:rPr>
        <w:t>changes by our major customers and independent distributors in their strategies that might affect their efforts to market our products;</w:t>
      </w:r>
    </w:p>
    <w:p>
      <w:pPr>
        <w:spacing w:after="0" w:line="138" w:lineRule="exact"/>
        <w:rPr>
          <w:rFonts w:ascii="Arial" w:cs="Arial" w:eastAsia="Arial" w:hAnsi="Arial"/>
          <w:sz w:val="16"/>
          <w:szCs w:val="16"/>
          <w:color w:val="auto"/>
        </w:rPr>
      </w:pPr>
    </w:p>
    <w:p>
      <w:pPr>
        <w:ind w:left="1280" w:hanging="310"/>
        <w:spacing w:after="0"/>
        <w:tabs>
          <w:tab w:leader="none" w:pos="128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effects of additional governmental regulations;</w:t>
      </w:r>
    </w:p>
    <w:p>
      <w:pPr>
        <w:spacing w:after="0" w:line="126" w:lineRule="exact"/>
        <w:rPr>
          <w:rFonts w:ascii="Arial" w:cs="Arial" w:eastAsia="Arial" w:hAnsi="Arial"/>
          <w:sz w:val="17"/>
          <w:szCs w:val="17"/>
          <w:color w:val="auto"/>
        </w:rPr>
      </w:pPr>
    </w:p>
    <w:p>
      <w:pPr>
        <w:ind w:left="1280" w:hanging="310"/>
        <w:spacing w:after="0"/>
        <w:tabs>
          <w:tab w:leader="none" w:pos="1280" w:val="left"/>
        </w:tabs>
        <w:numPr>
          <w:ilvl w:val="0"/>
          <w:numId w:val="2"/>
        </w:numPr>
        <w:rPr>
          <w:rFonts w:ascii="Arial" w:cs="Arial" w:eastAsia="Arial" w:hAnsi="Arial"/>
          <w:sz w:val="17"/>
          <w:szCs w:val="17"/>
          <w:color w:val="auto"/>
        </w:rPr>
      </w:pPr>
      <w:r>
        <w:rPr>
          <w:rFonts w:ascii="Arial" w:cs="Arial" w:eastAsia="Arial" w:hAnsi="Arial"/>
          <w:sz w:val="17"/>
          <w:szCs w:val="17"/>
          <w:color w:val="auto"/>
        </w:rPr>
        <w:t>unanticipated production problems; and</w:t>
      </w:r>
    </w:p>
    <w:p>
      <w:pPr>
        <w:spacing w:after="0" w:line="126" w:lineRule="exact"/>
        <w:rPr>
          <w:rFonts w:ascii="Arial" w:cs="Arial" w:eastAsia="Arial" w:hAnsi="Arial"/>
          <w:sz w:val="17"/>
          <w:szCs w:val="17"/>
          <w:color w:val="auto"/>
        </w:rPr>
      </w:pPr>
    </w:p>
    <w:p>
      <w:pPr>
        <w:ind w:left="1280" w:hanging="310"/>
        <w:spacing w:after="0"/>
        <w:tabs>
          <w:tab w:leader="none" w:pos="128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availability of patent protection and the cost of enforcing and of defending patent claims.</w:t>
      </w:r>
    </w:p>
    <w:p>
      <w:pPr>
        <w:spacing w:after="0" w:line="217" w:lineRule="exact"/>
        <w:rPr>
          <w:sz w:val="20"/>
          <w:szCs w:val="20"/>
          <w:color w:val="auto"/>
        </w:rPr>
      </w:pPr>
    </w:p>
    <w:p>
      <w:pPr>
        <w:jc w:val="both"/>
        <w:ind w:left="460" w:right="100" w:firstLine="421"/>
        <w:spacing w:after="0" w:line="266" w:lineRule="auto"/>
        <w:rPr>
          <w:sz w:val="20"/>
          <w:szCs w:val="20"/>
          <w:color w:val="auto"/>
        </w:rPr>
      </w:pPr>
      <w:r>
        <w:rPr>
          <w:rFonts w:ascii="Arial" w:cs="Arial" w:eastAsia="Arial" w:hAnsi="Arial"/>
          <w:sz w:val="17"/>
          <w:szCs w:val="17"/>
          <w:color w:val="auto"/>
        </w:rPr>
        <w:t>These factors are not necessarily all of the important factors that could cause our actual results, performance or achievements to differ materially from those expressed in or implied by any of our forward-looking statements. Other unknown or unpredictable factors, many of which are beyond our control, also could harm our results, performance or achievements.</w:t>
      </w:r>
    </w:p>
    <w:p>
      <w:pPr>
        <w:spacing w:after="0" w:line="175" w:lineRule="exact"/>
        <w:rPr>
          <w:sz w:val="20"/>
          <w:szCs w:val="20"/>
          <w:color w:val="auto"/>
        </w:rPr>
      </w:pPr>
    </w:p>
    <w:p>
      <w:pPr>
        <w:ind w:left="460" w:right="200" w:firstLine="421"/>
        <w:spacing w:after="0" w:line="299" w:lineRule="auto"/>
        <w:rPr>
          <w:sz w:val="20"/>
          <w:szCs w:val="20"/>
          <w:color w:val="auto"/>
        </w:rPr>
      </w:pPr>
      <w:r>
        <w:rPr>
          <w:rFonts w:ascii="Arial" w:cs="Arial" w:eastAsia="Arial" w:hAnsi="Arial"/>
          <w:sz w:val="15"/>
          <w:szCs w:val="15"/>
          <w:color w:val="auto"/>
        </w:rPr>
        <w:t>All forward-looking statements contained in this prospectus and any accompanying prospectus supplement, including the information incorporated by reference in this prospectus and any accompanying prospectus supplement, are expressly qualified in their entirety by the cautionary statements set forth above. Forward-looking statements speak only as of the date they are made, and we do not undertake or assume any obligation to update publicly any of these statements to reflect actual results, new information or future events, changes in assumptions or changes in other factors affecting forward-looking statements, except to the extent required by applicable laws. If we update one or more forward-looking statements, no inference should be drawn that we will make additional updates with respect to those or other forward-looking statements.</w:t>
      </w:r>
    </w:p>
    <w:p>
      <w:pPr>
        <w:spacing w:after="0" w:line="90"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920"/>
          </w:cols>
          <w:pgMar w:left="240" w:top="444" w:right="739" w:bottom="1440" w:gutter="0" w:footer="0" w:header="0"/>
        </w:sectPr>
      </w:pPr>
    </w:p>
    <w:bookmarkStart w:id="6" w:name="page7"/>
    <w:bookmarkEnd w:id="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ind w:left="2300"/>
        <w:spacing w:after="0"/>
        <w:rPr>
          <w:sz w:val="20"/>
          <w:szCs w:val="20"/>
          <w:color w:val="auto"/>
        </w:rPr>
      </w:pPr>
      <w:r>
        <w:rPr>
          <w:rFonts w:ascii="Arial" w:cs="Arial" w:eastAsia="Arial" w:hAnsi="Arial"/>
          <w:sz w:val="17"/>
          <w:szCs w:val="17"/>
          <w:b w:val="1"/>
          <w:bCs w:val="1"/>
          <w:color w:val="auto"/>
        </w:rPr>
        <w:t>WHERE YOU CAN FIND MORE INFORMATION; INCORPORATION BY REFERENCE</w:t>
      </w:r>
    </w:p>
    <w:p>
      <w:pPr>
        <w:spacing w:after="0" w:line="217"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Available Information</w:t>
      </w:r>
    </w:p>
    <w:p>
      <w:pPr>
        <w:spacing w:after="0" w:line="120" w:lineRule="exact"/>
        <w:rPr>
          <w:sz w:val="20"/>
          <w:szCs w:val="20"/>
          <w:color w:val="auto"/>
        </w:rPr>
      </w:pPr>
    </w:p>
    <w:p>
      <w:pPr>
        <w:ind w:left="460" w:right="300" w:firstLine="421"/>
        <w:spacing w:after="0" w:line="279" w:lineRule="auto"/>
        <w:rPr>
          <w:sz w:val="20"/>
          <w:szCs w:val="20"/>
          <w:color w:val="auto"/>
        </w:rPr>
      </w:pPr>
      <w:r>
        <w:rPr>
          <w:rFonts w:ascii="Arial" w:cs="Arial" w:eastAsia="Arial" w:hAnsi="Arial"/>
          <w:sz w:val="17"/>
          <w:szCs w:val="17"/>
          <w:color w:val="auto"/>
        </w:rPr>
        <w:t>We file reports, proxy statements and other information with the SEC under the Securities Exchange Act of 1934, as amended (the “Exchange Act”). Our SEC filings are available to the public at the SEC’s website at http://www.sec.gov.</w:t>
      </w:r>
    </w:p>
    <w:p>
      <w:pPr>
        <w:spacing w:after="0" w:line="164" w:lineRule="exact"/>
        <w:rPr>
          <w:sz w:val="20"/>
          <w:szCs w:val="20"/>
          <w:color w:val="auto"/>
        </w:rPr>
      </w:pPr>
    </w:p>
    <w:p>
      <w:pPr>
        <w:ind w:left="460" w:right="620" w:firstLine="421"/>
        <w:spacing w:after="0" w:line="279" w:lineRule="auto"/>
        <w:rPr>
          <w:sz w:val="20"/>
          <w:szCs w:val="20"/>
          <w:color w:val="auto"/>
        </w:rPr>
      </w:pPr>
      <w:r>
        <w:rPr>
          <w:rFonts w:ascii="Arial" w:cs="Arial" w:eastAsia="Arial" w:hAnsi="Arial"/>
          <w:sz w:val="17"/>
          <w:szCs w:val="17"/>
          <w:color w:val="auto"/>
        </w:rPr>
        <w:t>Our website address is www.icumed.com. The information on our website, however, is not, and should not be deemed to be, a part of this prospectus.</w:t>
      </w:r>
    </w:p>
    <w:p>
      <w:pPr>
        <w:spacing w:after="0" w:line="164" w:lineRule="exact"/>
        <w:rPr>
          <w:sz w:val="20"/>
          <w:szCs w:val="20"/>
          <w:color w:val="auto"/>
        </w:rPr>
      </w:pPr>
    </w:p>
    <w:p>
      <w:pPr>
        <w:ind w:left="460" w:right="140" w:firstLine="421"/>
        <w:spacing w:after="0" w:line="259" w:lineRule="auto"/>
        <w:rPr>
          <w:sz w:val="20"/>
          <w:szCs w:val="20"/>
          <w:color w:val="auto"/>
        </w:rPr>
      </w:pPr>
      <w:r>
        <w:rPr>
          <w:rFonts w:ascii="Arial" w:cs="Arial" w:eastAsia="Arial" w:hAnsi="Arial"/>
          <w:sz w:val="17"/>
          <w:szCs w:val="17"/>
          <w:color w:val="auto"/>
        </w:rPr>
        <w:t>This prospectus and any prospectus supplement are part of a registration statement that we filed with the SEC and do not contain all of the information in the registration statement. The full registration statement may be obtained from the SEC or us, as provided below.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Incorporation by Reference</w:t>
      </w:r>
    </w:p>
    <w:p>
      <w:pPr>
        <w:spacing w:after="0" w:line="120" w:lineRule="exact"/>
        <w:rPr>
          <w:sz w:val="20"/>
          <w:szCs w:val="20"/>
          <w:color w:val="auto"/>
        </w:rPr>
      </w:pPr>
    </w:p>
    <w:p>
      <w:pPr>
        <w:ind w:left="460" w:right="40" w:firstLine="421"/>
        <w:spacing w:after="0" w:line="302" w:lineRule="auto"/>
        <w:rPr>
          <w:sz w:val="20"/>
          <w:szCs w:val="20"/>
          <w:color w:val="auto"/>
        </w:rPr>
      </w:pPr>
      <w:r>
        <w:rPr>
          <w:rFonts w:ascii="Arial" w:cs="Arial" w:eastAsia="Arial" w:hAnsi="Arial"/>
          <w:sz w:val="15"/>
          <w:szCs w:val="15"/>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w:t>
      </w:r>
    </w:p>
    <w:p>
      <w:pPr>
        <w:spacing w:after="0" w:line="152" w:lineRule="exact"/>
        <w:rPr>
          <w:sz w:val="20"/>
          <w:szCs w:val="20"/>
          <w:color w:val="auto"/>
        </w:rPr>
      </w:pPr>
    </w:p>
    <w:p>
      <w:pPr>
        <w:ind w:left="460" w:right="220" w:firstLine="421"/>
        <w:spacing w:after="0" w:line="279" w:lineRule="auto"/>
        <w:rPr>
          <w:sz w:val="20"/>
          <w:szCs w:val="20"/>
          <w:color w:val="auto"/>
        </w:rPr>
      </w:pPr>
      <w:r>
        <w:rPr>
          <w:rFonts w:ascii="Arial" w:cs="Arial" w:eastAsia="Arial" w:hAnsi="Arial"/>
          <w:sz w:val="17"/>
          <w:szCs w:val="17"/>
          <w:color w:val="auto"/>
        </w:rPr>
        <w:t>This prospectus and any accompanying prospectus supplement incorporate by reference the documents set forth below that we have previously filed with the SEC:</w:t>
      </w:r>
    </w:p>
    <w:p>
      <w:pPr>
        <w:spacing w:after="0" w:line="74" w:lineRule="exact"/>
        <w:rPr>
          <w:sz w:val="20"/>
          <w:szCs w:val="20"/>
          <w:color w:val="auto"/>
        </w:rPr>
      </w:pPr>
    </w:p>
    <w:p>
      <w:pPr>
        <w:ind w:left="1280" w:hanging="310"/>
        <w:spacing w:after="0"/>
        <w:tabs>
          <w:tab w:leader="none" w:pos="12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Annual Report on Form 10-K for the year ended December 31, 2017, filed with the SEC on March 16, 2018.</w:t>
      </w:r>
    </w:p>
    <w:p>
      <w:pPr>
        <w:spacing w:after="0" w:line="126" w:lineRule="exact"/>
        <w:rPr>
          <w:rFonts w:ascii="Arial" w:cs="Arial" w:eastAsia="Arial" w:hAnsi="Arial"/>
          <w:sz w:val="17"/>
          <w:szCs w:val="17"/>
          <w:color w:val="auto"/>
        </w:rPr>
      </w:pPr>
    </w:p>
    <w:p>
      <w:pPr>
        <w:ind w:left="1280" w:right="80" w:hanging="310"/>
        <w:spacing w:after="0" w:line="279" w:lineRule="auto"/>
        <w:tabs>
          <w:tab w:leader="none" w:pos="12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Quarterly Reports on Form 10-Q for the quarters ended March 31, 2018, June 30, 2018 and September 30, 2018, filed with the SEC on May 10, 2018, August 9, 2018 and November 9, 2018, respectively.</w:t>
      </w:r>
    </w:p>
    <w:p>
      <w:pPr>
        <w:spacing w:after="0" w:line="74" w:lineRule="exact"/>
        <w:rPr>
          <w:rFonts w:ascii="Arial" w:cs="Arial" w:eastAsia="Arial" w:hAnsi="Arial"/>
          <w:sz w:val="17"/>
          <w:szCs w:val="17"/>
          <w:color w:val="auto"/>
        </w:rPr>
      </w:pPr>
    </w:p>
    <w:p>
      <w:pPr>
        <w:ind w:left="1280" w:hanging="310"/>
        <w:spacing w:after="0"/>
        <w:tabs>
          <w:tab w:leader="none" w:pos="12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Definitive Proxy Statement on Schedule 14A, filed with the SEC on April 5, 2018.</w:t>
      </w:r>
    </w:p>
    <w:p>
      <w:pPr>
        <w:spacing w:after="0" w:line="126" w:lineRule="exact"/>
        <w:rPr>
          <w:rFonts w:ascii="Arial" w:cs="Arial" w:eastAsia="Arial" w:hAnsi="Arial"/>
          <w:sz w:val="17"/>
          <w:szCs w:val="17"/>
          <w:color w:val="auto"/>
        </w:rPr>
      </w:pPr>
    </w:p>
    <w:p>
      <w:pPr>
        <w:ind w:left="1280" w:hanging="310"/>
        <w:spacing w:after="0"/>
        <w:tabs>
          <w:tab w:leader="none" w:pos="12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Current Reports on Form 8-K filed with the SEC on January 5, 2018, May 17, 2018 and November 15, 2018.</w:t>
      </w:r>
    </w:p>
    <w:p>
      <w:pPr>
        <w:spacing w:after="0" w:line="217" w:lineRule="exact"/>
        <w:rPr>
          <w:sz w:val="20"/>
          <w:szCs w:val="20"/>
          <w:color w:val="auto"/>
        </w:rPr>
      </w:pPr>
    </w:p>
    <w:p>
      <w:pPr>
        <w:ind w:left="460" w:firstLine="421"/>
        <w:spacing w:after="0" w:line="283" w:lineRule="auto"/>
        <w:rPr>
          <w:sz w:val="20"/>
          <w:szCs w:val="20"/>
          <w:color w:val="auto"/>
        </w:rPr>
      </w:pPr>
      <w:r>
        <w:rPr>
          <w:rFonts w:ascii="Arial" w:cs="Arial" w:eastAsia="Arial" w:hAnsi="Arial"/>
          <w:sz w:val="16"/>
          <w:szCs w:val="16"/>
          <w:color w:val="auto"/>
        </w:rPr>
        <w:t>All reports and other documents we subsequently file pursuant to Section 13(a), 13(c), 14 or 15(d) of the Exchange Act,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will also be incorporated by reference into this prospectus and deemed to be part of this prospectus from the date of the filing of such reports and documents.</w:t>
      </w:r>
    </w:p>
    <w:p>
      <w:pPr>
        <w:spacing w:after="0" w:line="99"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940"/>
          </w:cols>
          <w:pgMar w:left="240" w:top="444" w:right="719" w:bottom="1440" w:gutter="0" w:footer="0" w:header="0"/>
        </w:sectPr>
      </w:pPr>
    </w:p>
    <w:bookmarkStart w:id="7" w:name="page8"/>
    <w:bookmarkEnd w:id="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right="20" w:firstLine="421"/>
        <w:spacing w:after="0" w:line="279" w:lineRule="auto"/>
        <w:rPr>
          <w:sz w:val="20"/>
          <w:szCs w:val="20"/>
          <w:color w:val="auto"/>
        </w:rPr>
      </w:pPr>
      <w:r>
        <w:rPr>
          <w:rFonts w:ascii="Arial" w:cs="Arial" w:eastAsia="Arial" w:hAnsi="Arial"/>
          <w:sz w:val="17"/>
          <w:szCs w:val="17"/>
          <w:color w:val="auto"/>
        </w:rPr>
        <w:t>You may request a free copy of any of the documents incorporated by reference in this prospectus by writing or telephoning us at the following address:</w:t>
      </w:r>
    </w:p>
    <w:p>
      <w:pPr>
        <w:spacing w:after="0" w:line="158" w:lineRule="exact"/>
        <w:rPr>
          <w:sz w:val="20"/>
          <w:szCs w:val="20"/>
          <w:color w:val="auto"/>
        </w:rPr>
      </w:pPr>
    </w:p>
    <w:p>
      <w:pPr>
        <w:jc w:val="center"/>
        <w:ind w:right="-699"/>
        <w:spacing w:after="0"/>
        <w:rPr>
          <w:sz w:val="20"/>
          <w:szCs w:val="20"/>
          <w:color w:val="auto"/>
        </w:rPr>
      </w:pPr>
      <w:r>
        <w:rPr>
          <w:rFonts w:ascii="Arial" w:cs="Arial" w:eastAsia="Arial" w:hAnsi="Arial"/>
          <w:sz w:val="17"/>
          <w:szCs w:val="17"/>
          <w:b w:val="1"/>
          <w:bCs w:val="1"/>
          <w:color w:val="auto"/>
        </w:rPr>
        <w:t>ICU Medical, Inc.</w:t>
      </w:r>
    </w:p>
    <w:p>
      <w:pPr>
        <w:spacing w:after="0" w:line="28" w:lineRule="exact"/>
        <w:rPr>
          <w:sz w:val="20"/>
          <w:szCs w:val="20"/>
          <w:color w:val="auto"/>
        </w:rPr>
      </w:pPr>
    </w:p>
    <w:p>
      <w:pPr>
        <w:jc w:val="center"/>
        <w:ind w:right="-699"/>
        <w:spacing w:after="0"/>
        <w:rPr>
          <w:sz w:val="20"/>
          <w:szCs w:val="20"/>
          <w:color w:val="auto"/>
        </w:rPr>
      </w:pPr>
      <w:r>
        <w:rPr>
          <w:rFonts w:ascii="Arial" w:cs="Arial" w:eastAsia="Arial" w:hAnsi="Arial"/>
          <w:sz w:val="17"/>
          <w:szCs w:val="17"/>
          <w:b w:val="1"/>
          <w:bCs w:val="1"/>
          <w:color w:val="auto"/>
        </w:rPr>
        <w:t>951 Calle Amanecer</w:t>
      </w:r>
    </w:p>
    <w:p>
      <w:pPr>
        <w:spacing w:after="0" w:line="11" w:lineRule="exact"/>
        <w:rPr>
          <w:sz w:val="20"/>
          <w:szCs w:val="20"/>
          <w:color w:val="auto"/>
        </w:rPr>
      </w:pPr>
    </w:p>
    <w:p>
      <w:pPr>
        <w:jc w:val="center"/>
        <w:ind w:right="-699"/>
        <w:spacing w:after="0"/>
        <w:rPr>
          <w:sz w:val="20"/>
          <w:szCs w:val="20"/>
          <w:color w:val="auto"/>
        </w:rPr>
      </w:pPr>
      <w:r>
        <w:rPr>
          <w:rFonts w:ascii="Arial" w:cs="Arial" w:eastAsia="Arial" w:hAnsi="Arial"/>
          <w:sz w:val="17"/>
          <w:szCs w:val="17"/>
          <w:b w:val="1"/>
          <w:bCs w:val="1"/>
          <w:color w:val="auto"/>
        </w:rPr>
        <w:t>San Clemente, California 92673</w:t>
      </w:r>
    </w:p>
    <w:p>
      <w:pPr>
        <w:spacing w:after="0" w:line="11" w:lineRule="exact"/>
        <w:rPr>
          <w:sz w:val="20"/>
          <w:szCs w:val="20"/>
          <w:color w:val="auto"/>
        </w:rPr>
      </w:pPr>
    </w:p>
    <w:p>
      <w:pPr>
        <w:jc w:val="center"/>
        <w:ind w:right="-699"/>
        <w:spacing w:after="0"/>
        <w:rPr>
          <w:sz w:val="20"/>
          <w:szCs w:val="20"/>
          <w:color w:val="auto"/>
        </w:rPr>
      </w:pPr>
      <w:r>
        <w:rPr>
          <w:rFonts w:ascii="Arial" w:cs="Arial" w:eastAsia="Arial" w:hAnsi="Arial"/>
          <w:sz w:val="17"/>
          <w:szCs w:val="17"/>
          <w:b w:val="1"/>
          <w:bCs w:val="1"/>
          <w:color w:val="auto"/>
        </w:rPr>
        <w:t>(949) 366-2183</w:t>
      </w:r>
    </w:p>
    <w:p>
      <w:pPr>
        <w:spacing w:after="0" w:line="206" w:lineRule="exact"/>
        <w:rPr>
          <w:sz w:val="20"/>
          <w:szCs w:val="20"/>
          <w:color w:val="auto"/>
        </w:rPr>
      </w:pPr>
    </w:p>
    <w:p>
      <w:pPr>
        <w:ind w:left="460" w:firstLine="421"/>
        <w:spacing w:after="0" w:line="279" w:lineRule="auto"/>
        <w:rPr>
          <w:sz w:val="20"/>
          <w:szCs w:val="20"/>
          <w:color w:val="auto"/>
        </w:rPr>
      </w:pPr>
      <w:r>
        <w:rPr>
          <w:rFonts w:ascii="Arial" w:cs="Arial" w:eastAsia="Arial" w:hAnsi="Arial"/>
          <w:sz w:val="17"/>
          <w:szCs w:val="17"/>
          <w:color w:val="auto"/>
        </w:rPr>
        <w:t>Exhibits to the filings will not be sent, however, unless those exhibits have specifically been incorporated by reference in this prospectus or any accompanying prospectus supplement.</w:t>
      </w:r>
    </w:p>
    <w:p>
      <w:pPr>
        <w:spacing w:after="0" w:line="100"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740"/>
          </w:cols>
          <w:pgMar w:left="240" w:top="444" w:right="919" w:bottom="1440" w:gutter="0" w:footer="0" w:header="0"/>
        </w:sectPr>
      </w:pPr>
    </w:p>
    <w:bookmarkStart w:id="8" w:name="page9"/>
    <w:bookmarkEnd w:id="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ind w:right="-519"/>
        <w:spacing w:after="0"/>
        <w:rPr>
          <w:sz w:val="20"/>
          <w:szCs w:val="20"/>
          <w:color w:val="auto"/>
        </w:rPr>
      </w:pPr>
      <w:r>
        <w:rPr>
          <w:rFonts w:ascii="Arial" w:cs="Arial" w:eastAsia="Arial" w:hAnsi="Arial"/>
          <w:sz w:val="17"/>
          <w:szCs w:val="17"/>
          <w:b w:val="1"/>
          <w:bCs w:val="1"/>
          <w:color w:val="auto"/>
        </w:rPr>
        <w:t>THE COMPANY</w:t>
      </w:r>
    </w:p>
    <w:p>
      <w:pPr>
        <w:spacing w:after="0" w:line="223" w:lineRule="exact"/>
        <w:rPr>
          <w:sz w:val="20"/>
          <w:szCs w:val="20"/>
          <w:color w:val="auto"/>
        </w:rPr>
      </w:pPr>
    </w:p>
    <w:p>
      <w:pPr>
        <w:ind w:left="460" w:firstLine="421"/>
        <w:spacing w:after="0" w:line="259" w:lineRule="auto"/>
        <w:rPr>
          <w:sz w:val="20"/>
          <w:szCs w:val="20"/>
          <w:color w:val="auto"/>
        </w:rPr>
      </w:pPr>
      <w:r>
        <w:rPr>
          <w:rFonts w:ascii="Arial" w:cs="Arial" w:eastAsia="Arial" w:hAnsi="Arial"/>
          <w:sz w:val="17"/>
          <w:szCs w:val="17"/>
          <w:color w:val="auto"/>
        </w:rPr>
        <w:t>We are one of the world’s leading pure-play infusion therapy companies with global operations and a wide-ranging product portfolio that includes IV solutions, IV smart pumps with pain management and safety software technology, dedicated and non-dedicated IV sets and needlefree connectors designed to help meet clinical, safety and workflow goals. Our primary customers are acute care hospitals, wholesalers, ambulatory clinics and alternate site facilities, such as clinics, home health care providers and long-term care facilities. We sell our products in more than 95 countries throughout the world.</w:t>
      </w:r>
    </w:p>
    <w:p>
      <w:pPr>
        <w:spacing w:after="0" w:line="183" w:lineRule="exact"/>
        <w:rPr>
          <w:sz w:val="20"/>
          <w:szCs w:val="20"/>
          <w:color w:val="auto"/>
        </w:rPr>
      </w:pPr>
    </w:p>
    <w:p>
      <w:pPr>
        <w:ind w:left="460" w:right="160" w:firstLine="421"/>
        <w:spacing w:after="0" w:line="279" w:lineRule="auto"/>
        <w:rPr>
          <w:sz w:val="20"/>
          <w:szCs w:val="20"/>
          <w:color w:val="auto"/>
        </w:rPr>
      </w:pPr>
      <w:r>
        <w:rPr>
          <w:rFonts w:ascii="Arial" w:cs="Arial" w:eastAsia="Arial" w:hAnsi="Arial"/>
          <w:sz w:val="17"/>
          <w:szCs w:val="17"/>
          <w:color w:val="auto"/>
        </w:rPr>
        <w:t>We filed our certificate of incorporation with the Secretary of State of Delaware on January 9, 1992, and our amended and restated certificate of incorporation with the Secretary of State of Delaware on June 10, 2014.</w:t>
      </w:r>
    </w:p>
    <w:p>
      <w:pPr>
        <w:spacing w:after="0" w:line="164" w:lineRule="exact"/>
        <w:rPr>
          <w:sz w:val="20"/>
          <w:szCs w:val="20"/>
          <w:color w:val="auto"/>
        </w:rPr>
      </w:pPr>
    </w:p>
    <w:p>
      <w:pPr>
        <w:jc w:val="center"/>
        <w:ind w:left="1120"/>
        <w:spacing w:after="0" w:line="453" w:lineRule="auto"/>
        <w:rPr>
          <w:sz w:val="20"/>
          <w:szCs w:val="20"/>
          <w:color w:val="auto"/>
        </w:rPr>
      </w:pPr>
      <w:r>
        <w:rPr>
          <w:rFonts w:ascii="Arial" w:cs="Arial" w:eastAsia="Arial" w:hAnsi="Arial"/>
          <w:sz w:val="17"/>
          <w:szCs w:val="17"/>
          <w:color w:val="auto"/>
        </w:rPr>
        <w:t>Our principal executive offices are located at 951 Calle Amanecer, San Clemente, California 92673, and our telephone number is (949) 366-2183. 5</w:t>
      </w:r>
    </w:p>
    <w:p>
      <w:pPr>
        <w:sectPr>
          <w:pgSz w:w="11900" w:h="16838" w:orient="portrait"/>
          <w:cols w:equalWidth="0" w:num="1">
            <w:col w:w="10920"/>
          </w:cols>
          <w:pgMar w:left="240" w:top="444" w:right="739" w:bottom="1440" w:gutter="0" w:footer="0" w:header="0"/>
        </w:sectPr>
      </w:pPr>
    </w:p>
    <w:bookmarkStart w:id="9" w:name="page10"/>
    <w:bookmarkEnd w:id="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ind w:right="-559"/>
        <w:spacing w:after="0"/>
        <w:rPr>
          <w:sz w:val="20"/>
          <w:szCs w:val="20"/>
          <w:color w:val="auto"/>
        </w:rPr>
      </w:pPr>
      <w:r>
        <w:rPr>
          <w:rFonts w:ascii="Arial" w:cs="Arial" w:eastAsia="Arial" w:hAnsi="Arial"/>
          <w:sz w:val="17"/>
          <w:szCs w:val="17"/>
          <w:b w:val="1"/>
          <w:bCs w:val="1"/>
          <w:color w:val="auto"/>
        </w:rPr>
        <w:t>RISK FACTORS</w:t>
      </w:r>
    </w:p>
    <w:p>
      <w:pPr>
        <w:spacing w:after="0" w:line="223" w:lineRule="exact"/>
        <w:rPr>
          <w:sz w:val="20"/>
          <w:szCs w:val="20"/>
          <w:color w:val="auto"/>
        </w:rPr>
      </w:pPr>
    </w:p>
    <w:p>
      <w:pPr>
        <w:ind w:left="460" w:firstLine="421"/>
        <w:spacing w:after="0" w:line="279" w:lineRule="auto"/>
        <w:rPr>
          <w:sz w:val="20"/>
          <w:szCs w:val="20"/>
          <w:color w:val="auto"/>
        </w:rPr>
      </w:pPr>
      <w:r>
        <w:rPr>
          <w:rFonts w:ascii="Arial" w:cs="Arial" w:eastAsia="Arial" w:hAnsi="Arial"/>
          <w:sz w:val="16"/>
          <w:szCs w:val="16"/>
          <w:color w:val="auto"/>
        </w:rPr>
        <w:t>Investment in our common stock involves risks. See the risk factors described in our most recent Annual Report on Form 10-K and any subsequent Quarterly Reports on Form 10-Q or Current Reports on Form 8-K we file after the date of this prospectus, and all other information contained or incorporated by reference into this prospectus, as updated by our subsequent filings under the Exchange Act, and the risk factors and other information contained in the applicable prospectus supplement and any applicable free writing prospectus before acquiring any of our common stock. The occurrence of any of these risks might cause you to lose all or part of your investment in our common stock.</w:t>
      </w:r>
    </w:p>
    <w:p>
      <w:pPr>
        <w:spacing w:after="0" w:line="104" w:lineRule="exact"/>
        <w:rPr>
          <w:sz w:val="20"/>
          <w:szCs w:val="20"/>
          <w:color w:val="auto"/>
        </w:rPr>
      </w:pPr>
    </w:p>
    <w:p>
      <w:pPr>
        <w:jc w:val="center"/>
        <w:ind w:right="-55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860"/>
          </w:cols>
          <w:pgMar w:left="240" w:top="444" w:right="799" w:bottom="1440" w:gutter="0" w:footer="0" w:header="0"/>
        </w:sectPr>
      </w:pPr>
    </w:p>
    <w:bookmarkStart w:id="10" w:name="page11"/>
    <w:bookmarkEnd w:id="1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USE OF PROCEEDS</w:t>
      </w:r>
    </w:p>
    <w:p>
      <w:pPr>
        <w:spacing w:after="0" w:line="223" w:lineRule="exact"/>
        <w:rPr>
          <w:sz w:val="20"/>
          <w:szCs w:val="20"/>
          <w:color w:val="auto"/>
        </w:rPr>
      </w:pPr>
    </w:p>
    <w:p>
      <w:pPr>
        <w:ind w:left="460" w:firstLine="421"/>
        <w:spacing w:after="0" w:line="262" w:lineRule="auto"/>
        <w:rPr>
          <w:sz w:val="20"/>
          <w:szCs w:val="20"/>
          <w:color w:val="auto"/>
        </w:rPr>
      </w:pPr>
      <w:r>
        <w:rPr>
          <w:rFonts w:ascii="Arial" w:cs="Arial" w:eastAsia="Arial" w:hAnsi="Arial"/>
          <w:sz w:val="17"/>
          <w:szCs w:val="17"/>
          <w:color w:val="auto"/>
        </w:rPr>
        <w:t>All of the shares of our common stock being offered hereby are being sold by the selling stockholders identified in this prospectus or a supplement hereto. The selling stockholders will receive all of the net proceeds from the sale of any shares of our common stock under this prospectus. We are not selling any shares of our common stock under this prospectus and we will not receive any proceeds from the sale of shares of our common stock by the selling stockholders.</w:t>
      </w:r>
    </w:p>
    <w:p>
      <w:pPr>
        <w:spacing w:after="0" w:line="113"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960"/>
          </w:cols>
          <w:pgMar w:left="240" w:top="444" w:right="699" w:bottom="1440" w:gutter="0" w:footer="0" w:header="0"/>
        </w:sectPr>
      </w:pPr>
    </w:p>
    <w:bookmarkStart w:id="11" w:name="page12"/>
    <w:bookmarkEnd w:id="1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DESCRIPTION OF CAPITAL STOCK</w:t>
      </w:r>
    </w:p>
    <w:p>
      <w:pPr>
        <w:spacing w:after="0" w:line="223" w:lineRule="exact"/>
        <w:rPr>
          <w:sz w:val="20"/>
          <w:szCs w:val="20"/>
          <w:color w:val="auto"/>
        </w:rPr>
      </w:pPr>
    </w:p>
    <w:p>
      <w:pPr>
        <w:ind w:left="460" w:right="60" w:firstLine="421"/>
        <w:spacing w:after="0" w:line="290" w:lineRule="auto"/>
        <w:rPr>
          <w:sz w:val="20"/>
          <w:szCs w:val="20"/>
          <w:color w:val="auto"/>
        </w:rPr>
      </w:pPr>
      <w:r>
        <w:rPr>
          <w:rFonts w:ascii="Arial" w:cs="Arial" w:eastAsia="Arial" w:hAnsi="Arial"/>
          <w:sz w:val="16"/>
          <w:szCs w:val="16"/>
          <w:color w:val="auto"/>
        </w:rPr>
        <w:t>The following description of our capital stock is not complete and may not contain all the information you should consider before investing in our capital stock. This description is summarized from, and qualified in its entirety by reference to, our amended and restated certificate of incorporation, which has been publicly filed with the SEC. See “Where You Can Find More Information; Incorporation by Reference.”</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Our authorized capital stock consists of:</w:t>
      </w:r>
    </w:p>
    <w:p>
      <w:pPr>
        <w:spacing w:after="0" w:line="127" w:lineRule="exact"/>
        <w:rPr>
          <w:sz w:val="20"/>
          <w:szCs w:val="20"/>
          <w:color w:val="auto"/>
        </w:rPr>
      </w:pPr>
    </w:p>
    <w:p>
      <w:pPr>
        <w:ind w:left="1280" w:hanging="310"/>
        <w:spacing w:after="0"/>
        <w:tabs>
          <w:tab w:leader="none" w:pos="1280" w:val="left"/>
        </w:tabs>
        <w:numPr>
          <w:ilvl w:val="0"/>
          <w:numId w:val="4"/>
        </w:numPr>
        <w:rPr>
          <w:rFonts w:ascii="Arial" w:cs="Arial" w:eastAsia="Arial" w:hAnsi="Arial"/>
          <w:sz w:val="17"/>
          <w:szCs w:val="17"/>
          <w:color w:val="auto"/>
        </w:rPr>
      </w:pPr>
      <w:r>
        <w:rPr>
          <w:rFonts w:ascii="Arial" w:cs="Arial" w:eastAsia="Arial" w:hAnsi="Arial"/>
          <w:sz w:val="17"/>
          <w:szCs w:val="17"/>
          <w:color w:val="auto"/>
        </w:rPr>
        <w:t>80,000,000 shares of common stock, $0.10 par value per share; and</w:t>
      </w:r>
    </w:p>
    <w:p>
      <w:pPr>
        <w:spacing w:after="0" w:line="126" w:lineRule="exact"/>
        <w:rPr>
          <w:rFonts w:ascii="Arial" w:cs="Arial" w:eastAsia="Arial" w:hAnsi="Arial"/>
          <w:sz w:val="17"/>
          <w:szCs w:val="17"/>
          <w:color w:val="auto"/>
        </w:rPr>
      </w:pPr>
    </w:p>
    <w:p>
      <w:pPr>
        <w:ind w:left="1280" w:hanging="310"/>
        <w:spacing w:after="0"/>
        <w:tabs>
          <w:tab w:leader="none" w:pos="1280" w:val="left"/>
        </w:tabs>
        <w:numPr>
          <w:ilvl w:val="0"/>
          <w:numId w:val="4"/>
        </w:numPr>
        <w:rPr>
          <w:rFonts w:ascii="Arial" w:cs="Arial" w:eastAsia="Arial" w:hAnsi="Arial"/>
          <w:sz w:val="17"/>
          <w:szCs w:val="17"/>
          <w:color w:val="auto"/>
        </w:rPr>
      </w:pPr>
      <w:r>
        <w:rPr>
          <w:rFonts w:ascii="Arial" w:cs="Arial" w:eastAsia="Arial" w:hAnsi="Arial"/>
          <w:sz w:val="17"/>
          <w:szCs w:val="17"/>
          <w:color w:val="auto"/>
        </w:rPr>
        <w:t>500,000 shares of preferred stock, $1.00 par value per share.</w:t>
      </w:r>
    </w:p>
    <w:p>
      <w:pPr>
        <w:spacing w:after="0" w:line="31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Common Stock</w:t>
      </w:r>
    </w:p>
    <w:p>
      <w:pPr>
        <w:spacing w:after="0" w:line="120" w:lineRule="exact"/>
        <w:rPr>
          <w:sz w:val="20"/>
          <w:szCs w:val="20"/>
          <w:color w:val="auto"/>
        </w:rPr>
      </w:pPr>
    </w:p>
    <w:p>
      <w:pPr>
        <w:ind w:left="460" w:right="60" w:firstLine="421"/>
        <w:spacing w:after="0" w:line="299" w:lineRule="auto"/>
        <w:rPr>
          <w:sz w:val="20"/>
          <w:szCs w:val="20"/>
          <w:color w:val="auto"/>
        </w:rPr>
      </w:pPr>
      <w:r>
        <w:rPr>
          <w:rFonts w:ascii="Arial" w:cs="Arial" w:eastAsia="Arial" w:hAnsi="Arial"/>
          <w:sz w:val="15"/>
          <w:szCs w:val="15"/>
          <w:color w:val="auto"/>
        </w:rPr>
        <w:t>Holders of common stock have full voting rights, subject to any voting rights of any shares of preferred stock then outstanding, and are entitled to one vote for each share held of record on each matter submitted to a vote of stockholders. Holders of common stock have no rights to convert their shares into other securities or have their shares redeemed, no preemptive rights or other rights to subscribe for additional securities and no right to vote cumulatively for the election of directors. Subject to preferences that may be applicable to any shares of preferred stock then outstanding, the holders of the shares of common stock will be entitled to receive such dividends, if any, as may be declared by our board of directors out of legally available funds and to share ratably in any distribution to the stockholders, including any distribution upon liquidation of the Company.</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Preferred Stock</w:t>
      </w:r>
    </w:p>
    <w:p>
      <w:pPr>
        <w:spacing w:after="0" w:line="120" w:lineRule="exact"/>
        <w:rPr>
          <w:sz w:val="20"/>
          <w:szCs w:val="20"/>
          <w:color w:val="auto"/>
        </w:rPr>
      </w:pPr>
    </w:p>
    <w:p>
      <w:pPr>
        <w:ind w:left="460" w:right="40" w:firstLine="421"/>
        <w:spacing w:after="0" w:line="262" w:lineRule="auto"/>
        <w:rPr>
          <w:sz w:val="20"/>
          <w:szCs w:val="20"/>
          <w:color w:val="auto"/>
        </w:rPr>
      </w:pPr>
      <w:r>
        <w:rPr>
          <w:rFonts w:ascii="Arial" w:cs="Arial" w:eastAsia="Arial" w:hAnsi="Arial"/>
          <w:sz w:val="17"/>
          <w:szCs w:val="17"/>
          <w:color w:val="auto"/>
        </w:rPr>
        <w:t>Our amended and restated certificate of incorporation provides that our board of directors is authorized to direct us to issue shares of preferred stock in one or more series without stockholder approval. Our board of directors has the discretion to determine the designation, powers, voting powers, preferences and the relative, participating, optional, conversion or other rights of the shares of each such series of preferred stock, and the qualifications, limitations or restrictions thereof.</w:t>
      </w:r>
    </w:p>
    <w:p>
      <w:pPr>
        <w:spacing w:after="0" w:line="178" w:lineRule="exact"/>
        <w:rPr>
          <w:sz w:val="20"/>
          <w:szCs w:val="20"/>
          <w:color w:val="auto"/>
        </w:rPr>
      </w:pPr>
    </w:p>
    <w:p>
      <w:pPr>
        <w:ind w:left="460" w:firstLine="421"/>
        <w:spacing w:after="0" w:line="262" w:lineRule="auto"/>
        <w:rPr>
          <w:sz w:val="20"/>
          <w:szCs w:val="20"/>
          <w:color w:val="auto"/>
        </w:rPr>
      </w:pPr>
      <w:r>
        <w:rPr>
          <w:rFonts w:ascii="Arial" w:cs="Arial" w:eastAsia="Arial" w:hAnsi="Arial"/>
          <w:sz w:val="17"/>
          <w:szCs w:val="17"/>
          <w:color w:val="auto"/>
        </w:rPr>
        <w:t>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Transfer Agent</w:t>
      </w:r>
    </w:p>
    <w:p>
      <w:pPr>
        <w:spacing w:after="0" w:line="120"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transfer agent and registrar for our common stock is American Stock Transfer &amp; Trust Company.</w:t>
      </w:r>
    </w:p>
    <w:p>
      <w:pPr>
        <w:spacing w:after="0" w:line="31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Authorized but Unissued Shares</w:t>
      </w:r>
    </w:p>
    <w:p>
      <w:pPr>
        <w:spacing w:after="0" w:line="120" w:lineRule="exact"/>
        <w:rPr>
          <w:sz w:val="20"/>
          <w:szCs w:val="20"/>
          <w:color w:val="auto"/>
        </w:rPr>
      </w:pPr>
    </w:p>
    <w:p>
      <w:pPr>
        <w:ind w:left="460" w:right="80" w:firstLine="421"/>
        <w:spacing w:after="0" w:line="259" w:lineRule="auto"/>
        <w:rPr>
          <w:sz w:val="20"/>
          <w:szCs w:val="20"/>
          <w:color w:val="auto"/>
        </w:rPr>
      </w:pPr>
      <w:r>
        <w:rPr>
          <w:rFonts w:ascii="Arial" w:cs="Arial" w:eastAsia="Arial" w:hAnsi="Arial"/>
          <w:sz w:val="17"/>
          <w:szCs w:val="17"/>
          <w:color w:val="auto"/>
        </w:rPr>
        <w:t>The authorized but unissued shares of our common stock and our preferred stock are available for future issuance without stockholder approval, subject to any limitations imposed by the listing standards of The NASDAQ Global Select Market. These additional shares may be used for a variety of corporate finance transactions, acquisitions and employee benefit plans. The existence of authorized but unissued and unreserved common stock and preferred stock could make more difficult or discourage an attempt to obtain control of us by means of a proxy contest, tender offer, merger or otherwise.</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Anti-Takeover Effects of Delaware Law</w:t>
      </w:r>
    </w:p>
    <w:p>
      <w:pPr>
        <w:spacing w:after="0" w:line="120" w:lineRule="exact"/>
        <w:rPr>
          <w:sz w:val="20"/>
          <w:szCs w:val="20"/>
          <w:color w:val="auto"/>
        </w:rPr>
      </w:pPr>
    </w:p>
    <w:p>
      <w:pPr>
        <w:ind w:left="460" w:right="140" w:firstLine="421"/>
        <w:spacing w:after="0" w:line="279" w:lineRule="auto"/>
        <w:rPr>
          <w:sz w:val="20"/>
          <w:szCs w:val="20"/>
          <w:color w:val="auto"/>
        </w:rPr>
      </w:pPr>
      <w:r>
        <w:rPr>
          <w:rFonts w:ascii="Arial" w:cs="Arial" w:eastAsia="Arial" w:hAnsi="Arial"/>
          <w:sz w:val="17"/>
          <w:szCs w:val="17"/>
          <w:color w:val="auto"/>
        </w:rPr>
        <w:t>We are subject to the provisions of Section 203 of the Delaware General Corporation Law. Under Section 203, we would generally be prohibited from engaging in any “business combination” with any</w:t>
      </w:r>
    </w:p>
    <w:p>
      <w:pPr>
        <w:spacing w:after="0" w:line="100"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0960"/>
          </w:cols>
          <w:pgMar w:left="240" w:top="444" w:right="699" w:bottom="1440" w:gutter="0" w:footer="0" w:header="0"/>
        </w:sectPr>
      </w:pPr>
    </w:p>
    <w:bookmarkStart w:id="12" w:name="page13"/>
    <w:bookmarkEnd w:id="1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spacing w:after="0" w:line="276" w:lineRule="auto"/>
        <w:rPr>
          <w:sz w:val="20"/>
          <w:szCs w:val="20"/>
          <w:color w:val="auto"/>
        </w:rPr>
      </w:pPr>
      <w:r>
        <w:rPr>
          <w:rFonts w:ascii="Arial" w:cs="Arial" w:eastAsia="Arial" w:hAnsi="Arial"/>
          <w:sz w:val="16"/>
          <w:szCs w:val="16"/>
          <w:color w:val="auto"/>
        </w:rPr>
        <w:t>“interested stockholder” for a period of three years following the time that this stockholder became an interested stockholder unless the business combination is approved in a prescribed manner. Under Section 203, a “business combination” includes any merger or consolidation involving the corporation and the interested stockholder, any sale, transfer, pledge or other disposition of 10% or more of the assets of the corporation involving the interested stockholder, any transaction that results in the issuance or transfer by the corporation of any stock of the corporation to the interested stockholder, subject to limited exceptions, any transaction involving the corporation that has the effect of increasing the proportionate share of the stock of any class or series of the corporation beneficially owned by the interested stockholder or the receipt by the interested stockholder of the benefit of any loans, advances, guarantees, pledges or other financial benefits provided by or through the corporation.</w:t>
      </w:r>
    </w:p>
    <w:p>
      <w:pPr>
        <w:spacing w:after="0" w:line="169" w:lineRule="exact"/>
        <w:rPr>
          <w:sz w:val="20"/>
          <w:szCs w:val="20"/>
          <w:color w:val="auto"/>
        </w:rPr>
      </w:pPr>
    </w:p>
    <w:p>
      <w:pPr>
        <w:ind w:left="460" w:right="140" w:firstLine="421"/>
        <w:spacing w:after="0" w:line="279" w:lineRule="auto"/>
        <w:rPr>
          <w:sz w:val="20"/>
          <w:szCs w:val="20"/>
          <w:color w:val="auto"/>
        </w:rPr>
      </w:pPr>
      <w:r>
        <w:rPr>
          <w:rFonts w:ascii="Arial" w:cs="Arial" w:eastAsia="Arial" w:hAnsi="Arial"/>
          <w:sz w:val="17"/>
          <w:szCs w:val="17"/>
          <w:color w:val="auto"/>
        </w:rPr>
        <w:t>In general, Section 203 defines an interested stockholder as an entity or person beneficially owning 15% or more of the outstanding voting stock of the corporation and any entity or person affiliated with or controlling or controlled by such entity or person.</w:t>
      </w:r>
    </w:p>
    <w:p>
      <w:pPr>
        <w:spacing w:after="0" w:line="100"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940"/>
          </w:cols>
          <w:pgMar w:left="240" w:top="444" w:right="719" w:bottom="1440" w:gutter="0" w:footer="0" w:header="0"/>
        </w:sectPr>
      </w:pPr>
    </w:p>
    <w:bookmarkStart w:id="13" w:name="page14"/>
    <w:bookmarkEnd w:id="1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SELLING STOCKHOLDERS</w:t>
      </w:r>
    </w:p>
    <w:p>
      <w:pPr>
        <w:spacing w:after="0" w:line="223" w:lineRule="exact"/>
        <w:rPr>
          <w:sz w:val="20"/>
          <w:szCs w:val="20"/>
          <w:color w:val="auto"/>
        </w:rPr>
      </w:pPr>
    </w:p>
    <w:p>
      <w:pPr>
        <w:ind w:left="460" w:right="180" w:firstLine="421"/>
        <w:spacing w:after="0" w:line="302" w:lineRule="auto"/>
        <w:rPr>
          <w:sz w:val="20"/>
          <w:szCs w:val="20"/>
          <w:color w:val="auto"/>
        </w:rPr>
      </w:pPr>
      <w:r>
        <w:rPr>
          <w:rFonts w:ascii="Arial" w:cs="Arial" w:eastAsia="Arial" w:hAnsi="Arial"/>
          <w:sz w:val="15"/>
          <w:szCs w:val="15"/>
          <w:color w:val="auto"/>
        </w:rPr>
        <w:t>This prospectus relates to the resale of shares of our common stock held by the selling stockholders listed below. The selling stockholders acquired the shares of common stock offered hereby in a private placement closing on November 15, 2018. On November 13, 2018, we entered into securities purchase agreements with the selling stockholders and C.P. Pharmaceuticals International C.V., pursuant to which C.P. Pharmaceuticals International C.V. agreed to sell 2,500,000 shares of common stock to the selling stockholders, and we were obligated to prepare and file a registration statement, on the closing date, in order to permit the resale of the common stock held by the selling stockholders from time to time.</w:t>
      </w:r>
    </w:p>
    <w:p>
      <w:pPr>
        <w:spacing w:after="0" w:line="152" w:lineRule="exact"/>
        <w:rPr>
          <w:sz w:val="20"/>
          <w:szCs w:val="20"/>
          <w:color w:val="auto"/>
        </w:rPr>
      </w:pPr>
    </w:p>
    <w:p>
      <w:pPr>
        <w:ind w:left="460" w:right="180" w:firstLine="421"/>
        <w:spacing w:after="0" w:line="279" w:lineRule="auto"/>
        <w:rPr>
          <w:sz w:val="20"/>
          <w:szCs w:val="20"/>
          <w:color w:val="auto"/>
        </w:rPr>
      </w:pPr>
      <w:r>
        <w:rPr>
          <w:rFonts w:ascii="Arial" w:cs="Arial" w:eastAsia="Arial" w:hAnsi="Arial"/>
          <w:sz w:val="16"/>
          <w:szCs w:val="16"/>
          <w:color w:val="auto"/>
        </w:rPr>
        <w:t>The following table and footnotes set forth information with respect to the beneficial ownership of our common stock as of November 13, 2018, including the percentage of beneficial ownership based on 20,489,181 shares of common stock outstanding as of October 31, 2018. The selling stockholders named in this prospectus may offer to sell from time to time up to 2,500,000 shares of our common stock, as provided in this prospectus under the section entitled “Plan of Distribution” and in any applicable prospectus supplement. However, we do not know when, if at all, or in what amount such selling stockholders may offer their shares for sale under this prospectus.</w:t>
      </w:r>
    </w:p>
    <w:p>
      <w:pPr>
        <w:spacing w:after="0" w:line="16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5"/>
              </w:rPr>
              <w:t>Maximum</w:t>
            </w: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80" w:type="dxa"/>
            <w:vAlign w:val="bottom"/>
            <w:gridSpan w:val="2"/>
          </w:tcPr>
          <w:p>
            <w:pPr>
              <w:jc w:val="center"/>
              <w:ind w:right="540"/>
              <w:spacing w:after="0" w:line="142" w:lineRule="exact"/>
              <w:rPr>
                <w:sz w:val="20"/>
                <w:szCs w:val="20"/>
                <w:color w:val="auto"/>
              </w:rPr>
            </w:pPr>
            <w:r>
              <w:rPr>
                <w:rFonts w:ascii="Arial" w:cs="Arial" w:eastAsia="Arial" w:hAnsi="Arial"/>
                <w:sz w:val="14"/>
                <w:szCs w:val="14"/>
                <w:b w:val="1"/>
                <w:bCs w:val="1"/>
                <w:color w:val="auto"/>
                <w:w w:val="88"/>
              </w:rPr>
              <w:t>Number of</w:t>
            </w: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2540" w:type="dxa"/>
            <w:vAlign w:val="bottom"/>
            <w:gridSpan w:val="4"/>
            <w:vMerge w:val="restart"/>
          </w:tcPr>
          <w:p>
            <w:pPr>
              <w:jc w:val="center"/>
              <w:ind w:right="660"/>
              <w:spacing w:after="0"/>
              <w:rPr>
                <w:sz w:val="20"/>
                <w:szCs w:val="20"/>
                <w:color w:val="auto"/>
              </w:rPr>
            </w:pPr>
            <w:r>
              <w:rPr>
                <w:rFonts w:ascii="Arial" w:cs="Arial" w:eastAsia="Arial" w:hAnsi="Arial"/>
                <w:sz w:val="14"/>
                <w:szCs w:val="14"/>
                <w:b w:val="1"/>
                <w:bCs w:val="1"/>
                <w:color w:val="auto"/>
                <w:w w:val="87"/>
              </w:rPr>
              <w:t>Shares Beneficially</w:t>
            </w:r>
          </w:p>
        </w:tc>
        <w:tc>
          <w:tcPr>
            <w:tcW w:w="1280" w:type="dxa"/>
            <w:vAlign w:val="bottom"/>
            <w:gridSpan w:val="2"/>
          </w:tcPr>
          <w:p>
            <w:pPr>
              <w:jc w:val="center"/>
              <w:ind w:right="540"/>
              <w:spacing w:after="0" w:line="142" w:lineRule="exact"/>
              <w:rPr>
                <w:sz w:val="20"/>
                <w:szCs w:val="20"/>
                <w:color w:val="auto"/>
              </w:rPr>
            </w:pPr>
            <w:r>
              <w:rPr>
                <w:rFonts w:ascii="Arial" w:cs="Arial" w:eastAsia="Arial" w:hAnsi="Arial"/>
                <w:sz w:val="14"/>
                <w:szCs w:val="14"/>
                <w:b w:val="1"/>
                <w:bCs w:val="1"/>
                <w:color w:val="auto"/>
                <w:w w:val="81"/>
              </w:rPr>
              <w:t>Shares</w:t>
            </w:r>
          </w:p>
        </w:tc>
        <w:tc>
          <w:tcPr>
            <w:tcW w:w="194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7"/>
              </w:rPr>
              <w:t>Shares Beneficially</w:t>
            </w:r>
          </w:p>
        </w:tc>
        <w:tc>
          <w:tcPr>
            <w:tcW w:w="0" w:type="dxa"/>
            <w:vAlign w:val="bottom"/>
          </w:tcPr>
          <w:p>
            <w:pPr>
              <w:spacing w:after="0"/>
              <w:rPr>
                <w:sz w:val="1"/>
                <w:szCs w:val="1"/>
                <w:color w:val="auto"/>
              </w:rPr>
            </w:pPr>
          </w:p>
        </w:tc>
      </w:tr>
      <w:tr>
        <w:trPr>
          <w:trHeight w:val="132"/>
        </w:trPr>
        <w:tc>
          <w:tcPr>
            <w:tcW w:w="34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2540" w:type="dxa"/>
            <w:vAlign w:val="bottom"/>
            <w:gridSpan w:val="4"/>
            <w:vMerge w:val="continue"/>
          </w:tcPr>
          <w:p>
            <w:pPr>
              <w:spacing w:after="0"/>
              <w:rPr>
                <w:sz w:val="11"/>
                <w:szCs w:val="11"/>
                <w:color w:val="auto"/>
              </w:rPr>
            </w:pPr>
          </w:p>
        </w:tc>
        <w:tc>
          <w:tcPr>
            <w:tcW w:w="1280" w:type="dxa"/>
            <w:vAlign w:val="bottom"/>
            <w:gridSpan w:val="2"/>
          </w:tcPr>
          <w:p>
            <w:pPr>
              <w:jc w:val="center"/>
              <w:ind w:right="540"/>
              <w:spacing w:after="0" w:line="132" w:lineRule="exact"/>
              <w:rPr>
                <w:sz w:val="20"/>
                <w:szCs w:val="20"/>
                <w:color w:val="auto"/>
              </w:rPr>
            </w:pPr>
            <w:r>
              <w:rPr>
                <w:rFonts w:ascii="Arial" w:cs="Arial" w:eastAsia="Arial" w:hAnsi="Arial"/>
                <w:sz w:val="14"/>
                <w:szCs w:val="14"/>
                <w:b w:val="1"/>
                <w:bCs w:val="1"/>
                <w:color w:val="auto"/>
                <w:w w:val="91"/>
              </w:rPr>
              <w:t>That May be</w:t>
            </w:r>
          </w:p>
        </w:tc>
        <w:tc>
          <w:tcPr>
            <w:tcW w:w="194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2540" w:type="dxa"/>
            <w:vAlign w:val="bottom"/>
            <w:gridSpan w:val="4"/>
          </w:tcPr>
          <w:p>
            <w:pPr>
              <w:jc w:val="center"/>
              <w:ind w:right="680"/>
              <w:spacing w:after="0" w:line="148" w:lineRule="exact"/>
              <w:rPr>
                <w:sz w:val="20"/>
                <w:szCs w:val="20"/>
                <w:color w:val="auto"/>
              </w:rPr>
            </w:pPr>
            <w:r>
              <w:rPr>
                <w:rFonts w:ascii="Arial" w:cs="Arial" w:eastAsia="Arial" w:hAnsi="Arial"/>
                <w:sz w:val="14"/>
                <w:szCs w:val="14"/>
                <w:b w:val="1"/>
                <w:bCs w:val="1"/>
                <w:color w:val="auto"/>
                <w:w w:val="90"/>
              </w:rPr>
              <w:t>Owned Prior to the</w:t>
            </w:r>
          </w:p>
        </w:tc>
        <w:tc>
          <w:tcPr>
            <w:tcW w:w="1280" w:type="dxa"/>
            <w:vAlign w:val="bottom"/>
            <w:gridSpan w:val="2"/>
          </w:tcPr>
          <w:p>
            <w:pPr>
              <w:jc w:val="center"/>
              <w:ind w:right="540"/>
              <w:spacing w:after="0" w:line="148" w:lineRule="exact"/>
              <w:rPr>
                <w:sz w:val="20"/>
                <w:szCs w:val="20"/>
                <w:color w:val="auto"/>
              </w:rPr>
            </w:pPr>
            <w:r>
              <w:rPr>
                <w:rFonts w:ascii="Arial" w:cs="Arial" w:eastAsia="Arial" w:hAnsi="Arial"/>
                <w:sz w:val="14"/>
                <w:szCs w:val="14"/>
                <w:b w:val="1"/>
                <w:bCs w:val="1"/>
                <w:color w:val="auto"/>
                <w:w w:val="92"/>
              </w:rPr>
              <w:t>Offered</w:t>
            </w:r>
          </w:p>
        </w:tc>
        <w:tc>
          <w:tcPr>
            <w:tcW w:w="1940" w:type="dxa"/>
            <w:vAlign w:val="bottom"/>
            <w:gridSpan w:val="3"/>
          </w:tcPr>
          <w:p>
            <w:pPr>
              <w:jc w:val="center"/>
              <w:spacing w:after="0" w:line="148" w:lineRule="exact"/>
              <w:rPr>
                <w:sz w:val="20"/>
                <w:szCs w:val="20"/>
                <w:color w:val="auto"/>
              </w:rPr>
            </w:pPr>
            <w:r>
              <w:rPr>
                <w:rFonts w:ascii="Arial" w:cs="Arial" w:eastAsia="Arial" w:hAnsi="Arial"/>
                <w:sz w:val="14"/>
                <w:szCs w:val="14"/>
                <w:b w:val="1"/>
                <w:bCs w:val="1"/>
                <w:color w:val="auto"/>
                <w:w w:val="90"/>
              </w:rPr>
              <w:t>Owned After the</w:t>
            </w: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2"/>
          </w:tcPr>
          <w:p>
            <w:pPr>
              <w:jc w:val="center"/>
              <w:ind w:right="547"/>
              <w:spacing w:after="0" w:line="122" w:lineRule="exact"/>
              <w:rPr>
                <w:sz w:val="20"/>
                <w:szCs w:val="20"/>
                <w:color w:val="auto"/>
              </w:rPr>
            </w:pPr>
            <w:r>
              <w:rPr>
                <w:rFonts w:ascii="Arial" w:cs="Arial" w:eastAsia="Arial" w:hAnsi="Arial"/>
                <w:sz w:val="14"/>
                <w:szCs w:val="14"/>
                <w:b w:val="1"/>
                <w:bCs w:val="1"/>
                <w:color w:val="auto"/>
                <w:w w:val="91"/>
              </w:rPr>
              <w:t>Offering</w:t>
            </w:r>
          </w:p>
        </w:tc>
        <w:tc>
          <w:tcPr>
            <w:tcW w:w="660" w:type="dxa"/>
            <w:vAlign w:val="bottom"/>
          </w:tcPr>
          <w:p>
            <w:pPr>
              <w:spacing w:after="0"/>
              <w:rPr>
                <w:sz w:val="12"/>
                <w:szCs w:val="12"/>
                <w:color w:val="auto"/>
              </w:rPr>
            </w:pPr>
          </w:p>
        </w:tc>
        <w:tc>
          <w:tcPr>
            <w:tcW w:w="1280" w:type="dxa"/>
            <w:vAlign w:val="bottom"/>
            <w:gridSpan w:val="2"/>
          </w:tcPr>
          <w:p>
            <w:pPr>
              <w:jc w:val="center"/>
              <w:ind w:right="540"/>
              <w:spacing w:after="0" w:line="122" w:lineRule="exact"/>
              <w:rPr>
                <w:sz w:val="20"/>
                <w:szCs w:val="20"/>
                <w:color w:val="auto"/>
              </w:rPr>
            </w:pPr>
            <w:r>
              <w:rPr>
                <w:rFonts w:ascii="Arial" w:cs="Arial" w:eastAsia="Arial" w:hAnsi="Arial"/>
                <w:sz w:val="14"/>
                <w:szCs w:val="14"/>
                <w:b w:val="1"/>
                <w:bCs w:val="1"/>
                <w:color w:val="auto"/>
                <w:w w:val="88"/>
              </w:rPr>
              <w:t>Pursuant</w:t>
            </w:r>
          </w:p>
        </w:tc>
        <w:tc>
          <w:tcPr>
            <w:tcW w:w="58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2"/>
          </w:tcPr>
          <w:p>
            <w:pPr>
              <w:jc w:val="center"/>
              <w:ind w:right="547"/>
              <w:spacing w:after="0" w:line="122" w:lineRule="exact"/>
              <w:rPr>
                <w:sz w:val="20"/>
                <w:szCs w:val="20"/>
                <w:color w:val="auto"/>
              </w:rPr>
            </w:pPr>
            <w:r>
              <w:rPr>
                <w:rFonts w:ascii="Arial" w:cs="Arial" w:eastAsia="Arial" w:hAnsi="Arial"/>
                <w:sz w:val="14"/>
                <w:szCs w:val="14"/>
                <w:b w:val="1"/>
                <w:bCs w:val="1"/>
                <w:color w:val="auto"/>
                <w:w w:val="92"/>
              </w:rPr>
              <w:t>Offering(4)</w:t>
            </w:r>
          </w:p>
        </w:tc>
        <w:tc>
          <w:tcPr>
            <w:tcW w:w="0" w:type="dxa"/>
            <w:vAlign w:val="bottom"/>
          </w:tcPr>
          <w:p>
            <w:pPr>
              <w:spacing w:after="0"/>
              <w:rPr>
                <w:sz w:val="1"/>
                <w:szCs w:val="1"/>
                <w:color w:val="auto"/>
              </w:rPr>
            </w:pPr>
          </w:p>
        </w:tc>
      </w:tr>
      <w:tr>
        <w:trPr>
          <w:trHeight w:val="125"/>
        </w:trPr>
        <w:tc>
          <w:tcPr>
            <w:tcW w:w="340" w:type="dxa"/>
            <w:vAlign w:val="bottom"/>
            <w:vMerge w:val="restart"/>
          </w:tcPr>
          <w:p>
            <w:pPr>
              <w:spacing w:after="0"/>
              <w:rPr>
                <w:sz w:val="20"/>
                <w:szCs w:val="20"/>
                <w:color w:val="auto"/>
              </w:rPr>
            </w:pPr>
            <w:r>
              <w:rPr>
                <w:rFonts w:ascii="Arial" w:cs="Arial" w:eastAsia="Arial" w:hAnsi="Arial"/>
                <w:sz w:val="14"/>
                <w:szCs w:val="14"/>
                <w:b w:val="1"/>
                <w:bCs w:val="1"/>
                <w:color w:val="auto"/>
                <w:w w:val="83"/>
              </w:rPr>
              <w:t>Name</w:t>
            </w:r>
          </w:p>
        </w:tc>
        <w:tc>
          <w:tcPr>
            <w:tcW w:w="4420" w:type="dxa"/>
            <w:vAlign w:val="bottom"/>
            <w:vMerge w:val="restart"/>
          </w:tcPr>
          <w:p>
            <w:pPr>
              <w:spacing w:after="0"/>
              <w:rPr>
                <w:sz w:val="10"/>
                <w:szCs w:val="10"/>
                <w:color w:val="auto"/>
              </w:rPr>
            </w:pPr>
          </w:p>
        </w:tc>
        <w:tc>
          <w:tcPr>
            <w:tcW w:w="600" w:type="dxa"/>
            <w:vAlign w:val="bottom"/>
            <w:vMerge w:val="restart"/>
          </w:tcPr>
          <w:p>
            <w:pPr>
              <w:jc w:val="right"/>
              <w:ind w:right="24"/>
              <w:spacing w:after="0"/>
              <w:rPr>
                <w:sz w:val="20"/>
                <w:szCs w:val="20"/>
                <w:color w:val="auto"/>
              </w:rPr>
            </w:pPr>
            <w:r>
              <w:rPr>
                <w:rFonts w:ascii="Arial" w:cs="Arial" w:eastAsia="Arial" w:hAnsi="Arial"/>
                <w:sz w:val="14"/>
                <w:szCs w:val="14"/>
                <w:b w:val="1"/>
                <w:bCs w:val="1"/>
                <w:color w:val="auto"/>
                <w:w w:val="90"/>
              </w:rPr>
              <w:t>Number</w:t>
            </w:r>
          </w:p>
        </w:tc>
        <w:tc>
          <w:tcPr>
            <w:tcW w:w="460" w:type="dxa"/>
            <w:vAlign w:val="bottom"/>
          </w:tcPr>
          <w:p>
            <w:pPr>
              <w:spacing w:after="0"/>
              <w:rPr>
                <w:sz w:val="10"/>
                <w:szCs w:val="10"/>
                <w:color w:val="auto"/>
              </w:rPr>
            </w:pPr>
          </w:p>
        </w:tc>
        <w:tc>
          <w:tcPr>
            <w:tcW w:w="148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w w:val="86"/>
              </w:rPr>
              <w:t>Percentage(1)</w:t>
            </w:r>
          </w:p>
        </w:tc>
        <w:tc>
          <w:tcPr>
            <w:tcW w:w="1280" w:type="dxa"/>
            <w:vAlign w:val="bottom"/>
            <w:gridSpan w:val="2"/>
          </w:tcPr>
          <w:p>
            <w:pPr>
              <w:jc w:val="center"/>
              <w:ind w:right="540"/>
              <w:spacing w:after="0" w:line="125" w:lineRule="exact"/>
              <w:rPr>
                <w:sz w:val="20"/>
                <w:szCs w:val="20"/>
                <w:color w:val="auto"/>
              </w:rPr>
            </w:pPr>
            <w:r>
              <w:rPr>
                <w:rFonts w:ascii="Arial" w:cs="Arial" w:eastAsia="Arial" w:hAnsi="Arial"/>
                <w:sz w:val="14"/>
                <w:szCs w:val="14"/>
                <w:b w:val="1"/>
                <w:bCs w:val="1"/>
                <w:color w:val="auto"/>
                <w:w w:val="90"/>
              </w:rPr>
              <w:t>to this</w:t>
            </w: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Number</w:t>
            </w:r>
          </w:p>
        </w:tc>
        <w:tc>
          <w:tcPr>
            <w:tcW w:w="50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6"/>
              </w:rPr>
              <w:t>Percentage(1)</w:t>
            </w:r>
          </w:p>
        </w:tc>
        <w:tc>
          <w:tcPr>
            <w:tcW w:w="0" w:type="dxa"/>
            <w:vAlign w:val="bottom"/>
          </w:tcPr>
          <w:p>
            <w:pPr>
              <w:spacing w:after="0"/>
              <w:rPr>
                <w:sz w:val="1"/>
                <w:szCs w:val="1"/>
                <w:color w:val="auto"/>
              </w:rPr>
            </w:pPr>
          </w:p>
        </w:tc>
      </w:tr>
      <w:tr>
        <w:trPr>
          <w:trHeight w:val="156"/>
        </w:trPr>
        <w:tc>
          <w:tcPr>
            <w:tcW w:w="340" w:type="dxa"/>
            <w:vAlign w:val="bottom"/>
            <w:tcBorders>
              <w:bottom w:val="single" w:sz="8" w:color="auto"/>
            </w:tcBorders>
            <w:vMerge w:val="continue"/>
          </w:tcPr>
          <w:p>
            <w:pPr>
              <w:spacing w:after="0"/>
              <w:rPr>
                <w:sz w:val="13"/>
                <w:szCs w:val="13"/>
                <w:color w:val="auto"/>
              </w:rPr>
            </w:pPr>
          </w:p>
        </w:tc>
        <w:tc>
          <w:tcPr>
            <w:tcW w:w="442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1480" w:type="dxa"/>
            <w:vAlign w:val="bottom"/>
            <w:gridSpan w:val="2"/>
            <w:vMerge w:val="continue"/>
          </w:tcPr>
          <w:p>
            <w:pPr>
              <w:spacing w:after="0"/>
              <w:rPr>
                <w:sz w:val="13"/>
                <w:szCs w:val="13"/>
                <w:color w:val="auto"/>
              </w:rPr>
            </w:pPr>
          </w:p>
        </w:tc>
        <w:tc>
          <w:tcPr>
            <w:tcW w:w="1280" w:type="dxa"/>
            <w:vAlign w:val="bottom"/>
            <w:gridSpan w:val="2"/>
          </w:tcPr>
          <w:p>
            <w:pPr>
              <w:jc w:val="center"/>
              <w:ind w:right="520"/>
              <w:spacing w:after="0" w:line="151" w:lineRule="exact"/>
              <w:rPr>
                <w:sz w:val="20"/>
                <w:szCs w:val="20"/>
                <w:color w:val="auto"/>
              </w:rPr>
            </w:pPr>
            <w:r>
              <w:rPr>
                <w:rFonts w:ascii="Arial" w:cs="Arial" w:eastAsia="Arial" w:hAnsi="Arial"/>
                <w:sz w:val="14"/>
                <w:szCs w:val="14"/>
                <w:b w:val="1"/>
                <w:bCs w:val="1"/>
                <w:color w:val="auto"/>
                <w:w w:val="83"/>
              </w:rPr>
              <w:t>Prospectus</w:t>
            </w:r>
          </w:p>
        </w:tc>
        <w:tc>
          <w:tcPr>
            <w:tcW w:w="580" w:type="dxa"/>
            <w:vAlign w:val="bottom"/>
            <w:vMerge w:val="continue"/>
          </w:tcPr>
          <w:p>
            <w:pPr>
              <w:spacing w:after="0"/>
              <w:rPr>
                <w:sz w:val="13"/>
                <w:szCs w:val="13"/>
                <w:color w:val="auto"/>
              </w:rPr>
            </w:pPr>
          </w:p>
        </w:tc>
        <w:tc>
          <w:tcPr>
            <w:tcW w:w="50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760" w:type="dxa"/>
            <w:vAlign w:val="bottom"/>
            <w:gridSpan w:val="2"/>
            <w:vMerge w:val="restart"/>
            <w:shd w:val="clear" w:color="auto" w:fill="CCEEFF"/>
          </w:tcPr>
          <w:p>
            <w:pPr>
              <w:spacing w:after="0"/>
              <w:rPr>
                <w:sz w:val="20"/>
                <w:szCs w:val="20"/>
                <w:color w:val="auto"/>
              </w:rPr>
            </w:pPr>
            <w:r>
              <w:rPr>
                <w:rFonts w:ascii="Arial" w:cs="Arial" w:eastAsia="Arial" w:hAnsi="Arial"/>
                <w:sz w:val="15"/>
                <w:szCs w:val="15"/>
                <w:color w:val="auto"/>
              </w:rPr>
              <w:t>T. Rowe Price New Horizons Fund, Inc. (2)</w:t>
            </w: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760" w:type="dxa"/>
            <w:vAlign w:val="bottom"/>
            <w:gridSpan w:val="2"/>
            <w:vMerge w:val="continue"/>
            <w:shd w:val="clear" w:color="auto" w:fill="CCEEFF"/>
          </w:tcPr>
          <w:p>
            <w:pPr>
              <w:spacing w:after="0"/>
              <w:rPr>
                <w:sz w:val="15"/>
                <w:szCs w:val="15"/>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592,662</w:t>
            </w:r>
          </w:p>
        </w:tc>
        <w:tc>
          <w:tcPr>
            <w:tcW w:w="460" w:type="dxa"/>
            <w:vAlign w:val="bottom"/>
            <w:vMerge w:val="continue"/>
            <w:shd w:val="clear" w:color="auto" w:fill="CCEEFF"/>
          </w:tcPr>
          <w:p>
            <w:pPr>
              <w:spacing w:after="0"/>
              <w:rPr>
                <w:sz w:val="15"/>
                <w:szCs w:val="15"/>
                <w:color w:val="auto"/>
              </w:rPr>
            </w:pPr>
          </w:p>
        </w:tc>
        <w:tc>
          <w:tcPr>
            <w:tcW w:w="1480" w:type="dxa"/>
            <w:vAlign w:val="bottom"/>
            <w:gridSpan w:val="2"/>
            <w:shd w:val="clear" w:color="auto" w:fill="CCEEFF"/>
          </w:tcPr>
          <w:p>
            <w:pPr>
              <w:jc w:val="right"/>
              <w:ind w:right="540"/>
              <w:spacing w:after="0"/>
              <w:rPr>
                <w:sz w:val="20"/>
                <w:szCs w:val="20"/>
                <w:color w:val="auto"/>
              </w:rPr>
            </w:pPr>
            <w:r>
              <w:rPr>
                <w:rFonts w:ascii="Arial" w:cs="Arial" w:eastAsia="Arial" w:hAnsi="Arial"/>
                <w:sz w:val="15"/>
                <w:szCs w:val="15"/>
                <w:color w:val="auto"/>
              </w:rPr>
              <w:t>2.89%</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491,311</w:t>
            </w:r>
          </w:p>
        </w:tc>
        <w:tc>
          <w:tcPr>
            <w:tcW w:w="520" w:type="dxa"/>
            <w:vAlign w:val="bottom"/>
            <w:vMerge w:val="continue"/>
            <w:shd w:val="clear" w:color="auto" w:fill="CCEEFF"/>
          </w:tcPr>
          <w:p>
            <w:pPr>
              <w:spacing w:after="0"/>
              <w:rPr>
                <w:sz w:val="15"/>
                <w:szCs w:val="15"/>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101,351</w:t>
            </w:r>
          </w:p>
        </w:tc>
        <w:tc>
          <w:tcPr>
            <w:tcW w:w="500" w:type="dxa"/>
            <w:vAlign w:val="bottom"/>
            <w:vMerge w:val="continue"/>
            <w:shd w:val="clear" w:color="auto" w:fill="CCEEFF"/>
          </w:tcPr>
          <w:p>
            <w:pPr>
              <w:spacing w:after="0"/>
              <w:rPr>
                <w:sz w:val="15"/>
                <w:szCs w:val="15"/>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3"/>
        </w:trPr>
        <w:tc>
          <w:tcPr>
            <w:tcW w:w="4760" w:type="dxa"/>
            <w:vAlign w:val="bottom"/>
            <w:gridSpan w:val="2"/>
          </w:tcPr>
          <w:p>
            <w:pPr>
              <w:spacing w:after="0"/>
              <w:rPr>
                <w:sz w:val="20"/>
                <w:szCs w:val="20"/>
                <w:color w:val="auto"/>
              </w:rPr>
            </w:pPr>
            <w:r>
              <w:rPr>
                <w:rFonts w:ascii="Arial" w:cs="Arial" w:eastAsia="Arial" w:hAnsi="Arial"/>
                <w:sz w:val="15"/>
                <w:szCs w:val="15"/>
                <w:color w:val="auto"/>
              </w:rPr>
              <w:t>New York City Deferred Compensation Plan (2)</w:t>
            </w:r>
          </w:p>
        </w:tc>
        <w:tc>
          <w:tcPr>
            <w:tcW w:w="600" w:type="dxa"/>
            <w:vAlign w:val="bottom"/>
          </w:tcPr>
          <w:p>
            <w:pPr>
              <w:jc w:val="right"/>
              <w:spacing w:after="0"/>
              <w:rPr>
                <w:sz w:val="20"/>
                <w:szCs w:val="20"/>
                <w:color w:val="auto"/>
              </w:rPr>
            </w:pPr>
            <w:r>
              <w:rPr>
                <w:rFonts w:ascii="Arial" w:cs="Arial" w:eastAsia="Arial" w:hAnsi="Arial"/>
                <w:sz w:val="15"/>
                <w:szCs w:val="15"/>
                <w:color w:val="auto"/>
              </w:rPr>
              <w:t>18,115</w:t>
            </w:r>
          </w:p>
        </w:tc>
        <w:tc>
          <w:tcPr>
            <w:tcW w:w="1940" w:type="dxa"/>
            <w:vAlign w:val="bottom"/>
            <w:gridSpan w:val="3"/>
          </w:tcPr>
          <w:p>
            <w:pPr>
              <w:jc w:val="right"/>
              <w:ind w:right="660"/>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15,010</w:t>
            </w:r>
          </w:p>
        </w:tc>
        <w:tc>
          <w:tcPr>
            <w:tcW w:w="5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3,105</w:t>
            </w:r>
          </w:p>
        </w:tc>
        <w:tc>
          <w:tcPr>
            <w:tcW w:w="13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3"/>
        </w:trPr>
        <w:tc>
          <w:tcPr>
            <w:tcW w:w="47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 Rowe Price New Horizons Trust (2)</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69,458</w:t>
            </w:r>
          </w:p>
        </w:tc>
        <w:tc>
          <w:tcPr>
            <w:tcW w:w="1940" w:type="dxa"/>
            <w:vAlign w:val="bottom"/>
            <w:gridSpan w:val="3"/>
            <w:shd w:val="clear" w:color="auto" w:fill="CCEEFF"/>
          </w:tcPr>
          <w:p>
            <w:pPr>
              <w:jc w:val="right"/>
              <w:ind w:right="660"/>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57,582</w:t>
            </w:r>
          </w:p>
        </w:tc>
        <w:tc>
          <w:tcPr>
            <w:tcW w:w="520" w:type="dxa"/>
            <w:vAlign w:val="bottom"/>
            <w:shd w:val="clear" w:color="auto" w:fill="CCEEFF"/>
          </w:tcPr>
          <w:p>
            <w:pPr>
              <w:spacing w:after="0"/>
              <w:rPr>
                <w:sz w:val="16"/>
                <w:szCs w:val="16"/>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11,876</w:t>
            </w:r>
          </w:p>
        </w:tc>
        <w:tc>
          <w:tcPr>
            <w:tcW w:w="13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3"/>
        </w:trPr>
        <w:tc>
          <w:tcPr>
            <w:tcW w:w="4760" w:type="dxa"/>
            <w:vAlign w:val="bottom"/>
            <w:gridSpan w:val="2"/>
          </w:tcPr>
          <w:p>
            <w:pPr>
              <w:spacing w:after="0"/>
              <w:rPr>
                <w:sz w:val="20"/>
                <w:szCs w:val="20"/>
                <w:color w:val="auto"/>
              </w:rPr>
            </w:pPr>
            <w:r>
              <w:rPr>
                <w:rFonts w:ascii="Arial" w:cs="Arial" w:eastAsia="Arial" w:hAnsi="Arial"/>
                <w:sz w:val="15"/>
                <w:szCs w:val="15"/>
                <w:color w:val="auto"/>
              </w:rPr>
              <w:t>T. Rowe Price U.S. Equities Trust (2)</w:t>
            </w:r>
          </w:p>
        </w:tc>
        <w:tc>
          <w:tcPr>
            <w:tcW w:w="600" w:type="dxa"/>
            <w:vAlign w:val="bottom"/>
          </w:tcPr>
          <w:p>
            <w:pPr>
              <w:jc w:val="right"/>
              <w:spacing w:after="0"/>
              <w:rPr>
                <w:sz w:val="20"/>
                <w:szCs w:val="20"/>
                <w:color w:val="auto"/>
              </w:rPr>
            </w:pPr>
            <w:r>
              <w:rPr>
                <w:rFonts w:ascii="Arial" w:cs="Arial" w:eastAsia="Arial" w:hAnsi="Arial"/>
                <w:sz w:val="15"/>
                <w:szCs w:val="15"/>
                <w:color w:val="auto"/>
              </w:rPr>
              <w:t>10,128</w:t>
            </w:r>
          </w:p>
        </w:tc>
        <w:tc>
          <w:tcPr>
            <w:tcW w:w="1940" w:type="dxa"/>
            <w:vAlign w:val="bottom"/>
            <w:gridSpan w:val="3"/>
          </w:tcPr>
          <w:p>
            <w:pPr>
              <w:jc w:val="right"/>
              <w:ind w:right="660"/>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6,655</w:t>
            </w:r>
          </w:p>
        </w:tc>
        <w:tc>
          <w:tcPr>
            <w:tcW w:w="5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3,473</w:t>
            </w:r>
          </w:p>
        </w:tc>
        <w:tc>
          <w:tcPr>
            <w:tcW w:w="13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5"/>
        </w:trPr>
        <w:tc>
          <w:tcPr>
            <w:tcW w:w="47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MassMutual Select Funds - MassMutual Select T. Rowe Price Small</w:t>
            </w:r>
          </w:p>
        </w:tc>
        <w:tc>
          <w:tcPr>
            <w:tcW w:w="600" w:type="dxa"/>
            <w:vAlign w:val="bottom"/>
            <w:tcBorders>
              <w:right w:val="single" w:sz="8" w:color="CCEEFF"/>
            </w:tcBorders>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580" w:type="dxa"/>
            <w:vAlign w:val="bottom"/>
            <w:tcBorders>
              <w:right w:val="single" w:sz="8" w:color="CCEEFF"/>
            </w:tcBorders>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6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7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and Mid Cap Blend Fund (2)</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5,130</w:t>
            </w:r>
          </w:p>
        </w:tc>
        <w:tc>
          <w:tcPr>
            <w:tcW w:w="1940" w:type="dxa"/>
            <w:vAlign w:val="bottom"/>
            <w:gridSpan w:val="3"/>
            <w:shd w:val="clear" w:color="auto" w:fill="CCEEFF"/>
          </w:tcPr>
          <w:p>
            <w:pPr>
              <w:jc w:val="right"/>
              <w:ind w:right="660"/>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4,780</w:t>
            </w:r>
          </w:p>
        </w:tc>
        <w:tc>
          <w:tcPr>
            <w:tcW w:w="52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350</w:t>
            </w:r>
          </w:p>
        </w:tc>
        <w:tc>
          <w:tcPr>
            <w:tcW w:w="13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3"/>
        </w:trPr>
        <w:tc>
          <w:tcPr>
            <w:tcW w:w="4760" w:type="dxa"/>
            <w:vAlign w:val="bottom"/>
            <w:gridSpan w:val="2"/>
          </w:tcPr>
          <w:p>
            <w:pPr>
              <w:spacing w:after="0"/>
              <w:rPr>
                <w:sz w:val="20"/>
                <w:szCs w:val="20"/>
                <w:color w:val="auto"/>
              </w:rPr>
            </w:pPr>
            <w:r>
              <w:rPr>
                <w:rFonts w:ascii="Arial" w:cs="Arial" w:eastAsia="Arial" w:hAnsi="Arial"/>
                <w:sz w:val="15"/>
                <w:szCs w:val="15"/>
                <w:color w:val="auto"/>
              </w:rPr>
              <w:t>Saint-Gobain Corporation (2)</w:t>
            </w:r>
          </w:p>
        </w:tc>
        <w:tc>
          <w:tcPr>
            <w:tcW w:w="600" w:type="dxa"/>
            <w:vAlign w:val="bottom"/>
          </w:tcPr>
          <w:p>
            <w:pPr>
              <w:jc w:val="right"/>
              <w:spacing w:after="0"/>
              <w:rPr>
                <w:sz w:val="20"/>
                <w:szCs w:val="20"/>
                <w:color w:val="auto"/>
              </w:rPr>
            </w:pPr>
            <w:r>
              <w:rPr>
                <w:rFonts w:ascii="Arial" w:cs="Arial" w:eastAsia="Arial" w:hAnsi="Arial"/>
                <w:sz w:val="15"/>
                <w:szCs w:val="15"/>
                <w:color w:val="auto"/>
              </w:rPr>
              <w:t>755</w:t>
            </w:r>
          </w:p>
        </w:tc>
        <w:tc>
          <w:tcPr>
            <w:tcW w:w="1940" w:type="dxa"/>
            <w:vAlign w:val="bottom"/>
            <w:gridSpan w:val="3"/>
          </w:tcPr>
          <w:p>
            <w:pPr>
              <w:jc w:val="right"/>
              <w:ind w:right="660"/>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644</w:t>
            </w:r>
          </w:p>
        </w:tc>
        <w:tc>
          <w:tcPr>
            <w:tcW w:w="5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111</w:t>
            </w:r>
          </w:p>
        </w:tc>
        <w:tc>
          <w:tcPr>
            <w:tcW w:w="13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3"/>
        </w:trPr>
        <w:tc>
          <w:tcPr>
            <w:tcW w:w="47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DOW RETIREMENT GROUP TRUST (2)</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5,746</w:t>
            </w:r>
          </w:p>
        </w:tc>
        <w:tc>
          <w:tcPr>
            <w:tcW w:w="1940" w:type="dxa"/>
            <w:vAlign w:val="bottom"/>
            <w:gridSpan w:val="3"/>
            <w:shd w:val="clear" w:color="auto" w:fill="CCEEFF"/>
          </w:tcPr>
          <w:p>
            <w:pPr>
              <w:jc w:val="right"/>
              <w:ind w:right="660"/>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4,754</w:t>
            </w:r>
          </w:p>
        </w:tc>
        <w:tc>
          <w:tcPr>
            <w:tcW w:w="520" w:type="dxa"/>
            <w:vAlign w:val="bottom"/>
            <w:shd w:val="clear" w:color="auto" w:fill="CCEEFF"/>
          </w:tcPr>
          <w:p>
            <w:pPr>
              <w:spacing w:after="0"/>
              <w:rPr>
                <w:sz w:val="16"/>
                <w:szCs w:val="16"/>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992</w:t>
            </w:r>
          </w:p>
        </w:tc>
        <w:tc>
          <w:tcPr>
            <w:tcW w:w="13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5"/>
        </w:trPr>
        <w:tc>
          <w:tcPr>
            <w:tcW w:w="4760" w:type="dxa"/>
            <w:vAlign w:val="bottom"/>
            <w:gridSpan w:val="2"/>
          </w:tcPr>
          <w:p>
            <w:pPr>
              <w:spacing w:after="0"/>
              <w:rPr>
                <w:sz w:val="20"/>
                <w:szCs w:val="20"/>
                <w:color w:val="auto"/>
              </w:rPr>
            </w:pPr>
            <w:r>
              <w:rPr>
                <w:rFonts w:ascii="Arial" w:cs="Arial" w:eastAsia="Arial" w:hAnsi="Arial"/>
                <w:sz w:val="15"/>
                <w:szCs w:val="15"/>
                <w:color w:val="auto"/>
              </w:rPr>
              <w:t>JOHNSON &amp; JOHNSON PENSION AND SAVINGS PLANS</w:t>
            </w:r>
          </w:p>
        </w:tc>
        <w:tc>
          <w:tcPr>
            <w:tcW w:w="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760" w:type="dxa"/>
            <w:vAlign w:val="bottom"/>
            <w:gridSpan w:val="2"/>
          </w:tcPr>
          <w:p>
            <w:pPr>
              <w:ind w:left="140"/>
              <w:spacing w:after="0"/>
              <w:rPr>
                <w:sz w:val="20"/>
                <w:szCs w:val="20"/>
                <w:color w:val="auto"/>
              </w:rPr>
            </w:pPr>
            <w:r>
              <w:rPr>
                <w:rFonts w:ascii="Arial" w:cs="Arial" w:eastAsia="Arial" w:hAnsi="Arial"/>
                <w:sz w:val="15"/>
                <w:szCs w:val="15"/>
                <w:color w:val="auto"/>
              </w:rPr>
              <w:t>MASTER TRUST (2)</w:t>
            </w:r>
          </w:p>
        </w:tc>
        <w:tc>
          <w:tcPr>
            <w:tcW w:w="600" w:type="dxa"/>
            <w:vAlign w:val="bottom"/>
          </w:tcPr>
          <w:p>
            <w:pPr>
              <w:jc w:val="right"/>
              <w:spacing w:after="0"/>
              <w:rPr>
                <w:sz w:val="20"/>
                <w:szCs w:val="20"/>
                <w:color w:val="auto"/>
              </w:rPr>
            </w:pPr>
            <w:r>
              <w:rPr>
                <w:rFonts w:ascii="Arial" w:cs="Arial" w:eastAsia="Arial" w:hAnsi="Arial"/>
                <w:sz w:val="15"/>
                <w:szCs w:val="15"/>
                <w:color w:val="auto"/>
              </w:rPr>
              <w:t>16,152</w:t>
            </w:r>
          </w:p>
        </w:tc>
        <w:tc>
          <w:tcPr>
            <w:tcW w:w="1940" w:type="dxa"/>
            <w:vAlign w:val="bottom"/>
            <w:gridSpan w:val="3"/>
          </w:tcPr>
          <w:p>
            <w:pPr>
              <w:jc w:val="right"/>
              <w:ind w:right="660"/>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13,391</w:t>
            </w:r>
          </w:p>
        </w:tc>
        <w:tc>
          <w:tcPr>
            <w:tcW w:w="5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2,761</w:t>
            </w:r>
          </w:p>
        </w:tc>
        <w:tc>
          <w:tcPr>
            <w:tcW w:w="13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6"/>
        </w:trPr>
        <w:tc>
          <w:tcPr>
            <w:tcW w:w="47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Bank of America Pension Plan (2)</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3,714</w:t>
            </w:r>
          </w:p>
        </w:tc>
        <w:tc>
          <w:tcPr>
            <w:tcW w:w="1940" w:type="dxa"/>
            <w:vAlign w:val="bottom"/>
            <w:gridSpan w:val="3"/>
            <w:shd w:val="clear" w:color="auto" w:fill="CCEEFF"/>
          </w:tcPr>
          <w:p>
            <w:pPr>
              <w:jc w:val="right"/>
              <w:ind w:right="660"/>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3,066</w:t>
            </w:r>
          </w:p>
        </w:tc>
        <w:tc>
          <w:tcPr>
            <w:tcW w:w="52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648</w:t>
            </w:r>
          </w:p>
        </w:tc>
        <w:tc>
          <w:tcPr>
            <w:tcW w:w="13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5"/>
        </w:trPr>
        <w:tc>
          <w:tcPr>
            <w:tcW w:w="4760" w:type="dxa"/>
            <w:vAlign w:val="bottom"/>
            <w:gridSpan w:val="2"/>
          </w:tcPr>
          <w:p>
            <w:pPr>
              <w:spacing w:after="0"/>
              <w:rPr>
                <w:sz w:val="20"/>
                <w:szCs w:val="20"/>
                <w:color w:val="auto"/>
              </w:rPr>
            </w:pPr>
            <w:r>
              <w:rPr>
                <w:rFonts w:ascii="Arial" w:cs="Arial" w:eastAsia="Arial" w:hAnsi="Arial"/>
                <w:sz w:val="15"/>
                <w:szCs w:val="15"/>
                <w:color w:val="auto"/>
              </w:rPr>
              <w:t>Brighthouse Funds Trust II - T. Rowe Price Small Cap Growth</w:t>
            </w:r>
          </w:p>
        </w:tc>
        <w:tc>
          <w:tcPr>
            <w:tcW w:w="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760" w:type="dxa"/>
            <w:vAlign w:val="bottom"/>
            <w:gridSpan w:val="2"/>
          </w:tcPr>
          <w:p>
            <w:pPr>
              <w:ind w:left="140"/>
              <w:spacing w:after="0"/>
              <w:rPr>
                <w:sz w:val="20"/>
                <w:szCs w:val="20"/>
                <w:color w:val="auto"/>
              </w:rPr>
            </w:pPr>
            <w:r>
              <w:rPr>
                <w:rFonts w:ascii="Arial" w:cs="Arial" w:eastAsia="Arial" w:hAnsi="Arial"/>
                <w:sz w:val="15"/>
                <w:szCs w:val="15"/>
                <w:color w:val="auto"/>
              </w:rPr>
              <w:t>Portfolio (2)</w:t>
            </w:r>
          </w:p>
        </w:tc>
        <w:tc>
          <w:tcPr>
            <w:tcW w:w="600" w:type="dxa"/>
            <w:vAlign w:val="bottom"/>
          </w:tcPr>
          <w:p>
            <w:pPr>
              <w:jc w:val="right"/>
              <w:spacing w:after="0"/>
              <w:rPr>
                <w:sz w:val="20"/>
                <w:szCs w:val="20"/>
                <w:color w:val="auto"/>
              </w:rPr>
            </w:pPr>
            <w:r>
              <w:rPr>
                <w:rFonts w:ascii="Arial" w:cs="Arial" w:eastAsia="Arial" w:hAnsi="Arial"/>
                <w:sz w:val="15"/>
                <w:szCs w:val="15"/>
                <w:color w:val="auto"/>
              </w:rPr>
              <w:t>41,180</w:t>
            </w:r>
          </w:p>
        </w:tc>
        <w:tc>
          <w:tcPr>
            <w:tcW w:w="1940" w:type="dxa"/>
            <w:vAlign w:val="bottom"/>
            <w:gridSpan w:val="3"/>
          </w:tcPr>
          <w:p>
            <w:pPr>
              <w:jc w:val="right"/>
              <w:ind w:right="660"/>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5,706</w:t>
            </w:r>
          </w:p>
        </w:tc>
        <w:tc>
          <w:tcPr>
            <w:tcW w:w="5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35,474</w:t>
            </w:r>
          </w:p>
        </w:tc>
        <w:tc>
          <w:tcPr>
            <w:tcW w:w="13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6"/>
        </w:trPr>
        <w:tc>
          <w:tcPr>
            <w:tcW w:w="47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 Rowe Price QM U.S. Small-Cap Growth Equity Fund (2)</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227,898</w:t>
            </w:r>
          </w:p>
        </w:tc>
        <w:tc>
          <w:tcPr>
            <w:tcW w:w="1940" w:type="dxa"/>
            <w:vAlign w:val="bottom"/>
            <w:gridSpan w:val="3"/>
            <w:shd w:val="clear" w:color="auto" w:fill="CCEEFF"/>
          </w:tcPr>
          <w:p>
            <w:pPr>
              <w:jc w:val="right"/>
              <w:ind w:right="540"/>
              <w:spacing w:after="0"/>
              <w:rPr>
                <w:sz w:val="20"/>
                <w:szCs w:val="20"/>
                <w:color w:val="auto"/>
              </w:rPr>
            </w:pPr>
            <w:r>
              <w:rPr>
                <w:rFonts w:ascii="Arial" w:cs="Arial" w:eastAsia="Arial" w:hAnsi="Arial"/>
                <w:sz w:val="15"/>
                <w:szCs w:val="15"/>
                <w:color w:val="auto"/>
              </w:rPr>
              <w:t>1.11%</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30,898</w:t>
            </w:r>
          </w:p>
        </w:tc>
        <w:tc>
          <w:tcPr>
            <w:tcW w:w="52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197,000</w:t>
            </w:r>
          </w:p>
        </w:tc>
        <w:tc>
          <w:tcPr>
            <w:tcW w:w="13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5"/>
        </w:trPr>
        <w:tc>
          <w:tcPr>
            <w:tcW w:w="4760" w:type="dxa"/>
            <w:vAlign w:val="bottom"/>
            <w:gridSpan w:val="2"/>
          </w:tcPr>
          <w:p>
            <w:pPr>
              <w:spacing w:after="0"/>
              <w:rPr>
                <w:sz w:val="20"/>
                <w:szCs w:val="20"/>
                <w:color w:val="auto"/>
              </w:rPr>
            </w:pPr>
            <w:r>
              <w:rPr>
                <w:rFonts w:ascii="Arial" w:cs="Arial" w:eastAsia="Arial" w:hAnsi="Arial"/>
                <w:sz w:val="15"/>
                <w:szCs w:val="15"/>
                <w:color w:val="auto"/>
              </w:rPr>
              <w:t>Master Pension Trust of CSX Corporation and Affiliated</w:t>
            </w:r>
          </w:p>
        </w:tc>
        <w:tc>
          <w:tcPr>
            <w:tcW w:w="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760" w:type="dxa"/>
            <w:vAlign w:val="bottom"/>
            <w:gridSpan w:val="2"/>
          </w:tcPr>
          <w:p>
            <w:pPr>
              <w:ind w:left="140"/>
              <w:spacing w:after="0"/>
              <w:rPr>
                <w:sz w:val="20"/>
                <w:szCs w:val="20"/>
                <w:color w:val="auto"/>
              </w:rPr>
            </w:pPr>
            <w:r>
              <w:rPr>
                <w:rFonts w:ascii="Arial" w:cs="Arial" w:eastAsia="Arial" w:hAnsi="Arial"/>
                <w:sz w:val="15"/>
                <w:szCs w:val="15"/>
                <w:color w:val="auto"/>
              </w:rPr>
              <w:t>Companies (2)</w:t>
            </w:r>
          </w:p>
        </w:tc>
        <w:tc>
          <w:tcPr>
            <w:tcW w:w="600" w:type="dxa"/>
            <w:vAlign w:val="bottom"/>
          </w:tcPr>
          <w:p>
            <w:pPr>
              <w:jc w:val="right"/>
              <w:spacing w:after="0"/>
              <w:rPr>
                <w:sz w:val="20"/>
                <w:szCs w:val="20"/>
                <w:color w:val="auto"/>
              </w:rPr>
            </w:pPr>
            <w:r>
              <w:rPr>
                <w:rFonts w:ascii="Arial" w:cs="Arial" w:eastAsia="Arial" w:hAnsi="Arial"/>
                <w:sz w:val="15"/>
                <w:szCs w:val="15"/>
                <w:color w:val="auto"/>
              </w:rPr>
              <w:t>2,434</w:t>
            </w:r>
          </w:p>
        </w:tc>
        <w:tc>
          <w:tcPr>
            <w:tcW w:w="1940" w:type="dxa"/>
            <w:vAlign w:val="bottom"/>
            <w:gridSpan w:val="3"/>
          </w:tcPr>
          <w:p>
            <w:pPr>
              <w:jc w:val="right"/>
              <w:ind w:right="660"/>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340</w:t>
            </w:r>
          </w:p>
        </w:tc>
        <w:tc>
          <w:tcPr>
            <w:tcW w:w="5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2,094</w:t>
            </w:r>
          </w:p>
        </w:tc>
        <w:tc>
          <w:tcPr>
            <w:tcW w:w="13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6"/>
        </w:trPr>
        <w:tc>
          <w:tcPr>
            <w:tcW w:w="47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Multi-Manager Small Cap Growth Fund (2)</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163</w:t>
            </w:r>
          </w:p>
        </w:tc>
        <w:tc>
          <w:tcPr>
            <w:tcW w:w="1940" w:type="dxa"/>
            <w:vAlign w:val="bottom"/>
            <w:gridSpan w:val="3"/>
            <w:shd w:val="clear" w:color="auto" w:fill="CCEEFF"/>
          </w:tcPr>
          <w:p>
            <w:pPr>
              <w:jc w:val="right"/>
              <w:ind w:right="660"/>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w:t>
            </w:r>
          </w:p>
        </w:tc>
        <w:tc>
          <w:tcPr>
            <w:tcW w:w="52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141</w:t>
            </w:r>
          </w:p>
        </w:tc>
        <w:tc>
          <w:tcPr>
            <w:tcW w:w="13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3"/>
        </w:trPr>
        <w:tc>
          <w:tcPr>
            <w:tcW w:w="4760" w:type="dxa"/>
            <w:vAlign w:val="bottom"/>
            <w:gridSpan w:val="2"/>
          </w:tcPr>
          <w:p>
            <w:pPr>
              <w:spacing w:after="0"/>
              <w:rPr>
                <w:sz w:val="20"/>
                <w:szCs w:val="20"/>
                <w:color w:val="auto"/>
              </w:rPr>
            </w:pPr>
            <w:r>
              <w:rPr>
                <w:rFonts w:ascii="Arial" w:cs="Arial" w:eastAsia="Arial" w:hAnsi="Arial"/>
                <w:sz w:val="15"/>
                <w:szCs w:val="15"/>
                <w:color w:val="auto"/>
              </w:rPr>
              <w:t>T. Rowe Price QM U.S. Small &amp; Mid-Cap Core Equity Fund (2)</w:t>
            </w:r>
          </w:p>
        </w:tc>
        <w:tc>
          <w:tcPr>
            <w:tcW w:w="600" w:type="dxa"/>
            <w:vAlign w:val="bottom"/>
          </w:tcPr>
          <w:p>
            <w:pPr>
              <w:jc w:val="right"/>
              <w:spacing w:after="0"/>
              <w:rPr>
                <w:sz w:val="20"/>
                <w:szCs w:val="20"/>
                <w:color w:val="auto"/>
              </w:rPr>
            </w:pPr>
            <w:r>
              <w:rPr>
                <w:rFonts w:ascii="Arial" w:cs="Arial" w:eastAsia="Arial" w:hAnsi="Arial"/>
                <w:sz w:val="15"/>
                <w:szCs w:val="15"/>
                <w:color w:val="auto"/>
              </w:rPr>
              <w:t>1,362</w:t>
            </w:r>
          </w:p>
        </w:tc>
        <w:tc>
          <w:tcPr>
            <w:tcW w:w="1940" w:type="dxa"/>
            <w:vAlign w:val="bottom"/>
            <w:gridSpan w:val="3"/>
          </w:tcPr>
          <w:p>
            <w:pPr>
              <w:jc w:val="right"/>
              <w:ind w:right="660"/>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342</w:t>
            </w:r>
          </w:p>
        </w:tc>
        <w:tc>
          <w:tcPr>
            <w:tcW w:w="5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1,020</w:t>
            </w:r>
          </w:p>
        </w:tc>
        <w:tc>
          <w:tcPr>
            <w:tcW w:w="13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3"/>
        </w:trPr>
        <w:tc>
          <w:tcPr>
            <w:tcW w:w="47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 Rowe Price Mid-Cap Growth Fund, Inc. (2)</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515,737</w:t>
            </w:r>
          </w:p>
        </w:tc>
        <w:tc>
          <w:tcPr>
            <w:tcW w:w="1940" w:type="dxa"/>
            <w:vAlign w:val="bottom"/>
            <w:gridSpan w:val="3"/>
            <w:shd w:val="clear" w:color="auto" w:fill="CCEEFF"/>
          </w:tcPr>
          <w:p>
            <w:pPr>
              <w:jc w:val="right"/>
              <w:ind w:right="540"/>
              <w:spacing w:after="0"/>
              <w:rPr>
                <w:sz w:val="20"/>
                <w:szCs w:val="20"/>
                <w:color w:val="auto"/>
              </w:rPr>
            </w:pPr>
            <w:r>
              <w:rPr>
                <w:rFonts w:ascii="Arial" w:cs="Arial" w:eastAsia="Arial" w:hAnsi="Arial"/>
                <w:sz w:val="15"/>
                <w:szCs w:val="15"/>
                <w:color w:val="auto"/>
              </w:rPr>
              <w:t>2.52%</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515,737</w:t>
            </w:r>
          </w:p>
        </w:tc>
        <w:tc>
          <w:tcPr>
            <w:tcW w:w="520" w:type="dxa"/>
            <w:vAlign w:val="bottom"/>
            <w:shd w:val="clear" w:color="auto" w:fill="CCEEFF"/>
          </w:tcPr>
          <w:p>
            <w:pPr>
              <w:spacing w:after="0"/>
              <w:rPr>
                <w:sz w:val="16"/>
                <w:szCs w:val="16"/>
                <w:color w:val="auto"/>
              </w:rPr>
            </w:pPr>
          </w:p>
        </w:tc>
        <w:tc>
          <w:tcPr>
            <w:tcW w:w="580" w:type="dxa"/>
            <w:vAlign w:val="bottom"/>
            <w:tcBorders>
              <w:right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3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3"/>
        </w:trPr>
        <w:tc>
          <w:tcPr>
            <w:tcW w:w="4760" w:type="dxa"/>
            <w:vAlign w:val="bottom"/>
            <w:gridSpan w:val="2"/>
          </w:tcPr>
          <w:p>
            <w:pPr>
              <w:spacing w:after="0"/>
              <w:rPr>
                <w:sz w:val="20"/>
                <w:szCs w:val="20"/>
                <w:color w:val="auto"/>
              </w:rPr>
            </w:pPr>
            <w:r>
              <w:rPr>
                <w:rFonts w:ascii="Arial" w:cs="Arial" w:eastAsia="Arial" w:hAnsi="Arial"/>
                <w:sz w:val="15"/>
                <w:szCs w:val="15"/>
                <w:color w:val="auto"/>
              </w:rPr>
              <w:t>TD Mutual Funds - TD U.S. Mid-Cap Growth Fund (2)</w:t>
            </w:r>
          </w:p>
        </w:tc>
        <w:tc>
          <w:tcPr>
            <w:tcW w:w="600" w:type="dxa"/>
            <w:vAlign w:val="bottom"/>
          </w:tcPr>
          <w:p>
            <w:pPr>
              <w:jc w:val="right"/>
              <w:spacing w:after="0"/>
              <w:rPr>
                <w:sz w:val="20"/>
                <w:szCs w:val="20"/>
                <w:color w:val="auto"/>
              </w:rPr>
            </w:pPr>
            <w:r>
              <w:rPr>
                <w:rFonts w:ascii="Arial" w:cs="Arial" w:eastAsia="Arial" w:hAnsi="Arial"/>
                <w:sz w:val="15"/>
                <w:szCs w:val="15"/>
                <w:color w:val="auto"/>
              </w:rPr>
              <w:t>22,184</w:t>
            </w:r>
          </w:p>
        </w:tc>
        <w:tc>
          <w:tcPr>
            <w:tcW w:w="1940" w:type="dxa"/>
            <w:vAlign w:val="bottom"/>
            <w:gridSpan w:val="3"/>
          </w:tcPr>
          <w:p>
            <w:pPr>
              <w:jc w:val="right"/>
              <w:ind w:right="660"/>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22,184</w:t>
            </w:r>
          </w:p>
        </w:tc>
        <w:tc>
          <w:tcPr>
            <w:tcW w:w="520" w:type="dxa"/>
            <w:vAlign w:val="bottom"/>
          </w:tcPr>
          <w:p>
            <w:pPr>
              <w:spacing w:after="0"/>
              <w:rPr>
                <w:sz w:val="16"/>
                <w:szCs w:val="16"/>
                <w:color w:val="auto"/>
              </w:rPr>
            </w:pPr>
          </w:p>
        </w:tc>
        <w:tc>
          <w:tcPr>
            <w:tcW w:w="5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3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3"/>
        </w:trPr>
        <w:tc>
          <w:tcPr>
            <w:tcW w:w="47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JNL Series Trust - JNL/T. Rowe Price Mid-Cap Growth Fund (2)</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94,246</w:t>
            </w:r>
          </w:p>
        </w:tc>
        <w:tc>
          <w:tcPr>
            <w:tcW w:w="1940" w:type="dxa"/>
            <w:vAlign w:val="bottom"/>
            <w:gridSpan w:val="3"/>
            <w:shd w:val="clear" w:color="auto" w:fill="CCEEFF"/>
          </w:tcPr>
          <w:p>
            <w:pPr>
              <w:jc w:val="right"/>
              <w:ind w:right="660"/>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94,246</w:t>
            </w:r>
          </w:p>
        </w:tc>
        <w:tc>
          <w:tcPr>
            <w:tcW w:w="520" w:type="dxa"/>
            <w:vAlign w:val="bottom"/>
            <w:shd w:val="clear" w:color="auto" w:fill="CCEEFF"/>
          </w:tcPr>
          <w:p>
            <w:pPr>
              <w:spacing w:after="0"/>
              <w:rPr>
                <w:sz w:val="16"/>
                <w:szCs w:val="16"/>
                <w:color w:val="auto"/>
              </w:rPr>
            </w:pPr>
          </w:p>
        </w:tc>
        <w:tc>
          <w:tcPr>
            <w:tcW w:w="580" w:type="dxa"/>
            <w:vAlign w:val="bottom"/>
            <w:tcBorders>
              <w:right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3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3"/>
        </w:trPr>
        <w:tc>
          <w:tcPr>
            <w:tcW w:w="4760" w:type="dxa"/>
            <w:vAlign w:val="bottom"/>
            <w:gridSpan w:val="2"/>
          </w:tcPr>
          <w:p>
            <w:pPr>
              <w:spacing w:after="0"/>
              <w:rPr>
                <w:sz w:val="20"/>
                <w:szCs w:val="20"/>
                <w:color w:val="auto"/>
              </w:rPr>
            </w:pPr>
            <w:r>
              <w:rPr>
                <w:rFonts w:ascii="Arial" w:cs="Arial" w:eastAsia="Arial" w:hAnsi="Arial"/>
                <w:sz w:val="15"/>
                <w:szCs w:val="15"/>
                <w:color w:val="auto"/>
              </w:rPr>
              <w:t>T. Rowe Price Institutional Mid-Cap Equity Growth Fund (2)</w:t>
            </w:r>
          </w:p>
        </w:tc>
        <w:tc>
          <w:tcPr>
            <w:tcW w:w="600" w:type="dxa"/>
            <w:vAlign w:val="bottom"/>
          </w:tcPr>
          <w:p>
            <w:pPr>
              <w:jc w:val="right"/>
              <w:spacing w:after="0"/>
              <w:rPr>
                <w:sz w:val="20"/>
                <w:szCs w:val="20"/>
                <w:color w:val="auto"/>
              </w:rPr>
            </w:pPr>
            <w:r>
              <w:rPr>
                <w:rFonts w:ascii="Arial" w:cs="Arial" w:eastAsia="Arial" w:hAnsi="Arial"/>
                <w:sz w:val="15"/>
                <w:szCs w:val="15"/>
                <w:color w:val="auto"/>
                <w:w w:val="95"/>
              </w:rPr>
              <w:t>117,738</w:t>
            </w:r>
          </w:p>
        </w:tc>
        <w:tc>
          <w:tcPr>
            <w:tcW w:w="1940" w:type="dxa"/>
            <w:vAlign w:val="bottom"/>
            <w:gridSpan w:val="3"/>
          </w:tcPr>
          <w:p>
            <w:pPr>
              <w:jc w:val="right"/>
              <w:ind w:right="660"/>
              <w:spacing w:after="0"/>
              <w:rPr>
                <w:sz w:val="20"/>
                <w:szCs w:val="20"/>
                <w:color w:val="auto"/>
              </w:rPr>
            </w:pPr>
            <w:r>
              <w:rPr>
                <w:rFonts w:ascii="Arial" w:cs="Arial" w:eastAsia="Arial" w:hAnsi="Arial"/>
                <w:sz w:val="15"/>
                <w:szCs w:val="15"/>
                <w:color w:val="auto"/>
              </w:rPr>
              <w:t>*</w:t>
            </w:r>
          </w:p>
        </w:tc>
        <w:tc>
          <w:tcPr>
            <w:tcW w:w="1280" w:type="dxa"/>
            <w:vAlign w:val="bottom"/>
            <w:gridSpan w:val="2"/>
          </w:tcPr>
          <w:p>
            <w:pPr>
              <w:jc w:val="right"/>
              <w:ind w:right="520"/>
              <w:spacing w:after="0"/>
              <w:rPr>
                <w:sz w:val="20"/>
                <w:szCs w:val="20"/>
                <w:color w:val="auto"/>
              </w:rPr>
            </w:pPr>
            <w:r>
              <w:rPr>
                <w:rFonts w:ascii="Arial" w:cs="Arial" w:eastAsia="Arial" w:hAnsi="Arial"/>
                <w:sz w:val="15"/>
                <w:szCs w:val="15"/>
                <w:color w:val="auto"/>
              </w:rPr>
              <w:t>117,738</w:t>
            </w:r>
          </w:p>
        </w:tc>
        <w:tc>
          <w:tcPr>
            <w:tcW w:w="5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3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3"/>
        </w:trPr>
        <w:tc>
          <w:tcPr>
            <w:tcW w:w="47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 Rowe Price Mid-Cap Growth Portfolio (2)</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7,826</w:t>
            </w:r>
          </w:p>
        </w:tc>
        <w:tc>
          <w:tcPr>
            <w:tcW w:w="1940" w:type="dxa"/>
            <w:vAlign w:val="bottom"/>
            <w:gridSpan w:val="3"/>
            <w:shd w:val="clear" w:color="auto" w:fill="CCEEFF"/>
          </w:tcPr>
          <w:p>
            <w:pPr>
              <w:jc w:val="right"/>
              <w:ind w:right="660"/>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7,826</w:t>
            </w:r>
          </w:p>
        </w:tc>
        <w:tc>
          <w:tcPr>
            <w:tcW w:w="520" w:type="dxa"/>
            <w:vAlign w:val="bottom"/>
            <w:shd w:val="clear" w:color="auto" w:fill="CCEEFF"/>
          </w:tcPr>
          <w:p>
            <w:pPr>
              <w:spacing w:after="0"/>
              <w:rPr>
                <w:sz w:val="16"/>
                <w:szCs w:val="16"/>
                <w:color w:val="auto"/>
              </w:rPr>
            </w:pPr>
          </w:p>
        </w:tc>
        <w:tc>
          <w:tcPr>
            <w:tcW w:w="580" w:type="dxa"/>
            <w:vAlign w:val="bottom"/>
            <w:tcBorders>
              <w:right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3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5"/>
        </w:trPr>
        <w:tc>
          <w:tcPr>
            <w:tcW w:w="4760" w:type="dxa"/>
            <w:vAlign w:val="bottom"/>
            <w:gridSpan w:val="2"/>
          </w:tcPr>
          <w:p>
            <w:pPr>
              <w:spacing w:after="0"/>
              <w:rPr>
                <w:sz w:val="20"/>
                <w:szCs w:val="20"/>
                <w:color w:val="auto"/>
              </w:rPr>
            </w:pPr>
            <w:r>
              <w:rPr>
                <w:rFonts w:ascii="Arial" w:cs="Arial" w:eastAsia="Arial" w:hAnsi="Arial"/>
                <w:sz w:val="15"/>
                <w:szCs w:val="15"/>
                <w:color w:val="auto"/>
              </w:rPr>
              <w:t>Great-West Funds, Inc. - Great-West T. Rowe Price Mid Cap</w:t>
            </w:r>
          </w:p>
        </w:tc>
        <w:tc>
          <w:tcPr>
            <w:tcW w:w="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760" w:type="dxa"/>
            <w:vAlign w:val="bottom"/>
            <w:gridSpan w:val="2"/>
          </w:tcPr>
          <w:p>
            <w:pPr>
              <w:ind w:left="140"/>
              <w:spacing w:after="0"/>
              <w:rPr>
                <w:sz w:val="20"/>
                <w:szCs w:val="20"/>
                <w:color w:val="auto"/>
              </w:rPr>
            </w:pPr>
            <w:r>
              <w:rPr>
                <w:rFonts w:ascii="Arial" w:cs="Arial" w:eastAsia="Arial" w:hAnsi="Arial"/>
                <w:sz w:val="15"/>
                <w:szCs w:val="15"/>
                <w:color w:val="auto"/>
              </w:rPr>
              <w:t>Growth Fund (2)</w:t>
            </w:r>
          </w:p>
        </w:tc>
        <w:tc>
          <w:tcPr>
            <w:tcW w:w="600" w:type="dxa"/>
            <w:vAlign w:val="bottom"/>
          </w:tcPr>
          <w:p>
            <w:pPr>
              <w:jc w:val="right"/>
              <w:spacing w:after="0"/>
              <w:rPr>
                <w:sz w:val="20"/>
                <w:szCs w:val="20"/>
                <w:color w:val="auto"/>
              </w:rPr>
            </w:pPr>
            <w:r>
              <w:rPr>
                <w:rFonts w:ascii="Arial" w:cs="Arial" w:eastAsia="Arial" w:hAnsi="Arial"/>
                <w:sz w:val="15"/>
                <w:szCs w:val="15"/>
                <w:color w:val="auto"/>
              </w:rPr>
              <w:t>25,947</w:t>
            </w:r>
          </w:p>
        </w:tc>
        <w:tc>
          <w:tcPr>
            <w:tcW w:w="1940" w:type="dxa"/>
            <w:vAlign w:val="bottom"/>
            <w:gridSpan w:val="3"/>
          </w:tcPr>
          <w:p>
            <w:pPr>
              <w:jc w:val="right"/>
              <w:ind w:right="660"/>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25,947</w:t>
            </w:r>
          </w:p>
        </w:tc>
        <w:tc>
          <w:tcPr>
            <w:tcW w:w="520" w:type="dxa"/>
            <w:vAlign w:val="bottom"/>
          </w:tcPr>
          <w:p>
            <w:pPr>
              <w:spacing w:after="0"/>
              <w:rPr>
                <w:sz w:val="17"/>
                <w:szCs w:val="17"/>
                <w:color w:val="auto"/>
              </w:rPr>
            </w:pPr>
          </w:p>
        </w:tc>
        <w:tc>
          <w:tcPr>
            <w:tcW w:w="5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3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135"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0980"/>
          </w:cols>
          <w:pgMar w:left="240" w:top="444" w:right="679" w:bottom="1440" w:gutter="0" w:footer="0" w:header="0"/>
        </w:sectPr>
      </w:pPr>
    </w:p>
    <w:bookmarkStart w:id="14" w:name="page15"/>
    <w:bookmarkEnd w:id="1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7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2"/>
              </w:rPr>
              <w:t>Maximum</w:t>
            </w: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80" w:type="dxa"/>
            <w:vAlign w:val="bottom"/>
            <w:gridSpan w:val="2"/>
          </w:tcPr>
          <w:p>
            <w:pPr>
              <w:jc w:val="center"/>
              <w:ind w:right="520"/>
              <w:spacing w:after="0" w:line="142" w:lineRule="exact"/>
              <w:rPr>
                <w:sz w:val="20"/>
                <w:szCs w:val="20"/>
                <w:color w:val="auto"/>
              </w:rPr>
            </w:pPr>
            <w:r>
              <w:rPr>
                <w:rFonts w:ascii="Arial" w:cs="Arial" w:eastAsia="Arial" w:hAnsi="Arial"/>
                <w:sz w:val="14"/>
                <w:szCs w:val="14"/>
                <w:b w:val="1"/>
                <w:bCs w:val="1"/>
                <w:color w:val="auto"/>
                <w:w w:val="91"/>
              </w:rPr>
              <w:t>Number of</w:t>
            </w: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2540" w:type="dxa"/>
            <w:vAlign w:val="bottom"/>
            <w:gridSpan w:val="4"/>
            <w:vMerge w:val="restart"/>
          </w:tcPr>
          <w:p>
            <w:pPr>
              <w:jc w:val="center"/>
              <w:ind w:right="640"/>
              <w:spacing w:after="0"/>
              <w:rPr>
                <w:sz w:val="20"/>
                <w:szCs w:val="20"/>
                <w:color w:val="auto"/>
              </w:rPr>
            </w:pPr>
            <w:r>
              <w:rPr>
                <w:rFonts w:ascii="Arial" w:cs="Arial" w:eastAsia="Arial" w:hAnsi="Arial"/>
                <w:sz w:val="14"/>
                <w:szCs w:val="14"/>
                <w:b w:val="1"/>
                <w:bCs w:val="1"/>
                <w:color w:val="auto"/>
                <w:w w:val="85"/>
              </w:rPr>
              <w:t>Shares Beneficially</w:t>
            </w:r>
          </w:p>
        </w:tc>
        <w:tc>
          <w:tcPr>
            <w:tcW w:w="1280" w:type="dxa"/>
            <w:vAlign w:val="bottom"/>
            <w:gridSpan w:val="2"/>
          </w:tcPr>
          <w:p>
            <w:pPr>
              <w:jc w:val="center"/>
              <w:ind w:right="520"/>
              <w:spacing w:after="0" w:line="142" w:lineRule="exact"/>
              <w:rPr>
                <w:sz w:val="20"/>
                <w:szCs w:val="20"/>
                <w:color w:val="auto"/>
              </w:rPr>
            </w:pPr>
            <w:r>
              <w:rPr>
                <w:rFonts w:ascii="Arial" w:cs="Arial" w:eastAsia="Arial" w:hAnsi="Arial"/>
                <w:sz w:val="14"/>
                <w:szCs w:val="14"/>
                <w:b w:val="1"/>
                <w:bCs w:val="1"/>
                <w:color w:val="auto"/>
                <w:w w:val="85"/>
              </w:rPr>
              <w:t>Shares</w:t>
            </w:r>
          </w:p>
        </w:tc>
        <w:tc>
          <w:tcPr>
            <w:tcW w:w="1880" w:type="dxa"/>
            <w:vAlign w:val="bottom"/>
            <w:gridSpan w:val="4"/>
            <w:vMerge w:val="restart"/>
          </w:tcPr>
          <w:p>
            <w:pPr>
              <w:jc w:val="center"/>
              <w:ind w:right="40"/>
              <w:spacing w:after="0"/>
              <w:rPr>
                <w:sz w:val="20"/>
                <w:szCs w:val="20"/>
                <w:color w:val="auto"/>
              </w:rPr>
            </w:pPr>
            <w:r>
              <w:rPr>
                <w:rFonts w:ascii="Arial" w:cs="Arial" w:eastAsia="Arial" w:hAnsi="Arial"/>
                <w:sz w:val="14"/>
                <w:szCs w:val="14"/>
                <w:b w:val="1"/>
                <w:bCs w:val="1"/>
                <w:color w:val="auto"/>
                <w:w w:val="87"/>
              </w:rPr>
              <w:t>Shares Beneficially</w:t>
            </w:r>
          </w:p>
        </w:tc>
        <w:tc>
          <w:tcPr>
            <w:tcW w:w="0" w:type="dxa"/>
            <w:vAlign w:val="bottom"/>
          </w:tcPr>
          <w:p>
            <w:pPr>
              <w:spacing w:after="0"/>
              <w:rPr>
                <w:sz w:val="1"/>
                <w:szCs w:val="1"/>
                <w:color w:val="auto"/>
              </w:rPr>
            </w:pPr>
          </w:p>
        </w:tc>
      </w:tr>
      <w:tr>
        <w:trPr>
          <w:trHeight w:val="132"/>
        </w:trPr>
        <w:tc>
          <w:tcPr>
            <w:tcW w:w="340" w:type="dxa"/>
            <w:vAlign w:val="bottom"/>
          </w:tcPr>
          <w:p>
            <w:pPr>
              <w:spacing w:after="0"/>
              <w:rPr>
                <w:sz w:val="11"/>
                <w:szCs w:val="11"/>
                <w:color w:val="auto"/>
              </w:rPr>
            </w:pPr>
          </w:p>
        </w:tc>
        <w:tc>
          <w:tcPr>
            <w:tcW w:w="4480" w:type="dxa"/>
            <w:vAlign w:val="bottom"/>
          </w:tcPr>
          <w:p>
            <w:pPr>
              <w:spacing w:after="0"/>
              <w:rPr>
                <w:sz w:val="11"/>
                <w:szCs w:val="11"/>
                <w:color w:val="auto"/>
              </w:rPr>
            </w:pPr>
          </w:p>
        </w:tc>
        <w:tc>
          <w:tcPr>
            <w:tcW w:w="2540" w:type="dxa"/>
            <w:vAlign w:val="bottom"/>
            <w:gridSpan w:val="4"/>
            <w:vMerge w:val="continue"/>
          </w:tcPr>
          <w:p>
            <w:pPr>
              <w:spacing w:after="0"/>
              <w:rPr>
                <w:sz w:val="11"/>
                <w:szCs w:val="11"/>
                <w:color w:val="auto"/>
              </w:rPr>
            </w:pPr>
          </w:p>
        </w:tc>
        <w:tc>
          <w:tcPr>
            <w:tcW w:w="1280" w:type="dxa"/>
            <w:vAlign w:val="bottom"/>
            <w:gridSpan w:val="2"/>
          </w:tcPr>
          <w:p>
            <w:pPr>
              <w:jc w:val="center"/>
              <w:ind w:right="520"/>
              <w:spacing w:after="0" w:line="132" w:lineRule="exact"/>
              <w:rPr>
                <w:sz w:val="20"/>
                <w:szCs w:val="20"/>
                <w:color w:val="auto"/>
              </w:rPr>
            </w:pPr>
            <w:r>
              <w:rPr>
                <w:rFonts w:ascii="Arial" w:cs="Arial" w:eastAsia="Arial" w:hAnsi="Arial"/>
                <w:sz w:val="14"/>
                <w:szCs w:val="14"/>
                <w:b w:val="1"/>
                <w:bCs w:val="1"/>
                <w:color w:val="auto"/>
                <w:w w:val="93"/>
              </w:rPr>
              <w:t>That May be</w:t>
            </w:r>
          </w:p>
        </w:tc>
        <w:tc>
          <w:tcPr>
            <w:tcW w:w="188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2540" w:type="dxa"/>
            <w:vAlign w:val="bottom"/>
            <w:gridSpan w:val="4"/>
          </w:tcPr>
          <w:p>
            <w:pPr>
              <w:jc w:val="center"/>
              <w:ind w:right="640"/>
              <w:spacing w:after="0" w:line="148" w:lineRule="exact"/>
              <w:rPr>
                <w:sz w:val="20"/>
                <w:szCs w:val="20"/>
                <w:color w:val="auto"/>
              </w:rPr>
            </w:pPr>
            <w:r>
              <w:rPr>
                <w:rFonts w:ascii="Arial" w:cs="Arial" w:eastAsia="Arial" w:hAnsi="Arial"/>
                <w:sz w:val="14"/>
                <w:szCs w:val="14"/>
                <w:b w:val="1"/>
                <w:bCs w:val="1"/>
                <w:color w:val="auto"/>
                <w:w w:val="90"/>
              </w:rPr>
              <w:t>Owned Prior to the</w:t>
            </w:r>
          </w:p>
        </w:tc>
        <w:tc>
          <w:tcPr>
            <w:tcW w:w="1280" w:type="dxa"/>
            <w:vAlign w:val="bottom"/>
            <w:gridSpan w:val="2"/>
          </w:tcPr>
          <w:p>
            <w:pPr>
              <w:jc w:val="center"/>
              <w:ind w:right="540"/>
              <w:spacing w:after="0" w:line="148" w:lineRule="exact"/>
              <w:rPr>
                <w:sz w:val="20"/>
                <w:szCs w:val="20"/>
                <w:color w:val="auto"/>
              </w:rPr>
            </w:pPr>
            <w:r>
              <w:rPr>
                <w:rFonts w:ascii="Arial" w:cs="Arial" w:eastAsia="Arial" w:hAnsi="Arial"/>
                <w:sz w:val="14"/>
                <w:szCs w:val="14"/>
                <w:b w:val="1"/>
                <w:bCs w:val="1"/>
                <w:color w:val="auto"/>
                <w:w w:val="92"/>
              </w:rPr>
              <w:t>Offered</w:t>
            </w:r>
          </w:p>
        </w:tc>
        <w:tc>
          <w:tcPr>
            <w:tcW w:w="1880" w:type="dxa"/>
            <w:vAlign w:val="bottom"/>
            <w:gridSpan w:val="4"/>
          </w:tcPr>
          <w:p>
            <w:pPr>
              <w:jc w:val="center"/>
              <w:ind w:right="40"/>
              <w:spacing w:after="0" w:line="148" w:lineRule="exact"/>
              <w:rPr>
                <w:sz w:val="20"/>
                <w:szCs w:val="20"/>
                <w:color w:val="auto"/>
              </w:rPr>
            </w:pPr>
            <w:r>
              <w:rPr>
                <w:rFonts w:ascii="Arial" w:cs="Arial" w:eastAsia="Arial" w:hAnsi="Arial"/>
                <w:sz w:val="14"/>
                <w:szCs w:val="14"/>
                <w:b w:val="1"/>
                <w:bCs w:val="1"/>
                <w:color w:val="auto"/>
                <w:w w:val="88"/>
              </w:rPr>
              <w:t>Owned After the</w:t>
            </w: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2"/>
          </w:tcPr>
          <w:p>
            <w:pPr>
              <w:jc w:val="center"/>
              <w:ind w:right="491"/>
              <w:spacing w:after="0" w:line="122" w:lineRule="exact"/>
              <w:rPr>
                <w:sz w:val="20"/>
                <w:szCs w:val="20"/>
                <w:color w:val="auto"/>
              </w:rPr>
            </w:pPr>
            <w:r>
              <w:rPr>
                <w:rFonts w:ascii="Arial" w:cs="Arial" w:eastAsia="Arial" w:hAnsi="Arial"/>
                <w:sz w:val="14"/>
                <w:szCs w:val="14"/>
                <w:b w:val="1"/>
                <w:bCs w:val="1"/>
                <w:color w:val="auto"/>
                <w:w w:val="91"/>
              </w:rPr>
              <w:t>Offering</w:t>
            </w:r>
          </w:p>
        </w:tc>
        <w:tc>
          <w:tcPr>
            <w:tcW w:w="640" w:type="dxa"/>
            <w:vAlign w:val="bottom"/>
          </w:tcPr>
          <w:p>
            <w:pPr>
              <w:spacing w:after="0"/>
              <w:rPr>
                <w:sz w:val="12"/>
                <w:szCs w:val="12"/>
                <w:color w:val="auto"/>
              </w:rPr>
            </w:pPr>
          </w:p>
        </w:tc>
        <w:tc>
          <w:tcPr>
            <w:tcW w:w="1280" w:type="dxa"/>
            <w:vAlign w:val="bottom"/>
            <w:gridSpan w:val="2"/>
          </w:tcPr>
          <w:p>
            <w:pPr>
              <w:jc w:val="center"/>
              <w:ind w:right="540"/>
              <w:spacing w:after="0" w:line="122" w:lineRule="exact"/>
              <w:rPr>
                <w:sz w:val="20"/>
                <w:szCs w:val="20"/>
                <w:color w:val="auto"/>
              </w:rPr>
            </w:pPr>
            <w:r>
              <w:rPr>
                <w:rFonts w:ascii="Arial" w:cs="Arial" w:eastAsia="Arial" w:hAnsi="Arial"/>
                <w:sz w:val="14"/>
                <w:szCs w:val="14"/>
                <w:b w:val="1"/>
                <w:bCs w:val="1"/>
                <w:color w:val="auto"/>
                <w:w w:val="88"/>
              </w:rPr>
              <w:t>Pursuant</w:t>
            </w:r>
          </w:p>
        </w:tc>
        <w:tc>
          <w:tcPr>
            <w:tcW w:w="50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2"/>
          </w:tcPr>
          <w:p>
            <w:pPr>
              <w:jc w:val="center"/>
              <w:ind w:right="431"/>
              <w:spacing w:after="0" w:line="122" w:lineRule="exact"/>
              <w:rPr>
                <w:sz w:val="20"/>
                <w:szCs w:val="20"/>
                <w:color w:val="auto"/>
              </w:rPr>
            </w:pPr>
            <w:r>
              <w:rPr>
                <w:rFonts w:ascii="Arial" w:cs="Arial" w:eastAsia="Arial" w:hAnsi="Arial"/>
                <w:sz w:val="14"/>
                <w:szCs w:val="14"/>
                <w:b w:val="1"/>
                <w:bCs w:val="1"/>
                <w:color w:val="auto"/>
                <w:w w:val="94"/>
              </w:rPr>
              <w:t>Offering(4)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340" w:type="dxa"/>
            <w:vAlign w:val="bottom"/>
            <w:vMerge w:val="restart"/>
          </w:tcPr>
          <w:p>
            <w:pPr>
              <w:spacing w:after="0"/>
              <w:rPr>
                <w:sz w:val="20"/>
                <w:szCs w:val="20"/>
                <w:color w:val="auto"/>
              </w:rPr>
            </w:pPr>
            <w:r>
              <w:rPr>
                <w:rFonts w:ascii="Arial" w:cs="Arial" w:eastAsia="Arial" w:hAnsi="Arial"/>
                <w:sz w:val="14"/>
                <w:szCs w:val="14"/>
                <w:b w:val="1"/>
                <w:bCs w:val="1"/>
                <w:color w:val="auto"/>
                <w:w w:val="83"/>
              </w:rPr>
              <w:t>Name</w:t>
            </w:r>
          </w:p>
        </w:tc>
        <w:tc>
          <w:tcPr>
            <w:tcW w:w="4480" w:type="dxa"/>
            <w:vAlign w:val="bottom"/>
            <w:vMerge w:val="restart"/>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Number</w:t>
            </w:r>
          </w:p>
        </w:tc>
        <w:tc>
          <w:tcPr>
            <w:tcW w:w="520" w:type="dxa"/>
            <w:vAlign w:val="bottom"/>
          </w:tcPr>
          <w:p>
            <w:pPr>
              <w:spacing w:after="0"/>
              <w:rPr>
                <w:sz w:val="10"/>
                <w:szCs w:val="10"/>
                <w:color w:val="auto"/>
              </w:rPr>
            </w:pPr>
          </w:p>
        </w:tc>
        <w:tc>
          <w:tcPr>
            <w:tcW w:w="146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w w:val="84"/>
              </w:rPr>
              <w:t>Percentage(1)</w:t>
            </w:r>
          </w:p>
        </w:tc>
        <w:tc>
          <w:tcPr>
            <w:tcW w:w="1280" w:type="dxa"/>
            <w:vAlign w:val="bottom"/>
            <w:gridSpan w:val="2"/>
          </w:tcPr>
          <w:p>
            <w:pPr>
              <w:jc w:val="center"/>
              <w:ind w:right="520"/>
              <w:spacing w:after="0" w:line="125" w:lineRule="exact"/>
              <w:rPr>
                <w:sz w:val="20"/>
                <w:szCs w:val="20"/>
                <w:color w:val="auto"/>
              </w:rPr>
            </w:pPr>
            <w:r>
              <w:rPr>
                <w:rFonts w:ascii="Arial" w:cs="Arial" w:eastAsia="Arial" w:hAnsi="Arial"/>
                <w:sz w:val="14"/>
                <w:szCs w:val="14"/>
                <w:b w:val="1"/>
                <w:bCs w:val="1"/>
                <w:color w:val="auto"/>
                <w:w w:val="85"/>
              </w:rPr>
              <w:t>to this</w:t>
            </w:r>
          </w:p>
        </w:tc>
        <w:tc>
          <w:tcPr>
            <w:tcW w:w="5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0"/>
              </w:rPr>
              <w:t>Number</w:t>
            </w:r>
          </w:p>
        </w:tc>
        <w:tc>
          <w:tcPr>
            <w:tcW w:w="520" w:type="dxa"/>
            <w:vAlign w:val="bottom"/>
          </w:tcPr>
          <w:p>
            <w:pPr>
              <w:spacing w:after="0"/>
              <w:rPr>
                <w:sz w:val="10"/>
                <w:szCs w:val="10"/>
                <w:color w:val="auto"/>
              </w:rPr>
            </w:pPr>
          </w:p>
        </w:tc>
        <w:tc>
          <w:tcPr>
            <w:tcW w:w="860" w:type="dxa"/>
            <w:vAlign w:val="bottom"/>
            <w:gridSpan w:val="2"/>
            <w:vMerge w:val="restart"/>
          </w:tcPr>
          <w:p>
            <w:pPr>
              <w:jc w:val="right"/>
              <w:ind w:right="40"/>
              <w:spacing w:after="0"/>
              <w:rPr>
                <w:sz w:val="20"/>
                <w:szCs w:val="20"/>
                <w:color w:val="auto"/>
              </w:rPr>
            </w:pPr>
            <w:r>
              <w:rPr>
                <w:rFonts w:ascii="Arial" w:cs="Arial" w:eastAsia="Arial" w:hAnsi="Arial"/>
                <w:sz w:val="14"/>
                <w:szCs w:val="14"/>
                <w:b w:val="1"/>
                <w:bCs w:val="1"/>
                <w:color w:val="auto"/>
                <w:w w:val="86"/>
              </w:rPr>
              <w:t>Percentage(1)</w:t>
            </w:r>
          </w:p>
        </w:tc>
        <w:tc>
          <w:tcPr>
            <w:tcW w:w="0" w:type="dxa"/>
            <w:vAlign w:val="bottom"/>
          </w:tcPr>
          <w:p>
            <w:pPr>
              <w:spacing w:after="0"/>
              <w:rPr>
                <w:sz w:val="1"/>
                <w:szCs w:val="1"/>
                <w:color w:val="auto"/>
              </w:rPr>
            </w:pPr>
          </w:p>
        </w:tc>
      </w:tr>
      <w:tr>
        <w:trPr>
          <w:trHeight w:val="171"/>
        </w:trPr>
        <w:tc>
          <w:tcPr>
            <w:tcW w:w="340" w:type="dxa"/>
            <w:vAlign w:val="bottom"/>
            <w:tcBorders>
              <w:bottom w:val="single" w:sz="8" w:color="auto"/>
            </w:tcBorders>
            <w:vMerge w:val="continue"/>
          </w:tcPr>
          <w:p>
            <w:pPr>
              <w:spacing w:after="0"/>
              <w:rPr>
                <w:sz w:val="14"/>
                <w:szCs w:val="14"/>
                <w:color w:val="auto"/>
              </w:rPr>
            </w:pPr>
          </w:p>
        </w:tc>
        <w:tc>
          <w:tcPr>
            <w:tcW w:w="448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280" w:type="dxa"/>
            <w:vAlign w:val="bottom"/>
            <w:gridSpan w:val="2"/>
          </w:tcPr>
          <w:p>
            <w:pPr>
              <w:jc w:val="center"/>
              <w:ind w:right="520"/>
              <w:spacing w:after="0" w:line="151" w:lineRule="exact"/>
              <w:rPr>
                <w:sz w:val="20"/>
                <w:szCs w:val="20"/>
                <w:color w:val="auto"/>
              </w:rPr>
            </w:pPr>
            <w:r>
              <w:rPr>
                <w:rFonts w:ascii="Arial" w:cs="Arial" w:eastAsia="Arial" w:hAnsi="Arial"/>
                <w:sz w:val="14"/>
                <w:szCs w:val="14"/>
                <w:b w:val="1"/>
                <w:bCs w:val="1"/>
                <w:color w:val="auto"/>
                <w:w w:val="83"/>
              </w:rPr>
              <w:t>Prospectus</w:t>
            </w:r>
          </w:p>
        </w:tc>
        <w:tc>
          <w:tcPr>
            <w:tcW w:w="50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820" w:type="dxa"/>
            <w:vAlign w:val="bottom"/>
            <w:tcBorders>
              <w:top w:val="single" w:sz="8" w:color="CCEEFF"/>
            </w:tcBorders>
            <w:gridSpan w:val="2"/>
            <w:shd w:val="clear" w:color="auto" w:fill="CCEEFF"/>
          </w:tcPr>
          <w:p>
            <w:pPr>
              <w:spacing w:after="0" w:line="159" w:lineRule="exact"/>
              <w:rPr>
                <w:sz w:val="20"/>
                <w:szCs w:val="20"/>
                <w:color w:val="auto"/>
              </w:rPr>
            </w:pPr>
            <w:r>
              <w:rPr>
                <w:rFonts w:ascii="Arial" w:cs="Arial" w:eastAsia="Arial" w:hAnsi="Arial"/>
                <w:sz w:val="15"/>
                <w:szCs w:val="15"/>
                <w:color w:val="auto"/>
              </w:rPr>
              <w:t>MassMutual Select Funds - MassMutual Select Mid Cap Growth</w:t>
            </w:r>
          </w:p>
        </w:tc>
        <w:tc>
          <w:tcPr>
            <w:tcW w:w="56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48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Fund (2)</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95,636</w:t>
            </w:r>
          </w:p>
        </w:tc>
        <w:tc>
          <w:tcPr>
            <w:tcW w:w="1980" w:type="dxa"/>
            <w:vAlign w:val="bottom"/>
            <w:gridSpan w:val="3"/>
            <w:shd w:val="clear" w:color="auto" w:fill="CCEEFF"/>
          </w:tcPr>
          <w:p>
            <w:pPr>
              <w:jc w:val="right"/>
              <w:ind w:right="640"/>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95,636</w:t>
            </w:r>
          </w:p>
        </w:tc>
        <w:tc>
          <w:tcPr>
            <w:tcW w:w="520" w:type="dxa"/>
            <w:vAlign w:val="bottom"/>
            <w:shd w:val="clear" w:color="auto" w:fill="CCEEFF"/>
          </w:tcPr>
          <w:p>
            <w:pPr>
              <w:spacing w:after="0"/>
              <w:rPr>
                <w:sz w:val="17"/>
                <w:szCs w:val="17"/>
                <w:color w:val="auto"/>
              </w:rPr>
            </w:pPr>
          </w:p>
        </w:tc>
        <w:tc>
          <w:tcPr>
            <w:tcW w:w="500" w:type="dxa"/>
            <w:vAlign w:val="bottom"/>
            <w:shd w:val="clear" w:color="auto" w:fill="CCEEFF"/>
          </w:tcPr>
          <w:p>
            <w:pPr>
              <w:ind w:left="260"/>
              <w:spacing w:after="0"/>
              <w:rPr>
                <w:sz w:val="20"/>
                <w:szCs w:val="20"/>
                <w:color w:val="auto"/>
              </w:rPr>
            </w:pPr>
            <w:r>
              <w:rPr>
                <w:rFonts w:ascii="Arial" w:cs="Arial" w:eastAsia="Arial" w:hAnsi="Arial"/>
                <w:sz w:val="15"/>
                <w:szCs w:val="15"/>
                <w:color w:val="auto"/>
              </w:rPr>
              <w:t>—</w:t>
            </w:r>
          </w:p>
        </w:tc>
        <w:tc>
          <w:tcPr>
            <w:tcW w:w="138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5"/>
        </w:trPr>
        <w:tc>
          <w:tcPr>
            <w:tcW w:w="4820" w:type="dxa"/>
            <w:vAlign w:val="bottom"/>
            <w:gridSpan w:val="2"/>
          </w:tcPr>
          <w:p>
            <w:pPr>
              <w:spacing w:after="0"/>
              <w:rPr>
                <w:sz w:val="20"/>
                <w:szCs w:val="20"/>
                <w:color w:val="auto"/>
              </w:rPr>
            </w:pPr>
            <w:r>
              <w:rPr>
                <w:rFonts w:ascii="Arial" w:cs="Arial" w:eastAsia="Arial" w:hAnsi="Arial"/>
                <w:sz w:val="15"/>
                <w:szCs w:val="15"/>
                <w:color w:val="auto"/>
              </w:rPr>
              <w:t>Marriott International, Inc. Pooled Investment Trust For Participant</w:t>
            </w:r>
          </w:p>
        </w:tc>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820" w:type="dxa"/>
            <w:vAlign w:val="bottom"/>
            <w:gridSpan w:val="2"/>
          </w:tcPr>
          <w:p>
            <w:pPr>
              <w:ind w:left="140"/>
              <w:spacing w:after="0"/>
              <w:rPr>
                <w:sz w:val="20"/>
                <w:szCs w:val="20"/>
                <w:color w:val="auto"/>
              </w:rPr>
            </w:pPr>
            <w:r>
              <w:rPr>
                <w:rFonts w:ascii="Arial" w:cs="Arial" w:eastAsia="Arial" w:hAnsi="Arial"/>
                <w:sz w:val="15"/>
                <w:szCs w:val="15"/>
                <w:color w:val="auto"/>
              </w:rPr>
              <w:t>Directed Accounts (2)</w:t>
            </w:r>
          </w:p>
        </w:tc>
        <w:tc>
          <w:tcPr>
            <w:tcW w:w="560" w:type="dxa"/>
            <w:vAlign w:val="bottom"/>
          </w:tcPr>
          <w:p>
            <w:pPr>
              <w:jc w:val="right"/>
              <w:spacing w:after="0"/>
              <w:rPr>
                <w:sz w:val="20"/>
                <w:szCs w:val="20"/>
                <w:color w:val="auto"/>
              </w:rPr>
            </w:pPr>
            <w:r>
              <w:rPr>
                <w:rFonts w:ascii="Arial" w:cs="Arial" w:eastAsia="Arial" w:hAnsi="Arial"/>
                <w:sz w:val="15"/>
                <w:szCs w:val="15"/>
                <w:color w:val="auto"/>
              </w:rPr>
              <w:t>9,735</w:t>
            </w:r>
          </w:p>
        </w:tc>
        <w:tc>
          <w:tcPr>
            <w:tcW w:w="1980" w:type="dxa"/>
            <w:vAlign w:val="bottom"/>
            <w:gridSpan w:val="3"/>
          </w:tcPr>
          <w:p>
            <w:pPr>
              <w:jc w:val="right"/>
              <w:ind w:right="640"/>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9,735</w:t>
            </w:r>
          </w:p>
        </w:tc>
        <w:tc>
          <w:tcPr>
            <w:tcW w:w="520" w:type="dxa"/>
            <w:vAlign w:val="bottom"/>
          </w:tcPr>
          <w:p>
            <w:pPr>
              <w:spacing w:after="0"/>
              <w:rPr>
                <w:sz w:val="17"/>
                <w:szCs w:val="17"/>
                <w:color w:val="auto"/>
              </w:rPr>
            </w:pPr>
          </w:p>
        </w:tc>
        <w:tc>
          <w:tcPr>
            <w:tcW w:w="500" w:type="dxa"/>
            <w:vAlign w:val="bottom"/>
          </w:tcPr>
          <w:p>
            <w:pPr>
              <w:ind w:left="260"/>
              <w:spacing w:after="0"/>
              <w:rPr>
                <w:sz w:val="20"/>
                <w:szCs w:val="20"/>
                <w:color w:val="auto"/>
              </w:rPr>
            </w:pPr>
            <w:r>
              <w:rPr>
                <w:rFonts w:ascii="Arial" w:cs="Arial" w:eastAsia="Arial" w:hAnsi="Arial"/>
                <w:sz w:val="15"/>
                <w:szCs w:val="15"/>
                <w:color w:val="auto"/>
              </w:rPr>
              <w:t>—</w:t>
            </w:r>
          </w:p>
        </w:tc>
        <w:tc>
          <w:tcPr>
            <w:tcW w:w="1380" w:type="dxa"/>
            <w:vAlign w:val="bottom"/>
            <w:gridSpan w:val="3"/>
          </w:tcPr>
          <w:p>
            <w:pPr>
              <w:jc w:val="right"/>
              <w:ind w:right="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8"/>
        </w:trPr>
        <w:tc>
          <w:tcPr>
            <w:tcW w:w="48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Brighthouse Funds Trust I - T. Rowe Price Mid Cap Growth</w:t>
            </w:r>
          </w:p>
        </w:tc>
        <w:tc>
          <w:tcPr>
            <w:tcW w:w="5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8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Portfolio (2)</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27,276</w:t>
            </w:r>
          </w:p>
        </w:tc>
        <w:tc>
          <w:tcPr>
            <w:tcW w:w="1980" w:type="dxa"/>
            <w:vAlign w:val="bottom"/>
            <w:gridSpan w:val="3"/>
            <w:shd w:val="clear" w:color="auto" w:fill="CCEEFF"/>
          </w:tcPr>
          <w:p>
            <w:pPr>
              <w:jc w:val="right"/>
              <w:ind w:right="640"/>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27,276</w:t>
            </w:r>
          </w:p>
        </w:tc>
        <w:tc>
          <w:tcPr>
            <w:tcW w:w="520" w:type="dxa"/>
            <w:vAlign w:val="bottom"/>
            <w:shd w:val="clear" w:color="auto" w:fill="CCEEFF"/>
          </w:tcPr>
          <w:p>
            <w:pPr>
              <w:spacing w:after="0"/>
              <w:rPr>
                <w:sz w:val="17"/>
                <w:szCs w:val="17"/>
                <w:color w:val="auto"/>
              </w:rPr>
            </w:pPr>
          </w:p>
        </w:tc>
        <w:tc>
          <w:tcPr>
            <w:tcW w:w="500" w:type="dxa"/>
            <w:vAlign w:val="bottom"/>
            <w:shd w:val="clear" w:color="auto" w:fill="CCEEFF"/>
          </w:tcPr>
          <w:p>
            <w:pPr>
              <w:ind w:left="260"/>
              <w:spacing w:after="0"/>
              <w:rPr>
                <w:sz w:val="20"/>
                <w:szCs w:val="20"/>
                <w:color w:val="auto"/>
              </w:rPr>
            </w:pPr>
            <w:r>
              <w:rPr>
                <w:rFonts w:ascii="Arial" w:cs="Arial" w:eastAsia="Arial" w:hAnsi="Arial"/>
                <w:sz w:val="15"/>
                <w:szCs w:val="15"/>
                <w:color w:val="auto"/>
              </w:rPr>
              <w:t>—</w:t>
            </w:r>
          </w:p>
        </w:tc>
        <w:tc>
          <w:tcPr>
            <w:tcW w:w="138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3"/>
        </w:trPr>
        <w:tc>
          <w:tcPr>
            <w:tcW w:w="4820" w:type="dxa"/>
            <w:vAlign w:val="bottom"/>
            <w:gridSpan w:val="2"/>
          </w:tcPr>
          <w:p>
            <w:pPr>
              <w:spacing w:after="0"/>
              <w:rPr>
                <w:sz w:val="20"/>
                <w:szCs w:val="20"/>
                <w:color w:val="auto"/>
              </w:rPr>
            </w:pPr>
            <w:r>
              <w:rPr>
                <w:rFonts w:ascii="Arial" w:cs="Arial" w:eastAsia="Arial" w:hAnsi="Arial"/>
                <w:sz w:val="15"/>
                <w:szCs w:val="15"/>
                <w:color w:val="auto"/>
              </w:rPr>
              <w:t>MML Series Investment Fund - MML Mid Cap Growth Fund (2)</w:t>
            </w:r>
          </w:p>
        </w:tc>
        <w:tc>
          <w:tcPr>
            <w:tcW w:w="560" w:type="dxa"/>
            <w:vAlign w:val="bottom"/>
          </w:tcPr>
          <w:p>
            <w:pPr>
              <w:jc w:val="right"/>
              <w:spacing w:after="0"/>
              <w:rPr>
                <w:sz w:val="20"/>
                <w:szCs w:val="20"/>
                <w:color w:val="auto"/>
              </w:rPr>
            </w:pPr>
            <w:r>
              <w:rPr>
                <w:rFonts w:ascii="Arial" w:cs="Arial" w:eastAsia="Arial" w:hAnsi="Arial"/>
                <w:sz w:val="15"/>
                <w:szCs w:val="15"/>
                <w:color w:val="auto"/>
              </w:rPr>
              <w:t>7,677</w:t>
            </w:r>
          </w:p>
        </w:tc>
        <w:tc>
          <w:tcPr>
            <w:tcW w:w="1980" w:type="dxa"/>
            <w:vAlign w:val="bottom"/>
            <w:gridSpan w:val="3"/>
          </w:tcPr>
          <w:p>
            <w:pPr>
              <w:jc w:val="right"/>
              <w:ind w:right="640"/>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7,677</w:t>
            </w:r>
          </w:p>
        </w:tc>
        <w:tc>
          <w:tcPr>
            <w:tcW w:w="520" w:type="dxa"/>
            <w:vAlign w:val="bottom"/>
          </w:tcPr>
          <w:p>
            <w:pPr>
              <w:spacing w:after="0"/>
              <w:rPr>
                <w:sz w:val="16"/>
                <w:szCs w:val="16"/>
                <w:color w:val="auto"/>
              </w:rPr>
            </w:pPr>
          </w:p>
        </w:tc>
        <w:tc>
          <w:tcPr>
            <w:tcW w:w="500" w:type="dxa"/>
            <w:vAlign w:val="bottom"/>
          </w:tcPr>
          <w:p>
            <w:pPr>
              <w:ind w:left="260"/>
              <w:spacing w:after="0"/>
              <w:rPr>
                <w:sz w:val="20"/>
                <w:szCs w:val="20"/>
                <w:color w:val="auto"/>
              </w:rPr>
            </w:pPr>
            <w:r>
              <w:rPr>
                <w:rFonts w:ascii="Arial" w:cs="Arial" w:eastAsia="Arial" w:hAnsi="Arial"/>
                <w:sz w:val="15"/>
                <w:szCs w:val="15"/>
                <w:color w:val="auto"/>
              </w:rPr>
              <w:t>—</w:t>
            </w:r>
          </w:p>
        </w:tc>
        <w:tc>
          <w:tcPr>
            <w:tcW w:w="1380" w:type="dxa"/>
            <w:vAlign w:val="bottom"/>
            <w:gridSpan w:val="3"/>
          </w:tcPr>
          <w:p>
            <w:pPr>
              <w:jc w:val="right"/>
              <w:ind w:right="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3"/>
        </w:trPr>
        <w:tc>
          <w:tcPr>
            <w:tcW w:w="48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 Rowe Price U.S. Mid-Cap Growth Equity Trust (2)</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46,356</w:t>
            </w:r>
          </w:p>
        </w:tc>
        <w:tc>
          <w:tcPr>
            <w:tcW w:w="1980" w:type="dxa"/>
            <w:vAlign w:val="bottom"/>
            <w:gridSpan w:val="3"/>
            <w:shd w:val="clear" w:color="auto" w:fill="CCEEFF"/>
          </w:tcPr>
          <w:p>
            <w:pPr>
              <w:jc w:val="right"/>
              <w:ind w:right="640"/>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46,356</w:t>
            </w:r>
          </w:p>
        </w:tc>
        <w:tc>
          <w:tcPr>
            <w:tcW w:w="520" w:type="dxa"/>
            <w:vAlign w:val="bottom"/>
            <w:shd w:val="clear" w:color="auto" w:fill="CCEEFF"/>
          </w:tcPr>
          <w:p>
            <w:pPr>
              <w:spacing w:after="0"/>
              <w:rPr>
                <w:sz w:val="16"/>
                <w:szCs w:val="16"/>
                <w:color w:val="auto"/>
              </w:rPr>
            </w:pPr>
          </w:p>
        </w:tc>
        <w:tc>
          <w:tcPr>
            <w:tcW w:w="500" w:type="dxa"/>
            <w:vAlign w:val="bottom"/>
            <w:shd w:val="clear" w:color="auto" w:fill="CCEEFF"/>
          </w:tcPr>
          <w:p>
            <w:pPr>
              <w:ind w:left="260"/>
              <w:spacing w:after="0"/>
              <w:rPr>
                <w:sz w:val="20"/>
                <w:szCs w:val="20"/>
                <w:color w:val="auto"/>
              </w:rPr>
            </w:pPr>
            <w:r>
              <w:rPr>
                <w:rFonts w:ascii="Arial" w:cs="Arial" w:eastAsia="Arial" w:hAnsi="Arial"/>
                <w:sz w:val="15"/>
                <w:szCs w:val="15"/>
                <w:color w:val="auto"/>
              </w:rPr>
              <w:t>—</w:t>
            </w:r>
          </w:p>
        </w:tc>
        <w:tc>
          <w:tcPr>
            <w:tcW w:w="138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3"/>
        </w:trPr>
        <w:tc>
          <w:tcPr>
            <w:tcW w:w="4820" w:type="dxa"/>
            <w:vAlign w:val="bottom"/>
            <w:gridSpan w:val="2"/>
          </w:tcPr>
          <w:p>
            <w:pPr>
              <w:spacing w:after="0"/>
              <w:rPr>
                <w:sz w:val="20"/>
                <w:szCs w:val="20"/>
                <w:color w:val="auto"/>
              </w:rPr>
            </w:pPr>
            <w:r>
              <w:rPr>
                <w:rFonts w:ascii="Arial" w:cs="Arial" w:eastAsia="Arial" w:hAnsi="Arial"/>
                <w:sz w:val="15"/>
                <w:szCs w:val="15"/>
                <w:color w:val="auto"/>
              </w:rPr>
              <w:t>L’Oreal USA, Inc. Employee Retirement Savings Plan (2)</w:t>
            </w:r>
          </w:p>
        </w:tc>
        <w:tc>
          <w:tcPr>
            <w:tcW w:w="560" w:type="dxa"/>
            <w:vAlign w:val="bottom"/>
          </w:tcPr>
          <w:p>
            <w:pPr>
              <w:jc w:val="right"/>
              <w:spacing w:after="0"/>
              <w:rPr>
                <w:sz w:val="20"/>
                <w:szCs w:val="20"/>
                <w:color w:val="auto"/>
              </w:rPr>
            </w:pPr>
            <w:r>
              <w:rPr>
                <w:rFonts w:ascii="Arial" w:cs="Arial" w:eastAsia="Arial" w:hAnsi="Arial"/>
                <w:sz w:val="15"/>
                <w:szCs w:val="15"/>
                <w:color w:val="auto"/>
              </w:rPr>
              <w:t>2,573</w:t>
            </w:r>
          </w:p>
        </w:tc>
        <w:tc>
          <w:tcPr>
            <w:tcW w:w="1980" w:type="dxa"/>
            <w:vAlign w:val="bottom"/>
            <w:gridSpan w:val="3"/>
          </w:tcPr>
          <w:p>
            <w:pPr>
              <w:jc w:val="right"/>
              <w:ind w:right="640"/>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2,573</w:t>
            </w:r>
          </w:p>
        </w:tc>
        <w:tc>
          <w:tcPr>
            <w:tcW w:w="520" w:type="dxa"/>
            <w:vAlign w:val="bottom"/>
          </w:tcPr>
          <w:p>
            <w:pPr>
              <w:spacing w:after="0"/>
              <w:rPr>
                <w:sz w:val="16"/>
                <w:szCs w:val="16"/>
                <w:color w:val="auto"/>
              </w:rPr>
            </w:pPr>
          </w:p>
        </w:tc>
        <w:tc>
          <w:tcPr>
            <w:tcW w:w="500" w:type="dxa"/>
            <w:vAlign w:val="bottom"/>
          </w:tcPr>
          <w:p>
            <w:pPr>
              <w:ind w:left="260"/>
              <w:spacing w:after="0"/>
              <w:rPr>
                <w:sz w:val="20"/>
                <w:szCs w:val="20"/>
                <w:color w:val="auto"/>
              </w:rPr>
            </w:pPr>
            <w:r>
              <w:rPr>
                <w:rFonts w:ascii="Arial" w:cs="Arial" w:eastAsia="Arial" w:hAnsi="Arial"/>
                <w:sz w:val="15"/>
                <w:szCs w:val="15"/>
                <w:color w:val="auto"/>
              </w:rPr>
              <w:t>—</w:t>
            </w:r>
          </w:p>
        </w:tc>
        <w:tc>
          <w:tcPr>
            <w:tcW w:w="1380" w:type="dxa"/>
            <w:vAlign w:val="bottom"/>
            <w:gridSpan w:val="3"/>
          </w:tcPr>
          <w:p>
            <w:pPr>
              <w:jc w:val="right"/>
              <w:ind w:right="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3"/>
        </w:trPr>
        <w:tc>
          <w:tcPr>
            <w:tcW w:w="48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Costco 401(k) Retirement Plan (2)</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23,914</w:t>
            </w:r>
          </w:p>
        </w:tc>
        <w:tc>
          <w:tcPr>
            <w:tcW w:w="1980" w:type="dxa"/>
            <w:vAlign w:val="bottom"/>
            <w:gridSpan w:val="3"/>
            <w:shd w:val="clear" w:color="auto" w:fill="CCEEFF"/>
          </w:tcPr>
          <w:p>
            <w:pPr>
              <w:jc w:val="right"/>
              <w:ind w:right="640"/>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23,914</w:t>
            </w:r>
          </w:p>
        </w:tc>
        <w:tc>
          <w:tcPr>
            <w:tcW w:w="520" w:type="dxa"/>
            <w:vAlign w:val="bottom"/>
            <w:shd w:val="clear" w:color="auto" w:fill="CCEEFF"/>
          </w:tcPr>
          <w:p>
            <w:pPr>
              <w:spacing w:after="0"/>
              <w:rPr>
                <w:sz w:val="16"/>
                <w:szCs w:val="16"/>
                <w:color w:val="auto"/>
              </w:rPr>
            </w:pPr>
          </w:p>
        </w:tc>
        <w:tc>
          <w:tcPr>
            <w:tcW w:w="500" w:type="dxa"/>
            <w:vAlign w:val="bottom"/>
            <w:shd w:val="clear" w:color="auto" w:fill="CCEEFF"/>
          </w:tcPr>
          <w:p>
            <w:pPr>
              <w:ind w:left="260"/>
              <w:spacing w:after="0"/>
              <w:rPr>
                <w:sz w:val="20"/>
                <w:szCs w:val="20"/>
                <w:color w:val="auto"/>
              </w:rPr>
            </w:pPr>
            <w:r>
              <w:rPr>
                <w:rFonts w:ascii="Arial" w:cs="Arial" w:eastAsia="Arial" w:hAnsi="Arial"/>
                <w:sz w:val="15"/>
                <w:szCs w:val="15"/>
                <w:color w:val="auto"/>
              </w:rPr>
              <w:t>—</w:t>
            </w:r>
          </w:p>
        </w:tc>
        <w:tc>
          <w:tcPr>
            <w:tcW w:w="138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3"/>
        </w:trPr>
        <w:tc>
          <w:tcPr>
            <w:tcW w:w="4820" w:type="dxa"/>
            <w:vAlign w:val="bottom"/>
            <w:gridSpan w:val="2"/>
          </w:tcPr>
          <w:p>
            <w:pPr>
              <w:spacing w:after="0"/>
              <w:rPr>
                <w:sz w:val="20"/>
                <w:szCs w:val="20"/>
                <w:color w:val="auto"/>
              </w:rPr>
            </w:pPr>
            <w:r>
              <w:rPr>
                <w:rFonts w:ascii="Arial" w:cs="Arial" w:eastAsia="Arial" w:hAnsi="Arial"/>
                <w:sz w:val="15"/>
                <w:szCs w:val="15"/>
                <w:color w:val="auto"/>
              </w:rPr>
              <w:t>T. Rowe Price Small-Cap Stock Fund, Inc. (2)</w:t>
            </w:r>
          </w:p>
        </w:tc>
        <w:tc>
          <w:tcPr>
            <w:tcW w:w="560" w:type="dxa"/>
            <w:vAlign w:val="bottom"/>
          </w:tcPr>
          <w:p>
            <w:pPr>
              <w:jc w:val="right"/>
              <w:spacing w:after="0"/>
              <w:rPr>
                <w:sz w:val="20"/>
                <w:szCs w:val="20"/>
                <w:color w:val="auto"/>
              </w:rPr>
            </w:pPr>
            <w:r>
              <w:rPr>
                <w:rFonts w:ascii="Arial" w:cs="Arial" w:eastAsia="Arial" w:hAnsi="Arial"/>
                <w:sz w:val="15"/>
                <w:szCs w:val="15"/>
                <w:color w:val="auto"/>
                <w:w w:val="99"/>
              </w:rPr>
              <w:t>148,235</w:t>
            </w:r>
          </w:p>
        </w:tc>
        <w:tc>
          <w:tcPr>
            <w:tcW w:w="1980" w:type="dxa"/>
            <w:vAlign w:val="bottom"/>
            <w:gridSpan w:val="3"/>
          </w:tcPr>
          <w:p>
            <w:pPr>
              <w:jc w:val="right"/>
              <w:ind w:right="640"/>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148,235</w:t>
            </w:r>
          </w:p>
        </w:tc>
        <w:tc>
          <w:tcPr>
            <w:tcW w:w="520" w:type="dxa"/>
            <w:vAlign w:val="bottom"/>
          </w:tcPr>
          <w:p>
            <w:pPr>
              <w:spacing w:after="0"/>
              <w:rPr>
                <w:sz w:val="16"/>
                <w:szCs w:val="16"/>
                <w:color w:val="auto"/>
              </w:rPr>
            </w:pPr>
          </w:p>
        </w:tc>
        <w:tc>
          <w:tcPr>
            <w:tcW w:w="500" w:type="dxa"/>
            <w:vAlign w:val="bottom"/>
          </w:tcPr>
          <w:p>
            <w:pPr>
              <w:ind w:left="260"/>
              <w:spacing w:after="0"/>
              <w:rPr>
                <w:sz w:val="20"/>
                <w:szCs w:val="20"/>
                <w:color w:val="auto"/>
              </w:rPr>
            </w:pPr>
            <w:r>
              <w:rPr>
                <w:rFonts w:ascii="Arial" w:cs="Arial" w:eastAsia="Arial" w:hAnsi="Arial"/>
                <w:sz w:val="15"/>
                <w:szCs w:val="15"/>
                <w:color w:val="auto"/>
              </w:rPr>
              <w:t>—</w:t>
            </w:r>
          </w:p>
        </w:tc>
        <w:tc>
          <w:tcPr>
            <w:tcW w:w="1380" w:type="dxa"/>
            <w:vAlign w:val="bottom"/>
            <w:gridSpan w:val="3"/>
          </w:tcPr>
          <w:p>
            <w:pPr>
              <w:jc w:val="right"/>
              <w:ind w:right="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3"/>
        </w:trPr>
        <w:tc>
          <w:tcPr>
            <w:tcW w:w="48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TD Mutual Funds - TD U.S. Small-Cap Equity Fund (2)</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6,675</w:t>
            </w:r>
          </w:p>
        </w:tc>
        <w:tc>
          <w:tcPr>
            <w:tcW w:w="1980" w:type="dxa"/>
            <w:vAlign w:val="bottom"/>
            <w:gridSpan w:val="3"/>
            <w:shd w:val="clear" w:color="auto" w:fill="CCEEFF"/>
          </w:tcPr>
          <w:p>
            <w:pPr>
              <w:jc w:val="right"/>
              <w:ind w:right="640"/>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6,675</w:t>
            </w:r>
          </w:p>
        </w:tc>
        <w:tc>
          <w:tcPr>
            <w:tcW w:w="520" w:type="dxa"/>
            <w:vAlign w:val="bottom"/>
            <w:shd w:val="clear" w:color="auto" w:fill="CCEEFF"/>
          </w:tcPr>
          <w:p>
            <w:pPr>
              <w:spacing w:after="0"/>
              <w:rPr>
                <w:sz w:val="16"/>
                <w:szCs w:val="16"/>
                <w:color w:val="auto"/>
              </w:rPr>
            </w:pPr>
          </w:p>
        </w:tc>
        <w:tc>
          <w:tcPr>
            <w:tcW w:w="500" w:type="dxa"/>
            <w:vAlign w:val="bottom"/>
            <w:shd w:val="clear" w:color="auto" w:fill="CCEEFF"/>
          </w:tcPr>
          <w:p>
            <w:pPr>
              <w:ind w:left="260"/>
              <w:spacing w:after="0"/>
              <w:rPr>
                <w:sz w:val="20"/>
                <w:szCs w:val="20"/>
                <w:color w:val="auto"/>
              </w:rPr>
            </w:pPr>
            <w:r>
              <w:rPr>
                <w:rFonts w:ascii="Arial" w:cs="Arial" w:eastAsia="Arial" w:hAnsi="Arial"/>
                <w:sz w:val="15"/>
                <w:szCs w:val="15"/>
                <w:color w:val="auto"/>
              </w:rPr>
              <w:t>—</w:t>
            </w:r>
          </w:p>
        </w:tc>
        <w:tc>
          <w:tcPr>
            <w:tcW w:w="138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3"/>
        </w:trPr>
        <w:tc>
          <w:tcPr>
            <w:tcW w:w="4820" w:type="dxa"/>
            <w:vAlign w:val="bottom"/>
            <w:gridSpan w:val="2"/>
          </w:tcPr>
          <w:p>
            <w:pPr>
              <w:spacing w:after="0"/>
              <w:rPr>
                <w:sz w:val="20"/>
                <w:szCs w:val="20"/>
                <w:color w:val="auto"/>
              </w:rPr>
            </w:pPr>
            <w:r>
              <w:rPr>
                <w:rFonts w:ascii="Arial" w:cs="Arial" w:eastAsia="Arial" w:hAnsi="Arial"/>
                <w:sz w:val="15"/>
                <w:szCs w:val="15"/>
                <w:color w:val="auto"/>
              </w:rPr>
              <w:t>T. Rowe Price Personal Strategy Income Fund (2)</w:t>
            </w:r>
          </w:p>
        </w:tc>
        <w:tc>
          <w:tcPr>
            <w:tcW w:w="560" w:type="dxa"/>
            <w:vAlign w:val="bottom"/>
          </w:tcPr>
          <w:p>
            <w:pPr>
              <w:jc w:val="right"/>
              <w:spacing w:after="0"/>
              <w:rPr>
                <w:sz w:val="20"/>
                <w:szCs w:val="20"/>
                <w:color w:val="auto"/>
              </w:rPr>
            </w:pPr>
            <w:r>
              <w:rPr>
                <w:rFonts w:ascii="Arial" w:cs="Arial" w:eastAsia="Arial" w:hAnsi="Arial"/>
                <w:sz w:val="15"/>
                <w:szCs w:val="15"/>
                <w:color w:val="auto"/>
              </w:rPr>
              <w:t>1,214</w:t>
            </w:r>
          </w:p>
        </w:tc>
        <w:tc>
          <w:tcPr>
            <w:tcW w:w="1980" w:type="dxa"/>
            <w:vAlign w:val="bottom"/>
            <w:gridSpan w:val="3"/>
          </w:tcPr>
          <w:p>
            <w:pPr>
              <w:jc w:val="right"/>
              <w:ind w:right="640"/>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1,214</w:t>
            </w:r>
          </w:p>
        </w:tc>
        <w:tc>
          <w:tcPr>
            <w:tcW w:w="520" w:type="dxa"/>
            <w:vAlign w:val="bottom"/>
          </w:tcPr>
          <w:p>
            <w:pPr>
              <w:spacing w:after="0"/>
              <w:rPr>
                <w:sz w:val="16"/>
                <w:szCs w:val="16"/>
                <w:color w:val="auto"/>
              </w:rPr>
            </w:pPr>
          </w:p>
        </w:tc>
        <w:tc>
          <w:tcPr>
            <w:tcW w:w="500" w:type="dxa"/>
            <w:vAlign w:val="bottom"/>
          </w:tcPr>
          <w:p>
            <w:pPr>
              <w:ind w:left="260"/>
              <w:spacing w:after="0"/>
              <w:rPr>
                <w:sz w:val="20"/>
                <w:szCs w:val="20"/>
                <w:color w:val="auto"/>
              </w:rPr>
            </w:pPr>
            <w:r>
              <w:rPr>
                <w:rFonts w:ascii="Arial" w:cs="Arial" w:eastAsia="Arial" w:hAnsi="Arial"/>
                <w:sz w:val="15"/>
                <w:szCs w:val="15"/>
                <w:color w:val="auto"/>
              </w:rPr>
              <w:t>—</w:t>
            </w:r>
          </w:p>
        </w:tc>
        <w:tc>
          <w:tcPr>
            <w:tcW w:w="1380" w:type="dxa"/>
            <w:vAlign w:val="bottom"/>
            <w:gridSpan w:val="3"/>
          </w:tcPr>
          <w:p>
            <w:pPr>
              <w:jc w:val="right"/>
              <w:ind w:right="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3"/>
        </w:trPr>
        <w:tc>
          <w:tcPr>
            <w:tcW w:w="48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 Rowe Price Personal Strategy Balanced Portfolio (2)</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146</w:t>
            </w:r>
          </w:p>
        </w:tc>
        <w:tc>
          <w:tcPr>
            <w:tcW w:w="1980" w:type="dxa"/>
            <w:vAlign w:val="bottom"/>
            <w:gridSpan w:val="3"/>
            <w:shd w:val="clear" w:color="auto" w:fill="CCEEFF"/>
          </w:tcPr>
          <w:p>
            <w:pPr>
              <w:jc w:val="right"/>
              <w:ind w:right="640"/>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146</w:t>
            </w:r>
          </w:p>
        </w:tc>
        <w:tc>
          <w:tcPr>
            <w:tcW w:w="520" w:type="dxa"/>
            <w:vAlign w:val="bottom"/>
            <w:shd w:val="clear" w:color="auto" w:fill="CCEEFF"/>
          </w:tcPr>
          <w:p>
            <w:pPr>
              <w:spacing w:after="0"/>
              <w:rPr>
                <w:sz w:val="16"/>
                <w:szCs w:val="16"/>
                <w:color w:val="auto"/>
              </w:rPr>
            </w:pPr>
          </w:p>
        </w:tc>
        <w:tc>
          <w:tcPr>
            <w:tcW w:w="500" w:type="dxa"/>
            <w:vAlign w:val="bottom"/>
            <w:shd w:val="clear" w:color="auto" w:fill="CCEEFF"/>
          </w:tcPr>
          <w:p>
            <w:pPr>
              <w:ind w:left="260"/>
              <w:spacing w:after="0"/>
              <w:rPr>
                <w:sz w:val="20"/>
                <w:szCs w:val="20"/>
                <w:color w:val="auto"/>
              </w:rPr>
            </w:pPr>
            <w:r>
              <w:rPr>
                <w:rFonts w:ascii="Arial" w:cs="Arial" w:eastAsia="Arial" w:hAnsi="Arial"/>
                <w:sz w:val="15"/>
                <w:szCs w:val="15"/>
                <w:color w:val="auto"/>
              </w:rPr>
              <w:t>—</w:t>
            </w:r>
          </w:p>
        </w:tc>
        <w:tc>
          <w:tcPr>
            <w:tcW w:w="138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3"/>
        </w:trPr>
        <w:tc>
          <w:tcPr>
            <w:tcW w:w="4820" w:type="dxa"/>
            <w:vAlign w:val="bottom"/>
            <w:gridSpan w:val="2"/>
          </w:tcPr>
          <w:p>
            <w:pPr>
              <w:spacing w:after="0"/>
              <w:rPr>
                <w:sz w:val="20"/>
                <w:szCs w:val="20"/>
                <w:color w:val="auto"/>
              </w:rPr>
            </w:pPr>
            <w:r>
              <w:rPr>
                <w:rFonts w:ascii="Arial" w:cs="Arial" w:eastAsia="Arial" w:hAnsi="Arial"/>
                <w:sz w:val="15"/>
                <w:szCs w:val="15"/>
                <w:color w:val="auto"/>
              </w:rPr>
              <w:t>T. Rowe Price Personal Strategy Growth Fund (2)</w:t>
            </w:r>
          </w:p>
        </w:tc>
        <w:tc>
          <w:tcPr>
            <w:tcW w:w="560" w:type="dxa"/>
            <w:vAlign w:val="bottom"/>
          </w:tcPr>
          <w:p>
            <w:pPr>
              <w:jc w:val="right"/>
              <w:spacing w:after="0"/>
              <w:rPr>
                <w:sz w:val="20"/>
                <w:szCs w:val="20"/>
                <w:color w:val="auto"/>
              </w:rPr>
            </w:pPr>
            <w:r>
              <w:rPr>
                <w:rFonts w:ascii="Arial" w:cs="Arial" w:eastAsia="Arial" w:hAnsi="Arial"/>
                <w:sz w:val="15"/>
                <w:szCs w:val="15"/>
                <w:color w:val="auto"/>
              </w:rPr>
              <w:t>2,629</w:t>
            </w:r>
          </w:p>
        </w:tc>
        <w:tc>
          <w:tcPr>
            <w:tcW w:w="1980" w:type="dxa"/>
            <w:vAlign w:val="bottom"/>
            <w:gridSpan w:val="3"/>
          </w:tcPr>
          <w:p>
            <w:pPr>
              <w:jc w:val="right"/>
              <w:ind w:right="640"/>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2,629</w:t>
            </w:r>
          </w:p>
        </w:tc>
        <w:tc>
          <w:tcPr>
            <w:tcW w:w="520" w:type="dxa"/>
            <w:vAlign w:val="bottom"/>
          </w:tcPr>
          <w:p>
            <w:pPr>
              <w:spacing w:after="0"/>
              <w:rPr>
                <w:sz w:val="16"/>
                <w:szCs w:val="16"/>
                <w:color w:val="auto"/>
              </w:rPr>
            </w:pPr>
          </w:p>
        </w:tc>
        <w:tc>
          <w:tcPr>
            <w:tcW w:w="500" w:type="dxa"/>
            <w:vAlign w:val="bottom"/>
          </w:tcPr>
          <w:p>
            <w:pPr>
              <w:ind w:left="260"/>
              <w:spacing w:after="0"/>
              <w:rPr>
                <w:sz w:val="20"/>
                <w:szCs w:val="20"/>
                <w:color w:val="auto"/>
              </w:rPr>
            </w:pPr>
            <w:r>
              <w:rPr>
                <w:rFonts w:ascii="Arial" w:cs="Arial" w:eastAsia="Arial" w:hAnsi="Arial"/>
                <w:sz w:val="15"/>
                <w:szCs w:val="15"/>
                <w:color w:val="auto"/>
              </w:rPr>
              <w:t>—</w:t>
            </w:r>
          </w:p>
        </w:tc>
        <w:tc>
          <w:tcPr>
            <w:tcW w:w="1380" w:type="dxa"/>
            <w:vAlign w:val="bottom"/>
            <w:gridSpan w:val="3"/>
          </w:tcPr>
          <w:p>
            <w:pPr>
              <w:jc w:val="right"/>
              <w:ind w:right="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3"/>
        </w:trPr>
        <w:tc>
          <w:tcPr>
            <w:tcW w:w="48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 Rowe Price Personal Strategy Balanced Fund (2)</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1,837</w:t>
            </w:r>
          </w:p>
        </w:tc>
        <w:tc>
          <w:tcPr>
            <w:tcW w:w="1980" w:type="dxa"/>
            <w:vAlign w:val="bottom"/>
            <w:gridSpan w:val="3"/>
            <w:shd w:val="clear" w:color="auto" w:fill="CCEEFF"/>
          </w:tcPr>
          <w:p>
            <w:pPr>
              <w:jc w:val="right"/>
              <w:ind w:right="640"/>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1,837</w:t>
            </w:r>
          </w:p>
        </w:tc>
        <w:tc>
          <w:tcPr>
            <w:tcW w:w="520" w:type="dxa"/>
            <w:vAlign w:val="bottom"/>
            <w:shd w:val="clear" w:color="auto" w:fill="CCEEFF"/>
          </w:tcPr>
          <w:p>
            <w:pPr>
              <w:spacing w:after="0"/>
              <w:rPr>
                <w:sz w:val="16"/>
                <w:szCs w:val="16"/>
                <w:color w:val="auto"/>
              </w:rPr>
            </w:pPr>
          </w:p>
        </w:tc>
        <w:tc>
          <w:tcPr>
            <w:tcW w:w="500" w:type="dxa"/>
            <w:vAlign w:val="bottom"/>
            <w:shd w:val="clear" w:color="auto" w:fill="CCEEFF"/>
          </w:tcPr>
          <w:p>
            <w:pPr>
              <w:ind w:left="260"/>
              <w:spacing w:after="0"/>
              <w:rPr>
                <w:sz w:val="20"/>
                <w:szCs w:val="20"/>
                <w:color w:val="auto"/>
              </w:rPr>
            </w:pPr>
            <w:r>
              <w:rPr>
                <w:rFonts w:ascii="Arial" w:cs="Arial" w:eastAsia="Arial" w:hAnsi="Arial"/>
                <w:sz w:val="15"/>
                <w:szCs w:val="15"/>
                <w:color w:val="auto"/>
              </w:rPr>
              <w:t>—</w:t>
            </w:r>
          </w:p>
        </w:tc>
        <w:tc>
          <w:tcPr>
            <w:tcW w:w="138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3"/>
        </w:trPr>
        <w:tc>
          <w:tcPr>
            <w:tcW w:w="4820" w:type="dxa"/>
            <w:vAlign w:val="bottom"/>
            <w:gridSpan w:val="2"/>
          </w:tcPr>
          <w:p>
            <w:pPr>
              <w:spacing w:after="0"/>
              <w:rPr>
                <w:sz w:val="20"/>
                <w:szCs w:val="20"/>
                <w:color w:val="auto"/>
              </w:rPr>
            </w:pPr>
            <w:r>
              <w:rPr>
                <w:rFonts w:ascii="Arial" w:cs="Arial" w:eastAsia="Arial" w:hAnsi="Arial"/>
                <w:sz w:val="15"/>
                <w:szCs w:val="15"/>
                <w:color w:val="auto"/>
              </w:rPr>
              <w:t>T. Rowe Price Institutional Small-Cap Stock Fund (2)</w:t>
            </w:r>
          </w:p>
        </w:tc>
        <w:tc>
          <w:tcPr>
            <w:tcW w:w="560" w:type="dxa"/>
            <w:vAlign w:val="bottom"/>
          </w:tcPr>
          <w:p>
            <w:pPr>
              <w:jc w:val="right"/>
              <w:spacing w:after="0"/>
              <w:rPr>
                <w:sz w:val="20"/>
                <w:szCs w:val="20"/>
                <w:color w:val="auto"/>
              </w:rPr>
            </w:pPr>
            <w:r>
              <w:rPr>
                <w:rFonts w:ascii="Arial" w:cs="Arial" w:eastAsia="Arial" w:hAnsi="Arial"/>
                <w:sz w:val="15"/>
                <w:szCs w:val="15"/>
                <w:color w:val="auto"/>
              </w:rPr>
              <w:t>72,222</w:t>
            </w:r>
          </w:p>
        </w:tc>
        <w:tc>
          <w:tcPr>
            <w:tcW w:w="1980" w:type="dxa"/>
            <w:vAlign w:val="bottom"/>
            <w:gridSpan w:val="3"/>
          </w:tcPr>
          <w:p>
            <w:pPr>
              <w:jc w:val="right"/>
              <w:ind w:right="640"/>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72,222</w:t>
            </w:r>
          </w:p>
        </w:tc>
        <w:tc>
          <w:tcPr>
            <w:tcW w:w="520" w:type="dxa"/>
            <w:vAlign w:val="bottom"/>
          </w:tcPr>
          <w:p>
            <w:pPr>
              <w:spacing w:after="0"/>
              <w:rPr>
                <w:sz w:val="16"/>
                <w:szCs w:val="16"/>
                <w:color w:val="auto"/>
              </w:rPr>
            </w:pPr>
          </w:p>
        </w:tc>
        <w:tc>
          <w:tcPr>
            <w:tcW w:w="500" w:type="dxa"/>
            <w:vAlign w:val="bottom"/>
          </w:tcPr>
          <w:p>
            <w:pPr>
              <w:ind w:left="260"/>
              <w:spacing w:after="0"/>
              <w:rPr>
                <w:sz w:val="20"/>
                <w:szCs w:val="20"/>
                <w:color w:val="auto"/>
              </w:rPr>
            </w:pPr>
            <w:r>
              <w:rPr>
                <w:rFonts w:ascii="Arial" w:cs="Arial" w:eastAsia="Arial" w:hAnsi="Arial"/>
                <w:sz w:val="15"/>
                <w:szCs w:val="15"/>
                <w:color w:val="auto"/>
              </w:rPr>
              <w:t>—</w:t>
            </w:r>
          </w:p>
        </w:tc>
        <w:tc>
          <w:tcPr>
            <w:tcW w:w="1380" w:type="dxa"/>
            <w:vAlign w:val="bottom"/>
            <w:gridSpan w:val="3"/>
          </w:tcPr>
          <w:p>
            <w:pPr>
              <w:jc w:val="right"/>
              <w:ind w:right="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3"/>
        </w:trPr>
        <w:tc>
          <w:tcPr>
            <w:tcW w:w="48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VALIC Company I - Small Cap Fund (2)</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1,539</w:t>
            </w:r>
          </w:p>
        </w:tc>
        <w:tc>
          <w:tcPr>
            <w:tcW w:w="1980" w:type="dxa"/>
            <w:vAlign w:val="bottom"/>
            <w:gridSpan w:val="3"/>
            <w:shd w:val="clear" w:color="auto" w:fill="CCEEFF"/>
          </w:tcPr>
          <w:p>
            <w:pPr>
              <w:jc w:val="right"/>
              <w:ind w:right="640"/>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1,539</w:t>
            </w:r>
          </w:p>
        </w:tc>
        <w:tc>
          <w:tcPr>
            <w:tcW w:w="520" w:type="dxa"/>
            <w:vAlign w:val="bottom"/>
            <w:shd w:val="clear" w:color="auto" w:fill="CCEEFF"/>
          </w:tcPr>
          <w:p>
            <w:pPr>
              <w:spacing w:after="0"/>
              <w:rPr>
                <w:sz w:val="16"/>
                <w:szCs w:val="16"/>
                <w:color w:val="auto"/>
              </w:rPr>
            </w:pPr>
          </w:p>
        </w:tc>
        <w:tc>
          <w:tcPr>
            <w:tcW w:w="500" w:type="dxa"/>
            <w:vAlign w:val="bottom"/>
            <w:shd w:val="clear" w:color="auto" w:fill="CCEEFF"/>
          </w:tcPr>
          <w:p>
            <w:pPr>
              <w:ind w:left="260"/>
              <w:spacing w:after="0"/>
              <w:rPr>
                <w:sz w:val="20"/>
                <w:szCs w:val="20"/>
                <w:color w:val="auto"/>
              </w:rPr>
            </w:pPr>
            <w:r>
              <w:rPr>
                <w:rFonts w:ascii="Arial" w:cs="Arial" w:eastAsia="Arial" w:hAnsi="Arial"/>
                <w:sz w:val="15"/>
                <w:szCs w:val="15"/>
                <w:color w:val="auto"/>
              </w:rPr>
              <w:t>—</w:t>
            </w:r>
          </w:p>
        </w:tc>
        <w:tc>
          <w:tcPr>
            <w:tcW w:w="138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3"/>
        </w:trPr>
        <w:tc>
          <w:tcPr>
            <w:tcW w:w="4820" w:type="dxa"/>
            <w:vAlign w:val="bottom"/>
            <w:gridSpan w:val="2"/>
          </w:tcPr>
          <w:p>
            <w:pPr>
              <w:spacing w:after="0"/>
              <w:rPr>
                <w:sz w:val="20"/>
                <w:szCs w:val="20"/>
                <w:color w:val="auto"/>
              </w:rPr>
            </w:pPr>
            <w:r>
              <w:rPr>
                <w:rFonts w:ascii="Arial" w:cs="Arial" w:eastAsia="Arial" w:hAnsi="Arial"/>
                <w:sz w:val="15"/>
                <w:szCs w:val="15"/>
                <w:color w:val="auto"/>
              </w:rPr>
              <w:t>U.S. Small-Cap Stock Trust (2)</w:t>
            </w:r>
          </w:p>
        </w:tc>
        <w:tc>
          <w:tcPr>
            <w:tcW w:w="560" w:type="dxa"/>
            <w:vAlign w:val="bottom"/>
          </w:tcPr>
          <w:p>
            <w:pPr>
              <w:jc w:val="right"/>
              <w:spacing w:after="0"/>
              <w:rPr>
                <w:sz w:val="20"/>
                <w:szCs w:val="20"/>
                <w:color w:val="auto"/>
              </w:rPr>
            </w:pPr>
            <w:r>
              <w:rPr>
                <w:rFonts w:ascii="Arial" w:cs="Arial" w:eastAsia="Arial" w:hAnsi="Arial"/>
                <w:sz w:val="15"/>
                <w:szCs w:val="15"/>
                <w:color w:val="auto"/>
              </w:rPr>
              <w:t>6,045</w:t>
            </w:r>
          </w:p>
        </w:tc>
        <w:tc>
          <w:tcPr>
            <w:tcW w:w="1980" w:type="dxa"/>
            <w:vAlign w:val="bottom"/>
            <w:gridSpan w:val="3"/>
          </w:tcPr>
          <w:p>
            <w:pPr>
              <w:jc w:val="right"/>
              <w:ind w:right="640"/>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6,045</w:t>
            </w:r>
          </w:p>
        </w:tc>
        <w:tc>
          <w:tcPr>
            <w:tcW w:w="520" w:type="dxa"/>
            <w:vAlign w:val="bottom"/>
          </w:tcPr>
          <w:p>
            <w:pPr>
              <w:spacing w:after="0"/>
              <w:rPr>
                <w:sz w:val="16"/>
                <w:szCs w:val="16"/>
                <w:color w:val="auto"/>
              </w:rPr>
            </w:pPr>
          </w:p>
        </w:tc>
        <w:tc>
          <w:tcPr>
            <w:tcW w:w="500" w:type="dxa"/>
            <w:vAlign w:val="bottom"/>
          </w:tcPr>
          <w:p>
            <w:pPr>
              <w:ind w:left="260"/>
              <w:spacing w:after="0"/>
              <w:rPr>
                <w:sz w:val="20"/>
                <w:szCs w:val="20"/>
                <w:color w:val="auto"/>
              </w:rPr>
            </w:pPr>
            <w:r>
              <w:rPr>
                <w:rFonts w:ascii="Arial" w:cs="Arial" w:eastAsia="Arial" w:hAnsi="Arial"/>
                <w:sz w:val="15"/>
                <w:szCs w:val="15"/>
                <w:color w:val="auto"/>
              </w:rPr>
              <w:t>—</w:t>
            </w:r>
          </w:p>
        </w:tc>
        <w:tc>
          <w:tcPr>
            <w:tcW w:w="1380" w:type="dxa"/>
            <w:vAlign w:val="bottom"/>
            <w:gridSpan w:val="3"/>
          </w:tcPr>
          <w:p>
            <w:pPr>
              <w:jc w:val="right"/>
              <w:ind w:right="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3"/>
        </w:trPr>
        <w:tc>
          <w:tcPr>
            <w:tcW w:w="48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Minnesota Life Insurance Company (2)</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1,525</w:t>
            </w:r>
          </w:p>
        </w:tc>
        <w:tc>
          <w:tcPr>
            <w:tcW w:w="1980" w:type="dxa"/>
            <w:vAlign w:val="bottom"/>
            <w:gridSpan w:val="3"/>
            <w:shd w:val="clear" w:color="auto" w:fill="CCEEFF"/>
          </w:tcPr>
          <w:p>
            <w:pPr>
              <w:jc w:val="right"/>
              <w:ind w:right="640"/>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1,525</w:t>
            </w:r>
          </w:p>
        </w:tc>
        <w:tc>
          <w:tcPr>
            <w:tcW w:w="520" w:type="dxa"/>
            <w:vAlign w:val="bottom"/>
            <w:shd w:val="clear" w:color="auto" w:fill="CCEEFF"/>
          </w:tcPr>
          <w:p>
            <w:pPr>
              <w:spacing w:after="0"/>
              <w:rPr>
                <w:sz w:val="16"/>
                <w:szCs w:val="16"/>
                <w:color w:val="auto"/>
              </w:rPr>
            </w:pPr>
          </w:p>
        </w:tc>
        <w:tc>
          <w:tcPr>
            <w:tcW w:w="500" w:type="dxa"/>
            <w:vAlign w:val="bottom"/>
            <w:shd w:val="clear" w:color="auto" w:fill="CCEEFF"/>
          </w:tcPr>
          <w:p>
            <w:pPr>
              <w:ind w:left="260"/>
              <w:spacing w:after="0"/>
              <w:rPr>
                <w:sz w:val="20"/>
                <w:szCs w:val="20"/>
                <w:color w:val="auto"/>
              </w:rPr>
            </w:pPr>
            <w:r>
              <w:rPr>
                <w:rFonts w:ascii="Arial" w:cs="Arial" w:eastAsia="Arial" w:hAnsi="Arial"/>
                <w:sz w:val="15"/>
                <w:szCs w:val="15"/>
                <w:color w:val="auto"/>
              </w:rPr>
              <w:t>—</w:t>
            </w:r>
          </w:p>
        </w:tc>
        <w:tc>
          <w:tcPr>
            <w:tcW w:w="138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3"/>
        </w:trPr>
        <w:tc>
          <w:tcPr>
            <w:tcW w:w="4820" w:type="dxa"/>
            <w:vAlign w:val="bottom"/>
            <w:gridSpan w:val="2"/>
          </w:tcPr>
          <w:p>
            <w:pPr>
              <w:spacing w:after="0"/>
              <w:rPr>
                <w:sz w:val="20"/>
                <w:szCs w:val="20"/>
                <w:color w:val="auto"/>
              </w:rPr>
            </w:pPr>
            <w:r>
              <w:rPr>
                <w:rFonts w:ascii="Arial" w:cs="Arial" w:eastAsia="Arial" w:hAnsi="Arial"/>
                <w:sz w:val="15"/>
                <w:szCs w:val="15"/>
                <w:color w:val="auto"/>
              </w:rPr>
              <w:t>T. Rowe Price U.S. Small-Cap Core Equity Trust (2)</w:t>
            </w:r>
          </w:p>
        </w:tc>
        <w:tc>
          <w:tcPr>
            <w:tcW w:w="560" w:type="dxa"/>
            <w:vAlign w:val="bottom"/>
          </w:tcPr>
          <w:p>
            <w:pPr>
              <w:jc w:val="right"/>
              <w:spacing w:after="0"/>
              <w:rPr>
                <w:sz w:val="20"/>
                <w:szCs w:val="20"/>
                <w:color w:val="auto"/>
              </w:rPr>
            </w:pPr>
            <w:r>
              <w:rPr>
                <w:rFonts w:ascii="Arial" w:cs="Arial" w:eastAsia="Arial" w:hAnsi="Arial"/>
                <w:sz w:val="15"/>
                <w:szCs w:val="15"/>
                <w:color w:val="auto"/>
              </w:rPr>
              <w:t>25,147</w:t>
            </w:r>
          </w:p>
        </w:tc>
        <w:tc>
          <w:tcPr>
            <w:tcW w:w="1980" w:type="dxa"/>
            <w:vAlign w:val="bottom"/>
            <w:gridSpan w:val="3"/>
          </w:tcPr>
          <w:p>
            <w:pPr>
              <w:jc w:val="right"/>
              <w:ind w:right="640"/>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25,147</w:t>
            </w:r>
          </w:p>
        </w:tc>
        <w:tc>
          <w:tcPr>
            <w:tcW w:w="520" w:type="dxa"/>
            <w:vAlign w:val="bottom"/>
          </w:tcPr>
          <w:p>
            <w:pPr>
              <w:spacing w:after="0"/>
              <w:rPr>
                <w:sz w:val="16"/>
                <w:szCs w:val="16"/>
                <w:color w:val="auto"/>
              </w:rPr>
            </w:pPr>
          </w:p>
        </w:tc>
        <w:tc>
          <w:tcPr>
            <w:tcW w:w="500" w:type="dxa"/>
            <w:vAlign w:val="bottom"/>
          </w:tcPr>
          <w:p>
            <w:pPr>
              <w:ind w:left="260"/>
              <w:spacing w:after="0"/>
              <w:rPr>
                <w:sz w:val="20"/>
                <w:szCs w:val="20"/>
                <w:color w:val="auto"/>
              </w:rPr>
            </w:pPr>
            <w:r>
              <w:rPr>
                <w:rFonts w:ascii="Arial" w:cs="Arial" w:eastAsia="Arial" w:hAnsi="Arial"/>
                <w:sz w:val="15"/>
                <w:szCs w:val="15"/>
                <w:color w:val="auto"/>
              </w:rPr>
              <w:t>—</w:t>
            </w:r>
          </w:p>
        </w:tc>
        <w:tc>
          <w:tcPr>
            <w:tcW w:w="1380" w:type="dxa"/>
            <w:vAlign w:val="bottom"/>
            <w:gridSpan w:val="3"/>
          </w:tcPr>
          <w:p>
            <w:pPr>
              <w:jc w:val="right"/>
              <w:ind w:right="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3"/>
        </w:trPr>
        <w:tc>
          <w:tcPr>
            <w:tcW w:w="48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 Rowe Price Health Sciences Fund, Inc. (2)</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9"/>
              </w:rPr>
              <w:t>289,417</w:t>
            </w:r>
          </w:p>
        </w:tc>
        <w:tc>
          <w:tcPr>
            <w:tcW w:w="1980" w:type="dxa"/>
            <w:vAlign w:val="bottom"/>
            <w:gridSpan w:val="3"/>
            <w:shd w:val="clear" w:color="auto" w:fill="CCEEFF"/>
          </w:tcPr>
          <w:p>
            <w:pPr>
              <w:jc w:val="right"/>
              <w:ind w:right="520"/>
              <w:spacing w:after="0"/>
              <w:rPr>
                <w:sz w:val="20"/>
                <w:szCs w:val="20"/>
                <w:color w:val="auto"/>
              </w:rPr>
            </w:pPr>
            <w:r>
              <w:rPr>
                <w:rFonts w:ascii="Arial" w:cs="Arial" w:eastAsia="Arial" w:hAnsi="Arial"/>
                <w:sz w:val="15"/>
                <w:szCs w:val="15"/>
                <w:color w:val="auto"/>
              </w:rPr>
              <w:t>1.41%</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289,417</w:t>
            </w:r>
          </w:p>
        </w:tc>
        <w:tc>
          <w:tcPr>
            <w:tcW w:w="520" w:type="dxa"/>
            <w:vAlign w:val="bottom"/>
            <w:shd w:val="clear" w:color="auto" w:fill="CCEEFF"/>
          </w:tcPr>
          <w:p>
            <w:pPr>
              <w:spacing w:after="0"/>
              <w:rPr>
                <w:sz w:val="16"/>
                <w:szCs w:val="16"/>
                <w:color w:val="auto"/>
              </w:rPr>
            </w:pPr>
          </w:p>
        </w:tc>
        <w:tc>
          <w:tcPr>
            <w:tcW w:w="500" w:type="dxa"/>
            <w:vAlign w:val="bottom"/>
            <w:shd w:val="clear" w:color="auto" w:fill="CCEEFF"/>
          </w:tcPr>
          <w:p>
            <w:pPr>
              <w:ind w:left="260"/>
              <w:spacing w:after="0"/>
              <w:rPr>
                <w:sz w:val="20"/>
                <w:szCs w:val="20"/>
                <w:color w:val="auto"/>
              </w:rPr>
            </w:pPr>
            <w:r>
              <w:rPr>
                <w:rFonts w:ascii="Arial" w:cs="Arial" w:eastAsia="Arial" w:hAnsi="Arial"/>
                <w:sz w:val="15"/>
                <w:szCs w:val="15"/>
                <w:color w:val="auto"/>
              </w:rPr>
              <w:t>—</w:t>
            </w:r>
          </w:p>
        </w:tc>
        <w:tc>
          <w:tcPr>
            <w:tcW w:w="138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3"/>
        </w:trPr>
        <w:tc>
          <w:tcPr>
            <w:tcW w:w="4820" w:type="dxa"/>
            <w:vAlign w:val="bottom"/>
            <w:gridSpan w:val="2"/>
          </w:tcPr>
          <w:p>
            <w:pPr>
              <w:spacing w:after="0"/>
              <w:rPr>
                <w:sz w:val="20"/>
                <w:szCs w:val="20"/>
                <w:color w:val="auto"/>
              </w:rPr>
            </w:pPr>
            <w:r>
              <w:rPr>
                <w:rFonts w:ascii="Arial" w:cs="Arial" w:eastAsia="Arial" w:hAnsi="Arial"/>
                <w:sz w:val="15"/>
                <w:szCs w:val="15"/>
                <w:color w:val="auto"/>
              </w:rPr>
              <w:t>TD Mutual Funds - TD Health Sciences Fund (2)</w:t>
            </w:r>
          </w:p>
        </w:tc>
        <w:tc>
          <w:tcPr>
            <w:tcW w:w="560" w:type="dxa"/>
            <w:vAlign w:val="bottom"/>
          </w:tcPr>
          <w:p>
            <w:pPr>
              <w:jc w:val="right"/>
              <w:spacing w:after="0"/>
              <w:rPr>
                <w:sz w:val="20"/>
                <w:szCs w:val="20"/>
                <w:color w:val="auto"/>
              </w:rPr>
            </w:pPr>
            <w:r>
              <w:rPr>
                <w:rFonts w:ascii="Arial" w:cs="Arial" w:eastAsia="Arial" w:hAnsi="Arial"/>
                <w:sz w:val="15"/>
                <w:szCs w:val="15"/>
                <w:color w:val="auto"/>
              </w:rPr>
              <w:t>17,089</w:t>
            </w:r>
          </w:p>
        </w:tc>
        <w:tc>
          <w:tcPr>
            <w:tcW w:w="1980" w:type="dxa"/>
            <w:vAlign w:val="bottom"/>
            <w:gridSpan w:val="3"/>
          </w:tcPr>
          <w:p>
            <w:pPr>
              <w:jc w:val="right"/>
              <w:ind w:right="640"/>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17,089</w:t>
            </w:r>
          </w:p>
        </w:tc>
        <w:tc>
          <w:tcPr>
            <w:tcW w:w="520" w:type="dxa"/>
            <w:vAlign w:val="bottom"/>
          </w:tcPr>
          <w:p>
            <w:pPr>
              <w:spacing w:after="0"/>
              <w:rPr>
                <w:sz w:val="16"/>
                <w:szCs w:val="16"/>
                <w:color w:val="auto"/>
              </w:rPr>
            </w:pPr>
          </w:p>
        </w:tc>
        <w:tc>
          <w:tcPr>
            <w:tcW w:w="500" w:type="dxa"/>
            <w:vAlign w:val="bottom"/>
          </w:tcPr>
          <w:p>
            <w:pPr>
              <w:ind w:left="260"/>
              <w:spacing w:after="0"/>
              <w:rPr>
                <w:sz w:val="20"/>
                <w:szCs w:val="20"/>
                <w:color w:val="auto"/>
              </w:rPr>
            </w:pPr>
            <w:r>
              <w:rPr>
                <w:rFonts w:ascii="Arial" w:cs="Arial" w:eastAsia="Arial" w:hAnsi="Arial"/>
                <w:sz w:val="15"/>
                <w:szCs w:val="15"/>
                <w:color w:val="auto"/>
              </w:rPr>
              <w:t>—</w:t>
            </w:r>
          </w:p>
        </w:tc>
        <w:tc>
          <w:tcPr>
            <w:tcW w:w="1380" w:type="dxa"/>
            <w:vAlign w:val="bottom"/>
            <w:gridSpan w:val="3"/>
          </w:tcPr>
          <w:p>
            <w:pPr>
              <w:jc w:val="right"/>
              <w:ind w:right="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3"/>
        </w:trPr>
        <w:tc>
          <w:tcPr>
            <w:tcW w:w="48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VALIC Company I - Health Sciences Fund (2)</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17,741</w:t>
            </w:r>
          </w:p>
        </w:tc>
        <w:tc>
          <w:tcPr>
            <w:tcW w:w="1980" w:type="dxa"/>
            <w:vAlign w:val="bottom"/>
            <w:gridSpan w:val="3"/>
            <w:shd w:val="clear" w:color="auto" w:fill="CCEEFF"/>
          </w:tcPr>
          <w:p>
            <w:pPr>
              <w:jc w:val="right"/>
              <w:ind w:right="640"/>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17,741</w:t>
            </w:r>
          </w:p>
        </w:tc>
        <w:tc>
          <w:tcPr>
            <w:tcW w:w="520" w:type="dxa"/>
            <w:vAlign w:val="bottom"/>
            <w:shd w:val="clear" w:color="auto" w:fill="CCEEFF"/>
          </w:tcPr>
          <w:p>
            <w:pPr>
              <w:spacing w:after="0"/>
              <w:rPr>
                <w:sz w:val="16"/>
                <w:szCs w:val="16"/>
                <w:color w:val="auto"/>
              </w:rPr>
            </w:pPr>
          </w:p>
        </w:tc>
        <w:tc>
          <w:tcPr>
            <w:tcW w:w="500" w:type="dxa"/>
            <w:vAlign w:val="bottom"/>
            <w:shd w:val="clear" w:color="auto" w:fill="CCEEFF"/>
          </w:tcPr>
          <w:p>
            <w:pPr>
              <w:ind w:left="260"/>
              <w:spacing w:after="0"/>
              <w:rPr>
                <w:sz w:val="20"/>
                <w:szCs w:val="20"/>
                <w:color w:val="auto"/>
              </w:rPr>
            </w:pPr>
            <w:r>
              <w:rPr>
                <w:rFonts w:ascii="Arial" w:cs="Arial" w:eastAsia="Arial" w:hAnsi="Arial"/>
                <w:sz w:val="15"/>
                <w:szCs w:val="15"/>
                <w:color w:val="auto"/>
              </w:rPr>
              <w:t>—</w:t>
            </w:r>
          </w:p>
        </w:tc>
        <w:tc>
          <w:tcPr>
            <w:tcW w:w="138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3"/>
        </w:trPr>
        <w:tc>
          <w:tcPr>
            <w:tcW w:w="4820" w:type="dxa"/>
            <w:vAlign w:val="bottom"/>
            <w:gridSpan w:val="2"/>
          </w:tcPr>
          <w:p>
            <w:pPr>
              <w:spacing w:after="0"/>
              <w:rPr>
                <w:sz w:val="20"/>
                <w:szCs w:val="20"/>
                <w:color w:val="auto"/>
              </w:rPr>
            </w:pPr>
            <w:r>
              <w:rPr>
                <w:rFonts w:ascii="Arial" w:cs="Arial" w:eastAsia="Arial" w:hAnsi="Arial"/>
                <w:sz w:val="15"/>
                <w:szCs w:val="15"/>
                <w:color w:val="auto"/>
              </w:rPr>
              <w:t>T. Rowe Price Health Sciences Portfolio (2)</w:t>
            </w:r>
          </w:p>
        </w:tc>
        <w:tc>
          <w:tcPr>
            <w:tcW w:w="560" w:type="dxa"/>
            <w:vAlign w:val="bottom"/>
          </w:tcPr>
          <w:p>
            <w:pPr>
              <w:jc w:val="right"/>
              <w:spacing w:after="0"/>
              <w:rPr>
                <w:sz w:val="20"/>
                <w:szCs w:val="20"/>
                <w:color w:val="auto"/>
              </w:rPr>
            </w:pPr>
            <w:r>
              <w:rPr>
                <w:rFonts w:ascii="Arial" w:cs="Arial" w:eastAsia="Arial" w:hAnsi="Arial"/>
                <w:sz w:val="15"/>
                <w:szCs w:val="15"/>
                <w:color w:val="auto"/>
              </w:rPr>
              <w:t>13,178</w:t>
            </w:r>
          </w:p>
        </w:tc>
        <w:tc>
          <w:tcPr>
            <w:tcW w:w="1980" w:type="dxa"/>
            <w:vAlign w:val="bottom"/>
            <w:gridSpan w:val="3"/>
          </w:tcPr>
          <w:p>
            <w:pPr>
              <w:jc w:val="right"/>
              <w:ind w:right="640"/>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13,178</w:t>
            </w:r>
          </w:p>
        </w:tc>
        <w:tc>
          <w:tcPr>
            <w:tcW w:w="520" w:type="dxa"/>
            <w:vAlign w:val="bottom"/>
          </w:tcPr>
          <w:p>
            <w:pPr>
              <w:spacing w:after="0"/>
              <w:rPr>
                <w:sz w:val="16"/>
                <w:szCs w:val="16"/>
                <w:color w:val="auto"/>
              </w:rPr>
            </w:pPr>
          </w:p>
        </w:tc>
        <w:tc>
          <w:tcPr>
            <w:tcW w:w="500" w:type="dxa"/>
            <w:vAlign w:val="bottom"/>
          </w:tcPr>
          <w:p>
            <w:pPr>
              <w:ind w:left="260"/>
              <w:spacing w:after="0"/>
              <w:rPr>
                <w:sz w:val="20"/>
                <w:szCs w:val="20"/>
                <w:color w:val="auto"/>
              </w:rPr>
            </w:pPr>
            <w:r>
              <w:rPr>
                <w:rFonts w:ascii="Arial" w:cs="Arial" w:eastAsia="Arial" w:hAnsi="Arial"/>
                <w:sz w:val="15"/>
                <w:szCs w:val="15"/>
                <w:color w:val="auto"/>
              </w:rPr>
              <w:t>—</w:t>
            </w:r>
          </w:p>
        </w:tc>
        <w:tc>
          <w:tcPr>
            <w:tcW w:w="1380" w:type="dxa"/>
            <w:vAlign w:val="bottom"/>
            <w:gridSpan w:val="3"/>
          </w:tcPr>
          <w:p>
            <w:pPr>
              <w:jc w:val="right"/>
              <w:ind w:right="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5"/>
        </w:trPr>
        <w:tc>
          <w:tcPr>
            <w:tcW w:w="48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Seasons Series Trust - SA Multi-Managed Mid Cap Growth</w:t>
            </w:r>
          </w:p>
        </w:tc>
        <w:tc>
          <w:tcPr>
            <w:tcW w:w="5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8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Portfolio (2)</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570</w:t>
            </w:r>
          </w:p>
        </w:tc>
        <w:tc>
          <w:tcPr>
            <w:tcW w:w="1980" w:type="dxa"/>
            <w:vAlign w:val="bottom"/>
            <w:gridSpan w:val="3"/>
            <w:shd w:val="clear" w:color="auto" w:fill="CCEEFF"/>
          </w:tcPr>
          <w:p>
            <w:pPr>
              <w:jc w:val="right"/>
              <w:ind w:right="640"/>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298</w:t>
            </w:r>
          </w:p>
        </w:tc>
        <w:tc>
          <w:tcPr>
            <w:tcW w:w="520" w:type="dxa"/>
            <w:vAlign w:val="bottom"/>
            <w:shd w:val="clear" w:color="auto" w:fill="CCEEFF"/>
          </w:tcPr>
          <w:p>
            <w:pPr>
              <w:spacing w:after="0"/>
              <w:rPr>
                <w:sz w:val="17"/>
                <w:szCs w:val="17"/>
                <w:color w:val="auto"/>
              </w:rPr>
            </w:pPr>
          </w:p>
        </w:tc>
        <w:tc>
          <w:tcPr>
            <w:tcW w:w="500" w:type="dxa"/>
            <w:vAlign w:val="bottom"/>
            <w:shd w:val="clear" w:color="auto" w:fill="CCEEFF"/>
          </w:tcPr>
          <w:p>
            <w:pPr>
              <w:ind w:left="260"/>
              <w:spacing w:after="0"/>
              <w:rPr>
                <w:sz w:val="20"/>
                <w:szCs w:val="20"/>
                <w:color w:val="auto"/>
              </w:rPr>
            </w:pPr>
            <w:r>
              <w:rPr>
                <w:rFonts w:ascii="Arial" w:cs="Arial" w:eastAsia="Arial" w:hAnsi="Arial"/>
                <w:sz w:val="15"/>
                <w:szCs w:val="15"/>
                <w:color w:val="auto"/>
                <w:w w:val="87"/>
              </w:rPr>
              <w:t>272</w:t>
            </w:r>
          </w:p>
        </w:tc>
        <w:tc>
          <w:tcPr>
            <w:tcW w:w="138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3"/>
        </w:trPr>
        <w:tc>
          <w:tcPr>
            <w:tcW w:w="4820" w:type="dxa"/>
            <w:vAlign w:val="bottom"/>
            <w:gridSpan w:val="2"/>
          </w:tcPr>
          <w:p>
            <w:pPr>
              <w:spacing w:after="0"/>
              <w:rPr>
                <w:sz w:val="20"/>
                <w:szCs w:val="20"/>
                <w:color w:val="auto"/>
              </w:rPr>
            </w:pPr>
            <w:r>
              <w:rPr>
                <w:rFonts w:ascii="Arial" w:cs="Arial" w:eastAsia="Arial" w:hAnsi="Arial"/>
                <w:sz w:val="15"/>
                <w:szCs w:val="15"/>
                <w:color w:val="auto"/>
              </w:rPr>
              <w:t>T. Rowe Price Diversified Mid-Cap Growth Fund, Inc. (2)</w:t>
            </w:r>
          </w:p>
        </w:tc>
        <w:tc>
          <w:tcPr>
            <w:tcW w:w="560" w:type="dxa"/>
            <w:vAlign w:val="bottom"/>
          </w:tcPr>
          <w:p>
            <w:pPr>
              <w:jc w:val="right"/>
              <w:spacing w:after="0"/>
              <w:rPr>
                <w:sz w:val="20"/>
                <w:szCs w:val="20"/>
                <w:color w:val="auto"/>
              </w:rPr>
            </w:pPr>
            <w:r>
              <w:rPr>
                <w:rFonts w:ascii="Arial" w:cs="Arial" w:eastAsia="Arial" w:hAnsi="Arial"/>
                <w:sz w:val="15"/>
                <w:szCs w:val="15"/>
                <w:color w:val="auto"/>
              </w:rPr>
              <w:t>8,128</w:t>
            </w:r>
          </w:p>
        </w:tc>
        <w:tc>
          <w:tcPr>
            <w:tcW w:w="1980" w:type="dxa"/>
            <w:vAlign w:val="bottom"/>
            <w:gridSpan w:val="3"/>
          </w:tcPr>
          <w:p>
            <w:pPr>
              <w:jc w:val="right"/>
              <w:ind w:right="640"/>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4,310</w:t>
            </w:r>
          </w:p>
        </w:tc>
        <w:tc>
          <w:tcPr>
            <w:tcW w:w="5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3,818</w:t>
            </w:r>
          </w:p>
        </w:tc>
        <w:tc>
          <w:tcPr>
            <w:tcW w:w="1380" w:type="dxa"/>
            <w:vAlign w:val="bottom"/>
            <w:gridSpan w:val="3"/>
          </w:tcPr>
          <w:p>
            <w:pPr>
              <w:jc w:val="right"/>
              <w:ind w:right="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5"/>
        </w:trPr>
        <w:tc>
          <w:tcPr>
            <w:tcW w:w="48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Lincoln Variable Insurance Products Trust - LVIP T. Rowe Price</w:t>
            </w:r>
          </w:p>
        </w:tc>
        <w:tc>
          <w:tcPr>
            <w:tcW w:w="5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8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Structured Mid-Cap Growth Fund (2)</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6,457</w:t>
            </w:r>
          </w:p>
        </w:tc>
        <w:tc>
          <w:tcPr>
            <w:tcW w:w="1980" w:type="dxa"/>
            <w:vAlign w:val="bottom"/>
            <w:gridSpan w:val="3"/>
            <w:shd w:val="clear" w:color="auto" w:fill="CCEEFF"/>
          </w:tcPr>
          <w:p>
            <w:pPr>
              <w:jc w:val="right"/>
              <w:ind w:right="640"/>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3,389</w:t>
            </w:r>
          </w:p>
        </w:tc>
        <w:tc>
          <w:tcPr>
            <w:tcW w:w="5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3,068</w:t>
            </w:r>
          </w:p>
        </w:tc>
        <w:tc>
          <w:tcPr>
            <w:tcW w:w="138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5"/>
        </w:trPr>
        <w:tc>
          <w:tcPr>
            <w:tcW w:w="4820" w:type="dxa"/>
            <w:vAlign w:val="bottom"/>
            <w:gridSpan w:val="2"/>
          </w:tcPr>
          <w:p>
            <w:pPr>
              <w:spacing w:after="0"/>
              <w:rPr>
                <w:sz w:val="20"/>
                <w:szCs w:val="20"/>
                <w:color w:val="auto"/>
              </w:rPr>
            </w:pPr>
            <w:r>
              <w:rPr>
                <w:rFonts w:ascii="Arial" w:cs="Arial" w:eastAsia="Arial" w:hAnsi="Arial"/>
                <w:sz w:val="15"/>
                <w:szCs w:val="15"/>
                <w:color w:val="auto"/>
              </w:rPr>
              <w:t>Voya Partners, Inc. - VY T. Rowe Price Diversified Mid Cap Growth</w:t>
            </w:r>
          </w:p>
        </w:tc>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820" w:type="dxa"/>
            <w:vAlign w:val="bottom"/>
            <w:gridSpan w:val="2"/>
          </w:tcPr>
          <w:p>
            <w:pPr>
              <w:ind w:left="140"/>
              <w:spacing w:after="0"/>
              <w:rPr>
                <w:sz w:val="20"/>
                <w:szCs w:val="20"/>
                <w:color w:val="auto"/>
              </w:rPr>
            </w:pPr>
            <w:r>
              <w:rPr>
                <w:rFonts w:ascii="Arial" w:cs="Arial" w:eastAsia="Arial" w:hAnsi="Arial"/>
                <w:sz w:val="15"/>
                <w:szCs w:val="15"/>
                <w:color w:val="auto"/>
              </w:rPr>
              <w:t>Portfolio (2)</w:t>
            </w:r>
          </w:p>
        </w:tc>
        <w:tc>
          <w:tcPr>
            <w:tcW w:w="560" w:type="dxa"/>
            <w:vAlign w:val="bottom"/>
          </w:tcPr>
          <w:p>
            <w:pPr>
              <w:jc w:val="right"/>
              <w:spacing w:after="0"/>
              <w:rPr>
                <w:sz w:val="20"/>
                <w:szCs w:val="20"/>
                <w:color w:val="auto"/>
              </w:rPr>
            </w:pPr>
            <w:r>
              <w:rPr>
                <w:rFonts w:ascii="Arial" w:cs="Arial" w:eastAsia="Arial" w:hAnsi="Arial"/>
                <w:sz w:val="15"/>
                <w:szCs w:val="15"/>
                <w:color w:val="auto"/>
              </w:rPr>
              <w:t>7,875</w:t>
            </w:r>
          </w:p>
        </w:tc>
        <w:tc>
          <w:tcPr>
            <w:tcW w:w="1980" w:type="dxa"/>
            <w:vAlign w:val="bottom"/>
            <w:gridSpan w:val="3"/>
          </w:tcPr>
          <w:p>
            <w:pPr>
              <w:jc w:val="right"/>
              <w:ind w:right="640"/>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4,126</w:t>
            </w:r>
          </w:p>
        </w:tc>
        <w:tc>
          <w:tcPr>
            <w:tcW w:w="5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3,749</w:t>
            </w:r>
          </w:p>
        </w:tc>
        <w:tc>
          <w:tcPr>
            <w:tcW w:w="1380" w:type="dxa"/>
            <w:vAlign w:val="bottom"/>
            <w:gridSpan w:val="3"/>
          </w:tcPr>
          <w:p>
            <w:pPr>
              <w:jc w:val="right"/>
              <w:ind w:right="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8"/>
        </w:trPr>
        <w:tc>
          <w:tcPr>
            <w:tcW w:w="48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Lincoln Variable Insurance Products Trust - LVIP Blended Mid Cap</w:t>
            </w:r>
          </w:p>
        </w:tc>
        <w:tc>
          <w:tcPr>
            <w:tcW w:w="5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8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Managed Volatility Fund (2)</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2,438</w:t>
            </w:r>
          </w:p>
        </w:tc>
        <w:tc>
          <w:tcPr>
            <w:tcW w:w="1980" w:type="dxa"/>
            <w:vAlign w:val="bottom"/>
            <w:gridSpan w:val="3"/>
            <w:shd w:val="clear" w:color="auto" w:fill="CCEEFF"/>
          </w:tcPr>
          <w:p>
            <w:pPr>
              <w:jc w:val="right"/>
              <w:ind w:right="640"/>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1,279</w:t>
            </w:r>
          </w:p>
        </w:tc>
        <w:tc>
          <w:tcPr>
            <w:tcW w:w="5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1,159</w:t>
            </w:r>
          </w:p>
        </w:tc>
        <w:tc>
          <w:tcPr>
            <w:tcW w:w="138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3"/>
        </w:trPr>
        <w:tc>
          <w:tcPr>
            <w:tcW w:w="4820" w:type="dxa"/>
            <w:vAlign w:val="bottom"/>
            <w:gridSpan w:val="2"/>
          </w:tcPr>
          <w:p>
            <w:pPr>
              <w:spacing w:after="0"/>
              <w:rPr>
                <w:sz w:val="20"/>
                <w:szCs w:val="20"/>
                <w:color w:val="auto"/>
              </w:rPr>
            </w:pPr>
            <w:r>
              <w:rPr>
                <w:rFonts w:ascii="Arial" w:cs="Arial" w:eastAsia="Arial" w:hAnsi="Arial"/>
                <w:sz w:val="15"/>
                <w:szCs w:val="15"/>
                <w:color w:val="auto"/>
              </w:rPr>
              <w:t>T. Rowe Price Tax-Efficient Equity Fund (2)</w:t>
            </w:r>
          </w:p>
        </w:tc>
        <w:tc>
          <w:tcPr>
            <w:tcW w:w="560" w:type="dxa"/>
            <w:vAlign w:val="bottom"/>
          </w:tcPr>
          <w:p>
            <w:pPr>
              <w:jc w:val="right"/>
              <w:spacing w:after="0"/>
              <w:rPr>
                <w:sz w:val="20"/>
                <w:szCs w:val="20"/>
                <w:color w:val="auto"/>
              </w:rPr>
            </w:pPr>
            <w:r>
              <w:rPr>
                <w:rFonts w:ascii="Arial" w:cs="Arial" w:eastAsia="Arial" w:hAnsi="Arial"/>
                <w:sz w:val="15"/>
                <w:szCs w:val="15"/>
                <w:color w:val="auto"/>
              </w:rPr>
              <w:t>1,159</w:t>
            </w:r>
          </w:p>
        </w:tc>
        <w:tc>
          <w:tcPr>
            <w:tcW w:w="1980" w:type="dxa"/>
            <w:vAlign w:val="bottom"/>
            <w:gridSpan w:val="3"/>
          </w:tcPr>
          <w:p>
            <w:pPr>
              <w:jc w:val="right"/>
              <w:ind w:right="640"/>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613</w:t>
            </w:r>
          </w:p>
        </w:tc>
        <w:tc>
          <w:tcPr>
            <w:tcW w:w="520" w:type="dxa"/>
            <w:vAlign w:val="bottom"/>
          </w:tcPr>
          <w:p>
            <w:pPr>
              <w:spacing w:after="0"/>
              <w:rPr>
                <w:sz w:val="16"/>
                <w:szCs w:val="16"/>
                <w:color w:val="auto"/>
              </w:rPr>
            </w:pPr>
          </w:p>
        </w:tc>
        <w:tc>
          <w:tcPr>
            <w:tcW w:w="500" w:type="dxa"/>
            <w:vAlign w:val="bottom"/>
          </w:tcPr>
          <w:p>
            <w:pPr>
              <w:ind w:left="260"/>
              <w:spacing w:after="0"/>
              <w:rPr>
                <w:sz w:val="20"/>
                <w:szCs w:val="20"/>
                <w:color w:val="auto"/>
              </w:rPr>
            </w:pPr>
            <w:r>
              <w:rPr>
                <w:rFonts w:ascii="Arial" w:cs="Arial" w:eastAsia="Arial" w:hAnsi="Arial"/>
                <w:sz w:val="15"/>
                <w:szCs w:val="15"/>
                <w:color w:val="auto"/>
                <w:w w:val="87"/>
              </w:rPr>
              <w:t>546</w:t>
            </w:r>
          </w:p>
        </w:tc>
        <w:tc>
          <w:tcPr>
            <w:tcW w:w="1380" w:type="dxa"/>
            <w:vAlign w:val="bottom"/>
            <w:gridSpan w:val="3"/>
          </w:tcPr>
          <w:p>
            <w:pPr>
              <w:jc w:val="right"/>
              <w:ind w:right="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3"/>
        </w:trPr>
        <w:tc>
          <w:tcPr>
            <w:tcW w:w="48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George Putnam Balanced Fund (3)</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6,150</w:t>
            </w:r>
          </w:p>
        </w:tc>
        <w:tc>
          <w:tcPr>
            <w:tcW w:w="1980" w:type="dxa"/>
            <w:vAlign w:val="bottom"/>
            <w:gridSpan w:val="3"/>
            <w:shd w:val="clear" w:color="auto" w:fill="CCEEFF"/>
          </w:tcPr>
          <w:p>
            <w:pPr>
              <w:jc w:val="right"/>
              <w:ind w:right="640"/>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6,150</w:t>
            </w:r>
          </w:p>
        </w:tc>
        <w:tc>
          <w:tcPr>
            <w:tcW w:w="520" w:type="dxa"/>
            <w:vAlign w:val="bottom"/>
            <w:shd w:val="clear" w:color="auto" w:fill="CCEEFF"/>
          </w:tcPr>
          <w:p>
            <w:pPr>
              <w:spacing w:after="0"/>
              <w:rPr>
                <w:sz w:val="16"/>
                <w:szCs w:val="16"/>
                <w:color w:val="auto"/>
              </w:rPr>
            </w:pPr>
          </w:p>
        </w:tc>
        <w:tc>
          <w:tcPr>
            <w:tcW w:w="500" w:type="dxa"/>
            <w:vAlign w:val="bottom"/>
            <w:shd w:val="clear" w:color="auto" w:fill="CCEEFF"/>
          </w:tcPr>
          <w:p>
            <w:pPr>
              <w:ind w:left="260"/>
              <w:spacing w:after="0"/>
              <w:rPr>
                <w:sz w:val="20"/>
                <w:szCs w:val="20"/>
                <w:color w:val="auto"/>
              </w:rPr>
            </w:pPr>
            <w:r>
              <w:rPr>
                <w:rFonts w:ascii="Arial" w:cs="Arial" w:eastAsia="Arial" w:hAnsi="Arial"/>
                <w:sz w:val="15"/>
                <w:szCs w:val="15"/>
                <w:color w:val="auto"/>
              </w:rPr>
              <w:t>—</w:t>
            </w:r>
          </w:p>
        </w:tc>
        <w:tc>
          <w:tcPr>
            <w:tcW w:w="138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3"/>
        </w:trPr>
        <w:tc>
          <w:tcPr>
            <w:tcW w:w="4820" w:type="dxa"/>
            <w:vAlign w:val="bottom"/>
            <w:gridSpan w:val="2"/>
          </w:tcPr>
          <w:p>
            <w:pPr>
              <w:spacing w:after="0"/>
              <w:rPr>
                <w:sz w:val="20"/>
                <w:szCs w:val="20"/>
                <w:color w:val="auto"/>
              </w:rPr>
            </w:pPr>
            <w:r>
              <w:rPr>
                <w:rFonts w:ascii="Arial" w:cs="Arial" w:eastAsia="Arial" w:hAnsi="Arial"/>
                <w:sz w:val="15"/>
                <w:szCs w:val="15"/>
                <w:color w:val="auto"/>
              </w:rPr>
              <w:t>Putnam Global Equity Fund (3)</w:t>
            </w:r>
          </w:p>
        </w:tc>
        <w:tc>
          <w:tcPr>
            <w:tcW w:w="560" w:type="dxa"/>
            <w:vAlign w:val="bottom"/>
          </w:tcPr>
          <w:p>
            <w:pPr>
              <w:jc w:val="right"/>
              <w:spacing w:after="0"/>
              <w:rPr>
                <w:sz w:val="20"/>
                <w:szCs w:val="20"/>
                <w:color w:val="auto"/>
              </w:rPr>
            </w:pPr>
            <w:r>
              <w:rPr>
                <w:rFonts w:ascii="Arial" w:cs="Arial" w:eastAsia="Arial" w:hAnsi="Arial"/>
                <w:sz w:val="15"/>
                <w:szCs w:val="15"/>
                <w:color w:val="auto"/>
              </w:rPr>
              <w:t>10,028</w:t>
            </w:r>
          </w:p>
        </w:tc>
        <w:tc>
          <w:tcPr>
            <w:tcW w:w="1980" w:type="dxa"/>
            <w:vAlign w:val="bottom"/>
            <w:gridSpan w:val="3"/>
          </w:tcPr>
          <w:p>
            <w:pPr>
              <w:jc w:val="right"/>
              <w:ind w:right="640"/>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10,028</w:t>
            </w:r>
          </w:p>
        </w:tc>
        <w:tc>
          <w:tcPr>
            <w:tcW w:w="520" w:type="dxa"/>
            <w:vAlign w:val="bottom"/>
          </w:tcPr>
          <w:p>
            <w:pPr>
              <w:spacing w:after="0"/>
              <w:rPr>
                <w:sz w:val="16"/>
                <w:szCs w:val="16"/>
                <w:color w:val="auto"/>
              </w:rPr>
            </w:pPr>
          </w:p>
        </w:tc>
        <w:tc>
          <w:tcPr>
            <w:tcW w:w="500" w:type="dxa"/>
            <w:vAlign w:val="bottom"/>
          </w:tcPr>
          <w:p>
            <w:pPr>
              <w:ind w:left="260"/>
              <w:spacing w:after="0"/>
              <w:rPr>
                <w:sz w:val="20"/>
                <w:szCs w:val="20"/>
                <w:color w:val="auto"/>
              </w:rPr>
            </w:pPr>
            <w:r>
              <w:rPr>
                <w:rFonts w:ascii="Arial" w:cs="Arial" w:eastAsia="Arial" w:hAnsi="Arial"/>
                <w:sz w:val="15"/>
                <w:szCs w:val="15"/>
                <w:color w:val="auto"/>
              </w:rPr>
              <w:t>—</w:t>
            </w:r>
          </w:p>
        </w:tc>
        <w:tc>
          <w:tcPr>
            <w:tcW w:w="1380" w:type="dxa"/>
            <w:vAlign w:val="bottom"/>
            <w:gridSpan w:val="3"/>
          </w:tcPr>
          <w:p>
            <w:pPr>
              <w:jc w:val="right"/>
              <w:ind w:right="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3"/>
        </w:trPr>
        <w:tc>
          <w:tcPr>
            <w:tcW w:w="48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Putnam Variable Trust - Putnam VT Global Equity Fund (3)</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1,962</w:t>
            </w:r>
          </w:p>
        </w:tc>
        <w:tc>
          <w:tcPr>
            <w:tcW w:w="1980" w:type="dxa"/>
            <w:vAlign w:val="bottom"/>
            <w:gridSpan w:val="3"/>
            <w:shd w:val="clear" w:color="auto" w:fill="CCEEFF"/>
          </w:tcPr>
          <w:p>
            <w:pPr>
              <w:jc w:val="right"/>
              <w:ind w:right="640"/>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1,962</w:t>
            </w:r>
          </w:p>
        </w:tc>
        <w:tc>
          <w:tcPr>
            <w:tcW w:w="520" w:type="dxa"/>
            <w:vAlign w:val="bottom"/>
            <w:shd w:val="clear" w:color="auto" w:fill="CCEEFF"/>
          </w:tcPr>
          <w:p>
            <w:pPr>
              <w:spacing w:after="0"/>
              <w:rPr>
                <w:sz w:val="16"/>
                <w:szCs w:val="16"/>
                <w:color w:val="auto"/>
              </w:rPr>
            </w:pPr>
          </w:p>
        </w:tc>
        <w:tc>
          <w:tcPr>
            <w:tcW w:w="500" w:type="dxa"/>
            <w:vAlign w:val="bottom"/>
            <w:shd w:val="clear" w:color="auto" w:fill="CCEEFF"/>
          </w:tcPr>
          <w:p>
            <w:pPr>
              <w:ind w:left="260"/>
              <w:spacing w:after="0"/>
              <w:rPr>
                <w:sz w:val="20"/>
                <w:szCs w:val="20"/>
                <w:color w:val="auto"/>
              </w:rPr>
            </w:pPr>
            <w:r>
              <w:rPr>
                <w:rFonts w:ascii="Arial" w:cs="Arial" w:eastAsia="Arial" w:hAnsi="Arial"/>
                <w:sz w:val="15"/>
                <w:szCs w:val="15"/>
                <w:color w:val="auto"/>
              </w:rPr>
              <w:t>—</w:t>
            </w:r>
          </w:p>
        </w:tc>
        <w:tc>
          <w:tcPr>
            <w:tcW w:w="138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3"/>
        </w:trPr>
        <w:tc>
          <w:tcPr>
            <w:tcW w:w="4820" w:type="dxa"/>
            <w:vAlign w:val="bottom"/>
            <w:gridSpan w:val="2"/>
          </w:tcPr>
          <w:p>
            <w:pPr>
              <w:spacing w:after="0"/>
              <w:rPr>
                <w:sz w:val="20"/>
                <w:szCs w:val="20"/>
                <w:color w:val="auto"/>
              </w:rPr>
            </w:pPr>
            <w:r>
              <w:rPr>
                <w:rFonts w:ascii="Arial" w:cs="Arial" w:eastAsia="Arial" w:hAnsi="Arial"/>
                <w:sz w:val="15"/>
                <w:szCs w:val="15"/>
                <w:color w:val="auto"/>
              </w:rPr>
              <w:t>Putnam Global Health Care Fund (3)</w:t>
            </w:r>
          </w:p>
        </w:tc>
        <w:tc>
          <w:tcPr>
            <w:tcW w:w="560" w:type="dxa"/>
            <w:vAlign w:val="bottom"/>
          </w:tcPr>
          <w:p>
            <w:pPr>
              <w:jc w:val="right"/>
              <w:spacing w:after="0"/>
              <w:rPr>
                <w:sz w:val="20"/>
                <w:szCs w:val="20"/>
                <w:color w:val="auto"/>
              </w:rPr>
            </w:pPr>
            <w:r>
              <w:rPr>
                <w:rFonts w:ascii="Arial" w:cs="Arial" w:eastAsia="Arial" w:hAnsi="Arial"/>
                <w:sz w:val="15"/>
                <w:szCs w:val="15"/>
                <w:color w:val="auto"/>
              </w:rPr>
              <w:t>24,700</w:t>
            </w:r>
          </w:p>
        </w:tc>
        <w:tc>
          <w:tcPr>
            <w:tcW w:w="1980" w:type="dxa"/>
            <w:vAlign w:val="bottom"/>
            <w:gridSpan w:val="3"/>
          </w:tcPr>
          <w:p>
            <w:pPr>
              <w:jc w:val="right"/>
              <w:ind w:right="640"/>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24,700</w:t>
            </w:r>
          </w:p>
        </w:tc>
        <w:tc>
          <w:tcPr>
            <w:tcW w:w="520" w:type="dxa"/>
            <w:vAlign w:val="bottom"/>
          </w:tcPr>
          <w:p>
            <w:pPr>
              <w:spacing w:after="0"/>
              <w:rPr>
                <w:sz w:val="16"/>
                <w:szCs w:val="16"/>
                <w:color w:val="auto"/>
              </w:rPr>
            </w:pPr>
          </w:p>
        </w:tc>
        <w:tc>
          <w:tcPr>
            <w:tcW w:w="500" w:type="dxa"/>
            <w:vAlign w:val="bottom"/>
          </w:tcPr>
          <w:p>
            <w:pPr>
              <w:ind w:left="260"/>
              <w:spacing w:after="0"/>
              <w:rPr>
                <w:sz w:val="20"/>
                <w:szCs w:val="20"/>
                <w:color w:val="auto"/>
              </w:rPr>
            </w:pPr>
            <w:r>
              <w:rPr>
                <w:rFonts w:ascii="Arial" w:cs="Arial" w:eastAsia="Arial" w:hAnsi="Arial"/>
                <w:sz w:val="15"/>
                <w:szCs w:val="15"/>
                <w:color w:val="auto"/>
              </w:rPr>
              <w:t>—</w:t>
            </w:r>
          </w:p>
        </w:tc>
        <w:tc>
          <w:tcPr>
            <w:tcW w:w="1380" w:type="dxa"/>
            <w:vAlign w:val="bottom"/>
            <w:gridSpan w:val="3"/>
          </w:tcPr>
          <w:p>
            <w:pPr>
              <w:jc w:val="right"/>
              <w:ind w:right="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3"/>
        </w:trPr>
        <w:tc>
          <w:tcPr>
            <w:tcW w:w="48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Putnam Variable Trust - Putnam VT Sustainable Leaders Fund (3)</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9,447</w:t>
            </w:r>
          </w:p>
        </w:tc>
        <w:tc>
          <w:tcPr>
            <w:tcW w:w="1980" w:type="dxa"/>
            <w:vAlign w:val="bottom"/>
            <w:gridSpan w:val="3"/>
            <w:shd w:val="clear" w:color="auto" w:fill="CCEEFF"/>
          </w:tcPr>
          <w:p>
            <w:pPr>
              <w:jc w:val="right"/>
              <w:ind w:right="640"/>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9,447</w:t>
            </w:r>
          </w:p>
        </w:tc>
        <w:tc>
          <w:tcPr>
            <w:tcW w:w="520" w:type="dxa"/>
            <w:vAlign w:val="bottom"/>
            <w:shd w:val="clear" w:color="auto" w:fill="CCEEFF"/>
          </w:tcPr>
          <w:p>
            <w:pPr>
              <w:spacing w:after="0"/>
              <w:rPr>
                <w:sz w:val="16"/>
                <w:szCs w:val="16"/>
                <w:color w:val="auto"/>
              </w:rPr>
            </w:pPr>
          </w:p>
        </w:tc>
        <w:tc>
          <w:tcPr>
            <w:tcW w:w="500" w:type="dxa"/>
            <w:vAlign w:val="bottom"/>
            <w:shd w:val="clear" w:color="auto" w:fill="CCEEFF"/>
          </w:tcPr>
          <w:p>
            <w:pPr>
              <w:ind w:left="260"/>
              <w:spacing w:after="0"/>
              <w:rPr>
                <w:sz w:val="20"/>
                <w:szCs w:val="20"/>
                <w:color w:val="auto"/>
              </w:rPr>
            </w:pPr>
            <w:r>
              <w:rPr>
                <w:rFonts w:ascii="Arial" w:cs="Arial" w:eastAsia="Arial" w:hAnsi="Arial"/>
                <w:sz w:val="15"/>
                <w:szCs w:val="15"/>
                <w:color w:val="auto"/>
              </w:rPr>
              <w:t>—</w:t>
            </w:r>
          </w:p>
        </w:tc>
        <w:tc>
          <w:tcPr>
            <w:tcW w:w="138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6"/>
        </w:trPr>
        <w:tc>
          <w:tcPr>
            <w:tcW w:w="4820" w:type="dxa"/>
            <w:vAlign w:val="bottom"/>
            <w:gridSpan w:val="2"/>
          </w:tcPr>
          <w:p>
            <w:pPr>
              <w:spacing w:after="0"/>
              <w:rPr>
                <w:sz w:val="20"/>
                <w:szCs w:val="20"/>
                <w:color w:val="auto"/>
              </w:rPr>
            </w:pPr>
            <w:r>
              <w:rPr>
                <w:rFonts w:ascii="Arial" w:cs="Arial" w:eastAsia="Arial" w:hAnsi="Arial"/>
                <w:sz w:val="15"/>
                <w:szCs w:val="15"/>
                <w:color w:val="auto"/>
              </w:rPr>
              <w:t>Putnam Sustainable Leaders Fund (3)</w:t>
            </w:r>
          </w:p>
        </w:tc>
        <w:tc>
          <w:tcPr>
            <w:tcW w:w="560" w:type="dxa"/>
            <w:vAlign w:val="bottom"/>
          </w:tcPr>
          <w:p>
            <w:pPr>
              <w:jc w:val="right"/>
              <w:spacing w:after="0"/>
              <w:rPr>
                <w:sz w:val="20"/>
                <w:szCs w:val="20"/>
                <w:color w:val="auto"/>
              </w:rPr>
            </w:pPr>
            <w:r>
              <w:rPr>
                <w:rFonts w:ascii="Arial" w:cs="Arial" w:eastAsia="Arial" w:hAnsi="Arial"/>
                <w:sz w:val="15"/>
                <w:szCs w:val="15"/>
                <w:color w:val="auto"/>
              </w:rPr>
              <w:t>56,043</w:t>
            </w:r>
          </w:p>
        </w:tc>
        <w:tc>
          <w:tcPr>
            <w:tcW w:w="1980" w:type="dxa"/>
            <w:vAlign w:val="bottom"/>
            <w:gridSpan w:val="3"/>
          </w:tcPr>
          <w:p>
            <w:pPr>
              <w:jc w:val="right"/>
              <w:ind w:right="640"/>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56,043</w:t>
            </w:r>
          </w:p>
        </w:tc>
        <w:tc>
          <w:tcPr>
            <w:tcW w:w="520" w:type="dxa"/>
            <w:vAlign w:val="bottom"/>
          </w:tcPr>
          <w:p>
            <w:pPr>
              <w:spacing w:after="0"/>
              <w:rPr>
                <w:sz w:val="17"/>
                <w:szCs w:val="17"/>
                <w:color w:val="auto"/>
              </w:rPr>
            </w:pPr>
          </w:p>
        </w:tc>
        <w:tc>
          <w:tcPr>
            <w:tcW w:w="500" w:type="dxa"/>
            <w:vAlign w:val="bottom"/>
          </w:tcPr>
          <w:p>
            <w:pPr>
              <w:ind w:left="260"/>
              <w:spacing w:after="0"/>
              <w:rPr>
                <w:sz w:val="20"/>
                <w:szCs w:val="20"/>
                <w:color w:val="auto"/>
              </w:rPr>
            </w:pPr>
            <w:r>
              <w:rPr>
                <w:rFonts w:ascii="Arial" w:cs="Arial" w:eastAsia="Arial" w:hAnsi="Arial"/>
                <w:sz w:val="15"/>
                <w:szCs w:val="15"/>
                <w:color w:val="auto"/>
              </w:rPr>
              <w:t>—</w:t>
            </w:r>
          </w:p>
        </w:tc>
        <w:tc>
          <w:tcPr>
            <w:tcW w:w="1380" w:type="dxa"/>
            <w:vAlign w:val="bottom"/>
            <w:gridSpan w:val="3"/>
          </w:tcPr>
          <w:p>
            <w:pPr>
              <w:jc w:val="right"/>
              <w:ind w:right="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127"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0980"/>
          </w:cols>
          <w:pgMar w:left="240" w:top="444" w:right="679" w:bottom="1440" w:gutter="0" w:footer="0" w:header="0"/>
        </w:sectPr>
      </w:pPr>
    </w:p>
    <w:bookmarkStart w:id="15" w:name="page16"/>
    <w:bookmarkEnd w:id="1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7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2"/>
              </w:rPr>
              <w:t>Maximum</w:t>
            </w: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40" w:type="dxa"/>
            <w:vAlign w:val="bottom"/>
            <w:gridSpan w:val="2"/>
          </w:tcPr>
          <w:p>
            <w:pPr>
              <w:jc w:val="center"/>
              <w:ind w:right="580"/>
              <w:spacing w:after="0" w:line="142" w:lineRule="exact"/>
              <w:rPr>
                <w:sz w:val="20"/>
                <w:szCs w:val="20"/>
                <w:color w:val="auto"/>
              </w:rPr>
            </w:pPr>
            <w:r>
              <w:rPr>
                <w:rFonts w:ascii="Arial" w:cs="Arial" w:eastAsia="Arial" w:hAnsi="Arial"/>
                <w:sz w:val="14"/>
                <w:szCs w:val="14"/>
                <w:b w:val="1"/>
                <w:bCs w:val="1"/>
                <w:color w:val="auto"/>
                <w:w w:val="91"/>
              </w:rPr>
              <w:t>Number of</w:t>
            </w: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2460" w:type="dxa"/>
            <w:vAlign w:val="bottom"/>
            <w:gridSpan w:val="5"/>
            <w:vMerge w:val="restart"/>
          </w:tcPr>
          <w:p>
            <w:pPr>
              <w:jc w:val="center"/>
              <w:ind w:right="580"/>
              <w:spacing w:after="0"/>
              <w:rPr>
                <w:sz w:val="20"/>
                <w:szCs w:val="20"/>
                <w:color w:val="auto"/>
              </w:rPr>
            </w:pPr>
            <w:r>
              <w:rPr>
                <w:rFonts w:ascii="Arial" w:cs="Arial" w:eastAsia="Arial" w:hAnsi="Arial"/>
                <w:sz w:val="14"/>
                <w:szCs w:val="14"/>
                <w:b w:val="1"/>
                <w:bCs w:val="1"/>
                <w:color w:val="auto"/>
                <w:w w:val="87"/>
              </w:rPr>
              <w:t>Shares Beneficially</w:t>
            </w:r>
          </w:p>
        </w:tc>
        <w:tc>
          <w:tcPr>
            <w:tcW w:w="1340" w:type="dxa"/>
            <w:vAlign w:val="bottom"/>
            <w:gridSpan w:val="2"/>
          </w:tcPr>
          <w:p>
            <w:pPr>
              <w:jc w:val="center"/>
              <w:ind w:right="580"/>
              <w:spacing w:after="0" w:line="142" w:lineRule="exact"/>
              <w:rPr>
                <w:sz w:val="20"/>
                <w:szCs w:val="20"/>
                <w:color w:val="auto"/>
              </w:rPr>
            </w:pPr>
            <w:r>
              <w:rPr>
                <w:rFonts w:ascii="Arial" w:cs="Arial" w:eastAsia="Arial" w:hAnsi="Arial"/>
                <w:sz w:val="14"/>
                <w:szCs w:val="14"/>
                <w:b w:val="1"/>
                <w:bCs w:val="1"/>
                <w:color w:val="auto"/>
                <w:w w:val="85"/>
              </w:rPr>
              <w:t>Shares</w:t>
            </w:r>
          </w:p>
        </w:tc>
        <w:tc>
          <w:tcPr>
            <w:tcW w:w="1940" w:type="dxa"/>
            <w:vAlign w:val="bottom"/>
            <w:gridSpan w:val="4"/>
            <w:vMerge w:val="restart"/>
          </w:tcPr>
          <w:p>
            <w:pPr>
              <w:jc w:val="center"/>
              <w:ind w:right="60"/>
              <w:spacing w:after="0"/>
              <w:rPr>
                <w:sz w:val="20"/>
                <w:szCs w:val="20"/>
                <w:color w:val="auto"/>
              </w:rPr>
            </w:pPr>
            <w:r>
              <w:rPr>
                <w:rFonts w:ascii="Arial" w:cs="Arial" w:eastAsia="Arial" w:hAnsi="Arial"/>
                <w:sz w:val="14"/>
                <w:szCs w:val="14"/>
                <w:b w:val="1"/>
                <w:bCs w:val="1"/>
                <w:color w:val="auto"/>
                <w:w w:val="87"/>
              </w:rPr>
              <w:t>Shares Beneficially</w:t>
            </w:r>
          </w:p>
        </w:tc>
        <w:tc>
          <w:tcPr>
            <w:tcW w:w="0" w:type="dxa"/>
            <w:vAlign w:val="bottom"/>
          </w:tcPr>
          <w:p>
            <w:pPr>
              <w:spacing w:after="0"/>
              <w:rPr>
                <w:sz w:val="1"/>
                <w:szCs w:val="1"/>
                <w:color w:val="auto"/>
              </w:rPr>
            </w:pPr>
          </w:p>
        </w:tc>
      </w:tr>
      <w:tr>
        <w:trPr>
          <w:trHeight w:val="132"/>
        </w:trPr>
        <w:tc>
          <w:tcPr>
            <w:tcW w:w="34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2460" w:type="dxa"/>
            <w:vAlign w:val="bottom"/>
            <w:gridSpan w:val="5"/>
            <w:vMerge w:val="continue"/>
          </w:tcPr>
          <w:p>
            <w:pPr>
              <w:spacing w:after="0"/>
              <w:rPr>
                <w:sz w:val="11"/>
                <w:szCs w:val="11"/>
                <w:color w:val="auto"/>
              </w:rPr>
            </w:pPr>
          </w:p>
        </w:tc>
        <w:tc>
          <w:tcPr>
            <w:tcW w:w="1340" w:type="dxa"/>
            <w:vAlign w:val="bottom"/>
            <w:gridSpan w:val="2"/>
          </w:tcPr>
          <w:p>
            <w:pPr>
              <w:jc w:val="center"/>
              <w:ind w:right="580"/>
              <w:spacing w:after="0" w:line="132" w:lineRule="exact"/>
              <w:rPr>
                <w:sz w:val="20"/>
                <w:szCs w:val="20"/>
                <w:color w:val="auto"/>
              </w:rPr>
            </w:pPr>
            <w:r>
              <w:rPr>
                <w:rFonts w:ascii="Arial" w:cs="Arial" w:eastAsia="Arial" w:hAnsi="Arial"/>
                <w:sz w:val="14"/>
                <w:szCs w:val="14"/>
                <w:b w:val="1"/>
                <w:bCs w:val="1"/>
                <w:color w:val="auto"/>
                <w:w w:val="93"/>
              </w:rPr>
              <w:t>That May be</w:t>
            </w:r>
          </w:p>
        </w:tc>
        <w:tc>
          <w:tcPr>
            <w:tcW w:w="194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2460" w:type="dxa"/>
            <w:vAlign w:val="bottom"/>
            <w:gridSpan w:val="5"/>
          </w:tcPr>
          <w:p>
            <w:pPr>
              <w:jc w:val="center"/>
              <w:ind w:right="580"/>
              <w:spacing w:after="0" w:line="148" w:lineRule="exact"/>
              <w:rPr>
                <w:sz w:val="20"/>
                <w:szCs w:val="20"/>
                <w:color w:val="auto"/>
              </w:rPr>
            </w:pPr>
            <w:r>
              <w:rPr>
                <w:rFonts w:ascii="Arial" w:cs="Arial" w:eastAsia="Arial" w:hAnsi="Arial"/>
                <w:sz w:val="14"/>
                <w:szCs w:val="14"/>
                <w:b w:val="1"/>
                <w:bCs w:val="1"/>
                <w:color w:val="auto"/>
                <w:w w:val="89"/>
              </w:rPr>
              <w:t>Owned Prior to the</w:t>
            </w:r>
          </w:p>
        </w:tc>
        <w:tc>
          <w:tcPr>
            <w:tcW w:w="1340" w:type="dxa"/>
            <w:vAlign w:val="bottom"/>
            <w:gridSpan w:val="2"/>
          </w:tcPr>
          <w:p>
            <w:pPr>
              <w:jc w:val="center"/>
              <w:ind w:right="580"/>
              <w:spacing w:after="0" w:line="148" w:lineRule="exact"/>
              <w:rPr>
                <w:sz w:val="20"/>
                <w:szCs w:val="20"/>
                <w:color w:val="auto"/>
              </w:rPr>
            </w:pPr>
            <w:r>
              <w:rPr>
                <w:rFonts w:ascii="Arial" w:cs="Arial" w:eastAsia="Arial" w:hAnsi="Arial"/>
                <w:sz w:val="14"/>
                <w:szCs w:val="14"/>
                <w:b w:val="1"/>
                <w:bCs w:val="1"/>
                <w:color w:val="auto"/>
                <w:w w:val="88"/>
              </w:rPr>
              <w:t>Offered</w:t>
            </w:r>
          </w:p>
        </w:tc>
        <w:tc>
          <w:tcPr>
            <w:tcW w:w="1940" w:type="dxa"/>
            <w:vAlign w:val="bottom"/>
            <w:gridSpan w:val="4"/>
          </w:tcPr>
          <w:p>
            <w:pPr>
              <w:jc w:val="center"/>
              <w:ind w:right="40"/>
              <w:spacing w:after="0" w:line="148" w:lineRule="exact"/>
              <w:rPr>
                <w:sz w:val="20"/>
                <w:szCs w:val="20"/>
                <w:color w:val="auto"/>
              </w:rPr>
            </w:pPr>
            <w:r>
              <w:rPr>
                <w:rFonts w:ascii="Arial" w:cs="Arial" w:eastAsia="Arial" w:hAnsi="Arial"/>
                <w:sz w:val="14"/>
                <w:szCs w:val="14"/>
                <w:b w:val="1"/>
                <w:bCs w:val="1"/>
                <w:color w:val="auto"/>
                <w:w w:val="90"/>
              </w:rPr>
              <w:t>Owned After the</w:t>
            </w: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2"/>
          </w:tcPr>
          <w:p>
            <w:pPr>
              <w:jc w:val="center"/>
              <w:ind w:right="527"/>
              <w:spacing w:after="0" w:line="122" w:lineRule="exact"/>
              <w:rPr>
                <w:sz w:val="20"/>
                <w:szCs w:val="20"/>
                <w:color w:val="auto"/>
              </w:rPr>
            </w:pPr>
            <w:r>
              <w:rPr>
                <w:rFonts w:ascii="Arial" w:cs="Arial" w:eastAsia="Arial" w:hAnsi="Arial"/>
                <w:sz w:val="14"/>
                <w:szCs w:val="14"/>
                <w:b w:val="1"/>
                <w:bCs w:val="1"/>
                <w:color w:val="auto"/>
                <w:w w:val="91"/>
              </w:rPr>
              <w:t>Offering</w:t>
            </w:r>
          </w:p>
        </w:tc>
        <w:tc>
          <w:tcPr>
            <w:tcW w:w="580" w:type="dxa"/>
            <w:vAlign w:val="bottom"/>
          </w:tcPr>
          <w:p>
            <w:pPr>
              <w:spacing w:after="0"/>
              <w:rPr>
                <w:sz w:val="12"/>
                <w:szCs w:val="12"/>
                <w:color w:val="auto"/>
              </w:rPr>
            </w:pPr>
          </w:p>
        </w:tc>
        <w:tc>
          <w:tcPr>
            <w:tcW w:w="1340" w:type="dxa"/>
            <w:vAlign w:val="bottom"/>
            <w:gridSpan w:val="2"/>
          </w:tcPr>
          <w:p>
            <w:pPr>
              <w:jc w:val="center"/>
              <w:ind w:right="580"/>
              <w:spacing w:after="0" w:line="122" w:lineRule="exact"/>
              <w:rPr>
                <w:sz w:val="20"/>
                <w:szCs w:val="20"/>
                <w:color w:val="auto"/>
              </w:rPr>
            </w:pPr>
            <w:r>
              <w:rPr>
                <w:rFonts w:ascii="Arial" w:cs="Arial" w:eastAsia="Arial" w:hAnsi="Arial"/>
                <w:sz w:val="14"/>
                <w:szCs w:val="14"/>
                <w:b w:val="1"/>
                <w:bCs w:val="1"/>
                <w:color w:val="auto"/>
                <w:w w:val="92"/>
              </w:rPr>
              <w:t>Pursuant</w:t>
            </w:r>
          </w:p>
        </w:tc>
        <w:tc>
          <w:tcPr>
            <w:tcW w:w="48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2"/>
          </w:tcPr>
          <w:p>
            <w:pPr>
              <w:jc w:val="center"/>
              <w:ind w:right="407"/>
              <w:spacing w:after="0" w:line="122" w:lineRule="exact"/>
              <w:rPr>
                <w:sz w:val="20"/>
                <w:szCs w:val="20"/>
                <w:color w:val="auto"/>
              </w:rPr>
            </w:pPr>
            <w:r>
              <w:rPr>
                <w:rFonts w:ascii="Arial" w:cs="Arial" w:eastAsia="Arial" w:hAnsi="Arial"/>
                <w:sz w:val="14"/>
                <w:szCs w:val="14"/>
                <w:b w:val="1"/>
                <w:bCs w:val="1"/>
                <w:color w:val="auto"/>
                <w:w w:val="92"/>
              </w:rPr>
              <w:t>Offering(4)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340" w:type="dxa"/>
            <w:vAlign w:val="bottom"/>
            <w:vMerge w:val="restart"/>
          </w:tcPr>
          <w:p>
            <w:pPr>
              <w:spacing w:after="0"/>
              <w:rPr>
                <w:sz w:val="20"/>
                <w:szCs w:val="20"/>
                <w:color w:val="auto"/>
              </w:rPr>
            </w:pPr>
            <w:r>
              <w:rPr>
                <w:rFonts w:ascii="Arial" w:cs="Arial" w:eastAsia="Arial" w:hAnsi="Arial"/>
                <w:sz w:val="14"/>
                <w:szCs w:val="14"/>
                <w:b w:val="1"/>
                <w:bCs w:val="1"/>
                <w:color w:val="auto"/>
                <w:w w:val="83"/>
              </w:rPr>
              <w:t>Name</w:t>
            </w:r>
          </w:p>
        </w:tc>
        <w:tc>
          <w:tcPr>
            <w:tcW w:w="4440" w:type="dxa"/>
            <w:vAlign w:val="bottom"/>
            <w:vMerge w:val="restart"/>
          </w:tcPr>
          <w:p>
            <w:pPr>
              <w:spacing w:after="0"/>
              <w:rPr>
                <w:sz w:val="10"/>
                <w:szCs w:val="10"/>
                <w:color w:val="auto"/>
              </w:rPr>
            </w:pPr>
          </w:p>
        </w:tc>
        <w:tc>
          <w:tcPr>
            <w:tcW w:w="5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6"/>
              </w:rPr>
              <w:t>Number</w:t>
            </w:r>
          </w:p>
        </w:tc>
        <w:tc>
          <w:tcPr>
            <w:tcW w:w="480" w:type="dxa"/>
            <w:vAlign w:val="bottom"/>
          </w:tcPr>
          <w:p>
            <w:pPr>
              <w:spacing w:after="0"/>
              <w:rPr>
                <w:sz w:val="10"/>
                <w:szCs w:val="10"/>
                <w:color w:val="auto"/>
              </w:rPr>
            </w:pPr>
          </w:p>
        </w:tc>
        <w:tc>
          <w:tcPr>
            <w:tcW w:w="140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w w:val="86"/>
              </w:rPr>
              <w:t>Percentage(1)</w:t>
            </w:r>
          </w:p>
        </w:tc>
        <w:tc>
          <w:tcPr>
            <w:tcW w:w="1340" w:type="dxa"/>
            <w:vAlign w:val="bottom"/>
            <w:gridSpan w:val="2"/>
          </w:tcPr>
          <w:p>
            <w:pPr>
              <w:jc w:val="center"/>
              <w:ind w:right="580"/>
              <w:spacing w:after="0" w:line="125" w:lineRule="exact"/>
              <w:rPr>
                <w:sz w:val="20"/>
                <w:szCs w:val="20"/>
                <w:color w:val="auto"/>
              </w:rPr>
            </w:pPr>
            <w:r>
              <w:rPr>
                <w:rFonts w:ascii="Arial" w:cs="Arial" w:eastAsia="Arial" w:hAnsi="Arial"/>
                <w:sz w:val="14"/>
                <w:szCs w:val="14"/>
                <w:b w:val="1"/>
                <w:bCs w:val="1"/>
                <w:color w:val="auto"/>
                <w:w w:val="85"/>
              </w:rPr>
              <w:t>to this</w:t>
            </w:r>
          </w:p>
        </w:tc>
        <w:tc>
          <w:tcPr>
            <w:tcW w:w="480" w:type="dxa"/>
            <w:vAlign w:val="bottom"/>
            <w:vMerge w:val="restart"/>
          </w:tcPr>
          <w:p>
            <w:pPr>
              <w:spacing w:after="0"/>
              <w:rPr>
                <w:sz w:val="20"/>
                <w:szCs w:val="20"/>
                <w:color w:val="auto"/>
              </w:rPr>
            </w:pPr>
            <w:r>
              <w:rPr>
                <w:rFonts w:ascii="Arial" w:cs="Arial" w:eastAsia="Arial" w:hAnsi="Arial"/>
                <w:sz w:val="14"/>
                <w:szCs w:val="14"/>
                <w:b w:val="1"/>
                <w:bCs w:val="1"/>
                <w:color w:val="auto"/>
                <w:w w:val="86"/>
              </w:rPr>
              <w:t>Number</w:t>
            </w:r>
          </w:p>
        </w:tc>
        <w:tc>
          <w:tcPr>
            <w:tcW w:w="600" w:type="dxa"/>
            <w:vAlign w:val="bottom"/>
          </w:tcPr>
          <w:p>
            <w:pPr>
              <w:spacing w:after="0"/>
              <w:rPr>
                <w:sz w:val="10"/>
                <w:szCs w:val="10"/>
                <w:color w:val="auto"/>
              </w:rPr>
            </w:pPr>
          </w:p>
        </w:tc>
        <w:tc>
          <w:tcPr>
            <w:tcW w:w="860" w:type="dxa"/>
            <w:vAlign w:val="bottom"/>
            <w:gridSpan w:val="2"/>
            <w:vMerge w:val="restart"/>
          </w:tcPr>
          <w:p>
            <w:pPr>
              <w:jc w:val="right"/>
              <w:ind w:right="40"/>
              <w:spacing w:after="0"/>
              <w:rPr>
                <w:sz w:val="20"/>
                <w:szCs w:val="20"/>
                <w:color w:val="auto"/>
              </w:rPr>
            </w:pPr>
            <w:r>
              <w:rPr>
                <w:rFonts w:ascii="Arial" w:cs="Arial" w:eastAsia="Arial" w:hAnsi="Arial"/>
                <w:sz w:val="14"/>
                <w:szCs w:val="14"/>
                <w:b w:val="1"/>
                <w:bCs w:val="1"/>
                <w:color w:val="auto"/>
                <w:w w:val="86"/>
              </w:rPr>
              <w:t>Percentage(1)</w:t>
            </w:r>
          </w:p>
        </w:tc>
        <w:tc>
          <w:tcPr>
            <w:tcW w:w="0" w:type="dxa"/>
            <w:vAlign w:val="bottom"/>
          </w:tcPr>
          <w:p>
            <w:pPr>
              <w:spacing w:after="0"/>
              <w:rPr>
                <w:sz w:val="1"/>
                <w:szCs w:val="1"/>
                <w:color w:val="auto"/>
              </w:rPr>
            </w:pPr>
          </w:p>
        </w:tc>
      </w:tr>
      <w:tr>
        <w:trPr>
          <w:trHeight w:val="171"/>
        </w:trPr>
        <w:tc>
          <w:tcPr>
            <w:tcW w:w="340" w:type="dxa"/>
            <w:vAlign w:val="bottom"/>
            <w:tcBorders>
              <w:bottom w:val="single" w:sz="8" w:color="auto"/>
            </w:tcBorders>
            <w:vMerge w:val="continue"/>
          </w:tcPr>
          <w:p>
            <w:pPr>
              <w:spacing w:after="0"/>
              <w:rPr>
                <w:sz w:val="14"/>
                <w:szCs w:val="14"/>
                <w:color w:val="auto"/>
              </w:rPr>
            </w:pPr>
          </w:p>
        </w:tc>
        <w:tc>
          <w:tcPr>
            <w:tcW w:w="4440" w:type="dxa"/>
            <w:vAlign w:val="bottom"/>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340" w:type="dxa"/>
            <w:vAlign w:val="bottom"/>
            <w:gridSpan w:val="2"/>
          </w:tcPr>
          <w:p>
            <w:pPr>
              <w:jc w:val="center"/>
              <w:ind w:right="580"/>
              <w:spacing w:after="0" w:line="151" w:lineRule="exact"/>
              <w:rPr>
                <w:sz w:val="20"/>
                <w:szCs w:val="20"/>
                <w:color w:val="auto"/>
              </w:rPr>
            </w:pPr>
            <w:r>
              <w:rPr>
                <w:rFonts w:ascii="Arial" w:cs="Arial" w:eastAsia="Arial" w:hAnsi="Arial"/>
                <w:sz w:val="14"/>
                <w:szCs w:val="14"/>
                <w:b w:val="1"/>
                <w:bCs w:val="1"/>
                <w:color w:val="auto"/>
                <w:w w:val="83"/>
              </w:rPr>
              <w:t>Prospectus</w:t>
            </w:r>
          </w:p>
        </w:tc>
        <w:tc>
          <w:tcPr>
            <w:tcW w:w="48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47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Putnam Investment Funds - Putnam Growth Opportunities Fund (3)</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65,210</w:t>
            </w:r>
          </w:p>
        </w:tc>
        <w:tc>
          <w:tcPr>
            <w:tcW w:w="10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65,210</w:t>
            </w:r>
          </w:p>
        </w:tc>
        <w:tc>
          <w:tcPr>
            <w:tcW w:w="58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5"/>
                <w:szCs w:val="15"/>
                <w:color w:val="auto"/>
              </w:rPr>
              <w:t>—</w:t>
            </w:r>
          </w:p>
        </w:tc>
        <w:tc>
          <w:tcPr>
            <w:tcW w:w="60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4780" w:type="dxa"/>
            <w:vAlign w:val="bottom"/>
            <w:gridSpan w:val="2"/>
          </w:tcPr>
          <w:p>
            <w:pPr>
              <w:spacing w:after="0"/>
              <w:rPr>
                <w:sz w:val="20"/>
                <w:szCs w:val="20"/>
                <w:color w:val="auto"/>
              </w:rPr>
            </w:pPr>
            <w:r>
              <w:rPr>
                <w:rFonts w:ascii="Arial" w:cs="Arial" w:eastAsia="Arial" w:hAnsi="Arial"/>
                <w:sz w:val="15"/>
                <w:szCs w:val="15"/>
                <w:color w:val="auto"/>
              </w:rPr>
              <w:t>Putnam Investment Funds - Putnam Research Fund (3)</w:t>
            </w:r>
          </w:p>
        </w:tc>
        <w:tc>
          <w:tcPr>
            <w:tcW w:w="480" w:type="dxa"/>
            <w:vAlign w:val="bottom"/>
          </w:tcPr>
          <w:p>
            <w:pPr>
              <w:jc w:val="right"/>
              <w:spacing w:after="0"/>
              <w:rPr>
                <w:sz w:val="20"/>
                <w:szCs w:val="20"/>
                <w:color w:val="auto"/>
              </w:rPr>
            </w:pPr>
            <w:r>
              <w:rPr>
                <w:rFonts w:ascii="Arial" w:cs="Arial" w:eastAsia="Arial" w:hAnsi="Arial"/>
                <w:sz w:val="15"/>
                <w:szCs w:val="15"/>
                <w:color w:val="auto"/>
              </w:rPr>
              <w:t>2,575</w:t>
            </w:r>
          </w:p>
        </w:tc>
        <w:tc>
          <w:tcPr>
            <w:tcW w:w="100" w:type="dxa"/>
            <w:vAlign w:val="bottom"/>
          </w:tcPr>
          <w:p>
            <w:pPr>
              <w:spacing w:after="0"/>
              <w:rPr>
                <w:sz w:val="16"/>
                <w:szCs w:val="16"/>
                <w:color w:val="auto"/>
              </w:rPr>
            </w:pPr>
          </w:p>
        </w:tc>
        <w:tc>
          <w:tcPr>
            <w:tcW w:w="1880" w:type="dxa"/>
            <w:vAlign w:val="bottom"/>
            <w:gridSpan w:val="3"/>
          </w:tcPr>
          <w:p>
            <w:pPr>
              <w:jc w:val="right"/>
              <w:ind w:right="580"/>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2,575</w:t>
            </w:r>
          </w:p>
        </w:tc>
        <w:tc>
          <w:tcPr>
            <w:tcW w:w="580" w:type="dxa"/>
            <w:vAlign w:val="bottom"/>
          </w:tcPr>
          <w:p>
            <w:pPr>
              <w:spacing w:after="0"/>
              <w:rPr>
                <w:sz w:val="16"/>
                <w:szCs w:val="16"/>
                <w:color w:val="auto"/>
              </w:rPr>
            </w:pPr>
          </w:p>
        </w:tc>
        <w:tc>
          <w:tcPr>
            <w:tcW w:w="480" w:type="dxa"/>
            <w:vAlign w:val="bottom"/>
          </w:tcPr>
          <w:p>
            <w:pPr>
              <w:ind w:left="260"/>
              <w:spacing w:after="0"/>
              <w:rPr>
                <w:sz w:val="20"/>
                <w:szCs w:val="20"/>
                <w:color w:val="auto"/>
              </w:rPr>
            </w:pPr>
            <w:r>
              <w:rPr>
                <w:rFonts w:ascii="Arial" w:cs="Arial" w:eastAsia="Arial" w:hAnsi="Arial"/>
                <w:sz w:val="15"/>
                <w:szCs w:val="15"/>
                <w:color w:val="auto"/>
              </w:rPr>
              <w:t>—</w:t>
            </w:r>
          </w:p>
        </w:tc>
        <w:tc>
          <w:tcPr>
            <w:tcW w:w="1460" w:type="dxa"/>
            <w:vAlign w:val="bottom"/>
            <w:gridSpan w:val="3"/>
          </w:tcPr>
          <w:p>
            <w:pPr>
              <w:jc w:val="right"/>
              <w:ind w:right="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3"/>
        </w:trPr>
        <w:tc>
          <w:tcPr>
            <w:tcW w:w="47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Putnam Variable Trust - Putnam VT Multi-Cap Core Fund (3)</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2,053</w:t>
            </w:r>
          </w:p>
        </w:tc>
        <w:tc>
          <w:tcPr>
            <w:tcW w:w="100" w:type="dxa"/>
            <w:vAlign w:val="bottom"/>
            <w:shd w:val="clear" w:color="auto" w:fill="CCEEFF"/>
          </w:tcPr>
          <w:p>
            <w:pPr>
              <w:spacing w:after="0"/>
              <w:rPr>
                <w:sz w:val="16"/>
                <w:szCs w:val="16"/>
                <w:color w:val="auto"/>
              </w:rPr>
            </w:pPr>
          </w:p>
        </w:tc>
        <w:tc>
          <w:tcPr>
            <w:tcW w:w="1880" w:type="dxa"/>
            <w:vAlign w:val="bottom"/>
            <w:gridSpan w:val="3"/>
            <w:shd w:val="clear" w:color="auto" w:fill="CCEEFF"/>
          </w:tcPr>
          <w:p>
            <w:pPr>
              <w:jc w:val="right"/>
              <w:ind w:right="580"/>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2,053</w:t>
            </w:r>
          </w:p>
        </w:tc>
        <w:tc>
          <w:tcPr>
            <w:tcW w:w="580" w:type="dxa"/>
            <w:vAlign w:val="bottom"/>
            <w:shd w:val="clear" w:color="auto" w:fill="CCEEFF"/>
          </w:tcPr>
          <w:p>
            <w:pPr>
              <w:spacing w:after="0"/>
              <w:rPr>
                <w:sz w:val="16"/>
                <w:szCs w:val="16"/>
                <w:color w:val="auto"/>
              </w:rPr>
            </w:pPr>
          </w:p>
        </w:tc>
        <w:tc>
          <w:tcPr>
            <w:tcW w:w="480" w:type="dxa"/>
            <w:vAlign w:val="bottom"/>
            <w:shd w:val="clear" w:color="auto" w:fill="CCEEFF"/>
          </w:tcPr>
          <w:p>
            <w:pPr>
              <w:ind w:left="260"/>
              <w:spacing w:after="0"/>
              <w:rPr>
                <w:sz w:val="20"/>
                <w:szCs w:val="20"/>
                <w:color w:val="auto"/>
              </w:rPr>
            </w:pPr>
            <w:r>
              <w:rPr>
                <w:rFonts w:ascii="Arial" w:cs="Arial" w:eastAsia="Arial" w:hAnsi="Arial"/>
                <w:sz w:val="15"/>
                <w:szCs w:val="15"/>
                <w:color w:val="auto"/>
              </w:rPr>
              <w:t>—</w:t>
            </w:r>
          </w:p>
        </w:tc>
        <w:tc>
          <w:tcPr>
            <w:tcW w:w="146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5"/>
        </w:trPr>
        <w:tc>
          <w:tcPr>
            <w:tcW w:w="4780" w:type="dxa"/>
            <w:vAlign w:val="bottom"/>
            <w:gridSpan w:val="2"/>
          </w:tcPr>
          <w:p>
            <w:pPr>
              <w:spacing w:after="0"/>
              <w:rPr>
                <w:sz w:val="20"/>
                <w:szCs w:val="20"/>
                <w:color w:val="auto"/>
              </w:rPr>
            </w:pPr>
            <w:r>
              <w:rPr>
                <w:rFonts w:ascii="Arial" w:cs="Arial" w:eastAsia="Arial" w:hAnsi="Arial"/>
                <w:sz w:val="15"/>
                <w:szCs w:val="15"/>
                <w:color w:val="auto"/>
              </w:rPr>
              <w:t>Putnam Variable Trust - Putnam VT George Putnam Balanced</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780" w:type="dxa"/>
            <w:vAlign w:val="bottom"/>
            <w:gridSpan w:val="2"/>
          </w:tcPr>
          <w:p>
            <w:pPr>
              <w:ind w:left="140"/>
              <w:spacing w:after="0"/>
              <w:rPr>
                <w:sz w:val="20"/>
                <w:szCs w:val="20"/>
                <w:color w:val="auto"/>
              </w:rPr>
            </w:pPr>
            <w:r>
              <w:rPr>
                <w:rFonts w:ascii="Arial" w:cs="Arial" w:eastAsia="Arial" w:hAnsi="Arial"/>
                <w:sz w:val="15"/>
                <w:szCs w:val="15"/>
                <w:color w:val="auto"/>
              </w:rPr>
              <w:t>Fund (3)</w:t>
            </w:r>
          </w:p>
        </w:tc>
        <w:tc>
          <w:tcPr>
            <w:tcW w:w="480" w:type="dxa"/>
            <w:vAlign w:val="bottom"/>
          </w:tcPr>
          <w:p>
            <w:pPr>
              <w:jc w:val="right"/>
              <w:spacing w:after="0"/>
              <w:rPr>
                <w:sz w:val="20"/>
                <w:szCs w:val="20"/>
                <w:color w:val="auto"/>
              </w:rPr>
            </w:pPr>
            <w:r>
              <w:rPr>
                <w:rFonts w:ascii="Arial" w:cs="Arial" w:eastAsia="Arial" w:hAnsi="Arial"/>
                <w:sz w:val="15"/>
                <w:szCs w:val="15"/>
                <w:color w:val="auto"/>
              </w:rPr>
              <w:t>730</w:t>
            </w:r>
          </w:p>
        </w:tc>
        <w:tc>
          <w:tcPr>
            <w:tcW w:w="100" w:type="dxa"/>
            <w:vAlign w:val="bottom"/>
          </w:tcPr>
          <w:p>
            <w:pPr>
              <w:spacing w:after="0"/>
              <w:rPr>
                <w:sz w:val="17"/>
                <w:szCs w:val="17"/>
                <w:color w:val="auto"/>
              </w:rPr>
            </w:pPr>
          </w:p>
        </w:tc>
        <w:tc>
          <w:tcPr>
            <w:tcW w:w="1880" w:type="dxa"/>
            <w:vAlign w:val="bottom"/>
            <w:gridSpan w:val="3"/>
          </w:tcPr>
          <w:p>
            <w:pPr>
              <w:jc w:val="right"/>
              <w:ind w:right="580"/>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730</w:t>
            </w:r>
          </w:p>
        </w:tc>
        <w:tc>
          <w:tcPr>
            <w:tcW w:w="580" w:type="dxa"/>
            <w:vAlign w:val="bottom"/>
          </w:tcPr>
          <w:p>
            <w:pPr>
              <w:spacing w:after="0"/>
              <w:rPr>
                <w:sz w:val="17"/>
                <w:szCs w:val="17"/>
                <w:color w:val="auto"/>
              </w:rPr>
            </w:pPr>
          </w:p>
        </w:tc>
        <w:tc>
          <w:tcPr>
            <w:tcW w:w="480" w:type="dxa"/>
            <w:vAlign w:val="bottom"/>
          </w:tcPr>
          <w:p>
            <w:pPr>
              <w:ind w:left="260"/>
              <w:spacing w:after="0"/>
              <w:rPr>
                <w:sz w:val="20"/>
                <w:szCs w:val="20"/>
                <w:color w:val="auto"/>
              </w:rPr>
            </w:pPr>
            <w:r>
              <w:rPr>
                <w:rFonts w:ascii="Arial" w:cs="Arial" w:eastAsia="Arial" w:hAnsi="Arial"/>
                <w:sz w:val="15"/>
                <w:szCs w:val="15"/>
                <w:color w:val="auto"/>
              </w:rPr>
              <w:t>—</w:t>
            </w:r>
          </w:p>
        </w:tc>
        <w:tc>
          <w:tcPr>
            <w:tcW w:w="1460" w:type="dxa"/>
            <w:vAlign w:val="bottom"/>
            <w:gridSpan w:val="3"/>
          </w:tcPr>
          <w:p>
            <w:pPr>
              <w:jc w:val="right"/>
              <w:ind w:right="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6"/>
        </w:trPr>
        <w:tc>
          <w:tcPr>
            <w:tcW w:w="47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Putnam Variable Trust - Putnam VT Global Health Care Fund (3)</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2,600</w:t>
            </w:r>
          </w:p>
        </w:tc>
        <w:tc>
          <w:tcPr>
            <w:tcW w:w="100" w:type="dxa"/>
            <w:vAlign w:val="bottom"/>
            <w:shd w:val="clear" w:color="auto" w:fill="CCEEFF"/>
          </w:tcPr>
          <w:p>
            <w:pPr>
              <w:spacing w:after="0"/>
              <w:rPr>
                <w:sz w:val="17"/>
                <w:szCs w:val="17"/>
                <w:color w:val="auto"/>
              </w:rPr>
            </w:pPr>
          </w:p>
        </w:tc>
        <w:tc>
          <w:tcPr>
            <w:tcW w:w="1880" w:type="dxa"/>
            <w:vAlign w:val="bottom"/>
            <w:gridSpan w:val="3"/>
            <w:shd w:val="clear" w:color="auto" w:fill="CCEEFF"/>
          </w:tcPr>
          <w:p>
            <w:pPr>
              <w:jc w:val="right"/>
              <w:ind w:right="580"/>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2,600</w:t>
            </w:r>
          </w:p>
        </w:tc>
        <w:tc>
          <w:tcPr>
            <w:tcW w:w="580" w:type="dxa"/>
            <w:vAlign w:val="bottom"/>
            <w:shd w:val="clear" w:color="auto" w:fill="CCEEFF"/>
          </w:tcPr>
          <w:p>
            <w:pPr>
              <w:spacing w:after="0"/>
              <w:rPr>
                <w:sz w:val="17"/>
                <w:szCs w:val="17"/>
                <w:color w:val="auto"/>
              </w:rPr>
            </w:pPr>
          </w:p>
        </w:tc>
        <w:tc>
          <w:tcPr>
            <w:tcW w:w="480" w:type="dxa"/>
            <w:vAlign w:val="bottom"/>
            <w:shd w:val="clear" w:color="auto" w:fill="CCEEFF"/>
          </w:tcPr>
          <w:p>
            <w:pPr>
              <w:ind w:left="260"/>
              <w:spacing w:after="0"/>
              <w:rPr>
                <w:sz w:val="20"/>
                <w:szCs w:val="20"/>
                <w:color w:val="auto"/>
              </w:rPr>
            </w:pPr>
            <w:r>
              <w:rPr>
                <w:rFonts w:ascii="Arial" w:cs="Arial" w:eastAsia="Arial" w:hAnsi="Arial"/>
                <w:sz w:val="15"/>
                <w:szCs w:val="15"/>
                <w:color w:val="auto"/>
              </w:rPr>
              <w:t>—</w:t>
            </w:r>
          </w:p>
        </w:tc>
        <w:tc>
          <w:tcPr>
            <w:tcW w:w="146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3"/>
        </w:trPr>
        <w:tc>
          <w:tcPr>
            <w:tcW w:w="4780" w:type="dxa"/>
            <w:vAlign w:val="bottom"/>
            <w:gridSpan w:val="2"/>
          </w:tcPr>
          <w:p>
            <w:pPr>
              <w:spacing w:after="0"/>
              <w:rPr>
                <w:sz w:val="20"/>
                <w:szCs w:val="20"/>
                <w:color w:val="auto"/>
              </w:rPr>
            </w:pPr>
            <w:r>
              <w:rPr>
                <w:rFonts w:ascii="Arial" w:cs="Arial" w:eastAsia="Arial" w:hAnsi="Arial"/>
                <w:sz w:val="15"/>
                <w:szCs w:val="15"/>
                <w:color w:val="auto"/>
              </w:rPr>
              <w:t>Putnam Variable Trust - Putnam VT Research Fund (3)</w:t>
            </w:r>
          </w:p>
        </w:tc>
        <w:tc>
          <w:tcPr>
            <w:tcW w:w="480" w:type="dxa"/>
            <w:vAlign w:val="bottom"/>
          </w:tcPr>
          <w:p>
            <w:pPr>
              <w:jc w:val="right"/>
              <w:spacing w:after="0"/>
              <w:rPr>
                <w:sz w:val="20"/>
                <w:szCs w:val="20"/>
                <w:color w:val="auto"/>
              </w:rPr>
            </w:pPr>
            <w:r>
              <w:rPr>
                <w:rFonts w:ascii="Arial" w:cs="Arial" w:eastAsia="Arial" w:hAnsi="Arial"/>
                <w:sz w:val="15"/>
                <w:szCs w:val="15"/>
                <w:color w:val="auto"/>
              </w:rPr>
              <w:t>379</w:t>
            </w:r>
          </w:p>
        </w:tc>
        <w:tc>
          <w:tcPr>
            <w:tcW w:w="100" w:type="dxa"/>
            <w:vAlign w:val="bottom"/>
          </w:tcPr>
          <w:p>
            <w:pPr>
              <w:spacing w:after="0"/>
              <w:rPr>
                <w:sz w:val="16"/>
                <w:szCs w:val="16"/>
                <w:color w:val="auto"/>
              </w:rPr>
            </w:pPr>
          </w:p>
        </w:tc>
        <w:tc>
          <w:tcPr>
            <w:tcW w:w="1880" w:type="dxa"/>
            <w:vAlign w:val="bottom"/>
            <w:gridSpan w:val="3"/>
          </w:tcPr>
          <w:p>
            <w:pPr>
              <w:jc w:val="right"/>
              <w:ind w:right="580"/>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379</w:t>
            </w:r>
          </w:p>
        </w:tc>
        <w:tc>
          <w:tcPr>
            <w:tcW w:w="580" w:type="dxa"/>
            <w:vAlign w:val="bottom"/>
          </w:tcPr>
          <w:p>
            <w:pPr>
              <w:spacing w:after="0"/>
              <w:rPr>
                <w:sz w:val="16"/>
                <w:szCs w:val="16"/>
                <w:color w:val="auto"/>
              </w:rPr>
            </w:pPr>
          </w:p>
        </w:tc>
        <w:tc>
          <w:tcPr>
            <w:tcW w:w="480" w:type="dxa"/>
            <w:vAlign w:val="bottom"/>
          </w:tcPr>
          <w:p>
            <w:pPr>
              <w:ind w:left="260"/>
              <w:spacing w:after="0"/>
              <w:rPr>
                <w:sz w:val="20"/>
                <w:szCs w:val="20"/>
                <w:color w:val="auto"/>
              </w:rPr>
            </w:pPr>
            <w:r>
              <w:rPr>
                <w:rFonts w:ascii="Arial" w:cs="Arial" w:eastAsia="Arial" w:hAnsi="Arial"/>
                <w:sz w:val="15"/>
                <w:szCs w:val="15"/>
                <w:color w:val="auto"/>
              </w:rPr>
              <w:t>—</w:t>
            </w:r>
          </w:p>
        </w:tc>
        <w:tc>
          <w:tcPr>
            <w:tcW w:w="1460" w:type="dxa"/>
            <w:vAlign w:val="bottom"/>
            <w:gridSpan w:val="3"/>
          </w:tcPr>
          <w:p>
            <w:pPr>
              <w:jc w:val="right"/>
              <w:ind w:right="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3"/>
        </w:trPr>
        <w:tc>
          <w:tcPr>
            <w:tcW w:w="47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Putnam Variable Trust - Putnam VT Growth Opportunities Fund (3)</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10,480</w:t>
            </w:r>
          </w:p>
        </w:tc>
        <w:tc>
          <w:tcPr>
            <w:tcW w:w="100" w:type="dxa"/>
            <w:vAlign w:val="bottom"/>
            <w:shd w:val="clear" w:color="auto" w:fill="CCEEFF"/>
          </w:tcPr>
          <w:p>
            <w:pPr>
              <w:spacing w:after="0"/>
              <w:rPr>
                <w:sz w:val="16"/>
                <w:szCs w:val="16"/>
                <w:color w:val="auto"/>
              </w:rPr>
            </w:pPr>
          </w:p>
        </w:tc>
        <w:tc>
          <w:tcPr>
            <w:tcW w:w="1880" w:type="dxa"/>
            <w:vAlign w:val="bottom"/>
            <w:gridSpan w:val="3"/>
            <w:shd w:val="clear" w:color="auto" w:fill="CCEEFF"/>
          </w:tcPr>
          <w:p>
            <w:pPr>
              <w:jc w:val="right"/>
              <w:ind w:right="580"/>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10,480</w:t>
            </w:r>
          </w:p>
        </w:tc>
        <w:tc>
          <w:tcPr>
            <w:tcW w:w="580" w:type="dxa"/>
            <w:vAlign w:val="bottom"/>
            <w:shd w:val="clear" w:color="auto" w:fill="CCEEFF"/>
          </w:tcPr>
          <w:p>
            <w:pPr>
              <w:spacing w:after="0"/>
              <w:rPr>
                <w:sz w:val="16"/>
                <w:szCs w:val="16"/>
                <w:color w:val="auto"/>
              </w:rPr>
            </w:pPr>
          </w:p>
        </w:tc>
        <w:tc>
          <w:tcPr>
            <w:tcW w:w="480" w:type="dxa"/>
            <w:vAlign w:val="bottom"/>
            <w:shd w:val="clear" w:color="auto" w:fill="CCEEFF"/>
          </w:tcPr>
          <w:p>
            <w:pPr>
              <w:ind w:left="260"/>
              <w:spacing w:after="0"/>
              <w:rPr>
                <w:sz w:val="20"/>
                <w:szCs w:val="20"/>
                <w:color w:val="auto"/>
              </w:rPr>
            </w:pPr>
            <w:r>
              <w:rPr>
                <w:rFonts w:ascii="Arial" w:cs="Arial" w:eastAsia="Arial" w:hAnsi="Arial"/>
                <w:sz w:val="15"/>
                <w:szCs w:val="15"/>
                <w:color w:val="auto"/>
              </w:rPr>
              <w:t>—</w:t>
            </w:r>
          </w:p>
        </w:tc>
        <w:tc>
          <w:tcPr>
            <w:tcW w:w="146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3"/>
        </w:trPr>
        <w:tc>
          <w:tcPr>
            <w:tcW w:w="4780" w:type="dxa"/>
            <w:vAlign w:val="bottom"/>
            <w:gridSpan w:val="2"/>
          </w:tcPr>
          <w:p>
            <w:pPr>
              <w:spacing w:after="0"/>
              <w:rPr>
                <w:sz w:val="20"/>
                <w:szCs w:val="20"/>
                <w:color w:val="auto"/>
              </w:rPr>
            </w:pPr>
            <w:r>
              <w:rPr>
                <w:rFonts w:ascii="Arial" w:cs="Arial" w:eastAsia="Arial" w:hAnsi="Arial"/>
                <w:sz w:val="15"/>
                <w:szCs w:val="15"/>
                <w:color w:val="auto"/>
              </w:rPr>
              <w:t>Putnam Funds Trust - Putnam Multi-Cap Core Fund (3)</w:t>
            </w:r>
          </w:p>
        </w:tc>
        <w:tc>
          <w:tcPr>
            <w:tcW w:w="480" w:type="dxa"/>
            <w:vAlign w:val="bottom"/>
          </w:tcPr>
          <w:p>
            <w:pPr>
              <w:jc w:val="right"/>
              <w:spacing w:after="0"/>
              <w:rPr>
                <w:sz w:val="20"/>
                <w:szCs w:val="20"/>
                <w:color w:val="auto"/>
              </w:rPr>
            </w:pPr>
            <w:r>
              <w:rPr>
                <w:rFonts w:ascii="Arial" w:cs="Arial" w:eastAsia="Arial" w:hAnsi="Arial"/>
                <w:sz w:val="15"/>
                <w:szCs w:val="15"/>
                <w:color w:val="auto"/>
              </w:rPr>
              <w:t>21,049</w:t>
            </w:r>
          </w:p>
        </w:tc>
        <w:tc>
          <w:tcPr>
            <w:tcW w:w="100" w:type="dxa"/>
            <w:vAlign w:val="bottom"/>
          </w:tcPr>
          <w:p>
            <w:pPr>
              <w:spacing w:after="0"/>
              <w:rPr>
                <w:sz w:val="16"/>
                <w:szCs w:val="16"/>
                <w:color w:val="auto"/>
              </w:rPr>
            </w:pPr>
          </w:p>
        </w:tc>
        <w:tc>
          <w:tcPr>
            <w:tcW w:w="1880" w:type="dxa"/>
            <w:vAlign w:val="bottom"/>
            <w:gridSpan w:val="3"/>
          </w:tcPr>
          <w:p>
            <w:pPr>
              <w:jc w:val="right"/>
              <w:ind w:right="580"/>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21,049</w:t>
            </w:r>
          </w:p>
        </w:tc>
        <w:tc>
          <w:tcPr>
            <w:tcW w:w="580" w:type="dxa"/>
            <w:vAlign w:val="bottom"/>
          </w:tcPr>
          <w:p>
            <w:pPr>
              <w:spacing w:after="0"/>
              <w:rPr>
                <w:sz w:val="16"/>
                <w:szCs w:val="16"/>
                <w:color w:val="auto"/>
              </w:rPr>
            </w:pPr>
          </w:p>
        </w:tc>
        <w:tc>
          <w:tcPr>
            <w:tcW w:w="480" w:type="dxa"/>
            <w:vAlign w:val="bottom"/>
          </w:tcPr>
          <w:p>
            <w:pPr>
              <w:ind w:left="260"/>
              <w:spacing w:after="0"/>
              <w:rPr>
                <w:sz w:val="20"/>
                <w:szCs w:val="20"/>
                <w:color w:val="auto"/>
              </w:rPr>
            </w:pPr>
            <w:r>
              <w:rPr>
                <w:rFonts w:ascii="Arial" w:cs="Arial" w:eastAsia="Arial" w:hAnsi="Arial"/>
                <w:sz w:val="15"/>
                <w:szCs w:val="15"/>
                <w:color w:val="auto"/>
              </w:rPr>
              <w:t>—</w:t>
            </w:r>
          </w:p>
        </w:tc>
        <w:tc>
          <w:tcPr>
            <w:tcW w:w="1460" w:type="dxa"/>
            <w:vAlign w:val="bottom"/>
            <w:gridSpan w:val="3"/>
          </w:tcPr>
          <w:p>
            <w:pPr>
              <w:jc w:val="right"/>
              <w:ind w:right="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3"/>
        </w:trPr>
        <w:tc>
          <w:tcPr>
            <w:tcW w:w="47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Guardian Diversified Research VIP Fund (3)</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1,373</w:t>
            </w:r>
          </w:p>
        </w:tc>
        <w:tc>
          <w:tcPr>
            <w:tcW w:w="100" w:type="dxa"/>
            <w:vAlign w:val="bottom"/>
            <w:shd w:val="clear" w:color="auto" w:fill="CCEEFF"/>
          </w:tcPr>
          <w:p>
            <w:pPr>
              <w:spacing w:after="0"/>
              <w:rPr>
                <w:sz w:val="16"/>
                <w:szCs w:val="16"/>
                <w:color w:val="auto"/>
              </w:rPr>
            </w:pPr>
          </w:p>
        </w:tc>
        <w:tc>
          <w:tcPr>
            <w:tcW w:w="1880" w:type="dxa"/>
            <w:vAlign w:val="bottom"/>
            <w:gridSpan w:val="3"/>
            <w:shd w:val="clear" w:color="auto" w:fill="CCEEFF"/>
          </w:tcPr>
          <w:p>
            <w:pPr>
              <w:jc w:val="right"/>
              <w:ind w:right="580"/>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1,373</w:t>
            </w:r>
          </w:p>
        </w:tc>
        <w:tc>
          <w:tcPr>
            <w:tcW w:w="580" w:type="dxa"/>
            <w:vAlign w:val="bottom"/>
            <w:shd w:val="clear" w:color="auto" w:fill="CCEEFF"/>
          </w:tcPr>
          <w:p>
            <w:pPr>
              <w:spacing w:after="0"/>
              <w:rPr>
                <w:sz w:val="16"/>
                <w:szCs w:val="16"/>
                <w:color w:val="auto"/>
              </w:rPr>
            </w:pPr>
          </w:p>
        </w:tc>
        <w:tc>
          <w:tcPr>
            <w:tcW w:w="480" w:type="dxa"/>
            <w:vAlign w:val="bottom"/>
            <w:shd w:val="clear" w:color="auto" w:fill="CCEEFF"/>
          </w:tcPr>
          <w:p>
            <w:pPr>
              <w:ind w:left="260"/>
              <w:spacing w:after="0"/>
              <w:rPr>
                <w:sz w:val="20"/>
                <w:szCs w:val="20"/>
                <w:color w:val="auto"/>
              </w:rPr>
            </w:pPr>
            <w:r>
              <w:rPr>
                <w:rFonts w:ascii="Arial" w:cs="Arial" w:eastAsia="Arial" w:hAnsi="Arial"/>
                <w:sz w:val="15"/>
                <w:szCs w:val="15"/>
                <w:color w:val="auto"/>
              </w:rPr>
              <w:t>—</w:t>
            </w:r>
          </w:p>
        </w:tc>
        <w:tc>
          <w:tcPr>
            <w:tcW w:w="146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3"/>
        </w:trPr>
        <w:tc>
          <w:tcPr>
            <w:tcW w:w="4780" w:type="dxa"/>
            <w:vAlign w:val="bottom"/>
            <w:gridSpan w:val="2"/>
          </w:tcPr>
          <w:p>
            <w:pPr>
              <w:spacing w:after="0"/>
              <w:rPr>
                <w:sz w:val="20"/>
                <w:szCs w:val="20"/>
                <w:color w:val="auto"/>
              </w:rPr>
            </w:pPr>
            <w:r>
              <w:rPr>
                <w:rFonts w:ascii="Arial" w:cs="Arial" w:eastAsia="Arial" w:hAnsi="Arial"/>
                <w:sz w:val="15"/>
                <w:szCs w:val="15"/>
                <w:color w:val="auto"/>
              </w:rPr>
              <w:t>Nissay/Putnam Global Core Equity Fund (3)</w:t>
            </w:r>
          </w:p>
        </w:tc>
        <w:tc>
          <w:tcPr>
            <w:tcW w:w="480" w:type="dxa"/>
            <w:vAlign w:val="bottom"/>
          </w:tcPr>
          <w:p>
            <w:pPr>
              <w:jc w:val="right"/>
              <w:spacing w:after="0"/>
              <w:rPr>
                <w:sz w:val="20"/>
                <w:szCs w:val="20"/>
                <w:color w:val="auto"/>
              </w:rPr>
            </w:pPr>
            <w:r>
              <w:rPr>
                <w:rFonts w:ascii="Arial" w:cs="Arial" w:eastAsia="Arial" w:hAnsi="Arial"/>
                <w:sz w:val="15"/>
                <w:szCs w:val="15"/>
                <w:color w:val="auto"/>
              </w:rPr>
              <w:t>3,551</w:t>
            </w:r>
          </w:p>
        </w:tc>
        <w:tc>
          <w:tcPr>
            <w:tcW w:w="100" w:type="dxa"/>
            <w:vAlign w:val="bottom"/>
          </w:tcPr>
          <w:p>
            <w:pPr>
              <w:spacing w:after="0"/>
              <w:rPr>
                <w:sz w:val="16"/>
                <w:szCs w:val="16"/>
                <w:color w:val="auto"/>
              </w:rPr>
            </w:pPr>
          </w:p>
        </w:tc>
        <w:tc>
          <w:tcPr>
            <w:tcW w:w="1880" w:type="dxa"/>
            <w:vAlign w:val="bottom"/>
            <w:gridSpan w:val="3"/>
          </w:tcPr>
          <w:p>
            <w:pPr>
              <w:jc w:val="right"/>
              <w:ind w:right="580"/>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3,551</w:t>
            </w:r>
          </w:p>
        </w:tc>
        <w:tc>
          <w:tcPr>
            <w:tcW w:w="580" w:type="dxa"/>
            <w:vAlign w:val="bottom"/>
          </w:tcPr>
          <w:p>
            <w:pPr>
              <w:spacing w:after="0"/>
              <w:rPr>
                <w:sz w:val="16"/>
                <w:szCs w:val="16"/>
                <w:color w:val="auto"/>
              </w:rPr>
            </w:pPr>
          </w:p>
        </w:tc>
        <w:tc>
          <w:tcPr>
            <w:tcW w:w="480" w:type="dxa"/>
            <w:vAlign w:val="bottom"/>
          </w:tcPr>
          <w:p>
            <w:pPr>
              <w:ind w:left="260"/>
              <w:spacing w:after="0"/>
              <w:rPr>
                <w:sz w:val="20"/>
                <w:szCs w:val="20"/>
                <w:color w:val="auto"/>
              </w:rPr>
            </w:pPr>
            <w:r>
              <w:rPr>
                <w:rFonts w:ascii="Arial" w:cs="Arial" w:eastAsia="Arial" w:hAnsi="Arial"/>
                <w:sz w:val="15"/>
                <w:szCs w:val="15"/>
                <w:color w:val="auto"/>
              </w:rPr>
              <w:t>—</w:t>
            </w:r>
          </w:p>
        </w:tc>
        <w:tc>
          <w:tcPr>
            <w:tcW w:w="1460" w:type="dxa"/>
            <w:vAlign w:val="bottom"/>
            <w:gridSpan w:val="3"/>
          </w:tcPr>
          <w:p>
            <w:pPr>
              <w:jc w:val="right"/>
              <w:ind w:right="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3"/>
        </w:trPr>
        <w:tc>
          <w:tcPr>
            <w:tcW w:w="47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Putnam World Trust - Putnam Global Core Equity Fund (3)</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w:t>
            </w:r>
          </w:p>
        </w:tc>
        <w:tc>
          <w:tcPr>
            <w:tcW w:w="100" w:type="dxa"/>
            <w:vAlign w:val="bottom"/>
            <w:shd w:val="clear" w:color="auto" w:fill="CCEEFF"/>
          </w:tcPr>
          <w:p>
            <w:pPr>
              <w:spacing w:after="0"/>
              <w:rPr>
                <w:sz w:val="16"/>
                <w:szCs w:val="16"/>
                <w:color w:val="auto"/>
              </w:rPr>
            </w:pPr>
          </w:p>
        </w:tc>
        <w:tc>
          <w:tcPr>
            <w:tcW w:w="1880" w:type="dxa"/>
            <w:vAlign w:val="bottom"/>
            <w:gridSpan w:val="3"/>
            <w:shd w:val="clear" w:color="auto" w:fill="CCEEFF"/>
          </w:tcPr>
          <w:p>
            <w:pPr>
              <w:jc w:val="right"/>
              <w:ind w:right="580"/>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w:t>
            </w:r>
          </w:p>
        </w:tc>
        <w:tc>
          <w:tcPr>
            <w:tcW w:w="580" w:type="dxa"/>
            <w:vAlign w:val="bottom"/>
            <w:shd w:val="clear" w:color="auto" w:fill="CCEEFF"/>
          </w:tcPr>
          <w:p>
            <w:pPr>
              <w:spacing w:after="0"/>
              <w:rPr>
                <w:sz w:val="16"/>
                <w:szCs w:val="16"/>
                <w:color w:val="auto"/>
              </w:rPr>
            </w:pPr>
          </w:p>
        </w:tc>
        <w:tc>
          <w:tcPr>
            <w:tcW w:w="480" w:type="dxa"/>
            <w:vAlign w:val="bottom"/>
            <w:shd w:val="clear" w:color="auto" w:fill="CCEEFF"/>
          </w:tcPr>
          <w:p>
            <w:pPr>
              <w:ind w:left="260"/>
              <w:spacing w:after="0"/>
              <w:rPr>
                <w:sz w:val="20"/>
                <w:szCs w:val="20"/>
                <w:color w:val="auto"/>
              </w:rPr>
            </w:pPr>
            <w:r>
              <w:rPr>
                <w:rFonts w:ascii="Arial" w:cs="Arial" w:eastAsia="Arial" w:hAnsi="Arial"/>
                <w:sz w:val="15"/>
                <w:szCs w:val="15"/>
                <w:color w:val="auto"/>
              </w:rPr>
              <w:t>—</w:t>
            </w:r>
          </w:p>
        </w:tc>
        <w:tc>
          <w:tcPr>
            <w:tcW w:w="146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3"/>
        </w:trPr>
        <w:tc>
          <w:tcPr>
            <w:tcW w:w="4780" w:type="dxa"/>
            <w:vAlign w:val="bottom"/>
            <w:gridSpan w:val="2"/>
          </w:tcPr>
          <w:p>
            <w:pPr>
              <w:spacing w:after="0"/>
              <w:rPr>
                <w:sz w:val="20"/>
                <w:szCs w:val="20"/>
                <w:color w:val="auto"/>
              </w:rPr>
            </w:pPr>
            <w:r>
              <w:rPr>
                <w:rFonts w:ascii="Arial" w:cs="Arial" w:eastAsia="Arial" w:hAnsi="Arial"/>
                <w:sz w:val="15"/>
                <w:szCs w:val="15"/>
                <w:color w:val="auto"/>
              </w:rPr>
              <w:t>IG Putnam U.S. Growth Fund (3)</w:t>
            </w:r>
          </w:p>
        </w:tc>
        <w:tc>
          <w:tcPr>
            <w:tcW w:w="480" w:type="dxa"/>
            <w:vAlign w:val="bottom"/>
          </w:tcPr>
          <w:p>
            <w:pPr>
              <w:jc w:val="right"/>
              <w:spacing w:after="0"/>
              <w:rPr>
                <w:sz w:val="20"/>
                <w:szCs w:val="20"/>
                <w:color w:val="auto"/>
              </w:rPr>
            </w:pPr>
            <w:r>
              <w:rPr>
                <w:rFonts w:ascii="Arial" w:cs="Arial" w:eastAsia="Arial" w:hAnsi="Arial"/>
                <w:sz w:val="15"/>
                <w:szCs w:val="15"/>
                <w:color w:val="auto"/>
              </w:rPr>
              <w:t>16,223</w:t>
            </w:r>
          </w:p>
        </w:tc>
        <w:tc>
          <w:tcPr>
            <w:tcW w:w="100" w:type="dxa"/>
            <w:vAlign w:val="bottom"/>
          </w:tcPr>
          <w:p>
            <w:pPr>
              <w:spacing w:after="0"/>
              <w:rPr>
                <w:sz w:val="16"/>
                <w:szCs w:val="16"/>
                <w:color w:val="auto"/>
              </w:rPr>
            </w:pPr>
          </w:p>
        </w:tc>
        <w:tc>
          <w:tcPr>
            <w:tcW w:w="1880" w:type="dxa"/>
            <w:vAlign w:val="bottom"/>
            <w:gridSpan w:val="3"/>
          </w:tcPr>
          <w:p>
            <w:pPr>
              <w:jc w:val="right"/>
              <w:ind w:right="580"/>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16,223</w:t>
            </w:r>
          </w:p>
        </w:tc>
        <w:tc>
          <w:tcPr>
            <w:tcW w:w="580" w:type="dxa"/>
            <w:vAlign w:val="bottom"/>
          </w:tcPr>
          <w:p>
            <w:pPr>
              <w:spacing w:after="0"/>
              <w:rPr>
                <w:sz w:val="16"/>
                <w:szCs w:val="16"/>
                <w:color w:val="auto"/>
              </w:rPr>
            </w:pPr>
          </w:p>
        </w:tc>
        <w:tc>
          <w:tcPr>
            <w:tcW w:w="480" w:type="dxa"/>
            <w:vAlign w:val="bottom"/>
          </w:tcPr>
          <w:p>
            <w:pPr>
              <w:ind w:left="260"/>
              <w:spacing w:after="0"/>
              <w:rPr>
                <w:sz w:val="20"/>
                <w:szCs w:val="20"/>
                <w:color w:val="auto"/>
              </w:rPr>
            </w:pPr>
            <w:r>
              <w:rPr>
                <w:rFonts w:ascii="Arial" w:cs="Arial" w:eastAsia="Arial" w:hAnsi="Arial"/>
                <w:sz w:val="15"/>
                <w:szCs w:val="15"/>
                <w:color w:val="auto"/>
              </w:rPr>
              <w:t>—</w:t>
            </w:r>
          </w:p>
        </w:tc>
        <w:tc>
          <w:tcPr>
            <w:tcW w:w="1460" w:type="dxa"/>
            <w:vAlign w:val="bottom"/>
            <w:gridSpan w:val="3"/>
          </w:tcPr>
          <w:p>
            <w:pPr>
              <w:jc w:val="right"/>
              <w:ind w:right="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3"/>
        </w:trPr>
        <w:tc>
          <w:tcPr>
            <w:tcW w:w="47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Putnam World Trust - Putnam U.S. Large Cap Growth Fund (3)</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987</w:t>
            </w:r>
          </w:p>
        </w:tc>
        <w:tc>
          <w:tcPr>
            <w:tcW w:w="100" w:type="dxa"/>
            <w:vAlign w:val="bottom"/>
            <w:shd w:val="clear" w:color="auto" w:fill="CCEEFF"/>
          </w:tcPr>
          <w:p>
            <w:pPr>
              <w:spacing w:after="0"/>
              <w:rPr>
                <w:sz w:val="16"/>
                <w:szCs w:val="16"/>
                <w:color w:val="auto"/>
              </w:rPr>
            </w:pPr>
          </w:p>
        </w:tc>
        <w:tc>
          <w:tcPr>
            <w:tcW w:w="1880" w:type="dxa"/>
            <w:vAlign w:val="bottom"/>
            <w:gridSpan w:val="3"/>
            <w:shd w:val="clear" w:color="auto" w:fill="CCEEFF"/>
          </w:tcPr>
          <w:p>
            <w:pPr>
              <w:jc w:val="right"/>
              <w:ind w:right="580"/>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987</w:t>
            </w:r>
          </w:p>
        </w:tc>
        <w:tc>
          <w:tcPr>
            <w:tcW w:w="580" w:type="dxa"/>
            <w:vAlign w:val="bottom"/>
            <w:shd w:val="clear" w:color="auto" w:fill="CCEEFF"/>
          </w:tcPr>
          <w:p>
            <w:pPr>
              <w:spacing w:after="0"/>
              <w:rPr>
                <w:sz w:val="16"/>
                <w:szCs w:val="16"/>
                <w:color w:val="auto"/>
              </w:rPr>
            </w:pPr>
          </w:p>
        </w:tc>
        <w:tc>
          <w:tcPr>
            <w:tcW w:w="480" w:type="dxa"/>
            <w:vAlign w:val="bottom"/>
            <w:shd w:val="clear" w:color="auto" w:fill="CCEEFF"/>
          </w:tcPr>
          <w:p>
            <w:pPr>
              <w:ind w:left="260"/>
              <w:spacing w:after="0"/>
              <w:rPr>
                <w:sz w:val="20"/>
                <w:szCs w:val="20"/>
                <w:color w:val="auto"/>
              </w:rPr>
            </w:pPr>
            <w:r>
              <w:rPr>
                <w:rFonts w:ascii="Arial" w:cs="Arial" w:eastAsia="Arial" w:hAnsi="Arial"/>
                <w:sz w:val="15"/>
                <w:szCs w:val="15"/>
                <w:color w:val="auto"/>
              </w:rPr>
              <w:t>—</w:t>
            </w:r>
          </w:p>
        </w:tc>
        <w:tc>
          <w:tcPr>
            <w:tcW w:w="146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3"/>
        </w:trPr>
        <w:tc>
          <w:tcPr>
            <w:tcW w:w="4780" w:type="dxa"/>
            <w:vAlign w:val="bottom"/>
            <w:gridSpan w:val="2"/>
          </w:tcPr>
          <w:p>
            <w:pPr>
              <w:spacing w:after="0"/>
              <w:rPr>
                <w:sz w:val="20"/>
                <w:szCs w:val="20"/>
                <w:color w:val="auto"/>
              </w:rPr>
            </w:pPr>
            <w:r>
              <w:rPr>
                <w:rFonts w:ascii="Arial" w:cs="Arial" w:eastAsia="Arial" w:hAnsi="Arial"/>
                <w:sz w:val="15"/>
                <w:szCs w:val="15"/>
                <w:color w:val="auto"/>
              </w:rPr>
              <w:t>iProfile U.S. Equity Pool - Large Cap Growth Mandate (3)</w:t>
            </w:r>
          </w:p>
        </w:tc>
        <w:tc>
          <w:tcPr>
            <w:tcW w:w="480" w:type="dxa"/>
            <w:vAlign w:val="bottom"/>
          </w:tcPr>
          <w:p>
            <w:pPr>
              <w:jc w:val="right"/>
              <w:spacing w:after="0"/>
              <w:rPr>
                <w:sz w:val="20"/>
                <w:szCs w:val="20"/>
                <w:color w:val="auto"/>
              </w:rPr>
            </w:pPr>
            <w:r>
              <w:rPr>
                <w:rFonts w:ascii="Arial" w:cs="Arial" w:eastAsia="Arial" w:hAnsi="Arial"/>
                <w:sz w:val="15"/>
                <w:szCs w:val="15"/>
                <w:color w:val="auto"/>
              </w:rPr>
              <w:t>4,676</w:t>
            </w:r>
          </w:p>
        </w:tc>
        <w:tc>
          <w:tcPr>
            <w:tcW w:w="100" w:type="dxa"/>
            <w:vAlign w:val="bottom"/>
          </w:tcPr>
          <w:p>
            <w:pPr>
              <w:spacing w:after="0"/>
              <w:rPr>
                <w:sz w:val="16"/>
                <w:szCs w:val="16"/>
                <w:color w:val="auto"/>
              </w:rPr>
            </w:pPr>
          </w:p>
        </w:tc>
        <w:tc>
          <w:tcPr>
            <w:tcW w:w="1880" w:type="dxa"/>
            <w:vAlign w:val="bottom"/>
            <w:gridSpan w:val="3"/>
          </w:tcPr>
          <w:p>
            <w:pPr>
              <w:jc w:val="right"/>
              <w:ind w:right="580"/>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4,676</w:t>
            </w:r>
          </w:p>
        </w:tc>
        <w:tc>
          <w:tcPr>
            <w:tcW w:w="580" w:type="dxa"/>
            <w:vAlign w:val="bottom"/>
          </w:tcPr>
          <w:p>
            <w:pPr>
              <w:spacing w:after="0"/>
              <w:rPr>
                <w:sz w:val="16"/>
                <w:szCs w:val="16"/>
                <w:color w:val="auto"/>
              </w:rPr>
            </w:pPr>
          </w:p>
        </w:tc>
        <w:tc>
          <w:tcPr>
            <w:tcW w:w="480" w:type="dxa"/>
            <w:vAlign w:val="bottom"/>
          </w:tcPr>
          <w:p>
            <w:pPr>
              <w:ind w:left="260"/>
              <w:spacing w:after="0"/>
              <w:rPr>
                <w:sz w:val="20"/>
                <w:szCs w:val="20"/>
                <w:color w:val="auto"/>
              </w:rPr>
            </w:pPr>
            <w:r>
              <w:rPr>
                <w:rFonts w:ascii="Arial" w:cs="Arial" w:eastAsia="Arial" w:hAnsi="Arial"/>
                <w:sz w:val="15"/>
                <w:szCs w:val="15"/>
                <w:color w:val="auto"/>
              </w:rPr>
              <w:t>—</w:t>
            </w:r>
          </w:p>
        </w:tc>
        <w:tc>
          <w:tcPr>
            <w:tcW w:w="1460" w:type="dxa"/>
            <w:vAlign w:val="bottom"/>
            <w:gridSpan w:val="3"/>
          </w:tcPr>
          <w:p>
            <w:pPr>
              <w:jc w:val="right"/>
              <w:ind w:right="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3"/>
        </w:trPr>
        <w:tc>
          <w:tcPr>
            <w:tcW w:w="47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London Life Global Equity Fund 2.05L (3)</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3,200</w:t>
            </w:r>
          </w:p>
        </w:tc>
        <w:tc>
          <w:tcPr>
            <w:tcW w:w="100" w:type="dxa"/>
            <w:vAlign w:val="bottom"/>
            <w:shd w:val="clear" w:color="auto" w:fill="CCEEFF"/>
          </w:tcPr>
          <w:p>
            <w:pPr>
              <w:spacing w:after="0"/>
              <w:rPr>
                <w:sz w:val="16"/>
                <w:szCs w:val="16"/>
                <w:color w:val="auto"/>
              </w:rPr>
            </w:pPr>
          </w:p>
        </w:tc>
        <w:tc>
          <w:tcPr>
            <w:tcW w:w="1880" w:type="dxa"/>
            <w:vAlign w:val="bottom"/>
            <w:gridSpan w:val="3"/>
            <w:shd w:val="clear" w:color="auto" w:fill="CCEEFF"/>
          </w:tcPr>
          <w:p>
            <w:pPr>
              <w:jc w:val="right"/>
              <w:ind w:right="580"/>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3,200</w:t>
            </w:r>
          </w:p>
        </w:tc>
        <w:tc>
          <w:tcPr>
            <w:tcW w:w="580" w:type="dxa"/>
            <w:vAlign w:val="bottom"/>
            <w:shd w:val="clear" w:color="auto" w:fill="CCEEFF"/>
          </w:tcPr>
          <w:p>
            <w:pPr>
              <w:spacing w:after="0"/>
              <w:rPr>
                <w:sz w:val="16"/>
                <w:szCs w:val="16"/>
                <w:color w:val="auto"/>
              </w:rPr>
            </w:pPr>
          </w:p>
        </w:tc>
        <w:tc>
          <w:tcPr>
            <w:tcW w:w="480" w:type="dxa"/>
            <w:vAlign w:val="bottom"/>
            <w:shd w:val="clear" w:color="auto" w:fill="CCEEFF"/>
          </w:tcPr>
          <w:p>
            <w:pPr>
              <w:ind w:left="260"/>
              <w:spacing w:after="0"/>
              <w:rPr>
                <w:sz w:val="20"/>
                <w:szCs w:val="20"/>
                <w:color w:val="auto"/>
              </w:rPr>
            </w:pPr>
            <w:r>
              <w:rPr>
                <w:rFonts w:ascii="Arial" w:cs="Arial" w:eastAsia="Arial" w:hAnsi="Arial"/>
                <w:sz w:val="15"/>
                <w:szCs w:val="15"/>
                <w:color w:val="auto"/>
              </w:rPr>
              <w:t>—</w:t>
            </w:r>
          </w:p>
        </w:tc>
        <w:tc>
          <w:tcPr>
            <w:tcW w:w="146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6"/>
        </w:trPr>
        <w:tc>
          <w:tcPr>
            <w:tcW w:w="4780" w:type="dxa"/>
            <w:vAlign w:val="bottom"/>
            <w:gridSpan w:val="2"/>
          </w:tcPr>
          <w:p>
            <w:pPr>
              <w:spacing w:after="0"/>
              <w:rPr>
                <w:sz w:val="20"/>
                <w:szCs w:val="20"/>
                <w:color w:val="auto"/>
              </w:rPr>
            </w:pPr>
            <w:r>
              <w:rPr>
                <w:rFonts w:ascii="Arial" w:cs="Arial" w:eastAsia="Arial" w:hAnsi="Arial"/>
                <w:sz w:val="15"/>
                <w:szCs w:val="15"/>
                <w:color w:val="auto"/>
              </w:rPr>
              <w:t>Mackenzie US All Cap Growth Fund (3)</w:t>
            </w:r>
          </w:p>
        </w:tc>
        <w:tc>
          <w:tcPr>
            <w:tcW w:w="580" w:type="dxa"/>
            <w:vAlign w:val="bottom"/>
            <w:gridSpan w:val="2"/>
          </w:tcPr>
          <w:p>
            <w:pPr>
              <w:jc w:val="right"/>
              <w:ind w:right="100"/>
              <w:spacing w:after="0"/>
              <w:rPr>
                <w:sz w:val="20"/>
                <w:szCs w:val="20"/>
                <w:color w:val="auto"/>
              </w:rPr>
            </w:pPr>
            <w:r>
              <w:rPr>
                <w:rFonts w:ascii="Arial" w:cs="Arial" w:eastAsia="Arial" w:hAnsi="Arial"/>
                <w:sz w:val="15"/>
                <w:szCs w:val="15"/>
                <w:color w:val="auto"/>
              </w:rPr>
              <w:t>6,511</w:t>
            </w:r>
          </w:p>
        </w:tc>
        <w:tc>
          <w:tcPr>
            <w:tcW w:w="1880" w:type="dxa"/>
            <w:vAlign w:val="bottom"/>
            <w:gridSpan w:val="3"/>
          </w:tcPr>
          <w:p>
            <w:pPr>
              <w:jc w:val="right"/>
              <w:ind w:right="580"/>
              <w:spacing w:after="0"/>
              <w:rPr>
                <w:sz w:val="20"/>
                <w:szCs w:val="20"/>
                <w:color w:val="auto"/>
              </w:rPr>
            </w:pPr>
            <w:r>
              <w:rPr>
                <w:rFonts w:ascii="Arial" w:cs="Arial" w:eastAsia="Arial" w:hAnsi="Arial"/>
                <w:sz w:val="15"/>
                <w:szCs w:val="15"/>
                <w:color w:val="auto"/>
              </w:rPr>
              <w:t>*</w:t>
            </w:r>
          </w:p>
        </w:tc>
        <w:tc>
          <w:tcPr>
            <w:tcW w:w="1340" w:type="dxa"/>
            <w:vAlign w:val="bottom"/>
            <w:gridSpan w:val="2"/>
          </w:tcPr>
          <w:p>
            <w:pPr>
              <w:jc w:val="right"/>
              <w:ind w:right="580"/>
              <w:spacing w:after="0"/>
              <w:rPr>
                <w:sz w:val="20"/>
                <w:szCs w:val="20"/>
                <w:color w:val="auto"/>
              </w:rPr>
            </w:pPr>
            <w:r>
              <w:rPr>
                <w:rFonts w:ascii="Arial" w:cs="Arial" w:eastAsia="Arial" w:hAnsi="Arial"/>
                <w:sz w:val="15"/>
                <w:szCs w:val="15"/>
                <w:color w:val="auto"/>
              </w:rPr>
              <w:t>6,511</w:t>
            </w:r>
          </w:p>
        </w:tc>
        <w:tc>
          <w:tcPr>
            <w:tcW w:w="480" w:type="dxa"/>
            <w:vAlign w:val="bottom"/>
          </w:tcPr>
          <w:p>
            <w:pPr>
              <w:ind w:left="260"/>
              <w:spacing w:after="0"/>
              <w:rPr>
                <w:sz w:val="20"/>
                <w:szCs w:val="20"/>
                <w:color w:val="auto"/>
              </w:rPr>
            </w:pPr>
            <w:r>
              <w:rPr>
                <w:rFonts w:ascii="Arial" w:cs="Arial" w:eastAsia="Arial" w:hAnsi="Arial"/>
                <w:sz w:val="15"/>
                <w:szCs w:val="15"/>
                <w:color w:val="auto"/>
              </w:rPr>
              <w:t>—</w:t>
            </w:r>
          </w:p>
        </w:tc>
        <w:tc>
          <w:tcPr>
            <w:tcW w:w="1460" w:type="dxa"/>
            <w:vAlign w:val="bottom"/>
            <w:gridSpan w:val="3"/>
          </w:tcPr>
          <w:p>
            <w:pPr>
              <w:jc w:val="right"/>
              <w:ind w:right="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80010</wp:posOffset>
            </wp:positionV>
            <wp:extent cx="67119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1195" cy="8255"/>
                    </a:xfrm>
                    <a:prstGeom prst="rect">
                      <a:avLst/>
                    </a:prstGeom>
                    <a:noFill/>
                  </pic:spPr>
                </pic:pic>
              </a:graphicData>
            </a:graphic>
          </wp:anchor>
        </w:drawing>
      </w:r>
    </w:p>
    <w:p>
      <w:pPr>
        <w:spacing w:after="0" w:line="146" w:lineRule="exact"/>
        <w:rPr>
          <w:sz w:val="20"/>
          <w:szCs w:val="20"/>
          <w:color w:val="auto"/>
        </w:rPr>
      </w:pPr>
    </w:p>
    <w:p>
      <w:pPr>
        <w:ind w:left="860" w:hanging="406"/>
        <w:spacing w:after="0"/>
        <w:tabs>
          <w:tab w:leader="none" w:pos="860" w:val="left"/>
        </w:tabs>
        <w:numPr>
          <w:ilvl w:val="0"/>
          <w:numId w:val="5"/>
        </w:numPr>
        <w:rPr>
          <w:rFonts w:ascii="Arial" w:cs="Arial" w:eastAsia="Arial" w:hAnsi="Arial"/>
          <w:sz w:val="17"/>
          <w:szCs w:val="17"/>
          <w:color w:val="auto"/>
        </w:rPr>
      </w:pPr>
      <w:r>
        <w:rPr>
          <w:rFonts w:ascii="Arial" w:cs="Arial" w:eastAsia="Arial" w:hAnsi="Arial"/>
          <w:sz w:val="17"/>
          <w:szCs w:val="17"/>
          <w:color w:val="auto"/>
        </w:rPr>
        <w:t>Denotes stock ownership is less than 1%.</w:t>
      </w:r>
    </w:p>
    <w:p>
      <w:pPr>
        <w:spacing w:after="0" w:line="22" w:lineRule="exact"/>
        <w:rPr>
          <w:sz w:val="20"/>
          <w:szCs w:val="20"/>
          <w:color w:val="auto"/>
        </w:rPr>
      </w:pPr>
    </w:p>
    <w:p>
      <w:pPr>
        <w:ind w:left="860" w:hanging="406"/>
        <w:spacing w:after="0"/>
        <w:tabs>
          <w:tab w:leader="none" w:pos="8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percentage of beneficial ownership is based on 20,489,181 shares of common stock outstanding as of October 31, 2018.</w:t>
      </w:r>
    </w:p>
    <w:p>
      <w:pPr>
        <w:spacing w:after="0" w:line="10" w:lineRule="exact"/>
        <w:rPr>
          <w:rFonts w:ascii="Arial" w:cs="Arial" w:eastAsia="Arial" w:hAnsi="Arial"/>
          <w:sz w:val="17"/>
          <w:szCs w:val="17"/>
          <w:color w:val="auto"/>
        </w:rPr>
      </w:pPr>
    </w:p>
    <w:p>
      <w:pPr>
        <w:ind w:left="860" w:right="60" w:hanging="406"/>
        <w:spacing w:after="0" w:line="271" w:lineRule="auto"/>
        <w:tabs>
          <w:tab w:leader="none" w:pos="8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 Rowe Price Associates, Inc. (“TRPA”) serves as investment adviser or subadviser with power to direct investments and/or sole power to vote the securities owned by the funds and accounts listed in the table above. For purposes of reporting requirements of the Exchange Act, TRPA may be deemed to be the beneficial owner of all of the shares listed in the table above; however, TRPA expressly disclaims that it is, in fact, the beneficial owner of such securities. TRPA is the wholly owned subsidiary of T. Rowe Price Group, Inc., which is a publicly traded financial services holding company. T. Rowe Price Investment Services, Inc. (“TRPIS”), a registered broker-dealer, is a subsidiary of TRPA, the investment adviser or subadviser to the funds and accounts listed in the table above. TRPIS was formed primarily for the limited purpose of acting as the principal underwriter and distributor of shares of the funds in the T. Rowe Price fund family. TRPIS does not engage in underwriting or market-making activities involving individual securities. No one individual at T. Rowe Price will be responsible for voting decisions and investment control over the shares. T. Rowe Price Associates, Inc. is investment adviser or subadviser to the funds and accounts and has been delegated voting authority by the boards of the Price Funds it manages as investment adviser. The T. Rowe Price Proxy Committee develops positions on all major corporate issues, creates guidelines, and oversees the voting process. The Proxy Committee, composed of portfolio managers, investment operations managers, and internal legal counsel, analyzes proxy policies based on whether they would adversely affect shareholders’ interests and make a company less attractive to own. Once the Proxy Committee establishes its recommendations, they are distributed to the firm’s portfolio managers as voting</w:t>
      </w:r>
    </w:p>
    <w:p>
      <w:pPr>
        <w:spacing w:after="0" w:line="110"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0980"/>
          </w:cols>
          <w:pgMar w:left="240" w:top="444" w:right="679" w:bottom="1440" w:gutter="0" w:footer="0" w:header="0"/>
        </w:sectPr>
      </w:pPr>
    </w:p>
    <w:bookmarkStart w:id="16" w:name="page17"/>
    <w:bookmarkEnd w:id="1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860" w:right="40"/>
        <w:spacing w:after="0" w:line="255" w:lineRule="auto"/>
        <w:rPr>
          <w:sz w:val="20"/>
          <w:szCs w:val="20"/>
          <w:color w:val="auto"/>
        </w:rPr>
      </w:pPr>
      <w:r>
        <w:rPr>
          <w:rFonts w:ascii="Arial" w:cs="Arial" w:eastAsia="Arial" w:hAnsi="Arial"/>
          <w:sz w:val="17"/>
          <w:szCs w:val="17"/>
          <w:color w:val="auto"/>
        </w:rPr>
        <w:t>guidelines. For the registered investment companies sponsored and managed by T. Rowe Price, the portfolio manager of each fund has ultimate responsibility for the voting decisions for proxies relating to voting securities held by the fund. More information on T. Rowe Price’s proxy voting policies and procedures is available on our website (http://www.troweprice.com) and in the Price Funds’ Statement of Additional Information, which is filed with the SEC. Certain clients retain voting authority, and TRPA does not vote for these clients: VALC Company I - Small Cap fund, VALIC Company I - Health Sciences Fund, Seasons Series Trust - SA Multi-Managed Mid Cap Growth Portfolio, and Voya Partners, Inc. - VY T. Rowe Price Diversified Mid Cap Growth Portfolio.</w:t>
      </w:r>
    </w:p>
    <w:p>
      <w:pPr>
        <w:spacing w:after="0" w:line="2" w:lineRule="exact"/>
        <w:rPr>
          <w:sz w:val="20"/>
          <w:szCs w:val="20"/>
          <w:color w:val="auto"/>
        </w:rPr>
      </w:pPr>
    </w:p>
    <w:p>
      <w:pPr>
        <w:ind w:left="860" w:hanging="406"/>
        <w:spacing w:after="0" w:line="269" w:lineRule="auto"/>
        <w:tabs>
          <w:tab w:leader="none" w:pos="860" w:val="left"/>
        </w:tabs>
        <w:numPr>
          <w:ilvl w:val="0"/>
          <w:numId w:val="7"/>
        </w:numPr>
        <w:rPr>
          <w:rFonts w:ascii="Arial" w:cs="Arial" w:eastAsia="Arial" w:hAnsi="Arial"/>
          <w:sz w:val="16"/>
          <w:szCs w:val="16"/>
          <w:color w:val="auto"/>
        </w:rPr>
      </w:pPr>
      <w:r>
        <w:rPr>
          <w:rFonts w:ascii="Arial" w:cs="Arial" w:eastAsia="Arial" w:hAnsi="Arial"/>
          <w:sz w:val="16"/>
          <w:szCs w:val="16"/>
          <w:color w:val="auto"/>
        </w:rPr>
        <w:t>Each of George Putnam Balanced Fund*, Putnam Global Equity Fund*, Putnam Variable Trust - Putnam VT Global Equity Fund*, Putnam Global Health Care Fund*, Putnam Variable Trust - Putnam VT Sustainable Leaders Fund*, Putnam Sustainable Leaders Fund*, Putnam Investment Funds - Putnam Growth Opportunities Fund*, Putnam Investment Funds - Putnam Research Fund*, Putnam Variable Trust - Putnam VT Multi-Cap Core Fund*, Putnam Variable Trust - Putnam VT George Putnam Balanced Fund*, Putnam Variable Trust - Putnam VT Global Health Care Fund*, Putnam Variable Trust - Putnam VT Research Fund*, Putnam Variable Trust - Putnam VT Growth Opportunities Fund*, Putnam Funds Trust - Putnam Multi-Cap Core Fund* and Guardian Diversified Research VIP Fund is a mutual fund registered with the U.S. Securities and Exchange Commission under the Investment Company Act of 1940, as amended, whose account is managed by Putnam Investment Management, LLC (“PIM”), including sole dispositive power over the shares. With respect to each Putnam mutual fund indicated with an “*” (the “Putnam Funds”), the Board Policy and Nominating Committee of the board of trustees of the Putnam Funds has sole voting power over the shares held by the Putnam Funds. With respect to Guardian Diversified Research VIP Fund, PIM has sole voting power over the shares held by such fund. The account of each of Nissay/Putnam Global Core Equity Fund, Putnam World Trust - Putnam Global Core Equity Fund, IG Putnam U.S. Growth Fund, Putnam World Trust - Putnam U.S. Large Cap Growth Fund, iProfile U.S. Equity Pool - Large Cap Growth Mandate, London Life Global Equity Fund 2.05L, and Mackenzie US All Cap Growth Fund is managed by The Putnam Advisory Company, LLC (“PAC”), including sole dispositive and voting power over the shares. PIM and PAC are owned through a series of holding companies by Great West Lifeco Inc., a publicly traded company whose shares are listed on the Toronto Stock Exchange.</w:t>
      </w:r>
    </w:p>
    <w:p>
      <w:pPr>
        <w:ind w:left="860" w:right="160" w:hanging="406"/>
        <w:spacing w:after="0" w:line="257" w:lineRule="auto"/>
        <w:tabs>
          <w:tab w:leader="none" w:pos="860" w:val="left"/>
        </w:tabs>
        <w:numPr>
          <w:ilvl w:val="0"/>
          <w:numId w:val="7"/>
        </w:numPr>
        <w:rPr>
          <w:rFonts w:ascii="Arial" w:cs="Arial" w:eastAsia="Arial" w:hAnsi="Arial"/>
          <w:sz w:val="17"/>
          <w:szCs w:val="17"/>
          <w:color w:val="auto"/>
        </w:rPr>
      </w:pPr>
      <w:r>
        <w:rPr>
          <w:rFonts w:ascii="Arial" w:cs="Arial" w:eastAsia="Arial" w:hAnsi="Arial"/>
          <w:sz w:val="17"/>
          <w:szCs w:val="17"/>
          <w:color w:val="auto"/>
        </w:rPr>
        <w:t>Assumes each selling stockholder will sell all shares of our common stock covered by this prospectus, and that each selling stockholder does not acquire any additional shares of common stock before the completion of this offering. However, because each selling stockholder can offer all, some, or none of its shares of common stock, no definitive estimate can be given as to the number of shares that such selling stockholder will ultimately offer or sell under this prospectus.</w:t>
      </w:r>
    </w:p>
    <w:p>
      <w:pPr>
        <w:spacing w:after="0" w:line="119"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0960"/>
          </w:cols>
          <w:pgMar w:left="240" w:top="444" w:right="699" w:bottom="1440" w:gutter="0" w:footer="0" w:header="0"/>
        </w:sectPr>
      </w:pPr>
    </w:p>
    <w:bookmarkStart w:id="17" w:name="page18"/>
    <w:bookmarkEnd w:id="1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PLAN OF DISTRIBUTION</w:t>
      </w:r>
    </w:p>
    <w:p>
      <w:pPr>
        <w:spacing w:after="0" w:line="223" w:lineRule="exact"/>
        <w:rPr>
          <w:sz w:val="20"/>
          <w:szCs w:val="20"/>
          <w:color w:val="auto"/>
        </w:rPr>
      </w:pPr>
    </w:p>
    <w:p>
      <w:pPr>
        <w:jc w:val="both"/>
        <w:ind w:left="460" w:right="300" w:firstLine="421"/>
        <w:spacing w:after="0" w:line="318" w:lineRule="auto"/>
        <w:rPr>
          <w:sz w:val="20"/>
          <w:szCs w:val="20"/>
          <w:color w:val="auto"/>
        </w:rPr>
      </w:pPr>
      <w:r>
        <w:rPr>
          <w:rFonts w:ascii="Arial" w:cs="Arial" w:eastAsia="Arial" w:hAnsi="Arial"/>
          <w:sz w:val="15"/>
          <w:szCs w:val="15"/>
          <w:color w:val="auto"/>
        </w:rPr>
        <w:t>This prospectus relates to the offer and sale from time to time by the selling stockholders identified in this prospectus of up to an aggregate of 2,500,000 shares of our common stock. We are not selling any shares of our common stock under this prospectus. The registration of these shares of common stock does not necessarily mean that any of these shares will be offered or sold by the selling stockholders.</w:t>
      </w:r>
    </w:p>
    <w:p>
      <w:pPr>
        <w:spacing w:after="0" w:line="139" w:lineRule="exact"/>
        <w:rPr>
          <w:sz w:val="20"/>
          <w:szCs w:val="20"/>
          <w:color w:val="auto"/>
        </w:rPr>
      </w:pPr>
    </w:p>
    <w:p>
      <w:pPr>
        <w:jc w:val="both"/>
        <w:ind w:left="460" w:right="120" w:firstLine="421"/>
        <w:spacing w:after="0" w:line="262" w:lineRule="auto"/>
        <w:rPr>
          <w:sz w:val="20"/>
          <w:szCs w:val="20"/>
          <w:color w:val="auto"/>
        </w:rPr>
      </w:pPr>
      <w:r>
        <w:rPr>
          <w:rFonts w:ascii="Arial" w:cs="Arial" w:eastAsia="Arial" w:hAnsi="Arial"/>
          <w:sz w:val="17"/>
          <w:szCs w:val="17"/>
          <w:color w:val="auto"/>
        </w:rPr>
        <w:t>The selling stockholders may sell the securities from time to time in one or more transactions, which may include underwritten public offerings, privately negotiated transactions, block trades, sales in the over-the-counter market, put or call options transactions relating to the shares, short sales of shares, hedging transactions, or a combination of these methods of sale or by any other legally available means. The securities may be distributed from time to time in one or more transactions:</w:t>
      </w:r>
    </w:p>
    <w:p>
      <w:pPr>
        <w:spacing w:after="0" w:line="88" w:lineRule="exact"/>
        <w:rPr>
          <w:sz w:val="20"/>
          <w:szCs w:val="20"/>
          <w:color w:val="auto"/>
        </w:rPr>
      </w:pPr>
    </w:p>
    <w:p>
      <w:pPr>
        <w:ind w:left="1280" w:hanging="310"/>
        <w:spacing w:after="0"/>
        <w:tabs>
          <w:tab w:leader="none" w:pos="1280" w:val="left"/>
        </w:tabs>
        <w:numPr>
          <w:ilvl w:val="0"/>
          <w:numId w:val="8"/>
        </w:numPr>
        <w:rPr>
          <w:rFonts w:ascii="Arial" w:cs="Arial" w:eastAsia="Arial" w:hAnsi="Arial"/>
          <w:sz w:val="17"/>
          <w:szCs w:val="17"/>
          <w:color w:val="auto"/>
        </w:rPr>
      </w:pPr>
      <w:r>
        <w:rPr>
          <w:rFonts w:ascii="Arial" w:cs="Arial" w:eastAsia="Arial" w:hAnsi="Arial"/>
          <w:sz w:val="17"/>
          <w:szCs w:val="17"/>
          <w:color w:val="auto"/>
        </w:rPr>
        <w:t>at a fixed price or prices, which may be changed;</w:t>
      </w:r>
    </w:p>
    <w:p>
      <w:pPr>
        <w:spacing w:after="0" w:line="126" w:lineRule="exact"/>
        <w:rPr>
          <w:rFonts w:ascii="Arial" w:cs="Arial" w:eastAsia="Arial" w:hAnsi="Arial"/>
          <w:sz w:val="17"/>
          <w:szCs w:val="17"/>
          <w:color w:val="auto"/>
        </w:rPr>
      </w:pPr>
    </w:p>
    <w:p>
      <w:pPr>
        <w:ind w:left="1280" w:hanging="310"/>
        <w:spacing w:after="0"/>
        <w:tabs>
          <w:tab w:leader="none" w:pos="1280" w:val="left"/>
        </w:tabs>
        <w:numPr>
          <w:ilvl w:val="0"/>
          <w:numId w:val="8"/>
        </w:numPr>
        <w:rPr>
          <w:rFonts w:ascii="Arial" w:cs="Arial" w:eastAsia="Arial" w:hAnsi="Arial"/>
          <w:sz w:val="17"/>
          <w:szCs w:val="17"/>
          <w:color w:val="auto"/>
        </w:rPr>
      </w:pPr>
      <w:r>
        <w:rPr>
          <w:rFonts w:ascii="Arial" w:cs="Arial" w:eastAsia="Arial" w:hAnsi="Arial"/>
          <w:sz w:val="17"/>
          <w:szCs w:val="17"/>
          <w:color w:val="auto"/>
        </w:rPr>
        <w:t>at market prices prevailing at the time of sale;</w:t>
      </w:r>
    </w:p>
    <w:p>
      <w:pPr>
        <w:spacing w:after="0" w:line="126" w:lineRule="exact"/>
        <w:rPr>
          <w:rFonts w:ascii="Arial" w:cs="Arial" w:eastAsia="Arial" w:hAnsi="Arial"/>
          <w:sz w:val="17"/>
          <w:szCs w:val="17"/>
          <w:color w:val="auto"/>
        </w:rPr>
      </w:pPr>
    </w:p>
    <w:p>
      <w:pPr>
        <w:ind w:left="1280" w:hanging="310"/>
        <w:spacing w:after="0"/>
        <w:tabs>
          <w:tab w:leader="none" w:pos="1280" w:val="left"/>
        </w:tabs>
        <w:numPr>
          <w:ilvl w:val="0"/>
          <w:numId w:val="8"/>
        </w:numPr>
        <w:rPr>
          <w:rFonts w:ascii="Arial" w:cs="Arial" w:eastAsia="Arial" w:hAnsi="Arial"/>
          <w:sz w:val="17"/>
          <w:szCs w:val="17"/>
          <w:color w:val="auto"/>
        </w:rPr>
      </w:pPr>
      <w:r>
        <w:rPr>
          <w:rFonts w:ascii="Arial" w:cs="Arial" w:eastAsia="Arial" w:hAnsi="Arial"/>
          <w:sz w:val="17"/>
          <w:szCs w:val="17"/>
          <w:color w:val="auto"/>
        </w:rPr>
        <w:t>at prices related to such prevailing market prices; or</w:t>
      </w:r>
    </w:p>
    <w:p>
      <w:pPr>
        <w:spacing w:after="0" w:line="126" w:lineRule="exact"/>
        <w:rPr>
          <w:rFonts w:ascii="Arial" w:cs="Arial" w:eastAsia="Arial" w:hAnsi="Arial"/>
          <w:sz w:val="17"/>
          <w:szCs w:val="17"/>
          <w:color w:val="auto"/>
        </w:rPr>
      </w:pPr>
    </w:p>
    <w:p>
      <w:pPr>
        <w:ind w:left="1280" w:hanging="310"/>
        <w:spacing w:after="0"/>
        <w:tabs>
          <w:tab w:leader="none" w:pos="1280" w:val="left"/>
        </w:tabs>
        <w:numPr>
          <w:ilvl w:val="0"/>
          <w:numId w:val="8"/>
        </w:numPr>
        <w:rPr>
          <w:rFonts w:ascii="Arial" w:cs="Arial" w:eastAsia="Arial" w:hAnsi="Arial"/>
          <w:sz w:val="17"/>
          <w:szCs w:val="17"/>
          <w:color w:val="auto"/>
        </w:rPr>
      </w:pPr>
      <w:r>
        <w:rPr>
          <w:rFonts w:ascii="Arial" w:cs="Arial" w:eastAsia="Arial" w:hAnsi="Arial"/>
          <w:sz w:val="17"/>
          <w:szCs w:val="17"/>
          <w:color w:val="auto"/>
        </w:rPr>
        <w:t>at negotiated prices.</w:t>
      </w:r>
    </w:p>
    <w:p>
      <w:pPr>
        <w:spacing w:after="0" w:line="217" w:lineRule="exact"/>
        <w:rPr>
          <w:sz w:val="20"/>
          <w:szCs w:val="20"/>
          <w:color w:val="auto"/>
        </w:rPr>
      </w:pPr>
    </w:p>
    <w:p>
      <w:pPr>
        <w:ind w:left="460" w:right="200" w:firstLine="421"/>
        <w:spacing w:after="0" w:line="312" w:lineRule="auto"/>
        <w:rPr>
          <w:sz w:val="20"/>
          <w:szCs w:val="20"/>
          <w:color w:val="auto"/>
        </w:rPr>
      </w:pPr>
      <w:r>
        <w:rPr>
          <w:rFonts w:ascii="Arial" w:cs="Arial" w:eastAsia="Arial" w:hAnsi="Arial"/>
          <w:sz w:val="16"/>
          <w:szCs w:val="16"/>
          <w:color w:val="auto"/>
        </w:rPr>
        <w:t>Any shares covered by this prospectus which qualify for sale pursuant to Rule 144 of the Securities Act may be sold under Rule 144 rather than pursuant to this prospectus. In addition, the selling stockholders may transfer the shares by other means not described in this prospectus.</w:t>
      </w:r>
    </w:p>
    <w:p>
      <w:pPr>
        <w:spacing w:after="0" w:line="140" w:lineRule="exact"/>
        <w:rPr>
          <w:sz w:val="20"/>
          <w:szCs w:val="20"/>
          <w:color w:val="auto"/>
        </w:rPr>
      </w:pPr>
    </w:p>
    <w:p>
      <w:pPr>
        <w:ind w:left="460" w:firstLine="421"/>
        <w:spacing w:after="0" w:line="262" w:lineRule="auto"/>
        <w:rPr>
          <w:sz w:val="20"/>
          <w:szCs w:val="20"/>
          <w:color w:val="auto"/>
        </w:rPr>
      </w:pPr>
      <w:r>
        <w:rPr>
          <w:rFonts w:ascii="Arial" w:cs="Arial" w:eastAsia="Arial" w:hAnsi="Arial"/>
          <w:sz w:val="17"/>
          <w:szCs w:val="17"/>
          <w:color w:val="auto"/>
        </w:rPr>
        <w:t>The selling stockholders may effect such transactions by selling shares directly to one or more purchasers or to or through broker-dealers, which may act as agents or principals. Such broker-dealers may receive compensation in the form of discounts, concessions or commissions from the selling stockholders or the purchasers of shares for whom such broker-dealers may act as agents or to whom they sell as principal, or both (which compensation as to a particular broker-dealer might be in excess of customary commissions).</w:t>
      </w:r>
    </w:p>
    <w:p>
      <w:pPr>
        <w:spacing w:after="0" w:line="178" w:lineRule="exact"/>
        <w:rPr>
          <w:sz w:val="20"/>
          <w:szCs w:val="20"/>
          <w:color w:val="auto"/>
        </w:rPr>
      </w:pPr>
    </w:p>
    <w:p>
      <w:pPr>
        <w:ind w:left="460" w:firstLine="421"/>
        <w:spacing w:after="0" w:line="290" w:lineRule="auto"/>
        <w:rPr>
          <w:sz w:val="20"/>
          <w:szCs w:val="20"/>
          <w:color w:val="auto"/>
        </w:rPr>
      </w:pPr>
      <w:r>
        <w:rPr>
          <w:rFonts w:ascii="Arial" w:cs="Arial" w:eastAsia="Arial" w:hAnsi="Arial"/>
          <w:sz w:val="16"/>
          <w:szCs w:val="16"/>
          <w:color w:val="auto"/>
        </w:rPr>
        <w:t>To the extent required under the Securities Act, an amendment to this prospectus, or a supplemental prospectus will be filed, disclosing the number of the selling stockholders’ securities being offered, the offering price of the securities, the name of any agents, brokers, dealers or underwriters, any applicable commissions paid or discounts or concessions allowed, and any other facts material to the transaction.</w:t>
      </w:r>
    </w:p>
    <w:p>
      <w:pPr>
        <w:spacing w:after="0" w:line="158" w:lineRule="exact"/>
        <w:rPr>
          <w:sz w:val="20"/>
          <w:szCs w:val="20"/>
          <w:color w:val="auto"/>
        </w:rPr>
      </w:pPr>
    </w:p>
    <w:p>
      <w:pPr>
        <w:ind w:left="460" w:right="420" w:firstLine="421"/>
        <w:spacing w:after="0" w:line="349" w:lineRule="auto"/>
        <w:rPr>
          <w:sz w:val="20"/>
          <w:szCs w:val="20"/>
          <w:color w:val="auto"/>
        </w:rPr>
      </w:pPr>
      <w:r>
        <w:rPr>
          <w:rFonts w:ascii="Arial" w:cs="Arial" w:eastAsia="Arial" w:hAnsi="Arial"/>
          <w:sz w:val="15"/>
          <w:szCs w:val="15"/>
          <w:color w:val="auto"/>
        </w:rPr>
        <w:t>Offers to purchase the securities being offered by this prospectus may be solicited directly. Agents may also be designated to solicit offers to purchase the securities from time to time. Any agent involved in the offer or sale of our securities will be identified in a prospectus supplement.</w:t>
      </w:r>
    </w:p>
    <w:p>
      <w:pPr>
        <w:spacing w:after="0" w:line="117" w:lineRule="exact"/>
        <w:rPr>
          <w:sz w:val="20"/>
          <w:szCs w:val="20"/>
          <w:color w:val="auto"/>
        </w:rPr>
      </w:pPr>
    </w:p>
    <w:p>
      <w:pPr>
        <w:ind w:left="460" w:right="120" w:firstLine="421"/>
        <w:spacing w:after="0" w:line="279" w:lineRule="auto"/>
        <w:rPr>
          <w:sz w:val="20"/>
          <w:szCs w:val="20"/>
          <w:color w:val="auto"/>
        </w:rPr>
      </w:pPr>
      <w:r>
        <w:rPr>
          <w:rFonts w:ascii="Arial" w:cs="Arial" w:eastAsia="Arial" w:hAnsi="Arial"/>
          <w:sz w:val="17"/>
          <w:szCs w:val="17"/>
          <w:color w:val="auto"/>
        </w:rPr>
        <w:t>If a dealer is utilized in the sale of the securities being offered by this prospectus, the securities will be sold to the dealer, as principal. The dealer may then resell the securities to the public at varying prices to be determined by the dealer at the time of resale.</w:t>
      </w:r>
    </w:p>
    <w:p>
      <w:pPr>
        <w:spacing w:after="0" w:line="164" w:lineRule="exact"/>
        <w:rPr>
          <w:sz w:val="20"/>
          <w:szCs w:val="20"/>
          <w:color w:val="auto"/>
        </w:rPr>
      </w:pPr>
    </w:p>
    <w:p>
      <w:pPr>
        <w:ind w:left="460" w:right="60" w:firstLine="421"/>
        <w:spacing w:after="0" w:line="257" w:lineRule="auto"/>
        <w:rPr>
          <w:sz w:val="20"/>
          <w:szCs w:val="20"/>
          <w:color w:val="auto"/>
        </w:rPr>
      </w:pPr>
      <w:r>
        <w:rPr>
          <w:rFonts w:ascii="Arial" w:cs="Arial" w:eastAsia="Arial" w:hAnsi="Arial"/>
          <w:sz w:val="17"/>
          <w:szCs w:val="17"/>
          <w:color w:val="auto"/>
        </w:rPr>
        <w:t>If an underwriter is utilized in the sale of the securities being offered by this prospectus, an underwriting agreement will be executed with the underwriter at the time of sale and the name of any underwriter will be provided in the prospectus supplement that the underwriter will use to make resales of the securities to the public. In connection with the sale of the securities, we, or the selling stockholders, or the purchasers of securities for whom the underwriter may act as agent, may compensate the underwriter in the form of underwriting discounts or commissions. The underwriter may sell the securities to or through dealers, and those dealers may receive compensation in the form of discounts, concessions or commissions from the underwriters and/or commissions from the purchasers for which they may act as agent. Unless otherwise indicated in a prospectus supplement, an agent will be acting on a best efforts basis and a dealer will purchase securities as a principal, and may then resell the securities at varying prices to be determined by the dealer.</w:t>
      </w:r>
    </w:p>
    <w:p>
      <w:pPr>
        <w:spacing w:after="0" w:line="117"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0940"/>
          </w:cols>
          <w:pgMar w:left="240" w:top="444" w:right="719" w:bottom="1440" w:gutter="0" w:footer="0" w:header="0"/>
        </w:sectPr>
      </w:pPr>
    </w:p>
    <w:bookmarkStart w:id="18" w:name="page19"/>
    <w:bookmarkEnd w:id="1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right="200" w:firstLine="421"/>
        <w:spacing w:after="0" w:line="299" w:lineRule="auto"/>
        <w:rPr>
          <w:sz w:val="20"/>
          <w:szCs w:val="20"/>
          <w:color w:val="auto"/>
        </w:rPr>
      </w:pPr>
      <w:r>
        <w:rPr>
          <w:rFonts w:ascii="Arial" w:cs="Arial" w:eastAsia="Arial" w:hAnsi="Arial"/>
          <w:sz w:val="15"/>
          <w:szCs w:val="15"/>
          <w:color w:val="auto"/>
        </w:rPr>
        <w:t>Any compensation paid to underwriters, dealers or agents in connection with the offering of the securities, and any discounts, concessions or commissions allowed by underwriters to participating dealers will be provided in the applicable prospectus supplement. 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 and to reimburse those persons for certain expenses.</w:t>
      </w:r>
    </w:p>
    <w:p>
      <w:pPr>
        <w:spacing w:after="0" w:line="155" w:lineRule="exact"/>
        <w:rPr>
          <w:sz w:val="20"/>
          <w:szCs w:val="20"/>
          <w:color w:val="auto"/>
        </w:rPr>
      </w:pPr>
    </w:p>
    <w:p>
      <w:pPr>
        <w:ind w:left="460" w:firstLine="421"/>
        <w:spacing w:after="0" w:line="307" w:lineRule="auto"/>
        <w:rPr>
          <w:sz w:val="20"/>
          <w:szCs w:val="20"/>
          <w:color w:val="auto"/>
        </w:rPr>
      </w:pPr>
      <w:r>
        <w:rPr>
          <w:rFonts w:ascii="Arial" w:cs="Arial" w:eastAsia="Arial" w:hAnsi="Arial"/>
          <w:sz w:val="15"/>
          <w:szCs w:val="15"/>
          <w:color w:val="auto"/>
        </w:rPr>
        <w:t>Our common stock is listed on The NASDAQ Global Select Market. To facilitate the offering of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were sold to them. In these circumstances, these persons would cover such over-allotments or short positions by making purchases in the open market or by exercising their over-allotment option, if any.</w:t>
      </w:r>
    </w:p>
    <w:p>
      <w:pPr>
        <w:spacing w:after="0" w:line="149" w:lineRule="exact"/>
        <w:rPr>
          <w:sz w:val="20"/>
          <w:szCs w:val="20"/>
          <w:color w:val="auto"/>
        </w:rPr>
      </w:pPr>
    </w:p>
    <w:p>
      <w:pPr>
        <w:ind w:left="460" w:right="340" w:firstLine="421"/>
        <w:spacing w:after="0" w:line="307" w:lineRule="auto"/>
        <w:rPr>
          <w:sz w:val="20"/>
          <w:szCs w:val="20"/>
          <w:color w:val="auto"/>
        </w:rPr>
      </w:pPr>
      <w:r>
        <w:rPr>
          <w:rFonts w:ascii="Arial" w:cs="Arial" w:eastAsia="Arial" w:hAnsi="Arial"/>
          <w:sz w:val="15"/>
          <w:szCs w:val="15"/>
          <w:color w:val="auto"/>
        </w:rPr>
        <w:t>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149"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specific terms of any lock-up provisions in respect of any given offering will be described in the applicable prospectus supplement.</w:t>
      </w:r>
    </w:p>
    <w:p>
      <w:pPr>
        <w:spacing w:after="0" w:line="229" w:lineRule="exact"/>
        <w:rPr>
          <w:sz w:val="20"/>
          <w:szCs w:val="20"/>
          <w:color w:val="auto"/>
        </w:rPr>
      </w:pPr>
    </w:p>
    <w:p>
      <w:pPr>
        <w:ind w:left="460" w:right="140" w:firstLine="421"/>
        <w:spacing w:after="0" w:line="279" w:lineRule="auto"/>
        <w:rPr>
          <w:sz w:val="20"/>
          <w:szCs w:val="20"/>
          <w:color w:val="auto"/>
        </w:rPr>
      </w:pPr>
      <w:r>
        <w:rPr>
          <w:rFonts w:ascii="Arial" w:cs="Arial" w:eastAsia="Arial" w:hAnsi="Arial"/>
          <w:sz w:val="17"/>
          <w:szCs w:val="17"/>
          <w:color w:val="auto"/>
        </w:rPr>
        <w:t>The underwriters, dealers and agents may engage in transactions with us, or perform services for us, in the ordinary course of business for which they receive compensation.</w:t>
      </w:r>
    </w:p>
    <w:p>
      <w:pPr>
        <w:spacing w:after="0" w:line="100"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0960"/>
          </w:cols>
          <w:pgMar w:left="240" w:top="444" w:right="699" w:bottom="1440" w:gutter="0" w:footer="0" w:header="0"/>
        </w:sectPr>
      </w:pPr>
    </w:p>
    <w:bookmarkStart w:id="19" w:name="page20"/>
    <w:bookmarkEnd w:id="1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ind w:left="4980"/>
        <w:spacing w:after="0"/>
        <w:rPr>
          <w:sz w:val="20"/>
          <w:szCs w:val="20"/>
          <w:color w:val="auto"/>
        </w:rPr>
      </w:pPr>
      <w:r>
        <w:rPr>
          <w:rFonts w:ascii="Arial" w:cs="Arial" w:eastAsia="Arial" w:hAnsi="Arial"/>
          <w:sz w:val="17"/>
          <w:szCs w:val="17"/>
          <w:b w:val="1"/>
          <w:bCs w:val="1"/>
          <w:color w:val="auto"/>
        </w:rPr>
        <w:t>LEGAL MATTERS</w:t>
      </w:r>
    </w:p>
    <w:p>
      <w:pPr>
        <w:spacing w:after="0" w:line="223" w:lineRule="exact"/>
        <w:rPr>
          <w:sz w:val="20"/>
          <w:szCs w:val="20"/>
          <w:color w:val="auto"/>
        </w:rPr>
      </w:pPr>
    </w:p>
    <w:p>
      <w:pPr>
        <w:ind w:left="880"/>
        <w:spacing w:after="0"/>
        <w:rPr>
          <w:sz w:val="20"/>
          <w:szCs w:val="20"/>
          <w:color w:val="auto"/>
        </w:rPr>
      </w:pPr>
      <w:r>
        <w:rPr>
          <w:rFonts w:ascii="Arial" w:cs="Arial" w:eastAsia="Arial" w:hAnsi="Arial"/>
          <w:sz w:val="17"/>
          <w:szCs w:val="17"/>
          <w:color w:val="auto"/>
        </w:rPr>
        <w:t>Latham &amp; Watkins LLP will pass upon the validity of the issuance of the common stock covered by this prospectus.</w:t>
      </w:r>
    </w:p>
    <w:p>
      <w:pPr>
        <w:spacing w:after="0" w:line="200" w:lineRule="exact"/>
        <w:rPr>
          <w:sz w:val="20"/>
          <w:szCs w:val="20"/>
          <w:color w:val="auto"/>
        </w:rPr>
      </w:pPr>
    </w:p>
    <w:p>
      <w:pPr>
        <w:spacing w:after="0" w:line="217"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EXPERTS</w:t>
      </w:r>
    </w:p>
    <w:p>
      <w:pPr>
        <w:spacing w:after="0" w:line="223" w:lineRule="exact"/>
        <w:rPr>
          <w:sz w:val="20"/>
          <w:szCs w:val="20"/>
          <w:color w:val="auto"/>
        </w:rPr>
      </w:pPr>
    </w:p>
    <w:p>
      <w:pPr>
        <w:ind w:left="460" w:firstLine="421"/>
        <w:spacing w:after="0" w:line="259" w:lineRule="auto"/>
        <w:rPr>
          <w:sz w:val="20"/>
          <w:szCs w:val="20"/>
          <w:color w:val="auto"/>
        </w:rPr>
      </w:pPr>
      <w:r>
        <w:rPr>
          <w:rFonts w:ascii="Arial" w:cs="Arial" w:eastAsia="Arial" w:hAnsi="Arial"/>
          <w:sz w:val="17"/>
          <w:szCs w:val="17"/>
          <w:color w:val="auto"/>
        </w:rPr>
        <w:t>The financial statements, and the related financial statement schedule, incorporated in this Prospectus by reference from the Company’s Annual Report on Form 10-K for the year ended December 31, 2017, and the effectiveness of the Company’s internal control over financial reporting have been audited by Deloitte &amp; Touche LLP, an independent registered public accounting firm, as stated in their reports, which are incorporated herein by reference. Such financial statements and financial statement schedule have been so incorporated in reliance upon the reports of such firm given upon their authority as experts in accounting and auditing.</w:t>
      </w:r>
    </w:p>
    <w:p>
      <w:pPr>
        <w:spacing w:after="0" w:line="183" w:lineRule="exact"/>
        <w:rPr>
          <w:sz w:val="20"/>
          <w:szCs w:val="20"/>
          <w:color w:val="auto"/>
        </w:rPr>
      </w:pPr>
    </w:p>
    <w:p>
      <w:pPr>
        <w:ind w:left="460" w:firstLine="421"/>
        <w:spacing w:after="0" w:line="259" w:lineRule="auto"/>
        <w:rPr>
          <w:sz w:val="20"/>
          <w:szCs w:val="20"/>
          <w:color w:val="auto"/>
        </w:rPr>
      </w:pPr>
      <w:r>
        <w:rPr>
          <w:rFonts w:ascii="Arial" w:cs="Arial" w:eastAsia="Arial" w:hAnsi="Arial"/>
          <w:sz w:val="17"/>
          <w:szCs w:val="17"/>
          <w:color w:val="auto"/>
        </w:rPr>
        <w:t>The combined statements of income (loss) and comprehensive income (loss), business unit equity, and cash flows of Pfizer Infusion Systems for the years ended December 31, 2016 and 2015, and the related notes, incorporated in this prospectus by reference from the Current Report on Form 8-K of ICU Medical, Inc., filed on November 15, 2018, have been audited by KPMG LLP, an independent registered public accounting firm, as stated in their report thereon, and have been incorporated in this prospectus and registration statement in reliance upon such report and upon the authority of such firm as experts in accounting and auditing.</w:t>
      </w:r>
    </w:p>
    <w:p>
      <w:pPr>
        <w:spacing w:after="0" w:line="118"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0920"/>
          </w:cols>
          <w:pgMar w:left="240" w:top="444" w:right="739" w:bottom="1440" w:gutter="0" w:footer="0" w:header="0"/>
        </w:sectPr>
      </w:pPr>
    </w:p>
    <w:bookmarkStart w:id="20" w:name="page21"/>
    <w:bookmarkEnd w:id="2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229235</wp:posOffset>
            </wp:positionV>
            <wp:extent cx="6679565" cy="247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679565" cy="2476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286385</wp:posOffset>
            </wp:positionV>
            <wp:extent cx="667956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679565" cy="8255"/>
                    </a:xfrm>
                    <a:prstGeom prst="rect">
                      <a:avLst/>
                    </a:prstGeom>
                    <a:noFill/>
                  </pic:spPr>
                </pic:pic>
              </a:graphicData>
            </a:graphic>
          </wp:anchor>
        </w:drawing>
      </w:r>
    </w:p>
    <w:p>
      <w:pPr>
        <w:sectPr>
          <w:pgSz w:w="11900" w:h="16838" w:orient="portrait"/>
          <w:cols w:equalWidth="0" w:num="1">
            <w:col w:w="10219"/>
          </w:cols>
          <w:pgMar w:left="240" w:top="44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3720"/>
        <w:spacing w:after="0"/>
        <w:rPr>
          <w:sz w:val="20"/>
          <w:szCs w:val="20"/>
          <w:color w:val="auto"/>
        </w:rPr>
      </w:pPr>
      <w:r>
        <w:rPr>
          <w:rFonts w:ascii="Arial" w:cs="Arial" w:eastAsia="Arial" w:hAnsi="Arial"/>
          <w:sz w:val="21"/>
          <w:szCs w:val="21"/>
          <w:b w:val="1"/>
          <w:bCs w:val="1"/>
          <w:color w:val="auto"/>
        </w:rPr>
        <w:t>Common Stock Up to 2,500,000 Shares</w:t>
      </w:r>
    </w:p>
    <w:p>
      <w:pPr>
        <w:spacing w:after="0" w:line="200" w:lineRule="exact"/>
        <w:rPr>
          <w:sz w:val="20"/>
          <w:szCs w:val="20"/>
          <w:color w:val="auto"/>
        </w:rPr>
      </w:pPr>
    </w:p>
    <w:p>
      <w:pPr>
        <w:spacing w:after="0" w:line="236" w:lineRule="exact"/>
        <w:rPr>
          <w:sz w:val="20"/>
          <w:szCs w:val="20"/>
          <w:color w:val="auto"/>
        </w:rPr>
      </w:pPr>
    </w:p>
    <w:p>
      <w:pPr>
        <w:ind w:left="4140"/>
        <w:spacing w:after="0"/>
        <w:rPr>
          <w:sz w:val="20"/>
          <w:szCs w:val="20"/>
          <w:color w:val="auto"/>
        </w:rPr>
      </w:pPr>
      <w:r>
        <w:rPr>
          <w:rFonts w:ascii="Arial" w:cs="Arial" w:eastAsia="Arial" w:hAnsi="Arial"/>
          <w:sz w:val="41"/>
          <w:szCs w:val="41"/>
          <w:b w:val="1"/>
          <w:bCs w:val="1"/>
          <w:color w:val="auto"/>
        </w:rPr>
        <w:t>ICU Medical,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4024630</wp:posOffset>
            </wp:positionV>
            <wp:extent cx="667956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679565" cy="825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4081780</wp:posOffset>
            </wp:positionV>
            <wp:extent cx="6679565" cy="247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679565" cy="24765"/>
                    </a:xfrm>
                    <a:prstGeom prst="rect">
                      <a:avLst/>
                    </a:prstGeom>
                    <a:noFill/>
                  </pic:spPr>
                </pic:pic>
              </a:graphicData>
            </a:graphic>
          </wp:anchor>
        </w:drawing>
        <w:drawing>
          <wp:anchor simplePos="0" relativeHeight="251657728" behindDoc="1" locked="0" layoutInCell="0" allowOverlap="1">
            <wp:simplePos x="0" y="0"/>
            <wp:positionH relativeFrom="column">
              <wp:posOffset>2637790</wp:posOffset>
            </wp:positionH>
            <wp:positionV relativeFrom="paragraph">
              <wp:posOffset>332740</wp:posOffset>
            </wp:positionV>
            <wp:extent cx="1981200" cy="5486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981200" cy="548640"/>
                    </a:xfrm>
                    <a:prstGeom prst="rect">
                      <a:avLst/>
                    </a:prstGeom>
                    <a:noFill/>
                  </pic:spPr>
                </pic:pic>
              </a:graphicData>
            </a:graphic>
          </wp:anchor>
        </w:drawing>
      </w:r>
    </w:p>
    <w:p>
      <w:pPr>
        <w:sectPr>
          <w:pgSz w:w="11900" w:h="16838" w:orient="portrait"/>
          <w:cols w:equalWidth="0" w:num="1">
            <w:col w:w="10219"/>
          </w:cols>
          <w:pgMar w:left="240" w:top="444" w:right="1440" w:bottom="1440" w:gutter="0" w:footer="0" w:header="0"/>
          <w:type w:val="continuous"/>
        </w:sectPr>
      </w:pPr>
    </w:p>
    <w:bookmarkStart w:id="21" w:name="page22"/>
    <w:bookmarkEnd w:id="2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PART II</w:t>
      </w:r>
    </w:p>
    <w:p>
      <w:pPr>
        <w:spacing w:after="0" w:line="28"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INFORMATION NOT REQUIRED IN PROSPECTUS</w:t>
      </w:r>
    </w:p>
    <w:p>
      <w:pPr>
        <w:spacing w:after="0" w:line="226" w:lineRule="exact"/>
        <w:rPr>
          <w:sz w:val="20"/>
          <w:szCs w:val="20"/>
          <w:color w:val="auto"/>
        </w:rPr>
      </w:pPr>
    </w:p>
    <w:p>
      <w:pPr>
        <w:ind w:left="460"/>
        <w:spacing w:after="0"/>
        <w:tabs>
          <w:tab w:leader="none" w:pos="1280" w:val="left"/>
        </w:tabs>
        <w:rPr>
          <w:sz w:val="20"/>
          <w:szCs w:val="20"/>
          <w:color w:val="auto"/>
        </w:rPr>
      </w:pPr>
      <w:r>
        <w:rPr>
          <w:rFonts w:ascii="Arial" w:cs="Arial" w:eastAsia="Arial" w:hAnsi="Arial"/>
          <w:sz w:val="17"/>
          <w:szCs w:val="17"/>
          <w:b w:val="1"/>
          <w:bCs w:val="1"/>
          <w:color w:val="auto"/>
        </w:rPr>
        <w:t>Item 14.</w:t>
      </w:r>
      <w:r>
        <w:rPr>
          <w:sz w:val="20"/>
          <w:szCs w:val="20"/>
          <w:color w:val="auto"/>
        </w:rPr>
        <w:tab/>
      </w:r>
      <w:r>
        <w:rPr>
          <w:rFonts w:ascii="Arial" w:cs="Arial" w:eastAsia="Arial" w:hAnsi="Arial"/>
          <w:sz w:val="14"/>
          <w:szCs w:val="14"/>
          <w:b w:val="1"/>
          <w:bCs w:val="1"/>
          <w:i w:val="1"/>
          <w:iCs w:val="1"/>
          <w:color w:val="auto"/>
        </w:rPr>
        <w:t>Other Expenses of Issuance and Distribution</w:t>
      </w:r>
    </w:p>
    <w:p>
      <w:pPr>
        <w:spacing w:after="0" w:line="120" w:lineRule="exact"/>
        <w:rPr>
          <w:sz w:val="20"/>
          <w:szCs w:val="20"/>
          <w:color w:val="auto"/>
        </w:rPr>
      </w:pPr>
    </w:p>
    <w:p>
      <w:pPr>
        <w:ind w:left="460" w:right="380" w:firstLine="421"/>
        <w:spacing w:after="0" w:line="279" w:lineRule="auto"/>
        <w:rPr>
          <w:sz w:val="20"/>
          <w:szCs w:val="20"/>
          <w:color w:val="auto"/>
        </w:rPr>
      </w:pPr>
      <w:r>
        <w:rPr>
          <w:rFonts w:ascii="Arial" w:cs="Arial" w:eastAsia="Arial" w:hAnsi="Arial"/>
          <w:sz w:val="17"/>
          <w:szCs w:val="17"/>
          <w:color w:val="auto"/>
        </w:rPr>
        <w:t>The following is an estimate of the expenses (all of which are to be paid by the registrant) that we may incur in connection with the securities being registered hereby.</w:t>
      </w:r>
    </w:p>
    <w:p>
      <w:pPr>
        <w:spacing w:after="0" w:line="165" w:lineRule="exact"/>
        <w:rPr>
          <w:sz w:val="20"/>
          <w:szCs w:val="20"/>
          <w:color w:val="auto"/>
        </w:rPr>
      </w:pPr>
    </w:p>
    <w:tbl>
      <w:tblPr>
        <w:tblLayout w:type="fixed"/>
        <w:tblInd w:w="214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right"/>
              <w:ind w:right="574"/>
              <w:spacing w:after="0"/>
              <w:rPr>
                <w:sz w:val="20"/>
                <w:szCs w:val="20"/>
                <w:color w:val="auto"/>
              </w:rPr>
            </w:pPr>
            <w:r>
              <w:rPr>
                <w:rFonts w:ascii="Arial" w:cs="Arial" w:eastAsia="Arial" w:hAnsi="Arial"/>
                <w:sz w:val="14"/>
                <w:szCs w:val="14"/>
                <w:color w:val="auto"/>
                <w:w w:val="90"/>
              </w:rPr>
              <w:t>Amount to</w:t>
            </w:r>
          </w:p>
        </w:tc>
      </w:tr>
      <w:tr>
        <w:trPr>
          <w:trHeight w:val="160"/>
        </w:trPr>
        <w:tc>
          <w:tcPr>
            <w:tcW w:w="5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gridSpan w:val="2"/>
          </w:tcPr>
          <w:p>
            <w:pPr>
              <w:jc w:val="right"/>
              <w:ind w:right="574"/>
              <w:spacing w:after="0"/>
              <w:rPr>
                <w:sz w:val="20"/>
                <w:szCs w:val="20"/>
                <w:color w:val="auto"/>
              </w:rPr>
            </w:pPr>
            <w:r>
              <w:rPr>
                <w:rFonts w:ascii="Arial" w:cs="Arial" w:eastAsia="Arial" w:hAnsi="Arial"/>
                <w:sz w:val="14"/>
                <w:szCs w:val="14"/>
                <w:color w:val="auto"/>
                <w:w w:val="86"/>
              </w:rPr>
              <w:t>be paid (1)</w:t>
            </w:r>
          </w:p>
        </w:tc>
      </w:tr>
      <w:tr>
        <w:trPr>
          <w:trHeight w:val="199"/>
        </w:trPr>
        <w:tc>
          <w:tcPr>
            <w:tcW w:w="5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SEC registration fee</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66,444.87</w:t>
            </w:r>
          </w:p>
        </w:tc>
        <w:tc>
          <w:tcPr>
            <w:tcW w:w="560" w:type="dxa"/>
            <w:vAlign w:val="bottom"/>
            <w:tcBorders>
              <w:top w:val="single" w:sz="8" w:color="CCEEFF"/>
            </w:tcBorders>
            <w:shd w:val="clear" w:color="auto" w:fill="CCEEFF"/>
          </w:tcPr>
          <w:p>
            <w:pPr>
              <w:spacing w:after="0"/>
              <w:rPr>
                <w:sz w:val="17"/>
                <w:szCs w:val="17"/>
                <w:color w:val="auto"/>
              </w:rPr>
            </w:pPr>
          </w:p>
        </w:tc>
      </w:tr>
      <w:tr>
        <w:trPr>
          <w:trHeight w:val="206"/>
        </w:trPr>
        <w:tc>
          <w:tcPr>
            <w:tcW w:w="5800" w:type="dxa"/>
            <w:vAlign w:val="bottom"/>
          </w:tcPr>
          <w:p>
            <w:pPr>
              <w:spacing w:after="0"/>
              <w:rPr>
                <w:sz w:val="20"/>
                <w:szCs w:val="20"/>
                <w:color w:val="auto"/>
              </w:rPr>
            </w:pPr>
            <w:r>
              <w:rPr>
                <w:rFonts w:ascii="Arial" w:cs="Arial" w:eastAsia="Arial" w:hAnsi="Arial"/>
                <w:sz w:val="17"/>
                <w:szCs w:val="17"/>
                <w:color w:val="auto"/>
              </w:rPr>
              <w:t>Printing expenses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(1)</w:t>
            </w:r>
          </w:p>
        </w:tc>
      </w:tr>
      <w:tr>
        <w:trPr>
          <w:trHeight w:val="206"/>
        </w:trPr>
        <w:tc>
          <w:tcPr>
            <w:tcW w:w="5800" w:type="dxa"/>
            <w:vAlign w:val="bottom"/>
            <w:shd w:val="clear" w:color="auto" w:fill="CCEEFF"/>
          </w:tcPr>
          <w:p>
            <w:pPr>
              <w:spacing w:after="0"/>
              <w:rPr>
                <w:sz w:val="20"/>
                <w:szCs w:val="20"/>
                <w:color w:val="auto"/>
              </w:rPr>
            </w:pPr>
            <w:r>
              <w:rPr>
                <w:rFonts w:ascii="Arial" w:cs="Arial" w:eastAsia="Arial" w:hAnsi="Arial"/>
                <w:sz w:val="17"/>
                <w:szCs w:val="17"/>
                <w:color w:val="auto"/>
              </w:rPr>
              <w:t>Legal fees and expenses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06"/>
        </w:trPr>
        <w:tc>
          <w:tcPr>
            <w:tcW w:w="5800" w:type="dxa"/>
            <w:vAlign w:val="bottom"/>
          </w:tcPr>
          <w:p>
            <w:pPr>
              <w:spacing w:after="0"/>
              <w:rPr>
                <w:sz w:val="20"/>
                <w:szCs w:val="20"/>
                <w:color w:val="auto"/>
              </w:rPr>
            </w:pPr>
            <w:r>
              <w:rPr>
                <w:rFonts w:ascii="Arial" w:cs="Arial" w:eastAsia="Arial" w:hAnsi="Arial"/>
                <w:sz w:val="17"/>
                <w:szCs w:val="17"/>
                <w:color w:val="auto"/>
              </w:rPr>
              <w:t>Accounting fees and expenses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(1)</w:t>
            </w:r>
          </w:p>
        </w:tc>
      </w:tr>
      <w:tr>
        <w:trPr>
          <w:trHeight w:val="206"/>
        </w:trPr>
        <w:tc>
          <w:tcPr>
            <w:tcW w:w="5800" w:type="dxa"/>
            <w:vAlign w:val="bottom"/>
            <w:shd w:val="clear" w:color="auto" w:fill="CCEEFF"/>
          </w:tcPr>
          <w:p>
            <w:pPr>
              <w:spacing w:after="0"/>
              <w:rPr>
                <w:sz w:val="20"/>
                <w:szCs w:val="20"/>
                <w:color w:val="auto"/>
              </w:rPr>
            </w:pPr>
            <w:r>
              <w:rPr>
                <w:rFonts w:ascii="Arial" w:cs="Arial" w:eastAsia="Arial" w:hAnsi="Arial"/>
                <w:sz w:val="17"/>
                <w:szCs w:val="17"/>
                <w:color w:val="auto"/>
              </w:rPr>
              <w:t>Stock exchange listing fees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474"/>
              <w:spacing w:after="0"/>
              <w:rPr>
                <w:sz w:val="20"/>
                <w:szCs w:val="20"/>
                <w:color w:val="auto"/>
              </w:rPr>
            </w:pPr>
            <w:r>
              <w:rPr>
                <w:rFonts w:ascii="Arial" w:cs="Arial" w:eastAsia="Arial" w:hAnsi="Arial"/>
                <w:sz w:val="17"/>
                <w:szCs w:val="17"/>
                <w:color w:val="auto"/>
              </w:rPr>
              <w:t>0</w:t>
            </w:r>
          </w:p>
        </w:tc>
      </w:tr>
      <w:tr>
        <w:trPr>
          <w:trHeight w:val="206"/>
        </w:trPr>
        <w:tc>
          <w:tcPr>
            <w:tcW w:w="5800" w:type="dxa"/>
            <w:vAlign w:val="bottom"/>
          </w:tcPr>
          <w:p>
            <w:pPr>
              <w:spacing w:after="0"/>
              <w:rPr>
                <w:sz w:val="20"/>
                <w:szCs w:val="20"/>
                <w:color w:val="auto"/>
              </w:rPr>
            </w:pPr>
            <w:r>
              <w:rPr>
                <w:rFonts w:ascii="Arial" w:cs="Arial" w:eastAsia="Arial" w:hAnsi="Arial"/>
                <w:sz w:val="17"/>
                <w:szCs w:val="17"/>
                <w:color w:val="auto"/>
              </w:rPr>
              <w:t>Transfer agent fees and expenses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(1)</w:t>
            </w:r>
          </w:p>
        </w:tc>
      </w:tr>
      <w:tr>
        <w:trPr>
          <w:trHeight w:val="206"/>
        </w:trPr>
        <w:tc>
          <w:tcPr>
            <w:tcW w:w="5800" w:type="dxa"/>
            <w:vAlign w:val="bottom"/>
            <w:shd w:val="clear" w:color="auto" w:fill="CCEEFF"/>
          </w:tcPr>
          <w:p>
            <w:pPr>
              <w:spacing w:after="0"/>
              <w:rPr>
                <w:sz w:val="20"/>
                <w:szCs w:val="20"/>
                <w:color w:val="auto"/>
              </w:rPr>
            </w:pPr>
            <w:r>
              <w:rPr>
                <w:rFonts w:ascii="Arial" w:cs="Arial" w:eastAsia="Arial" w:hAnsi="Arial"/>
                <w:sz w:val="17"/>
                <w:szCs w:val="17"/>
                <w:color w:val="auto"/>
              </w:rPr>
              <w:t>Miscellaneous</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11"/>
        </w:trPr>
        <w:tc>
          <w:tcPr>
            <w:tcW w:w="5800" w:type="dxa"/>
            <w:vAlign w:val="bottom"/>
          </w:tcPr>
          <w:p>
            <w:pPr>
              <w:spacing w:after="0"/>
              <w:rPr>
                <w:sz w:val="20"/>
                <w:szCs w:val="20"/>
                <w:color w:val="auto"/>
              </w:rPr>
            </w:pPr>
            <w:r>
              <w:rPr>
                <w:rFonts w:ascii="Arial" w:cs="Arial" w:eastAsia="Arial" w:hAnsi="Arial"/>
                <w:sz w:val="17"/>
                <w:szCs w:val="17"/>
                <w:color w:val="auto"/>
              </w:rPr>
              <w:t>Total</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(1)</w:t>
            </w:r>
          </w:p>
        </w:tc>
      </w:tr>
      <w:tr>
        <w:trPr>
          <w:trHeight w:val="20"/>
        </w:trPr>
        <w:tc>
          <w:tcPr>
            <w:tcW w:w="5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90170</wp:posOffset>
            </wp:positionV>
            <wp:extent cx="67119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1195" cy="8255"/>
                    </a:xfrm>
                    <a:prstGeom prst="rect">
                      <a:avLst/>
                    </a:prstGeom>
                    <a:noFill/>
                  </pic:spPr>
                </pic:pic>
              </a:graphicData>
            </a:graphic>
          </wp:anchor>
        </w:drawing>
      </w:r>
    </w:p>
    <w:p>
      <w:pPr>
        <w:spacing w:after="0" w:line="161" w:lineRule="exact"/>
        <w:rPr>
          <w:sz w:val="20"/>
          <w:szCs w:val="20"/>
          <w:color w:val="auto"/>
        </w:rPr>
      </w:pPr>
    </w:p>
    <w:p>
      <w:pPr>
        <w:ind w:left="860" w:hanging="406"/>
        <w:spacing w:after="0"/>
        <w:tabs>
          <w:tab w:leader="none" w:pos="860" w:val="left"/>
        </w:tabs>
        <w:numPr>
          <w:ilvl w:val="0"/>
          <w:numId w:val="9"/>
        </w:numPr>
        <w:rPr>
          <w:rFonts w:ascii="Arial" w:cs="Arial" w:eastAsia="Arial" w:hAnsi="Arial"/>
          <w:sz w:val="17"/>
          <w:szCs w:val="17"/>
          <w:color w:val="auto"/>
        </w:rPr>
      </w:pPr>
      <w:r>
        <w:rPr>
          <w:rFonts w:ascii="Arial" w:cs="Arial" w:eastAsia="Arial" w:hAnsi="Arial"/>
          <w:sz w:val="17"/>
          <w:szCs w:val="17"/>
          <w:color w:val="auto"/>
        </w:rPr>
        <w:t>An estimate of the aggregate amount of these expenses will be reflected in the applicable prospectus supplement.</w:t>
      </w:r>
    </w:p>
    <w:p>
      <w:pPr>
        <w:spacing w:after="0" w:line="353" w:lineRule="exact"/>
        <w:rPr>
          <w:sz w:val="20"/>
          <w:szCs w:val="20"/>
          <w:color w:val="auto"/>
        </w:rPr>
      </w:pPr>
    </w:p>
    <w:p>
      <w:pPr>
        <w:ind w:left="460"/>
        <w:spacing w:after="0"/>
        <w:tabs>
          <w:tab w:leader="none" w:pos="1280" w:val="left"/>
        </w:tabs>
        <w:rPr>
          <w:sz w:val="20"/>
          <w:szCs w:val="20"/>
          <w:color w:val="auto"/>
        </w:rPr>
      </w:pPr>
      <w:r>
        <w:rPr>
          <w:rFonts w:ascii="Arial" w:cs="Arial" w:eastAsia="Arial" w:hAnsi="Arial"/>
          <w:sz w:val="17"/>
          <w:szCs w:val="17"/>
          <w:b w:val="1"/>
          <w:bCs w:val="1"/>
          <w:color w:val="auto"/>
        </w:rPr>
        <w:t>Item 15.</w:t>
      </w:r>
      <w:r>
        <w:rPr>
          <w:sz w:val="20"/>
          <w:szCs w:val="20"/>
          <w:color w:val="auto"/>
        </w:rPr>
        <w:tab/>
      </w:r>
      <w:r>
        <w:rPr>
          <w:rFonts w:ascii="Arial" w:cs="Arial" w:eastAsia="Arial" w:hAnsi="Arial"/>
          <w:sz w:val="15"/>
          <w:szCs w:val="15"/>
          <w:b w:val="1"/>
          <w:bCs w:val="1"/>
          <w:i w:val="1"/>
          <w:iCs w:val="1"/>
          <w:color w:val="auto"/>
        </w:rPr>
        <w:t>Indemnification of Directors and Officers</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Delaware General Corporation Law</w:t>
      </w:r>
    </w:p>
    <w:p>
      <w:pPr>
        <w:spacing w:after="0" w:line="120" w:lineRule="exact"/>
        <w:rPr>
          <w:sz w:val="20"/>
          <w:szCs w:val="20"/>
          <w:color w:val="auto"/>
        </w:rPr>
      </w:pPr>
    </w:p>
    <w:p>
      <w:pPr>
        <w:ind w:left="460" w:right="60" w:firstLine="421"/>
        <w:spacing w:after="0" w:line="258" w:lineRule="auto"/>
        <w:rPr>
          <w:sz w:val="20"/>
          <w:szCs w:val="20"/>
          <w:color w:val="auto"/>
        </w:rPr>
      </w:pPr>
      <w:r>
        <w:rPr>
          <w:rFonts w:ascii="Arial" w:cs="Arial" w:eastAsia="Arial" w:hAnsi="Arial"/>
          <w:sz w:val="17"/>
          <w:szCs w:val="17"/>
          <w:color w:val="auto"/>
        </w:rPr>
        <w:t>The Company is a Delaware corporation. The General Corporation Law of the state of Delaware (the “DGCL”) permits Delaware corporations to eliminate or limit the personal liability of directors and officers for money damages for breach of their fiduciary duty of care, except for liability (i) for any breach of the director’s duty of loyalty to the corporation or its stockholders, (ii) for acts or omissions not in good faith or which involve intentional misconduct or a knowing violation of law, (iii) for willful or negligent violations of certain provisions in the DGCL imposing certain requirements with respect to stock repurchases, redemptions and dividends as detailed under Section 174 of the DGCL, or (iv) for any transaction from which the director derived an improper personal benefit.</w:t>
      </w:r>
    </w:p>
    <w:p>
      <w:pPr>
        <w:spacing w:after="0" w:line="183" w:lineRule="exact"/>
        <w:rPr>
          <w:sz w:val="20"/>
          <w:szCs w:val="20"/>
          <w:color w:val="auto"/>
        </w:rPr>
      </w:pPr>
    </w:p>
    <w:p>
      <w:pPr>
        <w:ind w:left="460" w:right="60" w:firstLine="421"/>
        <w:spacing w:after="0" w:line="257" w:lineRule="auto"/>
        <w:rPr>
          <w:sz w:val="20"/>
          <w:szCs w:val="20"/>
          <w:color w:val="auto"/>
        </w:rPr>
      </w:pPr>
      <w:r>
        <w:rPr>
          <w:rFonts w:ascii="Arial" w:cs="Arial" w:eastAsia="Arial" w:hAnsi="Arial"/>
          <w:sz w:val="17"/>
          <w:szCs w:val="17"/>
          <w:color w:val="auto"/>
        </w:rPr>
        <w:t>Section 145(a) of the DGCL provides that a Delaware corporation may indemnify any person who was or is a party or who is threatened to be made a party to any threatened, pending or completed action, suit or proceeding, whether civil, criminal, administrative or investigative (other than an action by or in the right of the corporation) by reason of the fact that such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such person in connection with such action, suit or proceeding if such person acted in good faith and in a manner the person reasonably believed to be in or not opposed to the best interests of the corporation, and, with respect to any criminal action or proceeding, had no reasonable cause to believe such person’s conduct was unlawful.</w:t>
      </w:r>
    </w:p>
    <w:p>
      <w:pPr>
        <w:spacing w:after="0" w:line="182" w:lineRule="exact"/>
        <w:rPr>
          <w:sz w:val="20"/>
          <w:szCs w:val="20"/>
          <w:color w:val="auto"/>
        </w:rPr>
      </w:pPr>
    </w:p>
    <w:p>
      <w:pPr>
        <w:jc w:val="both"/>
        <w:ind w:left="460" w:firstLine="421"/>
        <w:spacing w:after="0" w:line="258" w:lineRule="auto"/>
        <w:rPr>
          <w:sz w:val="20"/>
          <w:szCs w:val="20"/>
          <w:color w:val="auto"/>
        </w:rPr>
      </w:pPr>
      <w:r>
        <w:rPr>
          <w:rFonts w:ascii="Arial" w:cs="Arial" w:eastAsia="Arial" w:hAnsi="Arial"/>
          <w:sz w:val="17"/>
          <w:szCs w:val="17"/>
          <w:color w:val="auto"/>
        </w:rPr>
        <w:t>Section 145(b) of the DGCL provides that a Delaware corporation may indemnify any person who was or is a party or is threatened to be made a party to any threatened, pending or completed action or suit by or in the right of the corporation to procure a judgment in its favor by reason of the fact that the person acted in any of the capacities set forth above,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except that no indemnification may be made in respect to any claim, issue or matter as to which such person shall have</w:t>
      </w:r>
    </w:p>
    <w:p>
      <w:pPr>
        <w:spacing w:after="0" w:line="119"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II-1</w:t>
      </w:r>
    </w:p>
    <w:p>
      <w:pPr>
        <w:sectPr>
          <w:pgSz w:w="11900" w:h="16838" w:orient="portrait"/>
          <w:cols w:equalWidth="0" w:num="1">
            <w:col w:w="10960"/>
          </w:cols>
          <w:pgMar w:left="240" w:top="444" w:right="699" w:bottom="1440" w:gutter="0" w:footer="0" w:header="0"/>
        </w:sectPr>
      </w:pPr>
    </w:p>
    <w:bookmarkStart w:id="22" w:name="page23"/>
    <w:bookmarkEnd w:id="2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right="180"/>
        <w:spacing w:after="0" w:line="290" w:lineRule="auto"/>
        <w:rPr>
          <w:sz w:val="20"/>
          <w:szCs w:val="20"/>
          <w:color w:val="auto"/>
        </w:rPr>
      </w:pPr>
      <w:r>
        <w:rPr>
          <w:rFonts w:ascii="Arial" w:cs="Arial" w:eastAsia="Arial" w:hAnsi="Arial"/>
          <w:sz w:val="16"/>
          <w:szCs w:val="16"/>
          <w:color w:val="auto"/>
        </w:rPr>
        <w:t>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be indemnified for such expenses which the Court of Chancery or such other court shall deem proper.</w:t>
      </w:r>
    </w:p>
    <w:p>
      <w:pPr>
        <w:spacing w:after="0" w:line="158" w:lineRule="exact"/>
        <w:rPr>
          <w:sz w:val="20"/>
          <w:szCs w:val="20"/>
          <w:color w:val="auto"/>
        </w:rPr>
      </w:pPr>
    </w:p>
    <w:p>
      <w:pPr>
        <w:ind w:left="460" w:firstLine="421"/>
        <w:spacing w:after="0" w:line="293" w:lineRule="auto"/>
        <w:rPr>
          <w:sz w:val="20"/>
          <w:szCs w:val="20"/>
          <w:color w:val="auto"/>
        </w:rPr>
      </w:pPr>
      <w:r>
        <w:rPr>
          <w:rFonts w:ascii="Arial" w:cs="Arial" w:eastAsia="Arial" w:hAnsi="Arial"/>
          <w:sz w:val="15"/>
          <w:szCs w:val="15"/>
          <w:color w:val="auto"/>
        </w:rPr>
        <w:t>Section 145 of the DGCL further provides that to the extent a director or officer of a corporation has been successful on the merits or otherwise in the defense of any action, suit or proceeding referred to in subsections (a) and (b) of Section 145, or in defense of any claim, issue or matter therein, such person shall be indemnified against expenses (including attorneys’ fees) actually and reasonably incurred by such person in connection therewith, that indemnification provided for by Section 145 shall not be deemed exclusive of any other rights to which the indemnified party may be entitled and the indemnification provided for by Section 145 shall, unless otherwise provided when authorized or ratified, continue as to a person who has ceased to be a director, officer, employee or agent and shall inure to the benefit of such person’s heirs, executors and administrators. Section 145 also empowers the corporation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status as such, whether or not the corporation would have the power to indemnify such person against such liabilities under Section 145.</w:t>
      </w:r>
    </w:p>
    <w:p>
      <w:pPr>
        <w:spacing w:after="0" w:line="260"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Charter of ICU Medical, Inc.</w:t>
      </w:r>
    </w:p>
    <w:p>
      <w:pPr>
        <w:spacing w:after="0" w:line="120" w:lineRule="exact"/>
        <w:rPr>
          <w:sz w:val="20"/>
          <w:szCs w:val="20"/>
          <w:color w:val="auto"/>
        </w:rPr>
      </w:pPr>
    </w:p>
    <w:p>
      <w:pPr>
        <w:ind w:left="460" w:right="240" w:firstLine="421"/>
        <w:spacing w:after="0" w:line="266" w:lineRule="auto"/>
        <w:rPr>
          <w:sz w:val="20"/>
          <w:szCs w:val="20"/>
          <w:color w:val="auto"/>
        </w:rPr>
      </w:pPr>
      <w:r>
        <w:rPr>
          <w:rFonts w:ascii="Arial" w:cs="Arial" w:eastAsia="Arial" w:hAnsi="Arial"/>
          <w:sz w:val="17"/>
          <w:szCs w:val="17"/>
          <w:color w:val="auto"/>
        </w:rPr>
        <w:t>Article VII of the Amended and Restated Certificate of Incorporation of ICU Medical, Inc. provides that, to the fullest extent permitted by Delaware law, no director of the Company shall be personally liable to the Company or its stockholders for monetary damages for breach of fiduciary duty as a director.</w:t>
      </w:r>
    </w:p>
    <w:p>
      <w:pPr>
        <w:spacing w:after="0" w:line="27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Bylaws of ICU Medical, Inc.</w:t>
      </w:r>
    </w:p>
    <w:p>
      <w:pPr>
        <w:spacing w:after="0" w:line="120" w:lineRule="exact"/>
        <w:rPr>
          <w:sz w:val="20"/>
          <w:szCs w:val="20"/>
          <w:color w:val="auto"/>
        </w:rPr>
      </w:pPr>
    </w:p>
    <w:p>
      <w:pPr>
        <w:ind w:left="460" w:right="40" w:firstLine="421"/>
        <w:spacing w:after="0" w:line="272" w:lineRule="auto"/>
        <w:rPr>
          <w:sz w:val="20"/>
          <w:szCs w:val="20"/>
          <w:color w:val="auto"/>
        </w:rPr>
      </w:pPr>
      <w:r>
        <w:rPr>
          <w:rFonts w:ascii="Arial" w:cs="Arial" w:eastAsia="Arial" w:hAnsi="Arial"/>
          <w:sz w:val="16"/>
          <w:szCs w:val="16"/>
          <w:color w:val="auto"/>
        </w:rPr>
        <w:t>Article VII of the Bylaws of ICU Medical, Inc. provides that the Company shall, to the fullest extent authorized by Delaware law, indemnify and hold harmless, and may advance expenses to, each person who was or is a party to or involved in, or who was or is threatened to be made a party to or involved in any action, suite, or proceeding, whether civil, criminal, administrative or investigative (“proceeding”), by reason of the fact that he or she, or a person of whom he or she is the legal representative, is or was serving at the request of the Company as a director, officer, or employee of another corporation, or of a partnership, joint venture, trust or other enterprise, including service with respect to employee benefit plans, in each case, whether the basis of such proceeding is alleged action in an official capacity as a director, officer, employee or agent or in any other capacity while serving as a director, officer, employee or an agent, against all expenses, liability, loss (including attorneys’ fees, judgments, fines, ERISA excise taxes, or penalties), amounts paid or to be paid in settlement and amounts expended in seeing indemnification granted to such person under applicable law, the Bylaws or any agreement with the Company reasonably incurred or suffered by such person in connection therewith, and such indemnification shall continue as to a person who has ceased to be a director, officer, employee or agent, and shall inure to the benefit or his or her heirs, executors, and administrators. The Company shall indemnify any such person seeking indemnity in connection with an action, suit, or proceeding (or part thereof) initiated by such person only if such action, suit, or proceeding (or part thereof) was authorized by the board of directors. However, if the DGCL so requires, the payment of such expenses incurred by a director or officer in their capacity as such in advance of the final disposition of the proceeding shall be made only upon delivery to the Company of an undertaking by or on behalf of such director or officer to repay all amounts advanced if it should be determined ultimately that such director or officer is not entitled to be indemnified.</w:t>
      </w:r>
    </w:p>
    <w:p>
      <w:pPr>
        <w:spacing w:after="0" w:line="270"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Indemnification Agreements</w:t>
      </w:r>
    </w:p>
    <w:p>
      <w:pPr>
        <w:spacing w:after="0" w:line="120" w:lineRule="exact"/>
        <w:rPr>
          <w:sz w:val="20"/>
          <w:szCs w:val="20"/>
          <w:color w:val="auto"/>
        </w:rPr>
      </w:pPr>
    </w:p>
    <w:p>
      <w:pPr>
        <w:ind w:left="460" w:right="20" w:firstLine="421"/>
        <w:spacing w:after="0" w:line="279" w:lineRule="auto"/>
        <w:rPr>
          <w:sz w:val="20"/>
          <w:szCs w:val="20"/>
          <w:color w:val="auto"/>
        </w:rPr>
      </w:pPr>
      <w:r>
        <w:rPr>
          <w:rFonts w:ascii="Arial" w:cs="Arial" w:eastAsia="Arial" w:hAnsi="Arial"/>
          <w:sz w:val="17"/>
          <w:szCs w:val="17"/>
          <w:color w:val="auto"/>
        </w:rPr>
        <w:t>In addition, the Company has entered into indemnification agreements with its executive officers and directors that provide for the indemnification of directors and executive officers to the fullest extent permitted by</w:t>
      </w:r>
    </w:p>
    <w:p>
      <w:pPr>
        <w:spacing w:after="0" w:line="100"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II-2</w:t>
      </w:r>
    </w:p>
    <w:p>
      <w:pPr>
        <w:sectPr>
          <w:pgSz w:w="11900" w:h="16838" w:orient="portrait"/>
          <w:cols w:equalWidth="0" w:num="1">
            <w:col w:w="10980"/>
          </w:cols>
          <w:pgMar w:left="240" w:top="444" w:right="679" w:bottom="1440" w:gutter="0" w:footer="0" w:header="0"/>
        </w:sectPr>
      </w:pPr>
    </w:p>
    <w:bookmarkStart w:id="23" w:name="page24"/>
    <w:bookmarkEnd w:id="2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spacing w:after="0" w:line="277" w:lineRule="auto"/>
        <w:rPr>
          <w:sz w:val="20"/>
          <w:szCs w:val="20"/>
          <w:color w:val="auto"/>
        </w:rPr>
      </w:pPr>
      <w:r>
        <w:rPr>
          <w:rFonts w:ascii="Arial" w:cs="Arial" w:eastAsia="Arial" w:hAnsi="Arial"/>
          <w:sz w:val="16"/>
          <w:szCs w:val="16"/>
          <w:color w:val="auto"/>
        </w:rPr>
        <w:t>the DGCL against expenses reasonably incurred by such persons in any threatened, pending or completed action, suit, investigation or proceeding in connection with their service as (i) a director or officer or (ii) as a director, officer, employee or agent of another corporation or of a partnership, joint venture, trust or other enterprise, including service with respect to employee benefit plans, at the Company’s request. In addition, the indemnification agreements require the Company to advance expenses under certain circumstances and provide for procedural protections, including a determination by a reviewing party whether the indemnitee is permitted to be indemnified under applicable law. In addition, The Company acknowledges that it will be the indemnitor of first resort should the indemnitee have rights to indemnification provided by other persons.</w:t>
      </w:r>
    </w:p>
    <w:p>
      <w:pPr>
        <w:spacing w:after="0" w:line="267"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Insurance</w:t>
      </w:r>
    </w:p>
    <w:p>
      <w:pPr>
        <w:spacing w:after="0" w:line="120" w:lineRule="exact"/>
        <w:rPr>
          <w:sz w:val="20"/>
          <w:szCs w:val="20"/>
          <w:color w:val="auto"/>
        </w:rPr>
      </w:pPr>
    </w:p>
    <w:p>
      <w:pPr>
        <w:ind w:left="460" w:right="300" w:firstLine="421"/>
        <w:spacing w:after="0" w:line="279" w:lineRule="auto"/>
        <w:rPr>
          <w:sz w:val="20"/>
          <w:szCs w:val="20"/>
          <w:color w:val="auto"/>
        </w:rPr>
      </w:pPr>
      <w:r>
        <w:rPr>
          <w:rFonts w:ascii="Arial" w:cs="Arial" w:eastAsia="Arial" w:hAnsi="Arial"/>
          <w:sz w:val="17"/>
          <w:szCs w:val="17"/>
          <w:color w:val="auto"/>
        </w:rPr>
        <w:t>The Company also has a standard policies of liability insurance that insure the directors and officers against the cost of defense, settlement or payment of a judgment under certain circumstances.</w:t>
      </w:r>
    </w:p>
    <w:p>
      <w:pPr>
        <w:spacing w:after="0" w:line="261"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Underwriting Agreements</w:t>
      </w:r>
    </w:p>
    <w:p>
      <w:pPr>
        <w:spacing w:after="0" w:line="120" w:lineRule="exact"/>
        <w:rPr>
          <w:sz w:val="20"/>
          <w:szCs w:val="20"/>
          <w:color w:val="auto"/>
        </w:rPr>
      </w:pPr>
    </w:p>
    <w:p>
      <w:pPr>
        <w:jc w:val="both"/>
        <w:ind w:left="460" w:right="60" w:firstLine="421"/>
        <w:spacing w:after="0" w:line="266" w:lineRule="auto"/>
        <w:rPr>
          <w:sz w:val="20"/>
          <w:szCs w:val="20"/>
          <w:color w:val="auto"/>
        </w:rPr>
      </w:pPr>
      <w:r>
        <w:rPr>
          <w:rFonts w:ascii="Arial" w:cs="Arial" w:eastAsia="Arial" w:hAnsi="Arial"/>
          <w:sz w:val="17"/>
          <w:szCs w:val="17"/>
          <w:color w:val="auto"/>
        </w:rPr>
        <w:t>In any underwriting agreement we enter into in connection with the sale of common stock being registered hereby, the underwriters will agree to indemnify, under certain conditions, us, our directors, our officers and persons who control us within the meaning of the Securities Act, against certain liabilities.</w:t>
      </w:r>
    </w:p>
    <w:p>
      <w:pPr>
        <w:spacing w:after="0" w:line="111" w:lineRule="exact"/>
        <w:rPr>
          <w:sz w:val="20"/>
          <w:szCs w:val="20"/>
          <w:color w:val="auto"/>
        </w:rPr>
      </w:pPr>
    </w:p>
    <w:p>
      <w:pPr>
        <w:jc w:val="center"/>
        <w:ind w:right="-539"/>
        <w:spacing w:after="0"/>
        <w:rPr>
          <w:sz w:val="20"/>
          <w:szCs w:val="20"/>
          <w:color w:val="auto"/>
        </w:rPr>
      </w:pPr>
      <w:r>
        <w:rPr>
          <w:rFonts w:ascii="Arial" w:cs="Arial" w:eastAsia="Arial" w:hAnsi="Arial"/>
          <w:sz w:val="17"/>
          <w:szCs w:val="17"/>
          <w:color w:val="auto"/>
        </w:rPr>
        <w:t>II-3</w:t>
      </w:r>
    </w:p>
    <w:p>
      <w:pPr>
        <w:sectPr>
          <w:pgSz w:w="11900" w:h="16838" w:orient="portrait"/>
          <w:cols w:equalWidth="0" w:num="1">
            <w:col w:w="10880"/>
          </w:cols>
          <w:pgMar w:left="240" w:top="444" w:right="779" w:bottom="1440" w:gutter="0" w:footer="0" w:header="0"/>
        </w:sectPr>
      </w:pPr>
    </w:p>
    <w:bookmarkStart w:id="24" w:name="page25"/>
    <w:bookmarkEnd w:id="2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ind w:left="460"/>
        <w:spacing w:after="0"/>
        <w:tabs>
          <w:tab w:leader="none" w:pos="1280" w:val="left"/>
        </w:tabs>
        <w:rPr>
          <w:sz w:val="20"/>
          <w:szCs w:val="20"/>
          <w:color w:val="auto"/>
        </w:rPr>
      </w:pPr>
      <w:r>
        <w:rPr>
          <w:rFonts w:ascii="Arial" w:cs="Arial" w:eastAsia="Arial" w:hAnsi="Arial"/>
          <w:sz w:val="17"/>
          <w:szCs w:val="17"/>
          <w:b w:val="1"/>
          <w:bCs w:val="1"/>
          <w:color w:val="auto"/>
        </w:rPr>
        <w:t>Item 16.</w:t>
      </w:r>
      <w:r>
        <w:rPr>
          <w:sz w:val="20"/>
          <w:szCs w:val="20"/>
          <w:color w:val="auto"/>
        </w:rPr>
        <w:tab/>
      </w:r>
      <w:r>
        <w:rPr>
          <w:rFonts w:ascii="Arial" w:cs="Arial" w:eastAsia="Arial" w:hAnsi="Arial"/>
          <w:sz w:val="14"/>
          <w:szCs w:val="14"/>
          <w:b w:val="1"/>
          <w:bCs w:val="1"/>
          <w:i w:val="1"/>
          <w:iCs w:val="1"/>
          <w:color w:val="auto"/>
        </w:rPr>
        <w:t>Exhibits</w:t>
      </w:r>
    </w:p>
    <w:p>
      <w:pPr>
        <w:spacing w:after="0" w:line="120" w:lineRule="exact"/>
        <w:rPr>
          <w:sz w:val="20"/>
          <w:szCs w:val="20"/>
          <w:color w:val="auto"/>
        </w:rPr>
      </w:pPr>
    </w:p>
    <w:p>
      <w:pPr>
        <w:ind w:left="880"/>
        <w:spacing w:after="0"/>
        <w:rPr>
          <w:sz w:val="20"/>
          <w:szCs w:val="20"/>
          <w:color w:val="auto"/>
        </w:rPr>
      </w:pPr>
      <w:r>
        <w:rPr>
          <w:rFonts w:ascii="Arial" w:cs="Arial" w:eastAsia="Arial" w:hAnsi="Arial"/>
          <w:sz w:val="17"/>
          <w:szCs w:val="17"/>
          <w:color w:val="auto"/>
        </w:rPr>
        <w:t>See Exhibits Index, which is incorporated herein by reference.</w:t>
      </w:r>
    </w:p>
    <w:p>
      <w:pPr>
        <w:spacing w:after="0" w:line="353" w:lineRule="exact"/>
        <w:rPr>
          <w:sz w:val="20"/>
          <w:szCs w:val="20"/>
          <w:color w:val="auto"/>
        </w:rPr>
      </w:pPr>
    </w:p>
    <w:p>
      <w:pPr>
        <w:ind w:left="460"/>
        <w:spacing w:after="0"/>
        <w:tabs>
          <w:tab w:leader="none" w:pos="1280" w:val="left"/>
        </w:tabs>
        <w:rPr>
          <w:sz w:val="20"/>
          <w:szCs w:val="20"/>
          <w:color w:val="auto"/>
        </w:rPr>
      </w:pPr>
      <w:r>
        <w:rPr>
          <w:rFonts w:ascii="Arial" w:cs="Arial" w:eastAsia="Arial" w:hAnsi="Arial"/>
          <w:sz w:val="17"/>
          <w:szCs w:val="17"/>
          <w:b w:val="1"/>
          <w:bCs w:val="1"/>
          <w:color w:val="auto"/>
        </w:rPr>
        <w:t>Item 17.</w:t>
      </w:r>
      <w:r>
        <w:rPr>
          <w:sz w:val="20"/>
          <w:szCs w:val="20"/>
          <w:color w:val="auto"/>
        </w:rPr>
        <w:tab/>
      </w:r>
      <w:r>
        <w:rPr>
          <w:rFonts w:ascii="Arial" w:cs="Arial" w:eastAsia="Arial" w:hAnsi="Arial"/>
          <w:sz w:val="15"/>
          <w:szCs w:val="15"/>
          <w:b w:val="1"/>
          <w:bCs w:val="1"/>
          <w:i w:val="1"/>
          <w:iCs w:val="1"/>
          <w:color w:val="auto"/>
        </w:rPr>
        <w:t>Undertakings</w:t>
      </w:r>
    </w:p>
    <w:p>
      <w:pPr>
        <w:spacing w:after="0" w:line="120" w:lineRule="exact"/>
        <w:rPr>
          <w:sz w:val="20"/>
          <w:szCs w:val="20"/>
          <w:color w:val="auto"/>
        </w:rPr>
      </w:pPr>
    </w:p>
    <w:p>
      <w:pPr>
        <w:ind w:left="680" w:hanging="226"/>
        <w:spacing w:after="0"/>
        <w:tabs>
          <w:tab w:leader="none" w:pos="6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undersigned registrant hereby undertakes:</w:t>
      </w:r>
    </w:p>
    <w:p>
      <w:pPr>
        <w:spacing w:after="0" w:line="113" w:lineRule="exact"/>
        <w:rPr>
          <w:rFonts w:ascii="Arial" w:cs="Arial" w:eastAsia="Arial" w:hAnsi="Arial"/>
          <w:sz w:val="17"/>
          <w:szCs w:val="17"/>
          <w:color w:val="auto"/>
        </w:rPr>
      </w:pPr>
    </w:p>
    <w:p>
      <w:pPr>
        <w:ind w:left="1120" w:hanging="245"/>
        <w:spacing w:after="0"/>
        <w:tabs>
          <w:tab w:leader="none" w:pos="1120" w:val="left"/>
        </w:tabs>
        <w:numPr>
          <w:ilvl w:val="1"/>
          <w:numId w:val="10"/>
        </w:numPr>
        <w:rPr>
          <w:rFonts w:ascii="Arial" w:cs="Arial" w:eastAsia="Arial" w:hAnsi="Arial"/>
          <w:sz w:val="17"/>
          <w:szCs w:val="17"/>
          <w:color w:val="auto"/>
        </w:rPr>
      </w:pPr>
      <w:r>
        <w:rPr>
          <w:rFonts w:ascii="Arial" w:cs="Arial" w:eastAsia="Arial" w:hAnsi="Arial"/>
          <w:sz w:val="17"/>
          <w:szCs w:val="17"/>
          <w:color w:val="auto"/>
        </w:rPr>
        <w:t>To file, during any period in which offers or sales are being made, a post-effective amendment to this registration statement:</w:t>
      </w:r>
    </w:p>
    <w:p>
      <w:pPr>
        <w:spacing w:after="0" w:line="113" w:lineRule="exact"/>
        <w:rPr>
          <w:rFonts w:ascii="Arial" w:cs="Arial" w:eastAsia="Arial" w:hAnsi="Arial"/>
          <w:sz w:val="17"/>
          <w:szCs w:val="17"/>
          <w:color w:val="auto"/>
        </w:rPr>
      </w:pPr>
    </w:p>
    <w:p>
      <w:pPr>
        <w:ind w:left="1500" w:hanging="204"/>
        <w:spacing w:after="0"/>
        <w:tabs>
          <w:tab w:leader="none" w:pos="1500" w:val="left"/>
        </w:tabs>
        <w:numPr>
          <w:ilvl w:val="2"/>
          <w:numId w:val="10"/>
        </w:numPr>
        <w:rPr>
          <w:rFonts w:ascii="Arial" w:cs="Arial" w:eastAsia="Arial" w:hAnsi="Arial"/>
          <w:sz w:val="17"/>
          <w:szCs w:val="17"/>
          <w:color w:val="auto"/>
        </w:rPr>
      </w:pPr>
      <w:r>
        <w:rPr>
          <w:rFonts w:ascii="Arial" w:cs="Arial" w:eastAsia="Arial" w:hAnsi="Arial"/>
          <w:sz w:val="17"/>
          <w:szCs w:val="17"/>
          <w:color w:val="auto"/>
        </w:rPr>
        <w:t>To include any prospectus required by Section 10(a)(3) of the Securities Act;</w:t>
      </w:r>
    </w:p>
    <w:p>
      <w:pPr>
        <w:spacing w:after="0" w:line="113" w:lineRule="exact"/>
        <w:rPr>
          <w:rFonts w:ascii="Arial" w:cs="Arial" w:eastAsia="Arial" w:hAnsi="Arial"/>
          <w:sz w:val="17"/>
          <w:szCs w:val="17"/>
          <w:color w:val="auto"/>
        </w:rPr>
      </w:pPr>
    </w:p>
    <w:p>
      <w:pPr>
        <w:ind w:left="1300" w:right="120" w:hanging="4"/>
        <w:spacing w:after="0" w:line="276" w:lineRule="auto"/>
        <w:tabs>
          <w:tab w:leader="none" w:pos="1553" w:val="left"/>
        </w:tabs>
        <w:numPr>
          <w:ilvl w:val="2"/>
          <w:numId w:val="10"/>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65" w:lineRule="exact"/>
        <w:rPr>
          <w:rFonts w:ascii="Arial" w:cs="Arial" w:eastAsia="Arial" w:hAnsi="Arial"/>
          <w:sz w:val="16"/>
          <w:szCs w:val="16"/>
          <w:color w:val="auto"/>
        </w:rPr>
      </w:pPr>
    </w:p>
    <w:p>
      <w:pPr>
        <w:ind w:left="1300" w:right="60" w:hanging="4"/>
        <w:spacing w:after="0" w:line="279" w:lineRule="auto"/>
        <w:tabs>
          <w:tab w:leader="none" w:pos="1601" w:val="left"/>
        </w:tabs>
        <w:numPr>
          <w:ilvl w:val="2"/>
          <w:numId w:val="10"/>
        </w:numPr>
        <w:rPr>
          <w:rFonts w:ascii="Arial" w:cs="Arial" w:eastAsia="Arial" w:hAnsi="Arial"/>
          <w:sz w:val="17"/>
          <w:szCs w:val="17"/>
          <w:color w:val="auto"/>
        </w:rPr>
      </w:pPr>
      <w:r>
        <w:rPr>
          <w:rFonts w:ascii="Arial" w:cs="Arial" w:eastAsia="Arial" w:hAnsi="Arial"/>
          <w:sz w:val="17"/>
          <w:szCs w:val="17"/>
          <w:color w:val="auto"/>
        </w:rPr>
        <w:t>To include any material information with respect to the plan of distribution not previously disclosed in the registration statement or any material change to such information in the registration statement;</w:t>
      </w:r>
    </w:p>
    <w:p>
      <w:pPr>
        <w:spacing w:after="0" w:line="61" w:lineRule="exact"/>
        <w:rPr>
          <w:sz w:val="20"/>
          <w:szCs w:val="20"/>
          <w:color w:val="auto"/>
        </w:rPr>
      </w:pPr>
    </w:p>
    <w:p>
      <w:pPr>
        <w:ind w:left="880"/>
        <w:spacing w:after="0" w:line="262" w:lineRule="auto"/>
        <w:rPr>
          <w:sz w:val="20"/>
          <w:szCs w:val="20"/>
          <w:color w:val="auto"/>
        </w:rPr>
      </w:pP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paragraphs (a)(1)(i), (a)(1)(ii) and (a)(1)(iii) of this Section do not apply if the information required to be included in a</w:t>
      </w:r>
      <w:r>
        <w:rPr>
          <w:rFonts w:ascii="Arial" w:cs="Arial" w:eastAsia="Arial" w:hAnsi="Arial"/>
          <w:sz w:val="17"/>
          <w:szCs w:val="17"/>
          <w:i w:val="1"/>
          <w:iCs w:val="1"/>
          <w:color w:val="auto"/>
        </w:rPr>
        <w:t xml:space="preserve"> </w:t>
      </w:r>
      <w:r>
        <w:rPr>
          <w:rFonts w:ascii="Arial" w:cs="Arial" w:eastAsia="Arial" w:hAnsi="Arial"/>
          <w:sz w:val="17"/>
          <w:szCs w:val="17"/>
          <w:color w:val="auto"/>
        </w:rPr>
        <w:t>post-effective amendment by those paragraphs is contained in reports filed with or furnished to the SEC by the registrant pursuant to Section 13 or Section 15(d) of the Exchange Act that are incorporated by reference in the registration statement, or is contained in a form of prospectus filed pursuant to Rule 424(b) that is a part of the registration statement.</w:t>
      </w:r>
    </w:p>
    <w:p>
      <w:pPr>
        <w:spacing w:after="0" w:line="178" w:lineRule="exact"/>
        <w:rPr>
          <w:sz w:val="20"/>
          <w:szCs w:val="20"/>
          <w:color w:val="auto"/>
        </w:rPr>
      </w:pPr>
    </w:p>
    <w:p>
      <w:pPr>
        <w:ind w:left="880" w:hanging="5"/>
        <w:spacing w:after="0" w:line="266" w:lineRule="auto"/>
        <w:tabs>
          <w:tab w:leader="none" w:pos="1123"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Arial" w:cs="Arial" w:eastAsia="Arial" w:hAnsi="Arial"/>
          <w:sz w:val="17"/>
          <w:szCs w:val="17"/>
          <w:color w:val="auto"/>
        </w:rPr>
      </w:pPr>
    </w:p>
    <w:p>
      <w:pPr>
        <w:ind w:left="880" w:right="580" w:hanging="5"/>
        <w:spacing w:after="0" w:line="279" w:lineRule="auto"/>
        <w:tabs>
          <w:tab w:leader="none" w:pos="1123" w:val="left"/>
        </w:tabs>
        <w:numPr>
          <w:ilvl w:val="0"/>
          <w:numId w:val="11"/>
        </w:numPr>
        <w:rPr>
          <w:rFonts w:ascii="Arial" w:cs="Arial" w:eastAsia="Arial" w:hAnsi="Arial"/>
          <w:sz w:val="17"/>
          <w:szCs w:val="17"/>
          <w:color w:val="auto"/>
        </w:rPr>
      </w:pPr>
      <w:r>
        <w:rPr>
          <w:rFonts w:ascii="Arial" w:cs="Arial" w:eastAsia="Arial" w:hAnsi="Arial"/>
          <w:sz w:val="17"/>
          <w:szCs w:val="17"/>
          <w:color w:val="auto"/>
        </w:rPr>
        <w:t>To remove from registration by means of a post-effective amendment any of the securities being registered which remain unsold at the termination of the offering.</w:t>
      </w:r>
    </w:p>
    <w:p>
      <w:pPr>
        <w:spacing w:after="0" w:line="164" w:lineRule="exact"/>
        <w:rPr>
          <w:rFonts w:ascii="Arial" w:cs="Arial" w:eastAsia="Arial" w:hAnsi="Arial"/>
          <w:sz w:val="17"/>
          <w:szCs w:val="17"/>
          <w:color w:val="auto"/>
        </w:rPr>
      </w:pPr>
    </w:p>
    <w:p>
      <w:pPr>
        <w:ind w:left="1120" w:hanging="245"/>
        <w:spacing w:after="0"/>
        <w:tabs>
          <w:tab w:leader="none" w:pos="11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That, for the purpose of determining liability under the Securities Act to any purchaser:</w:t>
      </w:r>
    </w:p>
    <w:p>
      <w:pPr>
        <w:spacing w:after="0" w:line="113" w:lineRule="exact"/>
        <w:rPr>
          <w:rFonts w:ascii="Arial" w:cs="Arial" w:eastAsia="Arial" w:hAnsi="Arial"/>
          <w:sz w:val="17"/>
          <w:szCs w:val="17"/>
          <w:color w:val="auto"/>
        </w:rPr>
      </w:pPr>
    </w:p>
    <w:p>
      <w:pPr>
        <w:ind w:left="1300" w:right="80" w:hanging="4"/>
        <w:spacing w:after="0" w:line="279" w:lineRule="auto"/>
        <w:tabs>
          <w:tab w:leader="none" w:pos="1582" w:val="left"/>
        </w:tabs>
        <w:numPr>
          <w:ilvl w:val="1"/>
          <w:numId w:val="11"/>
        </w:numPr>
        <w:rPr>
          <w:rFonts w:ascii="Arial" w:cs="Arial" w:eastAsia="Arial" w:hAnsi="Arial"/>
          <w:sz w:val="17"/>
          <w:szCs w:val="17"/>
          <w:color w:val="auto"/>
        </w:rPr>
      </w:pPr>
      <w:r>
        <w:rPr>
          <w:rFonts w:ascii="Arial" w:cs="Arial" w:eastAsia="Arial" w:hAnsi="Arial"/>
          <w:sz w:val="17"/>
          <w:szCs w:val="17"/>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61" w:lineRule="exact"/>
        <w:rPr>
          <w:rFonts w:ascii="Arial" w:cs="Arial" w:eastAsia="Arial" w:hAnsi="Arial"/>
          <w:sz w:val="17"/>
          <w:szCs w:val="17"/>
          <w:color w:val="auto"/>
        </w:rPr>
      </w:pPr>
    </w:p>
    <w:p>
      <w:pPr>
        <w:ind w:left="1300" w:right="140" w:hanging="4"/>
        <w:spacing w:after="0" w:line="295" w:lineRule="auto"/>
        <w:tabs>
          <w:tab w:leader="none" w:pos="1572" w:val="left"/>
        </w:tabs>
        <w:numPr>
          <w:ilvl w:val="1"/>
          <w:numId w:val="11"/>
        </w:numPr>
        <w:rPr>
          <w:rFonts w:ascii="Arial" w:cs="Arial" w:eastAsia="Arial" w:hAnsi="Arial"/>
          <w:sz w:val="15"/>
          <w:szCs w:val="15"/>
          <w:color w:val="auto"/>
        </w:rPr>
      </w:pPr>
      <w:r>
        <w:rPr>
          <w:rFonts w:ascii="Arial" w:cs="Arial" w:eastAsia="Arial" w:hAnsi="Arial"/>
          <w:sz w:val="15"/>
          <w:szCs w:val="15"/>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no statement made in a registration statement or prospectus that is part of the registration statement or made in a document</w:t>
      </w:r>
    </w:p>
    <w:p>
      <w:pPr>
        <w:spacing w:after="0" w:line="96"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II-4</w:t>
      </w:r>
    </w:p>
    <w:p>
      <w:pPr>
        <w:sectPr>
          <w:pgSz w:w="11900" w:h="16838" w:orient="portrait"/>
          <w:cols w:equalWidth="0" w:num="1">
            <w:col w:w="10940"/>
          </w:cols>
          <w:pgMar w:left="240" w:top="444" w:right="719" w:bottom="1440" w:gutter="0" w:footer="0" w:header="0"/>
        </w:sectPr>
      </w:pPr>
    </w:p>
    <w:bookmarkStart w:id="25" w:name="page26"/>
    <w:bookmarkEnd w:id="2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1300" w:right="100"/>
        <w:spacing w:after="0" w:line="262" w:lineRule="auto"/>
        <w:rPr>
          <w:sz w:val="20"/>
          <w:szCs w:val="20"/>
          <w:color w:val="auto"/>
        </w:rPr>
      </w:pPr>
      <w:r>
        <w:rPr>
          <w:rFonts w:ascii="Arial" w:cs="Arial" w:eastAsia="Arial" w:hAnsi="Arial"/>
          <w:sz w:val="17"/>
          <w:szCs w:val="17"/>
          <w:color w:val="auto"/>
        </w:rPr>
        <w:t>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78" w:lineRule="exact"/>
        <w:rPr>
          <w:sz w:val="20"/>
          <w:szCs w:val="20"/>
          <w:color w:val="auto"/>
        </w:rPr>
      </w:pPr>
    </w:p>
    <w:p>
      <w:pPr>
        <w:ind w:left="880" w:right="60" w:hanging="5"/>
        <w:spacing w:after="0" w:line="279" w:lineRule="auto"/>
        <w:tabs>
          <w:tab w:leader="none" w:pos="1123"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That, for the purpose of determining liability of the registrant under the Securities Act of 1933 to any purchaser in the initial distribution of the securities:</w:t>
      </w:r>
    </w:p>
    <w:p>
      <w:pPr>
        <w:spacing w:after="0" w:line="61" w:lineRule="exact"/>
        <w:rPr>
          <w:sz w:val="20"/>
          <w:szCs w:val="20"/>
          <w:color w:val="auto"/>
        </w:rPr>
      </w:pPr>
    </w:p>
    <w:p>
      <w:pPr>
        <w:ind w:left="1300" w:right="440"/>
        <w:spacing w:after="0" w:line="262" w:lineRule="auto"/>
        <w:rPr>
          <w:sz w:val="20"/>
          <w:szCs w:val="20"/>
          <w:color w:val="auto"/>
        </w:rPr>
      </w:pPr>
      <w:r>
        <w:rPr>
          <w:rFonts w:ascii="Arial" w:cs="Arial" w:eastAsia="Arial" w:hAnsi="Arial"/>
          <w:sz w:val="17"/>
          <w:szCs w:val="17"/>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75" w:lineRule="exact"/>
        <w:rPr>
          <w:sz w:val="20"/>
          <w:szCs w:val="20"/>
          <w:color w:val="auto"/>
        </w:rPr>
      </w:pPr>
    </w:p>
    <w:p>
      <w:pPr>
        <w:ind w:left="1500" w:hanging="204"/>
        <w:spacing w:after="0"/>
        <w:tabs>
          <w:tab w:leader="none" w:pos="1500" w:val="left"/>
        </w:tabs>
        <w:numPr>
          <w:ilvl w:val="1"/>
          <w:numId w:val="13"/>
        </w:numPr>
        <w:rPr>
          <w:rFonts w:ascii="Arial" w:cs="Arial" w:eastAsia="Arial" w:hAnsi="Arial"/>
          <w:sz w:val="15"/>
          <w:szCs w:val="15"/>
          <w:color w:val="auto"/>
        </w:rPr>
      </w:pPr>
      <w:r>
        <w:rPr>
          <w:rFonts w:ascii="Arial" w:cs="Arial" w:eastAsia="Arial" w:hAnsi="Arial"/>
          <w:sz w:val="15"/>
          <w:szCs w:val="15"/>
          <w:color w:val="auto"/>
        </w:rPr>
        <w:t>Any preliminary prospectus or prospectus of the undersigned registrant relating to the offering required to be filed pursuant to Rule 424;</w:t>
      </w:r>
    </w:p>
    <w:p>
      <w:pPr>
        <w:spacing w:after="0" w:line="136" w:lineRule="exact"/>
        <w:rPr>
          <w:rFonts w:ascii="Arial" w:cs="Arial" w:eastAsia="Arial" w:hAnsi="Arial"/>
          <w:sz w:val="15"/>
          <w:szCs w:val="15"/>
          <w:color w:val="auto"/>
        </w:rPr>
      </w:pPr>
    </w:p>
    <w:p>
      <w:pPr>
        <w:ind w:left="1300" w:right="220" w:hanging="4"/>
        <w:spacing w:after="0" w:line="279" w:lineRule="auto"/>
        <w:tabs>
          <w:tab w:leader="none" w:pos="1553" w:val="left"/>
        </w:tabs>
        <w:numPr>
          <w:ilvl w:val="1"/>
          <w:numId w:val="13"/>
        </w:numPr>
        <w:rPr>
          <w:rFonts w:ascii="Arial" w:cs="Arial" w:eastAsia="Arial" w:hAnsi="Arial"/>
          <w:sz w:val="17"/>
          <w:szCs w:val="17"/>
          <w:color w:val="auto"/>
        </w:rPr>
      </w:pPr>
      <w:r>
        <w:rPr>
          <w:rFonts w:ascii="Arial" w:cs="Arial" w:eastAsia="Arial" w:hAnsi="Arial"/>
          <w:sz w:val="17"/>
          <w:szCs w:val="17"/>
          <w:color w:val="auto"/>
        </w:rPr>
        <w:t>Any free writing prospectus relating to the offering prepared by or on behalf of the undersigned registrant or used or referred to by the undersigned registrant;</w:t>
      </w:r>
    </w:p>
    <w:p>
      <w:pPr>
        <w:spacing w:after="0" w:line="61" w:lineRule="exact"/>
        <w:rPr>
          <w:rFonts w:ascii="Arial" w:cs="Arial" w:eastAsia="Arial" w:hAnsi="Arial"/>
          <w:sz w:val="17"/>
          <w:szCs w:val="17"/>
          <w:color w:val="auto"/>
        </w:rPr>
      </w:pPr>
    </w:p>
    <w:p>
      <w:pPr>
        <w:ind w:left="1300" w:hanging="4"/>
        <w:spacing w:after="0" w:line="279" w:lineRule="auto"/>
        <w:tabs>
          <w:tab w:leader="none" w:pos="1601" w:val="left"/>
        </w:tabs>
        <w:numPr>
          <w:ilvl w:val="1"/>
          <w:numId w:val="13"/>
        </w:numPr>
        <w:rPr>
          <w:rFonts w:ascii="Arial" w:cs="Arial" w:eastAsia="Arial" w:hAnsi="Arial"/>
          <w:sz w:val="17"/>
          <w:szCs w:val="17"/>
          <w:color w:val="auto"/>
        </w:rPr>
      </w:pPr>
      <w:r>
        <w:rPr>
          <w:rFonts w:ascii="Arial" w:cs="Arial" w:eastAsia="Arial" w:hAnsi="Arial"/>
          <w:sz w:val="17"/>
          <w:szCs w:val="17"/>
          <w:color w:val="auto"/>
        </w:rPr>
        <w:t>The portion of any other free writing prospectus relating to the offering containing material information about the undersigned registrant or its securities provided by or on behalf of the undersigned registrant; and</w:t>
      </w:r>
    </w:p>
    <w:p>
      <w:pPr>
        <w:spacing w:after="0" w:line="61" w:lineRule="exact"/>
        <w:rPr>
          <w:rFonts w:ascii="Arial" w:cs="Arial" w:eastAsia="Arial" w:hAnsi="Arial"/>
          <w:sz w:val="17"/>
          <w:szCs w:val="17"/>
          <w:color w:val="auto"/>
        </w:rPr>
      </w:pPr>
    </w:p>
    <w:p>
      <w:pPr>
        <w:ind w:left="1580" w:hanging="284"/>
        <w:spacing w:after="0"/>
        <w:tabs>
          <w:tab w:leader="none" w:pos="1580" w:val="left"/>
        </w:tabs>
        <w:numPr>
          <w:ilvl w:val="1"/>
          <w:numId w:val="13"/>
        </w:numPr>
        <w:rPr>
          <w:rFonts w:ascii="Arial" w:cs="Arial" w:eastAsia="Arial" w:hAnsi="Arial"/>
          <w:sz w:val="17"/>
          <w:szCs w:val="17"/>
          <w:color w:val="auto"/>
        </w:rPr>
      </w:pPr>
      <w:r>
        <w:rPr>
          <w:rFonts w:ascii="Arial" w:cs="Arial" w:eastAsia="Arial" w:hAnsi="Arial"/>
          <w:sz w:val="17"/>
          <w:szCs w:val="17"/>
          <w:color w:val="auto"/>
        </w:rPr>
        <w:t>Any other communication that is an offer in the offering made by the undersigned registrant to the purchaser.</w:t>
      </w:r>
    </w:p>
    <w:p>
      <w:pPr>
        <w:spacing w:after="0" w:line="217" w:lineRule="exact"/>
        <w:rPr>
          <w:rFonts w:ascii="Arial" w:cs="Arial" w:eastAsia="Arial" w:hAnsi="Arial"/>
          <w:sz w:val="17"/>
          <w:szCs w:val="17"/>
          <w:color w:val="auto"/>
        </w:rPr>
      </w:pPr>
    </w:p>
    <w:p>
      <w:pPr>
        <w:ind w:left="880" w:right="100" w:hanging="5"/>
        <w:spacing w:after="0" w:line="307" w:lineRule="auto"/>
        <w:tabs>
          <w:tab w:leader="none" w:pos="1123" w:val="left"/>
        </w:tabs>
        <w:numPr>
          <w:ilvl w:val="0"/>
          <w:numId w:val="14"/>
        </w:numPr>
        <w:rPr>
          <w:rFonts w:ascii="Arial" w:cs="Arial" w:eastAsia="Arial" w:hAnsi="Arial"/>
          <w:sz w:val="15"/>
          <w:szCs w:val="15"/>
          <w:color w:val="auto"/>
        </w:rPr>
      </w:pPr>
      <w:r>
        <w:rPr>
          <w:rFonts w:ascii="Arial" w:cs="Arial" w:eastAsia="Arial" w:hAnsi="Arial"/>
          <w:sz w:val="15"/>
          <w:szCs w:val="15"/>
          <w:color w:val="auto"/>
        </w:rPr>
        <w:t xml:space="preserve">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5"/>
          <w:szCs w:val="15"/>
          <w:i w:val="1"/>
          <w:iCs w:val="1"/>
          <w:color w:val="auto"/>
        </w:rPr>
        <w:t>bona fide</w:t>
      </w:r>
      <w:r>
        <w:rPr>
          <w:rFonts w:ascii="Arial" w:cs="Arial" w:eastAsia="Arial" w:hAnsi="Arial"/>
          <w:sz w:val="15"/>
          <w:szCs w:val="15"/>
          <w:color w:val="auto"/>
        </w:rPr>
        <w:t xml:space="preserve"> offering thereof.</w:t>
      </w:r>
    </w:p>
    <w:p>
      <w:pPr>
        <w:spacing w:after="0" w:line="148" w:lineRule="exact"/>
        <w:rPr>
          <w:rFonts w:ascii="Arial" w:cs="Arial" w:eastAsia="Arial" w:hAnsi="Arial"/>
          <w:sz w:val="15"/>
          <w:szCs w:val="15"/>
          <w:color w:val="auto"/>
        </w:rPr>
      </w:pPr>
    </w:p>
    <w:p>
      <w:pPr>
        <w:ind w:left="880" w:right="40" w:hanging="5"/>
        <w:spacing w:after="0" w:line="275" w:lineRule="auto"/>
        <w:tabs>
          <w:tab w:leader="none" w:pos="1123"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05"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II-5</w:t>
      </w:r>
    </w:p>
    <w:p>
      <w:pPr>
        <w:sectPr>
          <w:pgSz w:w="11900" w:h="16838" w:orient="portrait"/>
          <w:cols w:equalWidth="0" w:num="1">
            <w:col w:w="10980"/>
          </w:cols>
          <w:pgMar w:left="240" w:top="444" w:right="679" w:bottom="1440" w:gutter="0" w:footer="0" w:header="0"/>
        </w:sectPr>
      </w:pPr>
    </w:p>
    <w:bookmarkStart w:id="26" w:name="page27"/>
    <w:bookmarkEnd w:id="2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tbl>
      <w:tblPr>
        <w:tblLayout w:type="fixed"/>
        <w:tblInd w:w="460" w:type="dxa"/>
        <w:tblCellMar>
          <w:top w:w="0" w:type="dxa"/>
          <w:left w:w="0" w:type="dxa"/>
          <w:bottom w:w="0" w:type="dxa"/>
          <w:right w:w="0" w:type="dxa"/>
        </w:tblCellMar>
      </w:tblPr>
      <w:tr>
        <w:trPr>
          <w:trHeight w:val="223"/>
        </w:trPr>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60" w:type="dxa"/>
            <w:vAlign w:val="bottom"/>
            <w:gridSpan w:val="12"/>
          </w:tcPr>
          <w:p>
            <w:pPr>
              <w:ind w:left="580"/>
              <w:spacing w:after="0"/>
              <w:rPr>
                <w:sz w:val="20"/>
                <w:szCs w:val="20"/>
                <w:color w:val="auto"/>
              </w:rPr>
            </w:pPr>
            <w:r>
              <w:rPr>
                <w:rFonts w:ascii="Arial" w:cs="Arial" w:eastAsia="Arial" w:hAnsi="Arial"/>
                <w:sz w:val="17"/>
                <w:szCs w:val="17"/>
                <w:b w:val="1"/>
                <w:bCs w:val="1"/>
                <w:color w:val="auto"/>
              </w:rPr>
              <w:t>EXHIBIT INDEX</w:t>
            </w:r>
          </w:p>
        </w:tc>
        <w:tc>
          <w:tcPr>
            <w:tcW w:w="0" w:type="dxa"/>
            <w:vAlign w:val="bottom"/>
          </w:tcPr>
          <w:p>
            <w:pPr>
              <w:spacing w:after="0"/>
              <w:rPr>
                <w:sz w:val="1"/>
                <w:szCs w:val="1"/>
                <w:color w:val="auto"/>
              </w:rPr>
            </w:pPr>
          </w:p>
        </w:tc>
      </w:tr>
      <w:tr>
        <w:trPr>
          <w:trHeight w:val="353"/>
        </w:trPr>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94"/>
              </w:rPr>
              <w:t>Exhibit</w:t>
            </w:r>
          </w:p>
        </w:tc>
        <w:tc>
          <w:tcPr>
            <w:tcW w:w="7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vMerge w:val="restart"/>
          </w:tcPr>
          <w:p>
            <w:pPr>
              <w:spacing w:after="0"/>
              <w:rPr>
                <w:sz w:val="24"/>
                <w:szCs w:val="24"/>
                <w:color w:val="auto"/>
              </w:rPr>
            </w:pPr>
          </w:p>
        </w:tc>
        <w:tc>
          <w:tcPr>
            <w:tcW w:w="680" w:type="dxa"/>
            <w:vAlign w:val="bottom"/>
            <w:vMerge w:val="restart"/>
          </w:tcPr>
          <w:p>
            <w:pPr>
              <w:spacing w:after="0"/>
              <w:rPr>
                <w:sz w:val="20"/>
                <w:szCs w:val="20"/>
                <w:color w:val="auto"/>
              </w:rPr>
            </w:pPr>
            <w:r>
              <w:rPr>
                <w:rFonts w:ascii="Arial" w:cs="Arial" w:eastAsia="Arial" w:hAnsi="Arial"/>
                <w:sz w:val="14"/>
                <w:szCs w:val="14"/>
                <w:b w:val="1"/>
                <w:bCs w:val="1"/>
                <w:color w:val="auto"/>
                <w:w w:val="85"/>
              </w:rPr>
              <w:t>Description</w:t>
            </w:r>
          </w:p>
        </w:tc>
        <w:tc>
          <w:tcPr>
            <w:tcW w:w="4260" w:type="dxa"/>
            <w:vAlign w:val="bottom"/>
            <w:gridSpan w:val="7"/>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Number</w:t>
            </w:r>
          </w:p>
        </w:tc>
        <w:tc>
          <w:tcPr>
            <w:tcW w:w="7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4260" w:type="dxa"/>
            <w:vAlign w:val="bottom"/>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1"/>
        </w:trPr>
        <w:tc>
          <w:tcPr>
            <w:tcW w:w="480" w:type="dxa"/>
            <w:vAlign w:val="bottom"/>
          </w:tcPr>
          <w:p>
            <w:pPr>
              <w:jc w:val="right"/>
              <w:ind w:right="17"/>
              <w:spacing w:after="0"/>
              <w:rPr>
                <w:sz w:val="20"/>
                <w:szCs w:val="20"/>
                <w:color w:val="auto"/>
              </w:rPr>
            </w:pPr>
            <w:r>
              <w:rPr>
                <w:rFonts w:ascii="Arial" w:cs="Arial" w:eastAsia="Arial" w:hAnsi="Arial"/>
                <w:sz w:val="17"/>
                <w:szCs w:val="17"/>
                <w:color w:val="auto"/>
              </w:rPr>
              <w:t>1.1*</w:t>
            </w:r>
          </w:p>
        </w:tc>
        <w:tc>
          <w:tcPr>
            <w:tcW w:w="720" w:type="dxa"/>
            <w:vAlign w:val="bottom"/>
          </w:tcPr>
          <w:p>
            <w:pPr>
              <w:spacing w:after="0"/>
              <w:rPr>
                <w:sz w:val="24"/>
                <w:szCs w:val="24"/>
                <w:color w:val="auto"/>
              </w:rPr>
            </w:pPr>
          </w:p>
        </w:tc>
        <w:tc>
          <w:tcPr>
            <w:tcW w:w="9260" w:type="dxa"/>
            <w:vAlign w:val="bottom"/>
            <w:gridSpan w:val="16"/>
          </w:tcPr>
          <w:p>
            <w:pPr>
              <w:spacing w:after="0"/>
              <w:rPr>
                <w:sz w:val="20"/>
                <w:szCs w:val="20"/>
                <w:color w:val="auto"/>
              </w:rPr>
            </w:pPr>
            <w:r>
              <w:rPr>
                <w:rFonts w:ascii="Arial" w:cs="Arial" w:eastAsia="Arial" w:hAnsi="Arial"/>
                <w:sz w:val="17"/>
                <w:szCs w:val="17"/>
                <w:color w:val="auto"/>
              </w:rPr>
              <w:t>Form of Underwriting Agreement.</w:t>
            </w:r>
          </w:p>
        </w:tc>
        <w:tc>
          <w:tcPr>
            <w:tcW w:w="0" w:type="dxa"/>
            <w:vAlign w:val="bottom"/>
          </w:tcPr>
          <w:p>
            <w:pPr>
              <w:spacing w:after="0"/>
              <w:rPr>
                <w:sz w:val="1"/>
                <w:szCs w:val="1"/>
                <w:color w:val="auto"/>
              </w:rPr>
            </w:pPr>
          </w:p>
        </w:tc>
      </w:tr>
      <w:tr>
        <w:trPr>
          <w:trHeight w:val="272"/>
        </w:trPr>
        <w:tc>
          <w:tcPr>
            <w:tcW w:w="480" w:type="dxa"/>
            <w:vAlign w:val="bottom"/>
          </w:tcPr>
          <w:p>
            <w:pPr>
              <w:jc w:val="right"/>
              <w:ind w:right="97"/>
              <w:spacing w:after="0"/>
              <w:rPr>
                <w:sz w:val="20"/>
                <w:szCs w:val="20"/>
                <w:color w:val="auto"/>
              </w:rPr>
            </w:pPr>
            <w:r>
              <w:rPr>
                <w:rFonts w:ascii="Arial" w:cs="Arial" w:eastAsia="Arial" w:hAnsi="Arial"/>
                <w:sz w:val="17"/>
                <w:szCs w:val="17"/>
                <w:color w:val="auto"/>
              </w:rPr>
              <w:t>3.1</w:t>
            </w:r>
          </w:p>
        </w:tc>
        <w:tc>
          <w:tcPr>
            <w:tcW w:w="720" w:type="dxa"/>
            <w:vAlign w:val="bottom"/>
          </w:tcPr>
          <w:p>
            <w:pPr>
              <w:spacing w:after="0"/>
              <w:rPr>
                <w:sz w:val="23"/>
                <w:szCs w:val="23"/>
                <w:color w:val="auto"/>
              </w:rPr>
            </w:pPr>
          </w:p>
        </w:tc>
        <w:tc>
          <w:tcPr>
            <w:tcW w:w="9240" w:type="dxa"/>
            <w:vAlign w:val="bottom"/>
            <w:tcBorders>
              <w:bottom w:val="single" w:sz="8" w:color="0000EE"/>
            </w:tcBorders>
            <w:gridSpan w:val="15"/>
          </w:tcPr>
          <w:p>
            <w:pPr>
              <w:spacing w:after="0"/>
              <w:rPr>
                <w:rFonts w:ascii="Arial" w:cs="Arial" w:eastAsia="Arial" w:hAnsi="Arial"/>
                <w:sz w:val="17"/>
                <w:szCs w:val="17"/>
                <w:color w:val="0000EE"/>
                <w:w w:val="92"/>
              </w:rPr>
            </w:pPr>
            <w:hyperlink r:id="rId53">
              <w:r>
                <w:rPr>
                  <w:rFonts w:ascii="Arial" w:cs="Arial" w:eastAsia="Arial" w:hAnsi="Arial"/>
                  <w:sz w:val="17"/>
                  <w:szCs w:val="17"/>
                  <w:color w:val="0000EE"/>
                  <w:w w:val="92"/>
                </w:rPr>
                <w:t>Certificate of Incorporation of ICU Medical, Inc., as amended and restated (incorporated by reference to Exhibit 3.1 to the Company’s</w:t>
              </w:r>
            </w:hyperlink>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6"/>
        </w:trPr>
        <w:tc>
          <w:tcPr>
            <w:tcW w:w="4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500" w:type="dxa"/>
            <w:vAlign w:val="bottom"/>
            <w:tcBorders>
              <w:bottom w:val="single" w:sz="8" w:color="0000EE"/>
            </w:tcBorders>
            <w:gridSpan w:val="5"/>
          </w:tcPr>
          <w:p>
            <w:pPr>
              <w:spacing w:after="0" w:line="186" w:lineRule="exact"/>
              <w:rPr>
                <w:rFonts w:ascii="Arial" w:cs="Arial" w:eastAsia="Arial" w:hAnsi="Arial"/>
                <w:sz w:val="17"/>
                <w:szCs w:val="17"/>
                <w:color w:val="0000EE"/>
                <w:w w:val="91"/>
              </w:rPr>
            </w:pPr>
            <w:hyperlink r:id="rId53">
              <w:r>
                <w:rPr>
                  <w:rFonts w:ascii="Arial" w:cs="Arial" w:eastAsia="Arial" w:hAnsi="Arial"/>
                  <w:sz w:val="17"/>
                  <w:szCs w:val="17"/>
                  <w:color w:val="0000EE"/>
                  <w:w w:val="91"/>
                </w:rPr>
                <w:t>Current Report on Form 8-K dated June 10, 2014).</w:t>
              </w:r>
            </w:hyperlink>
          </w:p>
        </w:tc>
        <w:tc>
          <w:tcPr>
            <w:tcW w:w="5760" w:type="dxa"/>
            <w:vAlign w:val="bottom"/>
            <w:gridSpan w:val="11"/>
          </w:tcPr>
          <w:p>
            <w:pPr>
              <w:spacing w:after="0"/>
              <w:rPr>
                <w:sz w:val="16"/>
                <w:szCs w:val="16"/>
                <w:color w:val="auto"/>
              </w:rPr>
            </w:pPr>
          </w:p>
        </w:tc>
        <w:tc>
          <w:tcPr>
            <w:tcW w:w="0" w:type="dxa"/>
            <w:vAlign w:val="bottom"/>
          </w:tcPr>
          <w:p>
            <w:pPr>
              <w:spacing w:after="0"/>
              <w:rPr>
                <w:sz w:val="1"/>
                <w:szCs w:val="1"/>
                <w:color w:val="auto"/>
              </w:rPr>
            </w:pPr>
          </w:p>
        </w:tc>
      </w:tr>
      <w:tr>
        <w:trPr>
          <w:trHeight w:val="289"/>
        </w:trPr>
        <w:tc>
          <w:tcPr>
            <w:tcW w:w="480" w:type="dxa"/>
            <w:vAlign w:val="bottom"/>
          </w:tcPr>
          <w:p>
            <w:pPr>
              <w:jc w:val="right"/>
              <w:ind w:right="97"/>
              <w:spacing w:after="0"/>
              <w:rPr>
                <w:sz w:val="20"/>
                <w:szCs w:val="20"/>
                <w:color w:val="auto"/>
              </w:rPr>
            </w:pPr>
            <w:r>
              <w:rPr>
                <w:rFonts w:ascii="Arial" w:cs="Arial" w:eastAsia="Arial" w:hAnsi="Arial"/>
                <w:sz w:val="17"/>
                <w:szCs w:val="17"/>
                <w:color w:val="auto"/>
              </w:rPr>
              <w:t>3.2</w:t>
            </w:r>
          </w:p>
        </w:tc>
        <w:tc>
          <w:tcPr>
            <w:tcW w:w="720" w:type="dxa"/>
            <w:vAlign w:val="bottom"/>
          </w:tcPr>
          <w:p>
            <w:pPr>
              <w:spacing w:after="0"/>
              <w:rPr>
                <w:sz w:val="24"/>
                <w:szCs w:val="24"/>
                <w:color w:val="auto"/>
              </w:rPr>
            </w:pPr>
          </w:p>
        </w:tc>
        <w:tc>
          <w:tcPr>
            <w:tcW w:w="9160" w:type="dxa"/>
            <w:vAlign w:val="bottom"/>
            <w:tcBorders>
              <w:bottom w:val="single" w:sz="8" w:color="0000EE"/>
            </w:tcBorders>
            <w:gridSpan w:val="13"/>
          </w:tcPr>
          <w:p>
            <w:pPr>
              <w:spacing w:after="0"/>
              <w:rPr>
                <w:rFonts w:ascii="Arial" w:cs="Arial" w:eastAsia="Arial" w:hAnsi="Arial"/>
                <w:sz w:val="17"/>
                <w:szCs w:val="17"/>
                <w:color w:val="0000EE"/>
                <w:w w:val="91"/>
              </w:rPr>
            </w:pPr>
            <w:hyperlink r:id="rId54">
              <w:r>
                <w:rPr>
                  <w:rFonts w:ascii="Arial" w:cs="Arial" w:eastAsia="Arial" w:hAnsi="Arial"/>
                  <w:sz w:val="17"/>
                  <w:szCs w:val="17"/>
                  <w:color w:val="0000EE"/>
                  <w:w w:val="91"/>
                </w:rPr>
                <w:t>Bylaws of ICU Medical, Inc., as amended and restated (incorporated by reference to Exhibit 3.1 to the Company’s Current Report on</w:t>
              </w:r>
            </w:hyperlink>
          </w:p>
        </w:tc>
        <w:tc>
          <w:tcPr>
            <w:tcW w:w="1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4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260" w:type="dxa"/>
            <w:vAlign w:val="bottom"/>
            <w:gridSpan w:val="16"/>
          </w:tcPr>
          <w:p>
            <w:pPr>
              <w:spacing w:after="0" w:line="186" w:lineRule="exact"/>
              <w:rPr>
                <w:rFonts w:ascii="Arial" w:cs="Arial" w:eastAsia="Arial" w:hAnsi="Arial"/>
                <w:sz w:val="17"/>
                <w:szCs w:val="17"/>
                <w:color w:val="0000EE"/>
              </w:rPr>
            </w:pPr>
            <w:hyperlink r:id="rId54">
              <w:r>
                <w:rPr>
                  <w:rFonts w:ascii="Arial" w:cs="Arial" w:eastAsia="Arial" w:hAnsi="Arial"/>
                  <w:sz w:val="17"/>
                  <w:szCs w:val="17"/>
                  <w:color w:val="0000EE"/>
                </w:rPr>
                <w:t>Form 8-K dated August 3, 2016).</w:t>
              </w:r>
            </w:hyperlink>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480" w:type="dxa"/>
            <w:vAlign w:val="bottom"/>
          </w:tcPr>
          <w:p>
            <w:pPr>
              <w:jc w:val="right"/>
              <w:ind w:right="97"/>
              <w:spacing w:after="0"/>
              <w:rPr>
                <w:sz w:val="20"/>
                <w:szCs w:val="20"/>
                <w:color w:val="auto"/>
              </w:rPr>
            </w:pPr>
            <w:r>
              <w:rPr>
                <w:rFonts w:ascii="Arial" w:cs="Arial" w:eastAsia="Arial" w:hAnsi="Arial"/>
                <w:sz w:val="17"/>
                <w:szCs w:val="17"/>
                <w:color w:val="auto"/>
              </w:rPr>
              <w:t>4.1</w:t>
            </w:r>
          </w:p>
        </w:tc>
        <w:tc>
          <w:tcPr>
            <w:tcW w:w="720" w:type="dxa"/>
            <w:vAlign w:val="bottom"/>
          </w:tcPr>
          <w:p>
            <w:pPr>
              <w:spacing w:after="0"/>
              <w:rPr>
                <w:sz w:val="24"/>
                <w:szCs w:val="24"/>
                <w:color w:val="auto"/>
              </w:rPr>
            </w:pPr>
          </w:p>
        </w:tc>
        <w:tc>
          <w:tcPr>
            <w:tcW w:w="2800" w:type="dxa"/>
            <w:vAlign w:val="bottom"/>
            <w:tcBorders>
              <w:bottom w:val="single" w:sz="8" w:color="0000EE"/>
            </w:tcBorders>
            <w:gridSpan w:val="4"/>
          </w:tcPr>
          <w:p>
            <w:pPr>
              <w:spacing w:after="0"/>
              <w:rPr>
                <w:sz w:val="20"/>
                <w:szCs w:val="20"/>
                <w:color w:val="auto"/>
              </w:rPr>
            </w:pPr>
            <w:r>
              <w:rPr>
                <w:rFonts w:ascii="Arial" w:cs="Arial" w:eastAsia="Arial" w:hAnsi="Arial"/>
                <w:sz w:val="17"/>
                <w:szCs w:val="17"/>
                <w:color w:val="0000EE"/>
                <w:w w:val="92"/>
              </w:rPr>
              <w:t>Specimen of Common Stock Certificate.</w:t>
            </w:r>
          </w:p>
        </w:tc>
        <w:tc>
          <w:tcPr>
            <w:tcW w:w="646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480" w:type="dxa"/>
            <w:vAlign w:val="bottom"/>
          </w:tcPr>
          <w:p>
            <w:pPr>
              <w:jc w:val="right"/>
              <w:ind w:right="97"/>
              <w:spacing w:after="0"/>
              <w:rPr>
                <w:sz w:val="20"/>
                <w:szCs w:val="20"/>
                <w:color w:val="auto"/>
              </w:rPr>
            </w:pPr>
            <w:r>
              <w:rPr>
                <w:rFonts w:ascii="Arial" w:cs="Arial" w:eastAsia="Arial" w:hAnsi="Arial"/>
                <w:sz w:val="17"/>
                <w:szCs w:val="17"/>
                <w:color w:val="auto"/>
              </w:rPr>
              <w:t>4.2</w:t>
            </w:r>
          </w:p>
        </w:tc>
        <w:tc>
          <w:tcPr>
            <w:tcW w:w="720" w:type="dxa"/>
            <w:vAlign w:val="bottom"/>
          </w:tcPr>
          <w:p>
            <w:pPr>
              <w:spacing w:after="0"/>
              <w:rPr>
                <w:sz w:val="24"/>
                <w:szCs w:val="24"/>
                <w:color w:val="auto"/>
              </w:rPr>
            </w:pPr>
          </w:p>
        </w:tc>
        <w:tc>
          <w:tcPr>
            <w:tcW w:w="9260" w:type="dxa"/>
            <w:vAlign w:val="bottom"/>
            <w:tcBorders>
              <w:bottom w:val="single" w:sz="8" w:color="0000EE"/>
            </w:tcBorders>
            <w:gridSpan w:val="16"/>
          </w:tcPr>
          <w:p>
            <w:pPr>
              <w:spacing w:after="0"/>
              <w:rPr>
                <w:sz w:val="20"/>
                <w:szCs w:val="20"/>
                <w:color w:val="auto"/>
              </w:rPr>
            </w:pPr>
            <w:r>
              <w:rPr>
                <w:rFonts w:ascii="Arial" w:cs="Arial" w:eastAsia="Arial" w:hAnsi="Arial"/>
                <w:sz w:val="17"/>
                <w:szCs w:val="17"/>
                <w:color w:val="0000EE"/>
                <w:w w:val="91"/>
              </w:rPr>
              <w:t>Stock Purchase and Sale Agreement, dated November 13, 2018, by and among C.P. Pharmaceuticals International C.V., ICU Medical,</w:t>
            </w:r>
          </w:p>
        </w:tc>
        <w:tc>
          <w:tcPr>
            <w:tcW w:w="0" w:type="dxa"/>
            <w:vAlign w:val="bottom"/>
          </w:tcPr>
          <w:p>
            <w:pPr>
              <w:spacing w:after="0"/>
              <w:rPr>
                <w:sz w:val="1"/>
                <w:szCs w:val="1"/>
                <w:color w:val="auto"/>
              </w:rPr>
            </w:pPr>
          </w:p>
        </w:tc>
      </w:tr>
      <w:tr>
        <w:trPr>
          <w:trHeight w:val="186"/>
        </w:trPr>
        <w:tc>
          <w:tcPr>
            <w:tcW w:w="4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80" w:type="dxa"/>
            <w:vAlign w:val="bottom"/>
            <w:tcBorders>
              <w:bottom w:val="single" w:sz="8" w:color="0000EE"/>
            </w:tcBorders>
            <w:gridSpan w:val="3"/>
          </w:tcPr>
          <w:p>
            <w:pPr>
              <w:spacing w:after="0" w:line="186" w:lineRule="exact"/>
              <w:rPr>
                <w:sz w:val="20"/>
                <w:szCs w:val="20"/>
                <w:color w:val="auto"/>
              </w:rPr>
            </w:pPr>
            <w:r>
              <w:rPr>
                <w:rFonts w:ascii="Arial" w:cs="Arial" w:eastAsia="Arial" w:hAnsi="Arial"/>
                <w:sz w:val="17"/>
                <w:szCs w:val="17"/>
                <w:color w:val="0000EE"/>
                <w:w w:val="89"/>
              </w:rPr>
              <w:t>Inc. and the purchasers named therein.</w:t>
            </w:r>
          </w:p>
        </w:tc>
        <w:tc>
          <w:tcPr>
            <w:tcW w:w="6580" w:type="dxa"/>
            <w:vAlign w:val="bottom"/>
            <w:gridSpan w:val="13"/>
          </w:tcPr>
          <w:p>
            <w:pPr>
              <w:spacing w:after="0"/>
              <w:rPr>
                <w:sz w:val="16"/>
                <w:szCs w:val="16"/>
                <w:color w:val="auto"/>
              </w:rPr>
            </w:pPr>
          </w:p>
        </w:tc>
        <w:tc>
          <w:tcPr>
            <w:tcW w:w="0" w:type="dxa"/>
            <w:vAlign w:val="bottom"/>
          </w:tcPr>
          <w:p>
            <w:pPr>
              <w:spacing w:after="0"/>
              <w:rPr>
                <w:sz w:val="1"/>
                <w:szCs w:val="1"/>
                <w:color w:val="auto"/>
              </w:rPr>
            </w:pPr>
          </w:p>
        </w:tc>
      </w:tr>
      <w:tr>
        <w:trPr>
          <w:trHeight w:val="302"/>
        </w:trPr>
        <w:tc>
          <w:tcPr>
            <w:tcW w:w="480" w:type="dxa"/>
            <w:vAlign w:val="bottom"/>
          </w:tcPr>
          <w:p>
            <w:pPr>
              <w:jc w:val="right"/>
              <w:ind w:right="97"/>
              <w:spacing w:after="0"/>
              <w:rPr>
                <w:sz w:val="20"/>
                <w:szCs w:val="20"/>
                <w:color w:val="auto"/>
              </w:rPr>
            </w:pPr>
            <w:r>
              <w:rPr>
                <w:rFonts w:ascii="Arial" w:cs="Arial" w:eastAsia="Arial" w:hAnsi="Arial"/>
                <w:sz w:val="17"/>
                <w:szCs w:val="17"/>
                <w:color w:val="auto"/>
              </w:rPr>
              <w:t>4.3</w:t>
            </w:r>
          </w:p>
        </w:tc>
        <w:tc>
          <w:tcPr>
            <w:tcW w:w="720" w:type="dxa"/>
            <w:vAlign w:val="bottom"/>
          </w:tcPr>
          <w:p>
            <w:pPr>
              <w:spacing w:after="0"/>
              <w:rPr>
                <w:sz w:val="24"/>
                <w:szCs w:val="24"/>
                <w:color w:val="auto"/>
              </w:rPr>
            </w:pPr>
          </w:p>
        </w:tc>
        <w:tc>
          <w:tcPr>
            <w:tcW w:w="9220" w:type="dxa"/>
            <w:vAlign w:val="bottom"/>
            <w:tcBorders>
              <w:bottom w:val="single" w:sz="8" w:color="0000EE"/>
            </w:tcBorders>
            <w:gridSpan w:val="14"/>
          </w:tcPr>
          <w:p>
            <w:pPr>
              <w:spacing w:after="0"/>
              <w:rPr>
                <w:sz w:val="20"/>
                <w:szCs w:val="20"/>
                <w:color w:val="auto"/>
              </w:rPr>
            </w:pPr>
            <w:r>
              <w:rPr>
                <w:rFonts w:ascii="Arial" w:cs="Arial" w:eastAsia="Arial" w:hAnsi="Arial"/>
                <w:sz w:val="17"/>
                <w:szCs w:val="17"/>
                <w:color w:val="0000EE"/>
                <w:w w:val="90"/>
              </w:rPr>
              <w:t>Stock Purchase and Sale Agreement, dated November 13, 2018, by and among C.P. Pharmaceuticals International C.V., ICU Medical,</w:t>
            </w:r>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4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60" w:type="dxa"/>
            <w:vAlign w:val="bottom"/>
            <w:tcBorders>
              <w:bottom w:val="single" w:sz="8" w:color="0000EE"/>
            </w:tcBorders>
            <w:gridSpan w:val="2"/>
          </w:tcPr>
          <w:p>
            <w:pPr>
              <w:spacing w:after="0" w:line="186" w:lineRule="exact"/>
              <w:rPr>
                <w:sz w:val="20"/>
                <w:szCs w:val="20"/>
                <w:color w:val="auto"/>
              </w:rPr>
            </w:pPr>
            <w:r>
              <w:rPr>
                <w:rFonts w:ascii="Arial" w:cs="Arial" w:eastAsia="Arial" w:hAnsi="Arial"/>
                <w:sz w:val="17"/>
                <w:szCs w:val="17"/>
                <w:color w:val="0000EE"/>
                <w:w w:val="89"/>
              </w:rPr>
              <w:t>Inc. and the purchasers named therein.</w:t>
            </w:r>
          </w:p>
        </w:tc>
        <w:tc>
          <w:tcPr>
            <w:tcW w:w="6600" w:type="dxa"/>
            <w:vAlign w:val="bottom"/>
            <w:gridSpan w:val="14"/>
          </w:tcPr>
          <w:p>
            <w:pPr>
              <w:spacing w:after="0"/>
              <w:rPr>
                <w:sz w:val="16"/>
                <w:szCs w:val="16"/>
                <w:color w:val="auto"/>
              </w:rPr>
            </w:pPr>
          </w:p>
        </w:tc>
        <w:tc>
          <w:tcPr>
            <w:tcW w:w="0" w:type="dxa"/>
            <w:vAlign w:val="bottom"/>
          </w:tcPr>
          <w:p>
            <w:pPr>
              <w:spacing w:after="0"/>
              <w:rPr>
                <w:sz w:val="1"/>
                <w:szCs w:val="1"/>
                <w:color w:val="auto"/>
              </w:rPr>
            </w:pPr>
          </w:p>
        </w:tc>
      </w:tr>
      <w:tr>
        <w:trPr>
          <w:trHeight w:val="289"/>
        </w:trPr>
        <w:tc>
          <w:tcPr>
            <w:tcW w:w="480" w:type="dxa"/>
            <w:vAlign w:val="bottom"/>
          </w:tcPr>
          <w:p>
            <w:pPr>
              <w:jc w:val="right"/>
              <w:ind w:right="97"/>
              <w:spacing w:after="0"/>
              <w:rPr>
                <w:sz w:val="20"/>
                <w:szCs w:val="20"/>
                <w:color w:val="auto"/>
              </w:rPr>
            </w:pPr>
            <w:r>
              <w:rPr>
                <w:rFonts w:ascii="Arial" w:cs="Arial" w:eastAsia="Arial" w:hAnsi="Arial"/>
                <w:sz w:val="17"/>
                <w:szCs w:val="17"/>
                <w:color w:val="auto"/>
              </w:rPr>
              <w:t>5.1</w:t>
            </w:r>
          </w:p>
        </w:tc>
        <w:tc>
          <w:tcPr>
            <w:tcW w:w="720" w:type="dxa"/>
            <w:vAlign w:val="bottom"/>
          </w:tcPr>
          <w:p>
            <w:pPr>
              <w:spacing w:after="0"/>
              <w:rPr>
                <w:sz w:val="24"/>
                <w:szCs w:val="24"/>
                <w:color w:val="auto"/>
              </w:rPr>
            </w:pPr>
          </w:p>
        </w:tc>
        <w:tc>
          <w:tcPr>
            <w:tcW w:w="9260" w:type="dxa"/>
            <w:vAlign w:val="bottom"/>
            <w:gridSpan w:val="16"/>
          </w:tcPr>
          <w:p>
            <w:pPr>
              <w:spacing w:after="0"/>
              <w:rPr>
                <w:sz w:val="20"/>
                <w:szCs w:val="20"/>
                <w:color w:val="auto"/>
              </w:rPr>
            </w:pPr>
            <w:r>
              <w:rPr>
                <w:rFonts w:ascii="Arial" w:cs="Arial" w:eastAsia="Arial" w:hAnsi="Arial"/>
                <w:sz w:val="17"/>
                <w:szCs w:val="17"/>
                <w:color w:val="0000EE"/>
              </w:rPr>
              <w:t>Opinion of Latham &amp; Watkins LLP as to the legality of the securities being registered.</w:t>
            </w:r>
          </w:p>
        </w:tc>
        <w:tc>
          <w:tcPr>
            <w:tcW w:w="0" w:type="dxa"/>
            <w:vAlign w:val="bottom"/>
          </w:tcPr>
          <w:p>
            <w:pPr>
              <w:spacing w:after="0"/>
              <w:rPr>
                <w:sz w:val="1"/>
                <w:szCs w:val="1"/>
                <w:color w:val="auto"/>
              </w:rPr>
            </w:pPr>
          </w:p>
        </w:tc>
      </w:tr>
      <w:tr>
        <w:trPr>
          <w:trHeight w:val="289"/>
        </w:trPr>
        <w:tc>
          <w:tcPr>
            <w:tcW w:w="480" w:type="dxa"/>
            <w:vAlign w:val="bottom"/>
          </w:tcPr>
          <w:p>
            <w:pPr>
              <w:jc w:val="right"/>
              <w:ind w:right="97"/>
              <w:spacing w:after="0"/>
              <w:rPr>
                <w:sz w:val="20"/>
                <w:szCs w:val="20"/>
                <w:color w:val="auto"/>
              </w:rPr>
            </w:pPr>
            <w:r>
              <w:rPr>
                <w:rFonts w:ascii="Arial" w:cs="Arial" w:eastAsia="Arial" w:hAnsi="Arial"/>
                <w:sz w:val="17"/>
                <w:szCs w:val="17"/>
                <w:color w:val="auto"/>
                <w:w w:val="84"/>
              </w:rPr>
              <w:t>23.1</w:t>
            </w:r>
          </w:p>
        </w:tc>
        <w:tc>
          <w:tcPr>
            <w:tcW w:w="720" w:type="dxa"/>
            <w:vAlign w:val="bottom"/>
          </w:tcPr>
          <w:p>
            <w:pPr>
              <w:spacing w:after="0"/>
              <w:rPr>
                <w:sz w:val="24"/>
                <w:szCs w:val="24"/>
                <w:color w:val="auto"/>
              </w:rPr>
            </w:pPr>
          </w:p>
        </w:tc>
        <w:tc>
          <w:tcPr>
            <w:tcW w:w="5940" w:type="dxa"/>
            <w:vAlign w:val="bottom"/>
            <w:tcBorders>
              <w:top w:val="single" w:sz="8" w:color="0000EE"/>
            </w:tcBorders>
            <w:gridSpan w:val="10"/>
          </w:tcPr>
          <w:p>
            <w:pPr>
              <w:spacing w:after="0"/>
              <w:rPr>
                <w:sz w:val="20"/>
                <w:szCs w:val="20"/>
                <w:color w:val="auto"/>
              </w:rPr>
            </w:pPr>
            <w:r>
              <w:rPr>
                <w:rFonts w:ascii="Arial" w:cs="Arial" w:eastAsia="Arial" w:hAnsi="Arial"/>
                <w:sz w:val="17"/>
                <w:szCs w:val="17"/>
                <w:color w:val="0000EE"/>
              </w:rPr>
              <w:t>Consent of Latham &amp; Watkins LLP (included in Exhibit 5.1).</w:t>
            </w:r>
          </w:p>
        </w:tc>
        <w:tc>
          <w:tcPr>
            <w:tcW w:w="33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60" w:type="dxa"/>
            <w:vAlign w:val="bottom"/>
            <w:gridSpan w:val="6"/>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480" w:type="dxa"/>
            <w:vAlign w:val="bottom"/>
          </w:tcPr>
          <w:p>
            <w:pPr>
              <w:jc w:val="right"/>
              <w:ind w:right="97"/>
              <w:spacing w:after="0"/>
              <w:rPr>
                <w:sz w:val="20"/>
                <w:szCs w:val="20"/>
                <w:color w:val="auto"/>
              </w:rPr>
            </w:pPr>
            <w:r>
              <w:rPr>
                <w:rFonts w:ascii="Arial" w:cs="Arial" w:eastAsia="Arial" w:hAnsi="Arial"/>
                <w:sz w:val="17"/>
                <w:szCs w:val="17"/>
                <w:color w:val="auto"/>
                <w:w w:val="84"/>
              </w:rPr>
              <w:t>23.2</w:t>
            </w:r>
          </w:p>
        </w:tc>
        <w:tc>
          <w:tcPr>
            <w:tcW w:w="720" w:type="dxa"/>
            <w:vAlign w:val="bottom"/>
          </w:tcPr>
          <w:p>
            <w:pPr>
              <w:spacing w:after="0"/>
              <w:rPr>
                <w:sz w:val="24"/>
                <w:szCs w:val="24"/>
                <w:color w:val="auto"/>
              </w:rPr>
            </w:pPr>
          </w:p>
        </w:tc>
        <w:tc>
          <w:tcPr>
            <w:tcW w:w="6900" w:type="dxa"/>
            <w:vAlign w:val="bottom"/>
            <w:tcBorders>
              <w:bottom w:val="single" w:sz="8" w:color="0000EE"/>
            </w:tcBorders>
            <w:gridSpan w:val="12"/>
          </w:tcPr>
          <w:p>
            <w:pPr>
              <w:spacing w:after="0"/>
              <w:rPr>
                <w:sz w:val="20"/>
                <w:szCs w:val="20"/>
                <w:color w:val="auto"/>
              </w:rPr>
            </w:pPr>
            <w:r>
              <w:rPr>
                <w:rFonts w:ascii="Arial" w:cs="Arial" w:eastAsia="Arial" w:hAnsi="Arial"/>
                <w:sz w:val="17"/>
                <w:szCs w:val="17"/>
                <w:color w:val="0000EE"/>
                <w:w w:val="92"/>
              </w:rPr>
              <w:t>Consent of Deloitte &amp; Touche LLP, independent registered public accounting firm for the Company.</w:t>
            </w:r>
          </w:p>
        </w:tc>
        <w:tc>
          <w:tcPr>
            <w:tcW w:w="23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480" w:type="dxa"/>
            <w:vAlign w:val="bottom"/>
          </w:tcPr>
          <w:p>
            <w:pPr>
              <w:jc w:val="right"/>
              <w:ind w:right="97"/>
              <w:spacing w:after="0"/>
              <w:rPr>
                <w:sz w:val="20"/>
                <w:szCs w:val="20"/>
                <w:color w:val="auto"/>
              </w:rPr>
            </w:pPr>
            <w:r>
              <w:rPr>
                <w:rFonts w:ascii="Arial" w:cs="Arial" w:eastAsia="Arial" w:hAnsi="Arial"/>
                <w:sz w:val="17"/>
                <w:szCs w:val="17"/>
                <w:color w:val="auto"/>
                <w:w w:val="84"/>
              </w:rPr>
              <w:t>23.3</w:t>
            </w:r>
          </w:p>
        </w:tc>
        <w:tc>
          <w:tcPr>
            <w:tcW w:w="720" w:type="dxa"/>
            <w:vAlign w:val="bottom"/>
          </w:tcPr>
          <w:p>
            <w:pPr>
              <w:spacing w:after="0"/>
              <w:rPr>
                <w:sz w:val="24"/>
                <w:szCs w:val="24"/>
                <w:color w:val="auto"/>
              </w:rPr>
            </w:pPr>
          </w:p>
        </w:tc>
        <w:tc>
          <w:tcPr>
            <w:tcW w:w="9260" w:type="dxa"/>
            <w:vAlign w:val="bottom"/>
            <w:gridSpan w:val="16"/>
          </w:tcPr>
          <w:p>
            <w:pPr>
              <w:spacing w:after="0"/>
              <w:rPr>
                <w:sz w:val="20"/>
                <w:szCs w:val="20"/>
                <w:color w:val="auto"/>
              </w:rPr>
            </w:pPr>
            <w:r>
              <w:rPr>
                <w:rFonts w:ascii="Arial" w:cs="Arial" w:eastAsia="Arial" w:hAnsi="Arial"/>
                <w:sz w:val="17"/>
                <w:szCs w:val="17"/>
                <w:color w:val="0000EE"/>
              </w:rPr>
              <w:t>Consent of KPMG LLP, independent registered public accounting firm for Pfizer Infusion Systems.</w:t>
            </w:r>
          </w:p>
        </w:tc>
        <w:tc>
          <w:tcPr>
            <w:tcW w:w="0" w:type="dxa"/>
            <w:vAlign w:val="bottom"/>
          </w:tcPr>
          <w:p>
            <w:pPr>
              <w:spacing w:after="0"/>
              <w:rPr>
                <w:sz w:val="1"/>
                <w:szCs w:val="1"/>
                <w:color w:val="auto"/>
              </w:rPr>
            </w:pPr>
          </w:p>
        </w:tc>
      </w:tr>
      <w:tr>
        <w:trPr>
          <w:trHeight w:val="289"/>
        </w:trPr>
        <w:tc>
          <w:tcPr>
            <w:tcW w:w="480" w:type="dxa"/>
            <w:vAlign w:val="bottom"/>
          </w:tcPr>
          <w:p>
            <w:pPr>
              <w:jc w:val="right"/>
              <w:ind w:right="97"/>
              <w:spacing w:after="0"/>
              <w:rPr>
                <w:sz w:val="20"/>
                <w:szCs w:val="20"/>
                <w:color w:val="auto"/>
              </w:rPr>
            </w:pPr>
            <w:r>
              <w:rPr>
                <w:rFonts w:ascii="Arial" w:cs="Arial" w:eastAsia="Arial" w:hAnsi="Arial"/>
                <w:sz w:val="17"/>
                <w:szCs w:val="17"/>
                <w:color w:val="auto"/>
                <w:w w:val="84"/>
              </w:rPr>
              <w:t>24.1</w:t>
            </w:r>
          </w:p>
        </w:tc>
        <w:tc>
          <w:tcPr>
            <w:tcW w:w="720" w:type="dxa"/>
            <w:vAlign w:val="bottom"/>
          </w:tcPr>
          <w:p>
            <w:pPr>
              <w:spacing w:after="0"/>
              <w:rPr>
                <w:sz w:val="24"/>
                <w:szCs w:val="24"/>
                <w:color w:val="auto"/>
              </w:rPr>
            </w:pPr>
          </w:p>
        </w:tc>
        <w:tc>
          <w:tcPr>
            <w:tcW w:w="6840" w:type="dxa"/>
            <w:vAlign w:val="bottom"/>
            <w:tcBorders>
              <w:top w:val="single" w:sz="8" w:color="0000EE"/>
            </w:tcBorders>
            <w:gridSpan w:val="11"/>
          </w:tcPr>
          <w:p>
            <w:pPr>
              <w:spacing w:after="0"/>
              <w:rPr>
                <w:rFonts w:ascii="Arial" w:cs="Arial" w:eastAsia="Arial" w:hAnsi="Arial"/>
                <w:sz w:val="17"/>
                <w:szCs w:val="17"/>
                <w:color w:val="0000EE"/>
              </w:rPr>
            </w:pPr>
            <w:hyperlink w:anchor="page28">
              <w:r>
                <w:rPr>
                  <w:rFonts w:ascii="Arial" w:cs="Arial" w:eastAsia="Arial" w:hAnsi="Arial"/>
                  <w:sz w:val="17"/>
                  <w:szCs w:val="17"/>
                  <w:color w:val="0000EE"/>
                </w:rPr>
                <w:t>Power of Attorney (included on the signature page hereof).</w:t>
              </w:r>
            </w:hyperlink>
          </w:p>
        </w:tc>
        <w:tc>
          <w:tcPr>
            <w:tcW w:w="24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98425</wp:posOffset>
            </wp:positionV>
            <wp:extent cx="67119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671195" cy="8255"/>
                    </a:xfrm>
                    <a:prstGeom prst="rect">
                      <a:avLst/>
                    </a:prstGeom>
                    <a:noFill/>
                  </pic:spPr>
                </pic:pic>
              </a:graphicData>
            </a:graphic>
          </wp:anchor>
        </w:drawing>
      </w:r>
    </w:p>
    <w:p>
      <w:pPr>
        <w:spacing w:after="0" w:line="174" w:lineRule="exact"/>
        <w:rPr>
          <w:sz w:val="20"/>
          <w:szCs w:val="20"/>
          <w:color w:val="auto"/>
        </w:rPr>
      </w:pPr>
    </w:p>
    <w:p>
      <w:pPr>
        <w:ind w:left="660" w:right="80" w:hanging="206"/>
        <w:spacing w:after="0" w:line="279"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To be filed, if required, by amendment to the registration statement or incorporated by reference therein from documents filed or to be filed with the SEC under the Securities Exchange Act of 1934 in connection with the offering of the securities.</w:t>
      </w:r>
    </w:p>
    <w:p>
      <w:pPr>
        <w:sectPr>
          <w:pgSz w:w="11900" w:h="16838" w:orient="portrait"/>
          <w:cols w:equalWidth="0" w:num="1">
            <w:col w:w="10920"/>
          </w:cols>
          <w:pgMar w:left="240" w:top="444" w:right="739" w:bottom="1440" w:gutter="0" w:footer="0" w:header="0"/>
        </w:sectPr>
      </w:pPr>
    </w:p>
    <w:bookmarkStart w:id="27" w:name="page28"/>
    <w:bookmarkEnd w:id="2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SIGNATURES</w:t>
      </w:r>
    </w:p>
    <w:p>
      <w:pPr>
        <w:spacing w:after="0" w:line="223" w:lineRule="exact"/>
        <w:rPr>
          <w:sz w:val="20"/>
          <w:szCs w:val="20"/>
          <w:color w:val="auto"/>
        </w:rPr>
      </w:pPr>
    </w:p>
    <w:p>
      <w:pPr>
        <w:jc w:val="both"/>
        <w:ind w:left="460" w:right="140"/>
        <w:spacing w:after="0" w:line="266" w:lineRule="auto"/>
        <w:rPr>
          <w:sz w:val="20"/>
          <w:szCs w:val="20"/>
          <w:color w:val="auto"/>
        </w:rPr>
      </w:pPr>
      <w:r>
        <w:rPr>
          <w:rFonts w:ascii="Arial" w:cs="Arial" w:eastAsia="Arial" w:hAnsi="Arial"/>
          <w:sz w:val="17"/>
          <w:szCs w:val="17"/>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San Clemente, State of California, on this 15</w:t>
      </w:r>
      <w:r>
        <w:rPr>
          <w:rFonts w:ascii="Arial" w:cs="Arial" w:eastAsia="Arial" w:hAnsi="Arial"/>
          <w:sz w:val="14"/>
          <w:szCs w:val="14"/>
          <w:color w:val="auto"/>
        </w:rPr>
        <w:t>th</w:t>
      </w:r>
      <w:r>
        <w:rPr>
          <w:rFonts w:ascii="Arial" w:cs="Arial" w:eastAsia="Arial" w:hAnsi="Arial"/>
          <w:sz w:val="17"/>
          <w:szCs w:val="17"/>
          <w:color w:val="auto"/>
        </w:rPr>
        <w:t xml:space="preserve"> day of November, 2018.</w:t>
      </w:r>
    </w:p>
    <w:p>
      <w:pPr>
        <w:spacing w:after="0" w:line="195" w:lineRule="exact"/>
        <w:rPr>
          <w:sz w:val="20"/>
          <w:szCs w:val="20"/>
          <w:color w:val="auto"/>
        </w:rPr>
      </w:pPr>
    </w:p>
    <w:p>
      <w:pPr>
        <w:ind w:left="6780"/>
        <w:spacing w:after="0"/>
        <w:rPr>
          <w:sz w:val="20"/>
          <w:szCs w:val="20"/>
          <w:color w:val="auto"/>
        </w:rPr>
      </w:pPr>
      <w:r>
        <w:rPr>
          <w:rFonts w:ascii="Arial" w:cs="Arial" w:eastAsia="Arial" w:hAnsi="Arial"/>
          <w:sz w:val="17"/>
          <w:szCs w:val="17"/>
          <w:b w:val="1"/>
          <w:bCs w:val="1"/>
          <w:color w:val="auto"/>
        </w:rPr>
        <w:t>ICU MEDICAL, INC.</w:t>
      </w:r>
    </w:p>
    <w:p>
      <w:pPr>
        <w:spacing w:after="0" w:line="249" w:lineRule="exact"/>
        <w:rPr>
          <w:sz w:val="20"/>
          <w:szCs w:val="20"/>
          <w:color w:val="auto"/>
        </w:rPr>
      </w:pPr>
    </w:p>
    <w:p>
      <w:pPr>
        <w:ind w:left="6780"/>
        <w:spacing w:after="0"/>
        <w:tabs>
          <w:tab w:leader="none" w:pos="842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Scott E. Lamb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4520565</wp:posOffset>
            </wp:positionH>
            <wp:positionV relativeFrom="paragraph">
              <wp:posOffset>145415</wp:posOffset>
            </wp:positionV>
            <wp:extent cx="24479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2447925" cy="8255"/>
                    </a:xfrm>
                    <a:prstGeom prst="rect">
                      <a:avLst/>
                    </a:prstGeom>
                    <a:noFill/>
                  </pic:spPr>
                </pic:pic>
              </a:graphicData>
            </a:graphic>
          </wp:anchor>
        </w:drawing>
      </w:r>
    </w:p>
    <w:p>
      <w:pPr>
        <w:spacing w:after="0" w:line="223" w:lineRule="exact"/>
        <w:rPr>
          <w:sz w:val="20"/>
          <w:szCs w:val="20"/>
          <w:color w:val="auto"/>
        </w:rPr>
      </w:pPr>
    </w:p>
    <w:p>
      <w:pPr>
        <w:jc w:val="center"/>
        <w:ind w:left="6680"/>
        <w:spacing w:after="0"/>
        <w:rPr>
          <w:sz w:val="20"/>
          <w:szCs w:val="20"/>
          <w:color w:val="auto"/>
        </w:rPr>
      </w:pPr>
      <w:r>
        <w:rPr>
          <w:rFonts w:ascii="Arial" w:cs="Arial" w:eastAsia="Arial" w:hAnsi="Arial"/>
          <w:sz w:val="17"/>
          <w:szCs w:val="17"/>
          <w:color w:val="auto"/>
        </w:rPr>
        <w:t>Scott E. Lamb</w:t>
      </w:r>
    </w:p>
    <w:p>
      <w:pPr>
        <w:spacing w:after="0" w:line="22" w:lineRule="exact"/>
        <w:rPr>
          <w:sz w:val="20"/>
          <w:szCs w:val="20"/>
          <w:color w:val="auto"/>
        </w:rPr>
      </w:pPr>
    </w:p>
    <w:p>
      <w:pPr>
        <w:jc w:val="center"/>
        <w:ind w:left="6680"/>
        <w:spacing w:after="0"/>
        <w:rPr>
          <w:sz w:val="20"/>
          <w:szCs w:val="20"/>
          <w:color w:val="auto"/>
        </w:rPr>
      </w:pPr>
      <w:r>
        <w:rPr>
          <w:rFonts w:ascii="Arial" w:cs="Arial" w:eastAsia="Arial" w:hAnsi="Arial"/>
          <w:sz w:val="17"/>
          <w:szCs w:val="17"/>
          <w:i w:val="1"/>
          <w:iCs w:val="1"/>
          <w:color w:val="auto"/>
        </w:rPr>
        <w:t>Chief Financial Officer</w:t>
      </w:r>
    </w:p>
    <w:p>
      <w:pPr>
        <w:spacing w:after="0" w:line="200" w:lineRule="exact"/>
        <w:rPr>
          <w:sz w:val="20"/>
          <w:szCs w:val="20"/>
          <w:color w:val="auto"/>
        </w:rPr>
      </w:pPr>
    </w:p>
    <w:p>
      <w:pPr>
        <w:spacing w:after="0" w:line="219"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POWER OF ATTORNEY</w:t>
      </w:r>
    </w:p>
    <w:p>
      <w:pPr>
        <w:spacing w:after="0" w:line="223" w:lineRule="exact"/>
        <w:rPr>
          <w:sz w:val="20"/>
          <w:szCs w:val="20"/>
          <w:color w:val="auto"/>
        </w:rPr>
      </w:pPr>
    </w:p>
    <w:p>
      <w:pPr>
        <w:ind w:left="460" w:right="80"/>
        <w:spacing w:after="0" w:line="292" w:lineRule="auto"/>
        <w:rPr>
          <w:sz w:val="20"/>
          <w:szCs w:val="20"/>
          <w:color w:val="auto"/>
        </w:rPr>
      </w:pPr>
      <w:r>
        <w:rPr>
          <w:rFonts w:ascii="Arial" w:cs="Arial" w:eastAsia="Arial" w:hAnsi="Arial"/>
          <w:sz w:val="15"/>
          <w:szCs w:val="15"/>
          <w:color w:val="auto"/>
        </w:rPr>
        <w:t>Each person whose signature appears below hereby severally constitutes and appoints Scott E. Lamb as his or her true and lawful attorney-in-fact and agent, with full power of substitution and resubstitution, for him or her and in his or her name, place and stead, in any and all capacities, to file and sign any and all amendments, including post-effective amendments and any registration statement for the same offering that is to be effective under</w:t>
      </w:r>
    </w:p>
    <w:p>
      <w:pPr>
        <w:jc w:val="both"/>
        <w:ind w:left="460"/>
        <w:spacing w:after="0" w:line="256" w:lineRule="auto"/>
        <w:rPr>
          <w:sz w:val="20"/>
          <w:szCs w:val="20"/>
          <w:color w:val="auto"/>
        </w:rPr>
      </w:pPr>
      <w:r>
        <w:rPr>
          <w:rFonts w:ascii="Arial" w:cs="Arial" w:eastAsia="Arial" w:hAnsi="Arial"/>
          <w:sz w:val="17"/>
          <w:szCs w:val="17"/>
          <w:color w:val="auto"/>
        </w:rPr>
        <w:t>Rule 462(b) of the Securities Act, to this registration statement, with the Securities and Exchange Commission, granting unto said attorney-in-fact and agent, full power and authority to do and perform each and every act and thing requisite and necessary to be done in connection therewith as fully to all intents and purposes as he or she might or could do in person, hereby ratifying and confirming all that said attorney-in-fact and agent, or their substitute or substitutes may lawfully do or cause to be done by virtue hereof. This power of attorney shall be governed by and construed with the laws of the State of Delaware and applicable federal securities laws.</w:t>
      </w:r>
    </w:p>
    <w:p>
      <w:pPr>
        <w:spacing w:after="0" w:line="184" w:lineRule="exact"/>
        <w:rPr>
          <w:sz w:val="20"/>
          <w:szCs w:val="20"/>
          <w:color w:val="auto"/>
        </w:rPr>
      </w:pPr>
    </w:p>
    <w:p>
      <w:pPr>
        <w:ind w:left="460" w:right="200"/>
        <w:spacing w:after="0" w:line="279" w:lineRule="auto"/>
        <w:rPr>
          <w:sz w:val="20"/>
          <w:szCs w:val="20"/>
          <w:color w:val="auto"/>
        </w:rPr>
      </w:pPr>
      <w:r>
        <w:rPr>
          <w:rFonts w:ascii="Arial" w:cs="Arial" w:eastAsia="Arial" w:hAnsi="Arial"/>
          <w:sz w:val="17"/>
          <w:szCs w:val="17"/>
          <w:color w:val="auto"/>
        </w:rPr>
        <w:t>Pursuant to the requirements of the Securities Act of 1933, as amended, this registration statement has been signed below by the following persons on behalf of the registrant in the capacities and on the dates indicated.</w:t>
      </w:r>
    </w:p>
    <w:p>
      <w:pPr>
        <w:spacing w:after="0" w:line="180" w:lineRule="exact"/>
        <w:rPr>
          <w:sz w:val="20"/>
          <w:szCs w:val="20"/>
          <w:color w:val="auto"/>
        </w:rPr>
      </w:pPr>
    </w:p>
    <w:tbl>
      <w:tblPr>
        <w:tblLayout w:type="fixed"/>
        <w:tblInd w:w="460" w:type="dxa"/>
        <w:tblCellMar>
          <w:top w:w="0" w:type="dxa"/>
          <w:left w:w="0" w:type="dxa"/>
          <w:bottom w:w="0" w:type="dxa"/>
          <w:right w:w="0" w:type="dxa"/>
        </w:tblCellMar>
      </w:tblPr>
      <w:tr>
        <w:trPr>
          <w:trHeight w:val="164"/>
        </w:trPr>
        <w:tc>
          <w:tcPr>
            <w:tcW w:w="19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6"/>
              </w:rPr>
              <w:t>SIGNATURE</w:t>
            </w:r>
          </w:p>
        </w:tc>
        <w:tc>
          <w:tcPr>
            <w:tcW w:w="1940" w:type="dxa"/>
            <w:vAlign w:val="bottom"/>
          </w:tcPr>
          <w:p>
            <w:pPr>
              <w:spacing w:after="0"/>
              <w:rPr>
                <w:sz w:val="14"/>
                <w:szCs w:val="14"/>
                <w:color w:val="auto"/>
              </w:rPr>
            </w:pPr>
          </w:p>
        </w:tc>
        <w:tc>
          <w:tcPr>
            <w:tcW w:w="3920" w:type="dxa"/>
            <w:vAlign w:val="bottom"/>
            <w:gridSpan w:val="3"/>
          </w:tcPr>
          <w:p>
            <w:pPr>
              <w:ind w:left="1700"/>
              <w:spacing w:after="0"/>
              <w:rPr>
                <w:sz w:val="20"/>
                <w:szCs w:val="20"/>
                <w:color w:val="auto"/>
              </w:rPr>
            </w:pPr>
            <w:r>
              <w:rPr>
                <w:rFonts w:ascii="Arial" w:cs="Arial" w:eastAsia="Arial" w:hAnsi="Arial"/>
                <w:sz w:val="14"/>
                <w:szCs w:val="14"/>
                <w:b w:val="1"/>
                <w:bCs w:val="1"/>
                <w:color w:val="auto"/>
              </w:rPr>
              <w:t>TITLE</w:t>
            </w:r>
          </w:p>
        </w:tc>
        <w:tc>
          <w:tcPr>
            <w:tcW w:w="760" w:type="dxa"/>
            <w:vAlign w:val="bottom"/>
          </w:tcPr>
          <w:p>
            <w:pPr>
              <w:spacing w:after="0"/>
              <w:rPr>
                <w:sz w:val="14"/>
                <w:szCs w:val="14"/>
                <w:color w:val="auto"/>
              </w:rPr>
            </w:pPr>
          </w:p>
        </w:tc>
        <w:tc>
          <w:tcPr>
            <w:tcW w:w="8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9"/>
              </w:rPr>
              <w:t>DATE</w:t>
            </w:r>
          </w:p>
        </w:tc>
      </w:tr>
      <w:tr>
        <w:trPr>
          <w:trHeight w:val="20"/>
        </w:trPr>
        <w:tc>
          <w:tcPr>
            <w:tcW w:w="19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04"/>
        </w:trPr>
        <w:tc>
          <w:tcPr>
            <w:tcW w:w="468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7"/>
                <w:szCs w:val="17"/>
                <w:color w:val="auto"/>
                <w:w w:val="93"/>
              </w:rPr>
              <w:t>/s/ Vivek Jain</w:t>
            </w:r>
          </w:p>
        </w:tc>
        <w:tc>
          <w:tcPr>
            <w:tcW w:w="3920" w:type="dxa"/>
            <w:vAlign w:val="bottom"/>
            <w:gridSpan w:val="3"/>
          </w:tcPr>
          <w:p>
            <w:pPr>
              <w:ind w:left="100"/>
              <w:spacing w:after="0"/>
              <w:rPr>
                <w:sz w:val="20"/>
                <w:szCs w:val="20"/>
                <w:color w:val="auto"/>
              </w:rPr>
            </w:pPr>
            <w:r>
              <w:rPr>
                <w:rFonts w:ascii="Arial" w:cs="Arial" w:eastAsia="Arial" w:hAnsi="Arial"/>
                <w:sz w:val="17"/>
                <w:szCs w:val="17"/>
                <w:color w:val="auto"/>
                <w:w w:val="99"/>
              </w:rPr>
              <w:t>Chairman of the Board and Chief Executive Officer</w:t>
            </w:r>
          </w:p>
        </w:tc>
        <w:tc>
          <w:tcPr>
            <w:tcW w:w="1640" w:type="dxa"/>
            <w:vAlign w:val="bottom"/>
            <w:gridSpan w:val="3"/>
          </w:tcPr>
          <w:p>
            <w:pPr>
              <w:jc w:val="center"/>
              <w:ind w:left="174"/>
              <w:spacing w:after="0"/>
              <w:rPr>
                <w:sz w:val="20"/>
                <w:szCs w:val="20"/>
                <w:color w:val="auto"/>
              </w:rPr>
            </w:pPr>
            <w:r>
              <w:rPr>
                <w:rFonts w:ascii="Arial" w:cs="Arial" w:eastAsia="Arial" w:hAnsi="Arial"/>
                <w:sz w:val="17"/>
                <w:szCs w:val="17"/>
                <w:color w:val="auto"/>
                <w:w w:val="92"/>
              </w:rPr>
              <w:t>November 15, 2018</w:t>
            </w:r>
          </w:p>
        </w:tc>
      </w:tr>
      <w:tr>
        <w:trPr>
          <w:trHeight w:val="212"/>
        </w:trPr>
        <w:tc>
          <w:tcPr>
            <w:tcW w:w="1920" w:type="dxa"/>
            <w:vAlign w:val="bottom"/>
          </w:tcPr>
          <w:p>
            <w:pPr>
              <w:spacing w:after="0"/>
              <w:rPr>
                <w:sz w:val="18"/>
                <w:szCs w:val="18"/>
                <w:color w:val="auto"/>
              </w:rPr>
            </w:pPr>
          </w:p>
        </w:tc>
        <w:tc>
          <w:tcPr>
            <w:tcW w:w="2760" w:type="dxa"/>
            <w:vAlign w:val="bottom"/>
            <w:gridSpan w:val="2"/>
          </w:tcPr>
          <w:p>
            <w:pPr>
              <w:jc w:val="center"/>
              <w:ind w:right="1940"/>
              <w:spacing w:after="0"/>
              <w:rPr>
                <w:sz w:val="20"/>
                <w:szCs w:val="20"/>
                <w:color w:val="auto"/>
              </w:rPr>
            </w:pPr>
            <w:r>
              <w:rPr>
                <w:rFonts w:ascii="Arial" w:cs="Arial" w:eastAsia="Arial" w:hAnsi="Arial"/>
                <w:sz w:val="17"/>
                <w:szCs w:val="17"/>
                <w:color w:val="auto"/>
                <w:w w:val="95"/>
              </w:rPr>
              <w:t>Vivek Jain</w:t>
            </w:r>
          </w:p>
        </w:tc>
        <w:tc>
          <w:tcPr>
            <w:tcW w:w="3920" w:type="dxa"/>
            <w:vAlign w:val="bottom"/>
            <w:gridSpan w:val="3"/>
          </w:tcPr>
          <w:p>
            <w:pPr>
              <w:ind w:left="100"/>
              <w:spacing w:after="0"/>
              <w:rPr>
                <w:sz w:val="20"/>
                <w:szCs w:val="20"/>
                <w:color w:val="auto"/>
              </w:rPr>
            </w:pPr>
            <w:r>
              <w:rPr>
                <w:rFonts w:ascii="Arial" w:cs="Arial" w:eastAsia="Arial" w:hAnsi="Arial"/>
                <w:sz w:val="17"/>
                <w:szCs w:val="17"/>
                <w:color w:val="auto"/>
              </w:rPr>
              <w:t>(Principal Executive Officer)</w:t>
            </w: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413"/>
        </w:trPr>
        <w:tc>
          <w:tcPr>
            <w:tcW w:w="468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color w:val="auto"/>
                <w:w w:val="92"/>
              </w:rPr>
              <w:t>/s/ Scott E. Lamb</w:t>
            </w:r>
          </w:p>
        </w:tc>
        <w:tc>
          <w:tcPr>
            <w:tcW w:w="3920" w:type="dxa"/>
            <w:vAlign w:val="bottom"/>
            <w:gridSpan w:val="3"/>
          </w:tcPr>
          <w:p>
            <w:pPr>
              <w:ind w:left="100"/>
              <w:spacing w:after="0"/>
              <w:rPr>
                <w:sz w:val="20"/>
                <w:szCs w:val="20"/>
                <w:color w:val="auto"/>
              </w:rPr>
            </w:pPr>
            <w:r>
              <w:rPr>
                <w:rFonts w:ascii="Arial" w:cs="Arial" w:eastAsia="Arial" w:hAnsi="Arial"/>
                <w:sz w:val="17"/>
                <w:szCs w:val="17"/>
                <w:color w:val="auto"/>
              </w:rPr>
              <w:t>Chief Financial Officer</w:t>
            </w:r>
          </w:p>
        </w:tc>
        <w:tc>
          <w:tcPr>
            <w:tcW w:w="1640" w:type="dxa"/>
            <w:vAlign w:val="bottom"/>
            <w:gridSpan w:val="3"/>
          </w:tcPr>
          <w:p>
            <w:pPr>
              <w:jc w:val="center"/>
              <w:ind w:left="174"/>
              <w:spacing w:after="0"/>
              <w:rPr>
                <w:sz w:val="20"/>
                <w:szCs w:val="20"/>
                <w:color w:val="auto"/>
              </w:rPr>
            </w:pPr>
            <w:r>
              <w:rPr>
                <w:rFonts w:ascii="Arial" w:cs="Arial" w:eastAsia="Arial" w:hAnsi="Arial"/>
                <w:sz w:val="17"/>
                <w:szCs w:val="17"/>
                <w:color w:val="auto"/>
                <w:w w:val="92"/>
              </w:rPr>
              <w:t>November 15, 2018</w:t>
            </w:r>
          </w:p>
        </w:tc>
      </w:tr>
      <w:tr>
        <w:trPr>
          <w:trHeight w:val="212"/>
        </w:trPr>
        <w:tc>
          <w:tcPr>
            <w:tcW w:w="4680" w:type="dxa"/>
            <w:vAlign w:val="bottom"/>
            <w:gridSpan w:val="3"/>
          </w:tcPr>
          <w:p>
            <w:pPr>
              <w:jc w:val="center"/>
              <w:ind w:right="20"/>
              <w:spacing w:after="0"/>
              <w:rPr>
                <w:sz w:val="20"/>
                <w:szCs w:val="20"/>
                <w:color w:val="auto"/>
              </w:rPr>
            </w:pPr>
            <w:r>
              <w:rPr>
                <w:rFonts w:ascii="Arial" w:cs="Arial" w:eastAsia="Arial" w:hAnsi="Arial"/>
                <w:sz w:val="17"/>
                <w:szCs w:val="17"/>
                <w:color w:val="auto"/>
                <w:w w:val="91"/>
              </w:rPr>
              <w:t>Scott E. Lamb</w:t>
            </w:r>
          </w:p>
        </w:tc>
        <w:tc>
          <w:tcPr>
            <w:tcW w:w="3920" w:type="dxa"/>
            <w:vAlign w:val="bottom"/>
            <w:gridSpan w:val="3"/>
          </w:tcPr>
          <w:p>
            <w:pPr>
              <w:ind w:left="100"/>
              <w:spacing w:after="0"/>
              <w:rPr>
                <w:sz w:val="20"/>
                <w:szCs w:val="20"/>
                <w:color w:val="auto"/>
              </w:rPr>
            </w:pPr>
            <w:r>
              <w:rPr>
                <w:rFonts w:ascii="Arial" w:cs="Arial" w:eastAsia="Arial" w:hAnsi="Arial"/>
                <w:sz w:val="17"/>
                <w:szCs w:val="17"/>
                <w:color w:val="auto"/>
              </w:rPr>
              <w:t>(Principal Financial Officer)</w:t>
            </w: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413"/>
        </w:trPr>
        <w:tc>
          <w:tcPr>
            <w:tcW w:w="468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7"/>
                <w:szCs w:val="17"/>
                <w:color w:val="auto"/>
                <w:w w:val="95"/>
              </w:rPr>
              <w:t>/s/ Kevin J. McGrody</w:t>
            </w:r>
          </w:p>
        </w:tc>
        <w:tc>
          <w:tcPr>
            <w:tcW w:w="3920" w:type="dxa"/>
            <w:vAlign w:val="bottom"/>
            <w:gridSpan w:val="3"/>
          </w:tcPr>
          <w:p>
            <w:pPr>
              <w:ind w:left="100"/>
              <w:spacing w:after="0"/>
              <w:rPr>
                <w:sz w:val="20"/>
                <w:szCs w:val="20"/>
                <w:color w:val="auto"/>
              </w:rPr>
            </w:pPr>
            <w:r>
              <w:rPr>
                <w:rFonts w:ascii="Arial" w:cs="Arial" w:eastAsia="Arial" w:hAnsi="Arial"/>
                <w:sz w:val="17"/>
                <w:szCs w:val="17"/>
                <w:color w:val="auto"/>
              </w:rPr>
              <w:t>Controller</w:t>
            </w:r>
          </w:p>
        </w:tc>
        <w:tc>
          <w:tcPr>
            <w:tcW w:w="1640" w:type="dxa"/>
            <w:vAlign w:val="bottom"/>
            <w:gridSpan w:val="3"/>
          </w:tcPr>
          <w:p>
            <w:pPr>
              <w:jc w:val="center"/>
              <w:ind w:left="174"/>
              <w:spacing w:after="0"/>
              <w:rPr>
                <w:sz w:val="20"/>
                <w:szCs w:val="20"/>
                <w:color w:val="auto"/>
              </w:rPr>
            </w:pPr>
            <w:r>
              <w:rPr>
                <w:rFonts w:ascii="Arial" w:cs="Arial" w:eastAsia="Arial" w:hAnsi="Arial"/>
                <w:sz w:val="17"/>
                <w:szCs w:val="17"/>
                <w:color w:val="auto"/>
                <w:w w:val="92"/>
              </w:rPr>
              <w:t>November 15, 2018</w:t>
            </w:r>
          </w:p>
        </w:tc>
      </w:tr>
      <w:tr>
        <w:trPr>
          <w:trHeight w:val="212"/>
        </w:trPr>
        <w:tc>
          <w:tcPr>
            <w:tcW w:w="4680" w:type="dxa"/>
            <w:vAlign w:val="bottom"/>
            <w:gridSpan w:val="3"/>
          </w:tcPr>
          <w:p>
            <w:pPr>
              <w:jc w:val="center"/>
              <w:spacing w:after="0"/>
              <w:rPr>
                <w:sz w:val="20"/>
                <w:szCs w:val="20"/>
                <w:color w:val="auto"/>
              </w:rPr>
            </w:pPr>
            <w:r>
              <w:rPr>
                <w:rFonts w:ascii="Arial" w:cs="Arial" w:eastAsia="Arial" w:hAnsi="Arial"/>
                <w:sz w:val="17"/>
                <w:szCs w:val="17"/>
                <w:color w:val="auto"/>
                <w:w w:val="95"/>
              </w:rPr>
              <w:t>Kevin J. McGrody</w:t>
            </w:r>
          </w:p>
        </w:tc>
        <w:tc>
          <w:tcPr>
            <w:tcW w:w="3920" w:type="dxa"/>
            <w:vAlign w:val="bottom"/>
            <w:gridSpan w:val="3"/>
          </w:tcPr>
          <w:p>
            <w:pPr>
              <w:ind w:left="100"/>
              <w:spacing w:after="0"/>
              <w:rPr>
                <w:sz w:val="20"/>
                <w:szCs w:val="20"/>
                <w:color w:val="auto"/>
              </w:rPr>
            </w:pPr>
            <w:r>
              <w:rPr>
                <w:rFonts w:ascii="Arial" w:cs="Arial" w:eastAsia="Arial" w:hAnsi="Arial"/>
                <w:sz w:val="17"/>
                <w:szCs w:val="17"/>
                <w:color w:val="auto"/>
              </w:rPr>
              <w:t>(Principal Accounting Officer)</w:t>
            </w: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414"/>
        </w:trPr>
        <w:tc>
          <w:tcPr>
            <w:tcW w:w="468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7"/>
                <w:szCs w:val="17"/>
                <w:color w:val="auto"/>
                <w:w w:val="91"/>
              </w:rPr>
              <w:t>/s/ George A. Lopez</w:t>
            </w:r>
          </w:p>
        </w:tc>
        <w:tc>
          <w:tcPr>
            <w:tcW w:w="3920" w:type="dxa"/>
            <w:vAlign w:val="bottom"/>
            <w:gridSpan w:val="3"/>
          </w:tcPr>
          <w:p>
            <w:pPr>
              <w:ind w:left="100"/>
              <w:spacing w:after="0"/>
              <w:rPr>
                <w:sz w:val="20"/>
                <w:szCs w:val="20"/>
                <w:color w:val="auto"/>
              </w:rPr>
            </w:pPr>
            <w:r>
              <w:rPr>
                <w:rFonts w:ascii="Arial" w:cs="Arial" w:eastAsia="Arial" w:hAnsi="Arial"/>
                <w:sz w:val="17"/>
                <w:szCs w:val="17"/>
                <w:color w:val="auto"/>
              </w:rPr>
              <w:t>Director</w:t>
            </w:r>
          </w:p>
        </w:tc>
        <w:tc>
          <w:tcPr>
            <w:tcW w:w="1640" w:type="dxa"/>
            <w:vAlign w:val="bottom"/>
            <w:gridSpan w:val="3"/>
          </w:tcPr>
          <w:p>
            <w:pPr>
              <w:jc w:val="center"/>
              <w:ind w:left="174"/>
              <w:spacing w:after="0"/>
              <w:rPr>
                <w:sz w:val="20"/>
                <w:szCs w:val="20"/>
                <w:color w:val="auto"/>
              </w:rPr>
            </w:pPr>
            <w:r>
              <w:rPr>
                <w:rFonts w:ascii="Arial" w:cs="Arial" w:eastAsia="Arial" w:hAnsi="Arial"/>
                <w:sz w:val="17"/>
                <w:szCs w:val="17"/>
                <w:color w:val="auto"/>
                <w:w w:val="92"/>
              </w:rPr>
              <w:t>November 15, 2018</w:t>
            </w:r>
          </w:p>
        </w:tc>
      </w:tr>
      <w:tr>
        <w:trPr>
          <w:trHeight w:val="211"/>
        </w:trPr>
        <w:tc>
          <w:tcPr>
            <w:tcW w:w="4680" w:type="dxa"/>
            <w:vAlign w:val="bottom"/>
            <w:gridSpan w:val="3"/>
          </w:tcPr>
          <w:p>
            <w:pPr>
              <w:jc w:val="center"/>
              <w:spacing w:after="0"/>
              <w:rPr>
                <w:sz w:val="20"/>
                <w:szCs w:val="20"/>
                <w:color w:val="auto"/>
              </w:rPr>
            </w:pPr>
            <w:r>
              <w:rPr>
                <w:rFonts w:ascii="Arial" w:cs="Arial" w:eastAsia="Arial" w:hAnsi="Arial"/>
                <w:sz w:val="17"/>
                <w:szCs w:val="17"/>
                <w:color w:val="auto"/>
                <w:w w:val="94"/>
              </w:rPr>
              <w:t>George A. Lopez, M.D.</w:t>
            </w:r>
          </w:p>
        </w:tc>
        <w:tc>
          <w:tcPr>
            <w:tcW w:w="1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414"/>
        </w:trPr>
        <w:tc>
          <w:tcPr>
            <w:tcW w:w="468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7"/>
                <w:szCs w:val="17"/>
                <w:color w:val="auto"/>
                <w:w w:val="91"/>
              </w:rPr>
              <w:t>/s/ Robert S. Swinney</w:t>
            </w:r>
          </w:p>
        </w:tc>
        <w:tc>
          <w:tcPr>
            <w:tcW w:w="3920" w:type="dxa"/>
            <w:vAlign w:val="bottom"/>
            <w:gridSpan w:val="3"/>
          </w:tcPr>
          <w:p>
            <w:pPr>
              <w:ind w:left="100"/>
              <w:spacing w:after="0"/>
              <w:rPr>
                <w:sz w:val="20"/>
                <w:szCs w:val="20"/>
                <w:color w:val="auto"/>
              </w:rPr>
            </w:pPr>
            <w:r>
              <w:rPr>
                <w:rFonts w:ascii="Arial" w:cs="Arial" w:eastAsia="Arial" w:hAnsi="Arial"/>
                <w:sz w:val="17"/>
                <w:szCs w:val="17"/>
                <w:color w:val="auto"/>
              </w:rPr>
              <w:t>Director</w:t>
            </w:r>
          </w:p>
        </w:tc>
        <w:tc>
          <w:tcPr>
            <w:tcW w:w="1640" w:type="dxa"/>
            <w:vAlign w:val="bottom"/>
            <w:gridSpan w:val="3"/>
          </w:tcPr>
          <w:p>
            <w:pPr>
              <w:jc w:val="center"/>
              <w:ind w:left="174"/>
              <w:spacing w:after="0"/>
              <w:rPr>
                <w:sz w:val="20"/>
                <w:szCs w:val="20"/>
                <w:color w:val="auto"/>
              </w:rPr>
            </w:pPr>
            <w:r>
              <w:rPr>
                <w:rFonts w:ascii="Arial" w:cs="Arial" w:eastAsia="Arial" w:hAnsi="Arial"/>
                <w:sz w:val="17"/>
                <w:szCs w:val="17"/>
                <w:color w:val="auto"/>
                <w:w w:val="92"/>
              </w:rPr>
              <w:t>November 15, 2018</w:t>
            </w:r>
          </w:p>
        </w:tc>
      </w:tr>
      <w:tr>
        <w:trPr>
          <w:trHeight w:val="211"/>
        </w:trPr>
        <w:tc>
          <w:tcPr>
            <w:tcW w:w="4680" w:type="dxa"/>
            <w:vAlign w:val="bottom"/>
            <w:gridSpan w:val="3"/>
          </w:tcPr>
          <w:p>
            <w:pPr>
              <w:jc w:val="center"/>
              <w:ind w:right="20"/>
              <w:spacing w:after="0"/>
              <w:rPr>
                <w:sz w:val="20"/>
                <w:szCs w:val="20"/>
                <w:color w:val="auto"/>
              </w:rPr>
            </w:pPr>
            <w:r>
              <w:rPr>
                <w:rFonts w:ascii="Arial" w:cs="Arial" w:eastAsia="Arial" w:hAnsi="Arial"/>
                <w:sz w:val="17"/>
                <w:szCs w:val="17"/>
                <w:color w:val="auto"/>
                <w:w w:val="93"/>
              </w:rPr>
              <w:t>Robert S. Swinney, M.D.</w:t>
            </w:r>
          </w:p>
        </w:tc>
        <w:tc>
          <w:tcPr>
            <w:tcW w:w="1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414"/>
        </w:trPr>
        <w:tc>
          <w:tcPr>
            <w:tcW w:w="468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7"/>
                <w:szCs w:val="17"/>
                <w:color w:val="auto"/>
                <w:w w:val="90"/>
              </w:rPr>
              <w:t>/s/ David C. Greenberg</w:t>
            </w:r>
          </w:p>
        </w:tc>
        <w:tc>
          <w:tcPr>
            <w:tcW w:w="3920" w:type="dxa"/>
            <w:vAlign w:val="bottom"/>
            <w:gridSpan w:val="3"/>
          </w:tcPr>
          <w:p>
            <w:pPr>
              <w:ind w:left="100"/>
              <w:spacing w:after="0"/>
              <w:rPr>
                <w:sz w:val="20"/>
                <w:szCs w:val="20"/>
                <w:color w:val="auto"/>
              </w:rPr>
            </w:pPr>
            <w:r>
              <w:rPr>
                <w:rFonts w:ascii="Arial" w:cs="Arial" w:eastAsia="Arial" w:hAnsi="Arial"/>
                <w:sz w:val="17"/>
                <w:szCs w:val="17"/>
                <w:color w:val="auto"/>
              </w:rPr>
              <w:t>Director</w:t>
            </w:r>
          </w:p>
        </w:tc>
        <w:tc>
          <w:tcPr>
            <w:tcW w:w="1640" w:type="dxa"/>
            <w:vAlign w:val="bottom"/>
            <w:gridSpan w:val="3"/>
          </w:tcPr>
          <w:p>
            <w:pPr>
              <w:jc w:val="center"/>
              <w:ind w:left="174"/>
              <w:spacing w:after="0"/>
              <w:rPr>
                <w:sz w:val="20"/>
                <w:szCs w:val="20"/>
                <w:color w:val="auto"/>
              </w:rPr>
            </w:pPr>
            <w:r>
              <w:rPr>
                <w:rFonts w:ascii="Arial" w:cs="Arial" w:eastAsia="Arial" w:hAnsi="Arial"/>
                <w:sz w:val="17"/>
                <w:szCs w:val="17"/>
                <w:color w:val="auto"/>
                <w:w w:val="92"/>
              </w:rPr>
              <w:t>November 15, 2018</w:t>
            </w:r>
          </w:p>
        </w:tc>
      </w:tr>
      <w:tr>
        <w:trPr>
          <w:trHeight w:val="211"/>
        </w:trPr>
        <w:tc>
          <w:tcPr>
            <w:tcW w:w="4680" w:type="dxa"/>
            <w:vAlign w:val="bottom"/>
            <w:gridSpan w:val="3"/>
          </w:tcPr>
          <w:p>
            <w:pPr>
              <w:jc w:val="center"/>
              <w:ind w:right="20"/>
              <w:spacing w:after="0"/>
              <w:rPr>
                <w:sz w:val="20"/>
                <w:szCs w:val="20"/>
                <w:color w:val="auto"/>
              </w:rPr>
            </w:pPr>
            <w:r>
              <w:rPr>
                <w:rFonts w:ascii="Arial" w:cs="Arial" w:eastAsia="Arial" w:hAnsi="Arial"/>
                <w:sz w:val="17"/>
                <w:szCs w:val="17"/>
                <w:color w:val="auto"/>
                <w:w w:val="91"/>
              </w:rPr>
              <w:t>David C. Greenberg</w:t>
            </w:r>
          </w:p>
        </w:tc>
        <w:tc>
          <w:tcPr>
            <w:tcW w:w="1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49"/>
        </w:trPr>
        <w:tc>
          <w:tcPr>
            <w:tcW w:w="1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920" w:type="dxa"/>
            <w:vAlign w:val="bottom"/>
            <w:gridSpan w:val="3"/>
          </w:tcPr>
          <w:p>
            <w:pPr>
              <w:ind w:left="460"/>
              <w:spacing w:after="0"/>
              <w:rPr>
                <w:sz w:val="20"/>
                <w:szCs w:val="20"/>
                <w:color w:val="auto"/>
              </w:rPr>
            </w:pPr>
            <w:r>
              <w:rPr>
                <w:rFonts w:ascii="Arial" w:cs="Arial" w:eastAsia="Arial" w:hAnsi="Arial"/>
                <w:sz w:val="17"/>
                <w:szCs w:val="17"/>
                <w:color w:val="auto"/>
              </w:rPr>
              <w:t>S-1</w:t>
            </w: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ectPr>
          <w:pgSz w:w="11900" w:h="16838" w:orient="portrait"/>
          <w:cols w:equalWidth="0" w:num="1">
            <w:col w:w="10960"/>
          </w:cols>
          <w:pgMar w:left="240" w:top="444" w:right="699" w:bottom="1440" w:gutter="0" w:footer="0" w:header="0"/>
        </w:sectPr>
      </w:pPr>
    </w:p>
    <w:bookmarkStart w:id="28" w:name="page29"/>
    <w:bookmarkEnd w:id="2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tbl>
      <w:tblPr>
        <w:tblLayout w:type="fixed"/>
        <w:tblInd w:w="460" w:type="dxa"/>
        <w:tblCellMar>
          <w:top w:w="0" w:type="dxa"/>
          <w:left w:w="0" w:type="dxa"/>
          <w:bottom w:w="0" w:type="dxa"/>
          <w:right w:w="0" w:type="dxa"/>
        </w:tblCellMar>
      </w:tblPr>
      <w:tr>
        <w:trPr>
          <w:trHeight w:val="164"/>
        </w:trPr>
        <w:tc>
          <w:tcPr>
            <w:tcW w:w="19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6"/>
              </w:rPr>
              <w:t>SIGNATURE</w:t>
            </w:r>
          </w:p>
        </w:tc>
        <w:tc>
          <w:tcPr>
            <w:tcW w:w="1940" w:type="dxa"/>
            <w:vAlign w:val="bottom"/>
          </w:tcPr>
          <w:p>
            <w:pPr>
              <w:spacing w:after="0"/>
              <w:rPr>
                <w:sz w:val="14"/>
                <w:szCs w:val="14"/>
                <w:color w:val="auto"/>
              </w:rPr>
            </w:pPr>
          </w:p>
        </w:tc>
        <w:tc>
          <w:tcPr>
            <w:tcW w:w="2120" w:type="dxa"/>
            <w:vAlign w:val="bottom"/>
            <w:gridSpan w:val="2"/>
          </w:tcPr>
          <w:p>
            <w:pPr>
              <w:ind w:left="1700"/>
              <w:spacing w:after="0"/>
              <w:rPr>
                <w:sz w:val="20"/>
                <w:szCs w:val="20"/>
                <w:color w:val="auto"/>
              </w:rPr>
            </w:pPr>
            <w:r>
              <w:rPr>
                <w:rFonts w:ascii="Arial" w:cs="Arial" w:eastAsia="Arial" w:hAnsi="Arial"/>
                <w:sz w:val="14"/>
                <w:szCs w:val="14"/>
                <w:b w:val="1"/>
                <w:bCs w:val="1"/>
                <w:color w:val="auto"/>
              </w:rPr>
              <w:t>TITLE</w:t>
            </w:r>
          </w:p>
        </w:tc>
        <w:tc>
          <w:tcPr>
            <w:tcW w:w="2560" w:type="dxa"/>
            <w:vAlign w:val="bottom"/>
          </w:tcPr>
          <w:p>
            <w:pPr>
              <w:spacing w:after="0"/>
              <w:rPr>
                <w:sz w:val="14"/>
                <w:szCs w:val="14"/>
                <w:color w:val="auto"/>
              </w:rPr>
            </w:pPr>
          </w:p>
        </w:tc>
        <w:tc>
          <w:tcPr>
            <w:tcW w:w="8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9"/>
              </w:rPr>
              <w:t>DATE</w:t>
            </w:r>
          </w:p>
        </w:tc>
      </w:tr>
      <w:tr>
        <w:trPr>
          <w:trHeight w:val="20"/>
        </w:trPr>
        <w:tc>
          <w:tcPr>
            <w:tcW w:w="19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05"/>
        </w:trPr>
        <w:tc>
          <w:tcPr>
            <w:tcW w:w="468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7"/>
                <w:szCs w:val="17"/>
                <w:color w:val="auto"/>
                <w:w w:val="91"/>
              </w:rPr>
              <w:t>/s/ Elisha W. Finney</w:t>
            </w:r>
          </w:p>
        </w:tc>
        <w:tc>
          <w:tcPr>
            <w:tcW w:w="2120" w:type="dxa"/>
            <w:vAlign w:val="bottom"/>
            <w:gridSpan w:val="2"/>
          </w:tcPr>
          <w:p>
            <w:pPr>
              <w:ind w:left="100"/>
              <w:spacing w:after="0"/>
              <w:rPr>
                <w:sz w:val="20"/>
                <w:szCs w:val="20"/>
                <w:color w:val="auto"/>
              </w:rPr>
            </w:pPr>
            <w:r>
              <w:rPr>
                <w:rFonts w:ascii="Arial" w:cs="Arial" w:eastAsia="Arial" w:hAnsi="Arial"/>
                <w:sz w:val="17"/>
                <w:szCs w:val="17"/>
                <w:color w:val="auto"/>
              </w:rPr>
              <w:t>Director</w:t>
            </w:r>
          </w:p>
        </w:tc>
        <w:tc>
          <w:tcPr>
            <w:tcW w:w="3440" w:type="dxa"/>
            <w:vAlign w:val="bottom"/>
            <w:gridSpan w:val="3"/>
          </w:tcPr>
          <w:p>
            <w:pPr>
              <w:jc w:val="center"/>
              <w:ind w:left="1974"/>
              <w:spacing w:after="0"/>
              <w:rPr>
                <w:sz w:val="20"/>
                <w:szCs w:val="20"/>
                <w:color w:val="auto"/>
              </w:rPr>
            </w:pPr>
            <w:r>
              <w:rPr>
                <w:rFonts w:ascii="Arial" w:cs="Arial" w:eastAsia="Arial" w:hAnsi="Arial"/>
                <w:sz w:val="17"/>
                <w:szCs w:val="17"/>
                <w:color w:val="auto"/>
                <w:w w:val="92"/>
              </w:rPr>
              <w:t>November 15, 2018</w:t>
            </w:r>
          </w:p>
        </w:tc>
      </w:tr>
      <w:tr>
        <w:trPr>
          <w:trHeight w:val="211"/>
        </w:trPr>
        <w:tc>
          <w:tcPr>
            <w:tcW w:w="4680" w:type="dxa"/>
            <w:vAlign w:val="bottom"/>
            <w:gridSpan w:val="3"/>
          </w:tcPr>
          <w:p>
            <w:pPr>
              <w:jc w:val="center"/>
              <w:ind w:right="20"/>
              <w:spacing w:after="0"/>
              <w:rPr>
                <w:sz w:val="20"/>
                <w:szCs w:val="20"/>
                <w:color w:val="auto"/>
              </w:rPr>
            </w:pPr>
            <w:r>
              <w:rPr>
                <w:rFonts w:ascii="Arial" w:cs="Arial" w:eastAsia="Arial" w:hAnsi="Arial"/>
                <w:sz w:val="17"/>
                <w:szCs w:val="17"/>
                <w:color w:val="auto"/>
                <w:w w:val="92"/>
              </w:rPr>
              <w:t>Elisha W. Finney</w:t>
            </w:r>
          </w:p>
        </w:tc>
        <w:tc>
          <w:tcPr>
            <w:tcW w:w="1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414"/>
        </w:trPr>
        <w:tc>
          <w:tcPr>
            <w:tcW w:w="468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7"/>
                <w:szCs w:val="17"/>
                <w:color w:val="auto"/>
                <w:w w:val="94"/>
              </w:rPr>
              <w:t>/s/ Donald Abbey</w:t>
            </w:r>
          </w:p>
        </w:tc>
        <w:tc>
          <w:tcPr>
            <w:tcW w:w="2120" w:type="dxa"/>
            <w:vAlign w:val="bottom"/>
            <w:gridSpan w:val="2"/>
          </w:tcPr>
          <w:p>
            <w:pPr>
              <w:ind w:left="100"/>
              <w:spacing w:after="0"/>
              <w:rPr>
                <w:sz w:val="20"/>
                <w:szCs w:val="20"/>
                <w:color w:val="auto"/>
              </w:rPr>
            </w:pPr>
            <w:r>
              <w:rPr>
                <w:rFonts w:ascii="Arial" w:cs="Arial" w:eastAsia="Arial" w:hAnsi="Arial"/>
                <w:sz w:val="17"/>
                <w:szCs w:val="17"/>
                <w:color w:val="auto"/>
              </w:rPr>
              <w:t>Director</w:t>
            </w:r>
          </w:p>
        </w:tc>
        <w:tc>
          <w:tcPr>
            <w:tcW w:w="3440" w:type="dxa"/>
            <w:vAlign w:val="bottom"/>
            <w:gridSpan w:val="3"/>
          </w:tcPr>
          <w:p>
            <w:pPr>
              <w:jc w:val="center"/>
              <w:ind w:left="1974"/>
              <w:spacing w:after="0"/>
              <w:rPr>
                <w:sz w:val="20"/>
                <w:szCs w:val="20"/>
                <w:color w:val="auto"/>
              </w:rPr>
            </w:pPr>
            <w:r>
              <w:rPr>
                <w:rFonts w:ascii="Arial" w:cs="Arial" w:eastAsia="Arial" w:hAnsi="Arial"/>
                <w:sz w:val="17"/>
                <w:szCs w:val="17"/>
                <w:color w:val="auto"/>
                <w:w w:val="92"/>
              </w:rPr>
              <w:t>November 15, 2018</w:t>
            </w:r>
          </w:p>
        </w:tc>
      </w:tr>
      <w:tr>
        <w:trPr>
          <w:trHeight w:val="211"/>
        </w:trPr>
        <w:tc>
          <w:tcPr>
            <w:tcW w:w="4680" w:type="dxa"/>
            <w:vAlign w:val="bottom"/>
            <w:gridSpan w:val="3"/>
          </w:tcPr>
          <w:p>
            <w:pPr>
              <w:jc w:val="center"/>
              <w:spacing w:after="0"/>
              <w:rPr>
                <w:sz w:val="20"/>
                <w:szCs w:val="20"/>
                <w:color w:val="auto"/>
              </w:rPr>
            </w:pPr>
            <w:r>
              <w:rPr>
                <w:rFonts w:ascii="Arial" w:cs="Arial" w:eastAsia="Arial" w:hAnsi="Arial"/>
                <w:sz w:val="17"/>
                <w:szCs w:val="17"/>
                <w:color w:val="auto"/>
                <w:w w:val="93"/>
              </w:rPr>
              <w:t>Donald Abbey</w:t>
            </w:r>
          </w:p>
        </w:tc>
        <w:tc>
          <w:tcPr>
            <w:tcW w:w="1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414"/>
        </w:trPr>
        <w:tc>
          <w:tcPr>
            <w:tcW w:w="468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7"/>
                <w:szCs w:val="17"/>
                <w:color w:val="auto"/>
                <w:w w:val="95"/>
              </w:rPr>
              <w:t>/s/ David Hoffmeister</w:t>
            </w:r>
          </w:p>
        </w:tc>
        <w:tc>
          <w:tcPr>
            <w:tcW w:w="2120" w:type="dxa"/>
            <w:vAlign w:val="bottom"/>
            <w:gridSpan w:val="2"/>
          </w:tcPr>
          <w:p>
            <w:pPr>
              <w:ind w:left="100"/>
              <w:spacing w:after="0"/>
              <w:rPr>
                <w:sz w:val="20"/>
                <w:szCs w:val="20"/>
                <w:color w:val="auto"/>
              </w:rPr>
            </w:pPr>
            <w:r>
              <w:rPr>
                <w:rFonts w:ascii="Arial" w:cs="Arial" w:eastAsia="Arial" w:hAnsi="Arial"/>
                <w:sz w:val="17"/>
                <w:szCs w:val="17"/>
                <w:color w:val="auto"/>
              </w:rPr>
              <w:t>Director</w:t>
            </w:r>
          </w:p>
        </w:tc>
        <w:tc>
          <w:tcPr>
            <w:tcW w:w="3440" w:type="dxa"/>
            <w:vAlign w:val="bottom"/>
            <w:gridSpan w:val="3"/>
          </w:tcPr>
          <w:p>
            <w:pPr>
              <w:jc w:val="center"/>
              <w:ind w:left="1974"/>
              <w:spacing w:after="0"/>
              <w:rPr>
                <w:sz w:val="20"/>
                <w:szCs w:val="20"/>
                <w:color w:val="auto"/>
              </w:rPr>
            </w:pPr>
            <w:r>
              <w:rPr>
                <w:rFonts w:ascii="Arial" w:cs="Arial" w:eastAsia="Arial" w:hAnsi="Arial"/>
                <w:sz w:val="17"/>
                <w:szCs w:val="17"/>
                <w:color w:val="auto"/>
                <w:w w:val="92"/>
              </w:rPr>
              <w:t>November 15, 2018</w:t>
            </w:r>
          </w:p>
        </w:tc>
      </w:tr>
      <w:tr>
        <w:trPr>
          <w:trHeight w:val="211"/>
        </w:trPr>
        <w:tc>
          <w:tcPr>
            <w:tcW w:w="4680" w:type="dxa"/>
            <w:vAlign w:val="bottom"/>
            <w:gridSpan w:val="3"/>
          </w:tcPr>
          <w:p>
            <w:pPr>
              <w:jc w:val="center"/>
              <w:ind w:right="20"/>
              <w:spacing w:after="0"/>
              <w:rPr>
                <w:sz w:val="20"/>
                <w:szCs w:val="20"/>
                <w:color w:val="auto"/>
              </w:rPr>
            </w:pPr>
            <w:r>
              <w:rPr>
                <w:rFonts w:ascii="Arial" w:cs="Arial" w:eastAsia="Arial" w:hAnsi="Arial"/>
                <w:sz w:val="17"/>
                <w:szCs w:val="17"/>
                <w:color w:val="auto"/>
                <w:w w:val="96"/>
              </w:rPr>
              <w:t>David Hoffmeister</w:t>
            </w:r>
          </w:p>
        </w:tc>
        <w:tc>
          <w:tcPr>
            <w:tcW w:w="1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414"/>
        </w:trPr>
        <w:tc>
          <w:tcPr>
            <w:tcW w:w="468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7"/>
                <w:szCs w:val="17"/>
                <w:color w:val="auto"/>
                <w:w w:val="91"/>
              </w:rPr>
              <w:t>/s/ Douglas E. Giordano</w:t>
            </w:r>
          </w:p>
        </w:tc>
        <w:tc>
          <w:tcPr>
            <w:tcW w:w="2120" w:type="dxa"/>
            <w:vAlign w:val="bottom"/>
            <w:gridSpan w:val="2"/>
          </w:tcPr>
          <w:p>
            <w:pPr>
              <w:ind w:left="100"/>
              <w:spacing w:after="0"/>
              <w:rPr>
                <w:sz w:val="20"/>
                <w:szCs w:val="20"/>
                <w:color w:val="auto"/>
              </w:rPr>
            </w:pPr>
            <w:r>
              <w:rPr>
                <w:rFonts w:ascii="Arial" w:cs="Arial" w:eastAsia="Arial" w:hAnsi="Arial"/>
                <w:sz w:val="17"/>
                <w:szCs w:val="17"/>
                <w:color w:val="auto"/>
              </w:rPr>
              <w:t>Director</w:t>
            </w:r>
          </w:p>
        </w:tc>
        <w:tc>
          <w:tcPr>
            <w:tcW w:w="3440" w:type="dxa"/>
            <w:vAlign w:val="bottom"/>
            <w:gridSpan w:val="3"/>
          </w:tcPr>
          <w:p>
            <w:pPr>
              <w:jc w:val="center"/>
              <w:ind w:left="1974"/>
              <w:spacing w:after="0"/>
              <w:rPr>
                <w:sz w:val="20"/>
                <w:szCs w:val="20"/>
                <w:color w:val="auto"/>
              </w:rPr>
            </w:pPr>
            <w:r>
              <w:rPr>
                <w:rFonts w:ascii="Arial" w:cs="Arial" w:eastAsia="Arial" w:hAnsi="Arial"/>
                <w:sz w:val="17"/>
                <w:szCs w:val="17"/>
                <w:color w:val="auto"/>
                <w:w w:val="92"/>
              </w:rPr>
              <w:t>November 15, 2018</w:t>
            </w:r>
          </w:p>
        </w:tc>
      </w:tr>
      <w:tr>
        <w:trPr>
          <w:trHeight w:val="211"/>
        </w:trPr>
        <w:tc>
          <w:tcPr>
            <w:tcW w:w="4680" w:type="dxa"/>
            <w:vAlign w:val="bottom"/>
            <w:gridSpan w:val="3"/>
          </w:tcPr>
          <w:p>
            <w:pPr>
              <w:jc w:val="center"/>
              <w:ind w:right="20"/>
              <w:spacing w:after="0"/>
              <w:rPr>
                <w:sz w:val="20"/>
                <w:szCs w:val="20"/>
                <w:color w:val="auto"/>
              </w:rPr>
            </w:pPr>
            <w:r>
              <w:rPr>
                <w:rFonts w:ascii="Arial" w:cs="Arial" w:eastAsia="Arial" w:hAnsi="Arial"/>
                <w:sz w:val="17"/>
                <w:szCs w:val="17"/>
                <w:color w:val="auto"/>
                <w:w w:val="92"/>
              </w:rPr>
              <w:t>Douglas E. Giordano</w:t>
            </w:r>
          </w:p>
        </w:tc>
        <w:tc>
          <w:tcPr>
            <w:tcW w:w="1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49"/>
        </w:trPr>
        <w:tc>
          <w:tcPr>
            <w:tcW w:w="1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120" w:type="dxa"/>
            <w:vAlign w:val="bottom"/>
            <w:gridSpan w:val="2"/>
          </w:tcPr>
          <w:p>
            <w:pPr>
              <w:ind w:left="460"/>
              <w:spacing w:after="0"/>
              <w:rPr>
                <w:sz w:val="20"/>
                <w:szCs w:val="20"/>
                <w:color w:val="auto"/>
              </w:rPr>
            </w:pPr>
            <w:r>
              <w:rPr>
                <w:rFonts w:ascii="Arial" w:cs="Arial" w:eastAsia="Arial" w:hAnsi="Arial"/>
                <w:sz w:val="17"/>
                <w:szCs w:val="17"/>
                <w:color w:val="auto"/>
              </w:rPr>
              <w:t>S-2</w:t>
            </w:r>
          </w:p>
        </w:tc>
        <w:tc>
          <w:tcPr>
            <w:tcW w:w="2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ectPr>
          <w:pgSz w:w="11900" w:h="16838" w:orient="portrait"/>
          <w:cols w:equalWidth="0" w:num="1">
            <w:col w:w="10700"/>
          </w:cols>
          <w:pgMar w:left="240" w:top="444" w:right="959" w:bottom="1440" w:gutter="0" w:footer="0" w:header="0"/>
        </w:sectPr>
      </w:pPr>
    </w:p>
    <w:bookmarkStart w:id="29" w:name="page30"/>
    <w:bookmarkEnd w:id="29"/>
    <w:p>
      <w:pPr>
        <w:ind w:left="8980"/>
        <w:spacing w:after="0"/>
        <w:rPr>
          <w:sz w:val="20"/>
          <w:szCs w:val="20"/>
          <w:color w:val="auto"/>
        </w:rPr>
      </w:pPr>
      <w:r>
        <w:rPr>
          <w:rFonts w:ascii="Arial" w:cs="Arial" w:eastAsia="Arial" w:hAnsi="Arial"/>
          <w:sz w:val="15"/>
          <w:szCs w:val="15"/>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-473075</wp:posOffset>
            </wp:positionH>
            <wp:positionV relativeFrom="paragraph">
              <wp:posOffset>180340</wp:posOffset>
            </wp:positionV>
            <wp:extent cx="7026910" cy="50177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026910" cy="5017770"/>
                    </a:xfrm>
                    <a:prstGeom prst="rect">
                      <a:avLst/>
                    </a:prstGeom>
                    <a:noFill/>
                  </pic:spPr>
                </pic:pic>
              </a:graphicData>
            </a:graphic>
          </wp:anchor>
        </w:drawing>
      </w:r>
    </w:p>
    <w:p>
      <w:pPr>
        <w:sectPr>
          <w:pgSz w:w="11900" w:h="16838" w:orient="portrait"/>
          <w:cols w:equalWidth="0" w:num="1">
            <w:col w:w="9780"/>
          </w:cols>
          <w:pgMar w:left="1440" w:top="121" w:right="679" w:bottom="1440"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72936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294880" cy="7293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right"/>
        <w:spacing w:after="0"/>
        <w:rPr>
          <w:sz w:val="20"/>
          <w:szCs w:val="20"/>
          <w:color w:val="auto"/>
        </w:rPr>
      </w:pPr>
      <w:r>
        <w:rPr>
          <w:rFonts w:ascii="Arial" w:cs="Arial" w:eastAsia="Arial" w:hAnsi="Arial"/>
          <w:sz w:val="17"/>
          <w:szCs w:val="17"/>
          <w:b w:val="1"/>
          <w:bCs w:val="1"/>
          <w:color w:val="auto"/>
        </w:rPr>
        <w:t>Exhibit 4.2</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STOCK PURCHASE AND SALE AGREEMENT</w:t>
      </w:r>
    </w:p>
    <w:p>
      <w:pPr>
        <w:spacing w:after="0" w:line="223" w:lineRule="exact"/>
        <w:rPr>
          <w:sz w:val="20"/>
          <w:szCs w:val="20"/>
          <w:color w:val="auto"/>
        </w:rPr>
      </w:pPr>
    </w:p>
    <w:p>
      <w:pPr>
        <w:ind w:right="40" w:firstLine="421"/>
        <w:spacing w:after="0" w:line="290" w:lineRule="auto"/>
        <w:rPr>
          <w:sz w:val="20"/>
          <w:szCs w:val="20"/>
          <w:color w:val="auto"/>
        </w:rPr>
      </w:pPr>
      <w:r>
        <w:rPr>
          <w:rFonts w:ascii="Arial" w:cs="Arial" w:eastAsia="Arial" w:hAnsi="Arial"/>
          <w:sz w:val="16"/>
          <w:szCs w:val="16"/>
          <w:color w:val="auto"/>
        </w:rPr>
        <w:t>THIS STOCK PURCHASE AND SALE AGREEMENT (“</w:t>
      </w:r>
      <w:r>
        <w:rPr>
          <w:rFonts w:ascii="Arial" w:cs="Arial" w:eastAsia="Arial" w:hAnsi="Arial"/>
          <w:sz w:val="16"/>
          <w:szCs w:val="16"/>
          <w:u w:val="single" w:color="auto"/>
          <w:color w:val="auto"/>
        </w:rPr>
        <w:t>Agreement</w:t>
      </w:r>
      <w:r>
        <w:rPr>
          <w:rFonts w:ascii="Arial" w:cs="Arial" w:eastAsia="Arial" w:hAnsi="Arial"/>
          <w:sz w:val="16"/>
          <w:szCs w:val="16"/>
          <w:color w:val="auto"/>
        </w:rPr>
        <w:t xml:space="preserve">”) is made as of November 13, 2018, by and among the purchasers listed on </w:t>
      </w:r>
      <w:r>
        <w:rPr>
          <w:rFonts w:ascii="Arial" w:cs="Arial" w:eastAsia="Arial" w:hAnsi="Arial"/>
          <w:sz w:val="16"/>
          <w:szCs w:val="16"/>
          <w:b w:val="1"/>
          <w:bCs w:val="1"/>
          <w:i w:val="1"/>
          <w:iCs w:val="1"/>
          <w:color w:val="auto"/>
        </w:rPr>
        <w:t xml:space="preserve">Exhibit A </w:t>
      </w:r>
      <w:r>
        <w:rPr>
          <w:rFonts w:ascii="Arial" w:cs="Arial" w:eastAsia="Arial" w:hAnsi="Arial"/>
          <w:sz w:val="16"/>
          <w:szCs w:val="16"/>
          <w:color w:val="auto"/>
        </w:rPr>
        <w:t>attached hereto (each, a “</w:t>
      </w:r>
      <w:r>
        <w:rPr>
          <w:rFonts w:ascii="Arial" w:cs="Arial" w:eastAsia="Arial" w:hAnsi="Arial"/>
          <w:sz w:val="16"/>
          <w:szCs w:val="16"/>
          <w:u w:val="single" w:color="auto"/>
          <w:color w:val="auto"/>
        </w:rPr>
        <w:t>Buyer</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Buyers</w:t>
      </w:r>
      <w:r>
        <w:rPr>
          <w:rFonts w:ascii="Arial" w:cs="Arial" w:eastAsia="Arial" w:hAnsi="Arial"/>
          <w:sz w:val="16"/>
          <w:szCs w:val="16"/>
          <w:color w:val="auto"/>
        </w:rPr>
        <w:t>”), C.P. Pharmaceuticals International C.V., a</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commanditaire vennootschap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organized under the laws of the Netherlands (“</w:t>
      </w:r>
      <w:r>
        <w:rPr>
          <w:rFonts w:ascii="Arial" w:cs="Arial" w:eastAsia="Arial" w:hAnsi="Arial"/>
          <w:sz w:val="16"/>
          <w:szCs w:val="16"/>
          <w:u w:val="single" w:color="auto"/>
          <w:color w:val="auto"/>
        </w:rPr>
        <w:t>Seller</w:t>
      </w:r>
      <w:r>
        <w:rPr>
          <w:rFonts w:ascii="Arial" w:cs="Arial" w:eastAsia="Arial" w:hAnsi="Arial"/>
          <w:sz w:val="16"/>
          <w:szCs w:val="16"/>
          <w:color w:val="auto"/>
        </w:rPr>
        <w:t>”), and ICU Medical,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w:t>
      </w:r>
    </w:p>
    <w:p>
      <w:pPr>
        <w:spacing w:after="0" w:line="158" w:lineRule="exact"/>
        <w:rPr>
          <w:sz w:val="20"/>
          <w:szCs w:val="20"/>
          <w:color w:val="auto"/>
        </w:rPr>
      </w:pPr>
    </w:p>
    <w:p>
      <w:pPr>
        <w:ind w:right="60" w:firstLine="421"/>
        <w:spacing w:after="0" w:line="266" w:lineRule="auto"/>
        <w:rPr>
          <w:sz w:val="20"/>
          <w:szCs w:val="20"/>
          <w:color w:val="auto"/>
        </w:rPr>
      </w:pPr>
      <w:r>
        <w:rPr>
          <w:rFonts w:ascii="Arial" w:cs="Arial" w:eastAsia="Arial" w:hAnsi="Arial"/>
          <w:sz w:val="17"/>
          <w:szCs w:val="17"/>
          <w:color w:val="auto"/>
        </w:rPr>
        <w:t>WHEREAS, subject to the terms hereof, Seller desires to sell an aggregate of 2,250,000 shares of common stock, $0.10 par value per share, of the Company (such shares are referred to collectively herein as the “</w:t>
      </w:r>
      <w:r>
        <w:rPr>
          <w:rFonts w:ascii="Arial" w:cs="Arial" w:eastAsia="Arial" w:hAnsi="Arial"/>
          <w:sz w:val="17"/>
          <w:szCs w:val="17"/>
          <w:u w:val="single" w:color="auto"/>
          <w:color w:val="auto"/>
        </w:rPr>
        <w:t>Shares</w:t>
      </w:r>
      <w:r>
        <w:rPr>
          <w:rFonts w:ascii="Arial" w:cs="Arial" w:eastAsia="Arial" w:hAnsi="Arial"/>
          <w:sz w:val="17"/>
          <w:szCs w:val="17"/>
          <w:color w:val="auto"/>
        </w:rPr>
        <w:t>”), to the Buyers, and the Buyers, severally and not jointly, desire to purchase from Seller, the Shares.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NOW, THEREFORE, in consideration of the mutual promises contained herein, the parties agree as follows: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1. SALE AND TRANSFER OF SHARES</w:t>
      </w:r>
    </w:p>
    <w:p>
      <w:pPr>
        <w:spacing w:after="0" w:line="223" w:lineRule="exact"/>
        <w:rPr>
          <w:sz w:val="20"/>
          <w:szCs w:val="20"/>
          <w:color w:val="auto"/>
        </w:rPr>
      </w:pPr>
    </w:p>
    <w:p>
      <w:pPr>
        <w:jc w:val="both"/>
        <w:ind w:right="40" w:firstLine="421"/>
        <w:spacing w:after="0" w:line="262" w:lineRule="auto"/>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u w:val="single" w:color="auto"/>
          <w:color w:val="auto"/>
        </w:rPr>
        <w:t>Purchase and Sale of Stock</w:t>
      </w:r>
      <w:r>
        <w:rPr>
          <w:rFonts w:ascii="Arial" w:cs="Arial" w:eastAsia="Arial" w:hAnsi="Arial"/>
          <w:sz w:val="17"/>
          <w:szCs w:val="17"/>
          <w:color w:val="auto"/>
        </w:rPr>
        <w:t xml:space="preserve">. Subject to the terms and conditions of this Agreement, at the Closing (as defined in Section 7), Seller shall sell to each Buyer, and each Buyer shall purchase from Seller, that number of Shares set forth opposite such Buyer’s name on </w:t>
      </w:r>
      <w:r>
        <w:rPr>
          <w:rFonts w:ascii="Arial" w:cs="Arial" w:eastAsia="Arial" w:hAnsi="Arial"/>
          <w:sz w:val="17"/>
          <w:szCs w:val="17"/>
          <w:b w:val="1"/>
          <w:bCs w:val="1"/>
          <w:i w:val="1"/>
          <w:iCs w:val="1"/>
          <w:color w:val="auto"/>
        </w:rPr>
        <w:t>Exhibit A</w:t>
      </w:r>
      <w:r>
        <w:rPr>
          <w:rFonts w:ascii="Arial" w:cs="Arial" w:eastAsia="Arial" w:hAnsi="Arial"/>
          <w:sz w:val="17"/>
          <w:szCs w:val="17"/>
          <w:color w:val="auto"/>
        </w:rPr>
        <w:t xml:space="preserve"> to this Agreement (the “</w:t>
      </w:r>
      <w:r>
        <w:rPr>
          <w:rFonts w:ascii="Arial" w:cs="Arial" w:eastAsia="Arial" w:hAnsi="Arial"/>
          <w:sz w:val="17"/>
          <w:szCs w:val="17"/>
          <w:u w:val="single" w:color="auto"/>
          <w:color w:val="auto"/>
        </w:rPr>
        <w:t>Purchased Shares</w:t>
      </w:r>
      <w:r>
        <w:rPr>
          <w:rFonts w:ascii="Arial" w:cs="Arial" w:eastAsia="Arial" w:hAnsi="Arial"/>
          <w:sz w:val="17"/>
          <w:szCs w:val="17"/>
          <w:color w:val="auto"/>
        </w:rPr>
        <w:t>”) at a purchase price of $209.25 per share, for the aggregate purchase price set forth opposite such Buyer’s name on such exhibit (the “</w:t>
      </w:r>
      <w:r>
        <w:rPr>
          <w:rFonts w:ascii="Arial" w:cs="Arial" w:eastAsia="Arial" w:hAnsi="Arial"/>
          <w:sz w:val="17"/>
          <w:szCs w:val="17"/>
          <w:u w:val="single" w:color="auto"/>
          <w:color w:val="auto"/>
        </w:rPr>
        <w:t>Aggregate Purchase Price</w:t>
      </w:r>
      <w:r>
        <w:rPr>
          <w:rFonts w:ascii="Arial" w:cs="Arial" w:eastAsia="Arial" w:hAnsi="Arial"/>
          <w:sz w:val="17"/>
          <w:szCs w:val="17"/>
          <w:color w:val="auto"/>
        </w:rPr>
        <w:t>”).</w:t>
      </w:r>
    </w:p>
    <w:p>
      <w:pPr>
        <w:spacing w:after="0" w:line="378" w:lineRule="exact"/>
        <w:rPr>
          <w:sz w:val="20"/>
          <w:szCs w:val="20"/>
          <w:color w:val="auto"/>
        </w:rPr>
      </w:pPr>
    </w:p>
    <w:p>
      <w:pPr>
        <w:ind w:left="1840"/>
        <w:spacing w:after="0"/>
        <w:rPr>
          <w:sz w:val="20"/>
          <w:szCs w:val="20"/>
          <w:color w:val="auto"/>
        </w:rPr>
      </w:pPr>
      <w:r>
        <w:rPr>
          <w:rFonts w:ascii="Arial" w:cs="Arial" w:eastAsia="Arial" w:hAnsi="Arial"/>
          <w:sz w:val="17"/>
          <w:szCs w:val="17"/>
          <w:b w:val="1"/>
          <w:bCs w:val="1"/>
          <w:color w:val="auto"/>
        </w:rPr>
        <w:t>SECTION 2. REPRESENTATIONS AND WARRANTIES AND COVENANTS OF SELLER</w:t>
      </w:r>
    </w:p>
    <w:p>
      <w:pPr>
        <w:spacing w:after="0" w:line="22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Seller represents, warrants and covenants to each Buyer that:</w:t>
      </w:r>
    </w:p>
    <w:p>
      <w:pPr>
        <w:spacing w:after="0" w:line="217" w:lineRule="exact"/>
        <w:rPr>
          <w:sz w:val="20"/>
          <w:szCs w:val="20"/>
          <w:color w:val="auto"/>
        </w:rPr>
      </w:pPr>
    </w:p>
    <w:p>
      <w:pPr>
        <w:ind w:right="60" w:firstLine="421"/>
        <w:spacing w:after="0" w:line="277"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Title to Shares</w:t>
      </w:r>
      <w:r>
        <w:rPr>
          <w:rFonts w:ascii="Arial" w:cs="Arial" w:eastAsia="Arial" w:hAnsi="Arial"/>
          <w:sz w:val="16"/>
          <w:szCs w:val="16"/>
          <w:color w:val="auto"/>
        </w:rPr>
        <w:t>. Seller is the owner, beneficially and of record, of all the Shares to be sold by Seller under this Agreement and has good and marketable right, title and interest in and to all the Shares, free and clear of all liens, encumbrances, security agreements, claims, charges and restrictions, including, without limitation, any right of first refusal, preemptive, tag-along or other comparable obligations or restrictions. Upon payment for the Shares in accordance with this Agreement, Seller will convey the Shares to the Buyers, and the Buyers shall acquire good and marketable title to such Shares, free and clear of all liens, pledges, security interests, charges, contractual obligations, transfer restrictions, claims or encumbrances of any kind (other than any of the foregoing created by any Buyer or imposed by applicable securities laws).</w:t>
      </w:r>
    </w:p>
    <w:p>
      <w:pPr>
        <w:spacing w:after="0" w:line="170" w:lineRule="exact"/>
        <w:rPr>
          <w:sz w:val="20"/>
          <w:szCs w:val="20"/>
          <w:color w:val="auto"/>
        </w:rPr>
      </w:pPr>
    </w:p>
    <w:p>
      <w:pPr>
        <w:ind w:right="220" w:firstLine="421"/>
        <w:spacing w:after="0" w:line="279"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Authority and Consents</w:t>
      </w:r>
      <w:r>
        <w:rPr>
          <w:rFonts w:ascii="Arial" w:cs="Arial" w:eastAsia="Arial" w:hAnsi="Arial"/>
          <w:sz w:val="16"/>
          <w:szCs w:val="16"/>
          <w:color w:val="auto"/>
        </w:rPr>
        <w:t xml:space="preserve">. Seller has the right, power, legal capacity and authority to enter into and perform Seller’s obligations under this Agreement, and no approvals or consent of any governmental or regulatory authority or other persons is necessary in connection herewith. This Agreement constitutes the legal, valid and binding obligation of Seller, enforceable against Seller in accordance with its terms, </w:t>
      </w:r>
      <w:r>
        <w:rPr>
          <w:rFonts w:ascii="Arial" w:cs="Arial" w:eastAsia="Arial" w:hAnsi="Arial"/>
          <w:sz w:val="16"/>
          <w:szCs w:val="16"/>
          <w:u w:val="single" w:color="auto"/>
          <w:color w:val="auto"/>
        </w:rPr>
        <w:t>except</w:t>
      </w:r>
      <w:r>
        <w:rPr>
          <w:rFonts w:ascii="Arial" w:cs="Arial" w:eastAsia="Arial" w:hAnsi="Arial"/>
          <w:sz w:val="16"/>
          <w:szCs w:val="16"/>
          <w:color w:val="auto"/>
        </w:rPr>
        <w:t xml:space="preserve"> (a) as may be limited by applicable bankruptcy, insolvency, reorganization, or other laws of general application relating to or affecting the enforcement of creditors’ rights generally and (b) as may be limited by the effect of rules of law governing the availability of equitable remedies.</w:t>
      </w:r>
    </w:p>
    <w:p>
      <w:pPr>
        <w:spacing w:after="0" w:line="168" w:lineRule="exact"/>
        <w:rPr>
          <w:sz w:val="20"/>
          <w:szCs w:val="20"/>
          <w:color w:val="auto"/>
        </w:rPr>
      </w:pPr>
    </w:p>
    <w:p>
      <w:pPr>
        <w:ind w:right="80" w:firstLine="421"/>
        <w:spacing w:after="0" w:line="277"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No Conflict</w:t>
      </w:r>
      <w:r>
        <w:rPr>
          <w:rFonts w:ascii="Arial" w:cs="Arial" w:eastAsia="Arial" w:hAnsi="Arial"/>
          <w:sz w:val="16"/>
          <w:szCs w:val="16"/>
          <w:color w:val="auto"/>
        </w:rPr>
        <w:t>. The execution and delivery of this Agreement and the consummation of the transactions contemplated hereby will not result in a violation or breach by Seller of, or constitute a default by the Seller under, any applicable law, rule or regulation, any provision of its organizational documents or any agreement, instrument, decree, judgment or order to which Seller is a party or by which Seller may be bound. There is no action, suit, proceeding or investigation pending against Seller or, to Seller’s knowledge, currently threatened that questions the validity of this Agreement, or the right of Seller to enter into this Agreement or to consummate the transaction contemplated hereby or that may otherwise have an adverse effect on the ability of Seller to comply with or perform any of its obligations under this Agreement.</w:t>
      </w:r>
    </w:p>
    <w:p>
      <w:pPr>
        <w:sectPr>
          <w:pgSz w:w="11900" w:h="16838" w:orient="portrait"/>
          <w:cols w:equalWidth="0" w:num="1">
            <w:col w:w="10520"/>
          </w:cols>
          <w:pgMar w:left="700" w:top="121" w:right="679" w:bottom="1440" w:gutter="0" w:footer="0" w:header="0"/>
        </w:sectPr>
      </w:pPr>
    </w:p>
    <w:bookmarkStart w:id="32" w:name="page33"/>
    <w:bookmarkEnd w:id="32"/>
    <w:p>
      <w:pPr>
        <w:ind w:left="6" w:right="20" w:firstLine="421"/>
        <w:spacing w:after="0" w:line="29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294880" cy="37465"/>
                    </a:xfrm>
                    <a:prstGeom prst="rect">
                      <a:avLst/>
                    </a:prstGeom>
                    <a:noFill/>
                  </pic:spPr>
                </pic:pic>
              </a:graphicData>
            </a:graphic>
          </wp:anchor>
        </w:drawing>
        <w:t xml:space="preserve">2.4 </w:t>
      </w:r>
      <w:r>
        <w:rPr>
          <w:rFonts w:ascii="Arial" w:cs="Arial" w:eastAsia="Arial" w:hAnsi="Arial"/>
          <w:sz w:val="15"/>
          <w:szCs w:val="15"/>
          <w:u w:val="single" w:color="auto"/>
          <w:color w:val="auto"/>
        </w:rPr>
        <w:t>Sophisticated Seller</w:t>
      </w:r>
      <w:r>
        <w:rPr>
          <w:rFonts w:ascii="Arial" w:cs="Arial" w:eastAsia="Arial" w:hAnsi="Arial"/>
          <w:sz w:val="15"/>
          <w:szCs w:val="15"/>
          <w:color w:val="auto"/>
        </w:rPr>
        <w:t>. The Seller (a) is a sophisticated entity familiar with transactions similar to those contemplated by this Agreement, (b) has adequate information concerning the business and financial condition of the Company to make an informed decision regarding the sale of the Shares,</w:t>
      </w:r>
    </w:p>
    <w:p>
      <w:pPr>
        <w:spacing w:after="0" w:line="1" w:lineRule="exact"/>
        <w:rPr>
          <w:sz w:val="20"/>
          <w:szCs w:val="20"/>
          <w:color w:val="auto"/>
        </w:rPr>
      </w:pPr>
    </w:p>
    <w:p>
      <w:pPr>
        <w:ind w:left="6" w:right="40" w:hanging="6"/>
        <w:spacing w:after="0" w:line="287" w:lineRule="auto"/>
        <w:tabs>
          <w:tab w:leader="none" w:pos="239" w:val="left"/>
        </w:tabs>
        <w:numPr>
          <w:ilvl w:val="0"/>
          <w:numId w:val="16"/>
        </w:numPr>
        <w:rPr>
          <w:rFonts w:ascii="Arial" w:cs="Arial" w:eastAsia="Arial" w:hAnsi="Arial"/>
          <w:sz w:val="15"/>
          <w:szCs w:val="15"/>
          <w:color w:val="auto"/>
        </w:rPr>
      </w:pPr>
      <w:r>
        <w:rPr>
          <w:rFonts w:ascii="Arial" w:cs="Arial" w:eastAsia="Arial" w:hAnsi="Arial"/>
          <w:sz w:val="15"/>
          <w:szCs w:val="15"/>
          <w:color w:val="auto"/>
        </w:rPr>
        <w:t>has negotiated this Agreement on an arm’s-length basis and has had an opportunity to consult with its legal, tax and financial advisors concerning this Agreement and its subject matter and (d) has independently and without reliance upon the Buyers, and based on such information and the advice of such advisors as the Seller has deemed appropriate, made its own analysis and decision to enter into this Agreement. The Seller acknowledges that none of the Buyers or any of their respective affiliates is acting as a fiduciary or financial or investment adviser to the Seller, and none of such persons has given the Seller any investment advice, opinion or other information on whether the sale of the Shares is prudent. The Seller further acknowledges that</w:t>
      </w:r>
    </w:p>
    <w:p>
      <w:pPr>
        <w:ind w:left="6" w:hanging="6"/>
        <w:spacing w:after="0" w:line="272" w:lineRule="auto"/>
        <w:tabs>
          <w:tab w:leader="none" w:pos="211"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Buyers currently may have, and later may come into possession of, material non-public information with respect to the Company that is not known to the Seller and that may be material to a decision to sell the Shares (“</w:t>
      </w:r>
      <w:r>
        <w:rPr>
          <w:rFonts w:ascii="Arial" w:cs="Arial" w:eastAsia="Arial" w:hAnsi="Arial"/>
          <w:sz w:val="16"/>
          <w:szCs w:val="16"/>
          <w:b w:val="1"/>
          <w:bCs w:val="1"/>
          <w:i w:val="1"/>
          <w:iCs w:val="1"/>
          <w:color w:val="auto"/>
        </w:rPr>
        <w:t>Buyer Excluded Information</w:t>
      </w:r>
      <w:r>
        <w:rPr>
          <w:rFonts w:ascii="Arial" w:cs="Arial" w:eastAsia="Arial" w:hAnsi="Arial"/>
          <w:sz w:val="16"/>
          <w:szCs w:val="16"/>
          <w:color w:val="auto"/>
        </w:rPr>
        <w:t>”), (ii) the Seller has determined to sell the Shares notwithstanding its lack of knowledge of the Buyer Excluded Information, (iii) the price for the Shares may significantly appreciate or depreciate over time and by agreeing to sell the Shares to the Buyers pursuant to this Agreement, the Seller is giving up the opportunity to sell the Shares at a higher price in the future and (iv) the Buyers shall have no liability to the Seller, and the Seller to the fullest extent of the law waives and releases any claims, whether known or unknown, that it might have against any Buyer (or its respective affiliates or agents), whether under applicable securities laws or otherwise, with respect to the nondisclosure of the Buyer Excluded Information in connection with the sale of the Shares and the transactions contemplated by this Agreement. The Seller understands that the Buyers will rely on the accuracy and truth of the foregoing representations, and the Seller hereby consents to such reliance.</w:t>
      </w:r>
    </w:p>
    <w:p>
      <w:pPr>
        <w:spacing w:after="0" w:line="175" w:lineRule="exact"/>
        <w:rPr>
          <w:sz w:val="20"/>
          <w:szCs w:val="20"/>
          <w:color w:val="auto"/>
        </w:rPr>
      </w:pPr>
    </w:p>
    <w:p>
      <w:pPr>
        <w:ind w:left="6" w:right="220" w:firstLine="421"/>
        <w:spacing w:after="0" w:line="312"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Taxes</w:t>
      </w:r>
      <w:r>
        <w:rPr>
          <w:rFonts w:ascii="Arial" w:cs="Arial" w:eastAsia="Arial" w:hAnsi="Arial"/>
          <w:sz w:val="16"/>
          <w:szCs w:val="16"/>
          <w:color w:val="auto"/>
        </w:rPr>
        <w:t>. Seller agrees and understands that Seller alone shall be responsible for the payment of all U.S. local, state and/or federal income and transfer taxes on the consideration received by Seller pursuant to this Agreement and any penalties or assessments thereon.</w:t>
      </w:r>
    </w:p>
    <w:p>
      <w:pPr>
        <w:spacing w:after="0" w:line="341" w:lineRule="exact"/>
        <w:rPr>
          <w:sz w:val="20"/>
          <w:szCs w:val="20"/>
          <w:color w:val="auto"/>
        </w:rPr>
      </w:pPr>
    </w:p>
    <w:p>
      <w:pPr>
        <w:ind w:left="2026"/>
        <w:spacing w:after="0"/>
        <w:rPr>
          <w:sz w:val="20"/>
          <w:szCs w:val="20"/>
          <w:color w:val="auto"/>
        </w:rPr>
      </w:pPr>
      <w:r>
        <w:rPr>
          <w:rFonts w:ascii="Arial" w:cs="Arial" w:eastAsia="Arial" w:hAnsi="Arial"/>
          <w:sz w:val="17"/>
          <w:szCs w:val="17"/>
          <w:b w:val="1"/>
          <w:bCs w:val="1"/>
          <w:color w:val="auto"/>
        </w:rPr>
        <w:t>SECTION 3. REPRESENTATIONS, WARRANTIES AND COVENANTS OF BUYERS</w:t>
      </w:r>
    </w:p>
    <w:p>
      <w:pPr>
        <w:spacing w:after="0" w:line="223" w:lineRule="exact"/>
        <w:rPr>
          <w:sz w:val="20"/>
          <w:szCs w:val="20"/>
          <w:color w:val="auto"/>
        </w:rPr>
      </w:pPr>
    </w:p>
    <w:p>
      <w:pPr>
        <w:ind w:left="426"/>
        <w:spacing w:after="0"/>
        <w:rPr>
          <w:sz w:val="20"/>
          <w:szCs w:val="20"/>
          <w:color w:val="auto"/>
        </w:rPr>
      </w:pPr>
      <w:r>
        <w:rPr>
          <w:rFonts w:ascii="Arial" w:cs="Arial" w:eastAsia="Arial" w:hAnsi="Arial"/>
          <w:sz w:val="17"/>
          <w:szCs w:val="17"/>
          <w:color w:val="auto"/>
        </w:rPr>
        <w:t>Each Buyer, severally and not jointly, represents, warrants and covenants to the Seller that:</w:t>
      </w:r>
    </w:p>
    <w:p>
      <w:pPr>
        <w:spacing w:after="0" w:line="217" w:lineRule="exact"/>
        <w:rPr>
          <w:sz w:val="20"/>
          <w:szCs w:val="20"/>
          <w:color w:val="auto"/>
        </w:rPr>
      </w:pPr>
    </w:p>
    <w:p>
      <w:pPr>
        <w:ind w:left="6" w:right="200" w:firstLine="421"/>
        <w:spacing w:after="0" w:line="292" w:lineRule="auto"/>
        <w:rPr>
          <w:sz w:val="20"/>
          <w:szCs w:val="20"/>
          <w:color w:val="auto"/>
        </w:rPr>
      </w:pPr>
      <w:r>
        <w:rPr>
          <w:rFonts w:ascii="Arial" w:cs="Arial" w:eastAsia="Arial" w:hAnsi="Arial"/>
          <w:sz w:val="15"/>
          <w:szCs w:val="15"/>
          <w:color w:val="auto"/>
        </w:rPr>
        <w:t xml:space="preserve">3.1 </w:t>
      </w:r>
      <w:r>
        <w:rPr>
          <w:rFonts w:ascii="Arial" w:cs="Arial" w:eastAsia="Arial" w:hAnsi="Arial"/>
          <w:sz w:val="15"/>
          <w:szCs w:val="15"/>
          <w:u w:val="single" w:color="auto"/>
          <w:color w:val="auto"/>
        </w:rPr>
        <w:t>Authority and Consents</w:t>
      </w:r>
      <w:r>
        <w:rPr>
          <w:rFonts w:ascii="Arial" w:cs="Arial" w:eastAsia="Arial" w:hAnsi="Arial"/>
          <w:sz w:val="15"/>
          <w:szCs w:val="15"/>
          <w:color w:val="auto"/>
        </w:rPr>
        <w:t xml:space="preserve">. Such Buyer has the right, power, legal capacity and authority to enter into and perform such Buyer’s obligations under this Agreement, and no approvals or consent of any governmental or regulatory authority or other persons is necessary in connection herewith. This Agreement constitutes the legal, valid and binding obligation of such Buyer, enforceable against such Buyer in accordance with its terms, </w:t>
      </w:r>
      <w:r>
        <w:rPr>
          <w:rFonts w:ascii="Arial" w:cs="Arial" w:eastAsia="Arial" w:hAnsi="Arial"/>
          <w:sz w:val="15"/>
          <w:szCs w:val="15"/>
          <w:u w:val="single" w:color="auto"/>
          <w:color w:val="auto"/>
        </w:rPr>
        <w:t>except</w:t>
      </w:r>
    </w:p>
    <w:p>
      <w:pPr>
        <w:ind w:left="6" w:right="120" w:hanging="6"/>
        <w:spacing w:after="0" w:line="298" w:lineRule="auto"/>
        <w:tabs>
          <w:tab w:leader="none" w:pos="239" w:val="left"/>
        </w:tabs>
        <w:numPr>
          <w:ilvl w:val="0"/>
          <w:numId w:val="18"/>
        </w:numPr>
        <w:rPr>
          <w:rFonts w:ascii="Arial" w:cs="Arial" w:eastAsia="Arial" w:hAnsi="Arial"/>
          <w:sz w:val="16"/>
          <w:szCs w:val="16"/>
          <w:color w:val="auto"/>
        </w:rPr>
      </w:pPr>
      <w:r>
        <w:rPr>
          <w:rFonts w:ascii="Arial" w:cs="Arial" w:eastAsia="Arial" w:hAnsi="Arial"/>
          <w:sz w:val="16"/>
          <w:szCs w:val="16"/>
          <w:color w:val="auto"/>
        </w:rPr>
        <w:t>as may be limited by applicable bankruptcy, insolvency, reorganization, or other laws of general application relating to or affecting the enforcement of creditors’ rights generally and (b) as may be limited by the effect of rules of law governing the availability of equitable remedies.</w:t>
      </w:r>
    </w:p>
    <w:p>
      <w:pPr>
        <w:spacing w:after="0" w:line="151" w:lineRule="exact"/>
        <w:rPr>
          <w:sz w:val="20"/>
          <w:szCs w:val="20"/>
          <w:color w:val="auto"/>
        </w:rPr>
      </w:pPr>
    </w:p>
    <w:p>
      <w:pPr>
        <w:ind w:left="6" w:right="80" w:firstLine="421"/>
        <w:spacing w:after="0" w:line="299" w:lineRule="auto"/>
        <w:rPr>
          <w:sz w:val="20"/>
          <w:szCs w:val="20"/>
          <w:color w:val="auto"/>
        </w:rPr>
      </w:pPr>
      <w:r>
        <w:rPr>
          <w:rFonts w:ascii="Arial" w:cs="Arial" w:eastAsia="Arial" w:hAnsi="Arial"/>
          <w:sz w:val="15"/>
          <w:szCs w:val="15"/>
          <w:color w:val="auto"/>
        </w:rPr>
        <w:t xml:space="preserve">3.2 </w:t>
      </w:r>
      <w:r>
        <w:rPr>
          <w:rFonts w:ascii="Arial" w:cs="Arial" w:eastAsia="Arial" w:hAnsi="Arial"/>
          <w:sz w:val="15"/>
          <w:szCs w:val="15"/>
          <w:u w:val="single" w:color="auto"/>
          <w:color w:val="auto"/>
        </w:rPr>
        <w:t>No Conflict</w:t>
      </w:r>
      <w:r>
        <w:rPr>
          <w:rFonts w:ascii="Arial" w:cs="Arial" w:eastAsia="Arial" w:hAnsi="Arial"/>
          <w:sz w:val="15"/>
          <w:szCs w:val="15"/>
          <w:color w:val="auto"/>
        </w:rPr>
        <w:t>. The execution and delivery of this Agreement and the consummation of the transactions contemplated hereby will not result in a violation or breach by such Buyer of, or constitute a default by such Buyer under, any applicable law, rule or regulation, any provision of its organizational documents or any agreement, instrument, decree, judgment or order to which such Buyer is a party or by which such Buyer may be bound. There is no action, suit, proceeding or investigation pending against such Buyer or, to such Buyer’s knowledge, currently threatened that questions the validity of this Agreement, or the right of such Buyer to enter into this Agreement or to consummate the transaction contemplated hereby or that may otherwise have an adverse effect on the ability of such Buyer to comply with or perform any of its obligations under this Agreement.</w:t>
      </w:r>
    </w:p>
    <w:p>
      <w:pPr>
        <w:spacing w:after="0" w:line="90" w:lineRule="exact"/>
        <w:rPr>
          <w:sz w:val="20"/>
          <w:szCs w:val="20"/>
          <w:color w:val="auto"/>
        </w:rPr>
      </w:pPr>
    </w:p>
    <w:p>
      <w:pPr>
        <w:jc w:val="center"/>
        <w:ind w:right="-25"/>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486"/>
          </w:cols>
          <w:pgMar w:left="694" w:top="269" w:right="719" w:bottom="1440" w:gutter="0" w:footer="0" w:header="0"/>
        </w:sectPr>
      </w:pPr>
    </w:p>
    <w:bookmarkStart w:id="33" w:name="page34"/>
    <w:bookmarkEnd w:id="33"/>
    <w:p>
      <w:pPr>
        <w:ind w:left="6" w:right="140" w:firstLine="421"/>
        <w:spacing w:after="0" w:line="25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294880" cy="37465"/>
                    </a:xfrm>
                    <a:prstGeom prst="rect">
                      <a:avLst/>
                    </a:prstGeom>
                    <a:noFill/>
                  </pic:spPr>
                </pic:pic>
              </a:graphicData>
            </a:graphic>
          </wp:anchor>
        </w:drawing>
        <w:t xml:space="preserve">3.3 </w:t>
      </w:r>
      <w:r>
        <w:rPr>
          <w:rFonts w:ascii="Arial" w:cs="Arial" w:eastAsia="Arial" w:hAnsi="Arial"/>
          <w:sz w:val="17"/>
          <w:szCs w:val="17"/>
          <w:u w:val="single" w:color="auto"/>
          <w:color w:val="auto"/>
        </w:rPr>
        <w:t>Purchase Entirely for Own Account</w:t>
      </w:r>
      <w:r>
        <w:rPr>
          <w:rFonts w:ascii="Arial" w:cs="Arial" w:eastAsia="Arial" w:hAnsi="Arial"/>
          <w:sz w:val="17"/>
          <w:szCs w:val="17"/>
          <w:color w:val="auto"/>
        </w:rPr>
        <w:t>. The Shares to be acquired by such Buyer will be acquired for investment for such Buyer’s own account and not with a view to the resale or distribution of any part thereof, and such Buyer has no present intention of selling, granting any participation in, or otherwise distributing the same. By executing this Agreement, such Buyer further represents that such Buyer does not presently have any contract, undertaking, agreement or arrangement with any person to sell, transfer or grant participation to such person or to any third person, with respect to any of the Shares.</w:t>
      </w:r>
    </w:p>
    <w:p>
      <w:pPr>
        <w:spacing w:after="0" w:line="183" w:lineRule="exact"/>
        <w:rPr>
          <w:sz w:val="20"/>
          <w:szCs w:val="20"/>
          <w:color w:val="auto"/>
        </w:rPr>
      </w:pPr>
    </w:p>
    <w:p>
      <w:pPr>
        <w:ind w:left="6" w:right="20" w:firstLine="421"/>
        <w:spacing w:after="0" w:line="258"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Restricted Securities</w:t>
      </w:r>
      <w:r>
        <w:rPr>
          <w:rFonts w:ascii="Arial" w:cs="Arial" w:eastAsia="Arial" w:hAnsi="Arial"/>
          <w:sz w:val="17"/>
          <w:szCs w:val="17"/>
          <w:color w:val="auto"/>
        </w:rPr>
        <w:t>. Such Buyer understands that the Shares will be “restricted securities” under applicable U.S. federal and state laws (and may bear a legend to that effect) and that, pursuant to these laws, such Buyer must hold the Shares indefinitely unless they are registered with the Securities and Exchange Commission (the “</w:t>
      </w:r>
      <w:r>
        <w:rPr>
          <w:rFonts w:ascii="Arial" w:cs="Arial" w:eastAsia="Arial" w:hAnsi="Arial"/>
          <w:sz w:val="17"/>
          <w:szCs w:val="17"/>
          <w:u w:val="single" w:color="auto"/>
          <w:color w:val="auto"/>
        </w:rPr>
        <w:t>SEC</w:t>
      </w:r>
      <w:r>
        <w:rPr>
          <w:rFonts w:ascii="Arial" w:cs="Arial" w:eastAsia="Arial" w:hAnsi="Arial"/>
          <w:sz w:val="17"/>
          <w:szCs w:val="17"/>
          <w:color w:val="auto"/>
        </w:rPr>
        <w:t>”) and qualified by state authorities, or an exemption from such registration and qualification requirements is available. Such Buyer further acknowledges that if an exemption from registration or qualification is available, it may be conditioned on various requirements including, but not limited to, the holding period for the Shares and requirements relating to the Company which are outside of such Buyer’s control.</w:t>
      </w:r>
    </w:p>
    <w:p>
      <w:pPr>
        <w:spacing w:after="0" w:line="183" w:lineRule="exact"/>
        <w:rPr>
          <w:sz w:val="20"/>
          <w:szCs w:val="20"/>
          <w:color w:val="auto"/>
        </w:rPr>
      </w:pPr>
    </w:p>
    <w:p>
      <w:pPr>
        <w:ind w:left="6" w:right="20" w:firstLine="421"/>
        <w:spacing w:after="0" w:line="279" w:lineRule="auto"/>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u w:val="single" w:color="auto"/>
          <w:color w:val="auto"/>
        </w:rPr>
        <w:t>Accredited Investor</w:t>
      </w:r>
      <w:r>
        <w:rPr>
          <w:rFonts w:ascii="Arial" w:cs="Arial" w:eastAsia="Arial" w:hAnsi="Arial"/>
          <w:sz w:val="17"/>
          <w:szCs w:val="17"/>
          <w:color w:val="auto"/>
        </w:rPr>
        <w:t>. Such Buyer is an accredited investor as defined in Rule 501(a) of Regulation D of the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w:t>
      </w:r>
    </w:p>
    <w:p>
      <w:pPr>
        <w:spacing w:after="0" w:line="164" w:lineRule="exact"/>
        <w:rPr>
          <w:sz w:val="20"/>
          <w:szCs w:val="20"/>
          <w:color w:val="auto"/>
        </w:rPr>
      </w:pPr>
    </w:p>
    <w:p>
      <w:pPr>
        <w:jc w:val="center"/>
        <w:ind w:right="14"/>
        <w:spacing w:after="0"/>
        <w:rPr>
          <w:sz w:val="20"/>
          <w:szCs w:val="20"/>
          <w:color w:val="auto"/>
        </w:rPr>
      </w:pPr>
      <w:r>
        <w:rPr>
          <w:rFonts w:ascii="Arial" w:cs="Arial" w:eastAsia="Arial" w:hAnsi="Arial"/>
          <w:sz w:val="17"/>
          <w:szCs w:val="17"/>
          <w:color w:val="auto"/>
        </w:rPr>
        <w:t xml:space="preserve">3.6 </w:t>
      </w:r>
      <w:r>
        <w:rPr>
          <w:rFonts w:ascii="Arial" w:cs="Arial" w:eastAsia="Arial" w:hAnsi="Arial"/>
          <w:sz w:val="17"/>
          <w:szCs w:val="17"/>
          <w:u w:val="single" w:color="auto"/>
          <w:color w:val="auto"/>
        </w:rPr>
        <w:t>Sophisticated Buyer</w:t>
      </w:r>
      <w:r>
        <w:rPr>
          <w:rFonts w:ascii="Arial" w:cs="Arial" w:eastAsia="Arial" w:hAnsi="Arial"/>
          <w:sz w:val="17"/>
          <w:szCs w:val="17"/>
          <w:color w:val="auto"/>
        </w:rPr>
        <w:t>. Such Buyer (a) is a sophisticated entity familiar with transactions similar to those contemplated by this Agreement,</w:t>
      </w:r>
    </w:p>
    <w:p>
      <w:pPr>
        <w:spacing w:after="0" w:line="22" w:lineRule="exact"/>
        <w:rPr>
          <w:sz w:val="20"/>
          <w:szCs w:val="20"/>
          <w:color w:val="auto"/>
        </w:rPr>
      </w:pPr>
    </w:p>
    <w:p>
      <w:pPr>
        <w:ind w:left="6" w:hanging="6"/>
        <w:spacing w:after="0" w:line="271" w:lineRule="auto"/>
        <w:tabs>
          <w:tab w:leader="none" w:pos="249" w:val="left"/>
        </w:tabs>
        <w:numPr>
          <w:ilvl w:val="0"/>
          <w:numId w:val="19"/>
        </w:numPr>
        <w:rPr>
          <w:rFonts w:ascii="Arial" w:cs="Arial" w:eastAsia="Arial" w:hAnsi="Arial"/>
          <w:sz w:val="16"/>
          <w:szCs w:val="16"/>
          <w:color w:val="auto"/>
        </w:rPr>
      </w:pPr>
      <w:r>
        <w:rPr>
          <w:rFonts w:ascii="Arial" w:cs="Arial" w:eastAsia="Arial" w:hAnsi="Arial"/>
          <w:sz w:val="16"/>
          <w:szCs w:val="16"/>
          <w:color w:val="auto"/>
        </w:rPr>
        <w:t>has adequate information concerning the business and financial condition of the Company to make an informed decision regarding the purchase of the Shares, (c) has negotiated this Agreement on an arm’s-length basis and has had an opportunity to consult with its legal, tax and financial advisors concerning this Agreement and its subject matter and (d) has independently and without reliance upon the Seller, and based on such information and the advice of such advisors as such Buyer has deemed appropriate, made its own analysis and decision to enter into this Agreement. Such Buyer acknowledges that neither the Seller nor any of its affiliates is acting as a fiduciary or financial or investment adviser to such Buyer, and none of such persons has given such Buyer any investment advice, opinion or other information on whether the purchase of the Shares is prudent. Such Buyer further acknowledges that (i) the Seller currently may have, and later may come into possession of, material non-public information with respect to the Company that is not known to such Buyer and that may be material to a decision to buy the Shares (“</w:t>
      </w:r>
      <w:r>
        <w:rPr>
          <w:rFonts w:ascii="Arial" w:cs="Arial" w:eastAsia="Arial" w:hAnsi="Arial"/>
          <w:sz w:val="16"/>
          <w:szCs w:val="16"/>
          <w:b w:val="1"/>
          <w:bCs w:val="1"/>
          <w:i w:val="1"/>
          <w:iCs w:val="1"/>
          <w:color w:val="auto"/>
        </w:rPr>
        <w:t>Seller Excluded Information</w:t>
      </w:r>
      <w:r>
        <w:rPr>
          <w:rFonts w:ascii="Arial" w:cs="Arial" w:eastAsia="Arial" w:hAnsi="Arial"/>
          <w:sz w:val="16"/>
          <w:szCs w:val="16"/>
          <w:color w:val="auto"/>
        </w:rPr>
        <w:t>”), (ii) such Buyer has determined to buy the Shares notwithstanding its lack of knowledge of the Seller Excluded Information, (iii) the price for the Shares may significantly appreciate or depreciate over time and by agreeing to buy the Shares from the Seller pursuant to this Agreement, such Buyer is giving up the opportunity to buy the Shares at a lower price in the future and (iv) the Seller shall have no liability to such Buyer, and such Buyer to the fullest extent of the law waives and releases any claims, whether known or unknown, that it might have against the Seller (or its respective affiliates or agents), whether under applicable securities laws or otherwise, with respect to the nondisclosure of the Seller Excluded Information in connection with the purchase of the Shares and the transactions contemplated by this Agreement. Such Buyer understands that the Seller will rely on the accuracy and truth of the foregoing representations, and such Buyer hereby consents to such reliance.</w:t>
      </w:r>
    </w:p>
    <w:p>
      <w:pPr>
        <w:spacing w:after="0" w:line="373" w:lineRule="exact"/>
        <w:rPr>
          <w:sz w:val="20"/>
          <w:szCs w:val="20"/>
          <w:color w:val="auto"/>
        </w:rPr>
      </w:pPr>
    </w:p>
    <w:p>
      <w:pPr>
        <w:jc w:val="center"/>
        <w:ind w:right="-5"/>
        <w:spacing w:after="0"/>
        <w:rPr>
          <w:sz w:val="20"/>
          <w:szCs w:val="20"/>
          <w:color w:val="auto"/>
        </w:rPr>
      </w:pPr>
      <w:r>
        <w:rPr>
          <w:rFonts w:ascii="Arial" w:cs="Arial" w:eastAsia="Arial" w:hAnsi="Arial"/>
          <w:sz w:val="17"/>
          <w:szCs w:val="17"/>
          <w:b w:val="1"/>
          <w:bCs w:val="1"/>
          <w:color w:val="auto"/>
        </w:rPr>
        <w:t>SECTION 4. COVENANTS OF THE COMPANY</w:t>
      </w:r>
    </w:p>
    <w:p>
      <w:pPr>
        <w:spacing w:after="0" w:line="223" w:lineRule="exact"/>
        <w:rPr>
          <w:sz w:val="20"/>
          <w:szCs w:val="20"/>
          <w:color w:val="auto"/>
        </w:rPr>
      </w:pPr>
    </w:p>
    <w:p>
      <w:pPr>
        <w:ind w:left="426"/>
        <w:spacing w:after="0"/>
        <w:rPr>
          <w:sz w:val="20"/>
          <w:szCs w:val="20"/>
          <w:color w:val="auto"/>
        </w:rPr>
      </w:pPr>
      <w:r>
        <w:rPr>
          <w:rFonts w:ascii="Arial" w:cs="Arial" w:eastAsia="Arial" w:hAnsi="Arial"/>
          <w:sz w:val="17"/>
          <w:szCs w:val="17"/>
          <w:color w:val="auto"/>
        </w:rPr>
        <w:t>The Company covenants that:</w:t>
      </w:r>
    </w:p>
    <w:p>
      <w:pPr>
        <w:spacing w:after="0" w:line="217" w:lineRule="exact"/>
        <w:rPr>
          <w:sz w:val="20"/>
          <w:szCs w:val="20"/>
          <w:color w:val="auto"/>
        </w:rPr>
      </w:pPr>
    </w:p>
    <w:p>
      <w:pPr>
        <w:ind w:left="6" w:firstLine="421"/>
        <w:spacing w:after="0" w:line="259"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Registration</w:t>
      </w:r>
      <w:r>
        <w:rPr>
          <w:rFonts w:ascii="Arial" w:cs="Arial" w:eastAsia="Arial" w:hAnsi="Arial"/>
          <w:sz w:val="17"/>
          <w:szCs w:val="17"/>
          <w:color w:val="auto"/>
        </w:rPr>
        <w:t>. The Company agrees to file the Registration Statement (as defined below) on the Closing Date (as defined below). The Company shall use its reasonable best efforts and take all actions required or reasonably requested by a Buyer to maintain the effectiveness of the Registration Statement in accordance with the requirements of the Securities Act and the rules and regulations of the SEC thereunder until the earlier of (a) the date on which the Buyers have notified the Company that the Shares have been sold and (b) such time as all Shares are eligible for immediate sale in a single transaction</w:t>
      </w:r>
    </w:p>
    <w:p>
      <w:pPr>
        <w:spacing w:after="0" w:line="118"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506"/>
          </w:cols>
          <w:pgMar w:left="694" w:top="269" w:right="699" w:bottom="1440" w:gutter="0" w:footer="0" w:header="0"/>
        </w:sectPr>
      </w:pPr>
    </w:p>
    <w:bookmarkStart w:id="34" w:name="page35"/>
    <w:bookmarkEnd w:id="34"/>
    <w:p>
      <w:pPr>
        <w:ind w:right="14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294880" cy="37465"/>
                    </a:xfrm>
                    <a:prstGeom prst="rect">
                      <a:avLst/>
                    </a:prstGeom>
                    <a:noFill/>
                  </pic:spPr>
                </pic:pic>
              </a:graphicData>
            </a:graphic>
          </wp:anchor>
        </w:drawing>
        <w:t>pursuant to Rule 144 (or any successor provision) with no volume or other restrictions or limitations under Rule 144 (or any such successor provision) (and without the requirement for the Company to be in compliance with the current public information required under Rule 144(c)(1)).</w:t>
      </w: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SECTION 5. CONDITIONS PRECEDENT TO BUYERS’ PERFORMANCE</w:t>
      </w:r>
    </w:p>
    <w:p>
      <w:pPr>
        <w:spacing w:after="0" w:line="223" w:lineRule="exact"/>
        <w:rPr>
          <w:sz w:val="20"/>
          <w:szCs w:val="20"/>
          <w:color w:val="auto"/>
        </w:rPr>
      </w:pPr>
    </w:p>
    <w:p>
      <w:pPr>
        <w:ind w:firstLine="421"/>
        <w:spacing w:after="0" w:line="262" w:lineRule="auto"/>
        <w:rPr>
          <w:sz w:val="20"/>
          <w:szCs w:val="20"/>
          <w:color w:val="auto"/>
        </w:rPr>
      </w:pPr>
      <w:r>
        <w:rPr>
          <w:rFonts w:ascii="Arial" w:cs="Arial" w:eastAsia="Arial" w:hAnsi="Arial"/>
          <w:sz w:val="17"/>
          <w:szCs w:val="17"/>
          <w:color w:val="auto"/>
        </w:rPr>
        <w:t>The obligations of each Buyer under this Agreement are subject to the satisfaction, at or before the Closing, of all the conditions set forth below in this Section 5. Each Buyer may severally, on its own behalf, waive any or all of these conditions in whole or in part without prior notice; provided, however, that no such waiver of a condition shall constitute a waiver by such Buyer of any of its other rights or remedies, at law or in equity, if Seller shall be in default of any of its representations, warranties or covenants under this Agreement.</w:t>
      </w:r>
    </w:p>
    <w:p>
      <w:pPr>
        <w:spacing w:after="0" w:line="178" w:lineRule="exact"/>
        <w:rPr>
          <w:sz w:val="20"/>
          <w:szCs w:val="20"/>
          <w:color w:val="auto"/>
        </w:rPr>
      </w:pPr>
    </w:p>
    <w:p>
      <w:pPr>
        <w:ind w:firstLine="421"/>
        <w:spacing w:after="0" w:line="279"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Accuracy of Seller’s Representations and Warranties</w:t>
      </w:r>
      <w:r>
        <w:rPr>
          <w:rFonts w:ascii="Arial" w:cs="Arial" w:eastAsia="Arial" w:hAnsi="Arial"/>
          <w:sz w:val="17"/>
          <w:szCs w:val="17"/>
          <w:color w:val="auto"/>
        </w:rPr>
        <w:t>. All representations and warranties of the Seller contained in this Agreement shall be true and correct on and as of the Closing Date as though made on and as of that date.</w:t>
      </w:r>
    </w:p>
    <w:p>
      <w:pPr>
        <w:spacing w:after="0" w:line="164" w:lineRule="exact"/>
        <w:rPr>
          <w:sz w:val="20"/>
          <w:szCs w:val="20"/>
          <w:color w:val="auto"/>
        </w:rPr>
      </w:pPr>
    </w:p>
    <w:p>
      <w:pPr>
        <w:ind w:right="20" w:firstLine="421"/>
        <w:spacing w:after="0" w:line="279"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Performance by Seller</w:t>
      </w:r>
      <w:r>
        <w:rPr>
          <w:rFonts w:ascii="Arial" w:cs="Arial" w:eastAsia="Arial" w:hAnsi="Arial"/>
          <w:sz w:val="17"/>
          <w:szCs w:val="17"/>
          <w:color w:val="auto"/>
        </w:rPr>
        <w:t>. The Seller shall have performed, satisfied and complied with all covenants, agreements and conditions required by this Agreement to be performed or complied with by Seller, as applicable, on or before the Closing Date.</w:t>
      </w:r>
    </w:p>
    <w:p>
      <w:pPr>
        <w:spacing w:after="0" w:line="164" w:lineRule="exact"/>
        <w:rPr>
          <w:sz w:val="20"/>
          <w:szCs w:val="20"/>
          <w:color w:val="auto"/>
        </w:rPr>
      </w:pPr>
    </w:p>
    <w:p>
      <w:pPr>
        <w:jc w:val="both"/>
        <w:ind w:right="40" w:firstLine="421"/>
        <w:spacing w:after="0" w:line="266"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Registration</w:t>
      </w:r>
      <w:r>
        <w:rPr>
          <w:rFonts w:ascii="Arial" w:cs="Arial" w:eastAsia="Arial" w:hAnsi="Arial"/>
          <w:sz w:val="17"/>
          <w:szCs w:val="17"/>
          <w:color w:val="auto"/>
        </w:rPr>
        <w:t>. The Company shall have filed with the SEC, under the Securities Act, a registration statement on Form S-3 pursuant to General Instruction I.D. thereto that shall have become effective upon filing with the SEC pursuant to Rule 462(e) under the Securities Act, relating to the resale by the Buyers of the Shares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w:t>
      </w: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SECTION 6. CONDITIONS PRECEDENT TO SELLER’S PERFORMANCE</w:t>
      </w:r>
    </w:p>
    <w:p>
      <w:pPr>
        <w:spacing w:after="0" w:line="223" w:lineRule="exact"/>
        <w:rPr>
          <w:sz w:val="20"/>
          <w:szCs w:val="20"/>
          <w:color w:val="auto"/>
        </w:rPr>
      </w:pPr>
    </w:p>
    <w:p>
      <w:pPr>
        <w:ind w:right="80" w:firstLine="421"/>
        <w:spacing w:after="0" w:line="262" w:lineRule="auto"/>
        <w:rPr>
          <w:sz w:val="20"/>
          <w:szCs w:val="20"/>
          <w:color w:val="auto"/>
        </w:rPr>
      </w:pPr>
      <w:r>
        <w:rPr>
          <w:rFonts w:ascii="Arial" w:cs="Arial" w:eastAsia="Arial" w:hAnsi="Arial"/>
          <w:sz w:val="17"/>
          <w:szCs w:val="17"/>
          <w:color w:val="auto"/>
        </w:rPr>
        <w:t>The obligations of Seller under this Agreement to a Buyer are subject to the satisfaction, at or before the Closing, of all the conditions set forth below in this Section 6. Seller may waive any or all of these conditions in whole or in part without prior notice; provided, however, that no such waiver of a condition shall constitute a waiver by Seller of any of its other rights or remedies, at law or in equity, if such Buyer shall be in default of any of its representations, warranties or covenants under this Agreement.</w:t>
      </w:r>
    </w:p>
    <w:p>
      <w:pPr>
        <w:spacing w:after="0" w:line="178" w:lineRule="exact"/>
        <w:rPr>
          <w:sz w:val="20"/>
          <w:szCs w:val="20"/>
          <w:color w:val="auto"/>
        </w:rPr>
      </w:pPr>
    </w:p>
    <w:p>
      <w:pPr>
        <w:ind w:right="180" w:firstLine="421"/>
        <w:spacing w:after="0" w:line="279"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Accuracy of Buyer’s Representations and Warranties</w:t>
      </w:r>
      <w:r>
        <w:rPr>
          <w:rFonts w:ascii="Arial" w:cs="Arial" w:eastAsia="Arial" w:hAnsi="Arial"/>
          <w:sz w:val="17"/>
          <w:szCs w:val="17"/>
          <w:color w:val="auto"/>
        </w:rPr>
        <w:t>. All representations and warranties of such Buyer contained in this Agreement shall be true and correct on and as of the Closing Date as though made on and as of that date.</w:t>
      </w:r>
    </w:p>
    <w:p>
      <w:pPr>
        <w:spacing w:after="0" w:line="164" w:lineRule="exact"/>
        <w:rPr>
          <w:sz w:val="20"/>
          <w:szCs w:val="20"/>
          <w:color w:val="auto"/>
        </w:rPr>
      </w:pPr>
    </w:p>
    <w:p>
      <w:pPr>
        <w:ind w:right="200" w:firstLine="421"/>
        <w:spacing w:after="0" w:line="279"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Performance by Buyer</w:t>
      </w:r>
      <w:r>
        <w:rPr>
          <w:rFonts w:ascii="Arial" w:cs="Arial" w:eastAsia="Arial" w:hAnsi="Arial"/>
          <w:sz w:val="17"/>
          <w:szCs w:val="17"/>
          <w:color w:val="auto"/>
        </w:rPr>
        <w:t>. Such Buyer shall have performed, satisfied and complied with all covenants, agreements and conditions required by this Agreement to be performed, or complied with by such Buyer, on or before the Closing Date.</w:t>
      </w: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SECTION 7. CLOSING</w:t>
      </w:r>
    </w:p>
    <w:p>
      <w:pPr>
        <w:spacing w:after="0" w:line="223" w:lineRule="exact"/>
        <w:rPr>
          <w:sz w:val="20"/>
          <w:szCs w:val="20"/>
          <w:color w:val="auto"/>
        </w:rPr>
      </w:pPr>
    </w:p>
    <w:p>
      <w:pPr>
        <w:jc w:val="both"/>
        <w:ind w:right="300" w:firstLine="421"/>
        <w:spacing w:after="0" w:line="266" w:lineRule="auto"/>
        <w:rPr>
          <w:sz w:val="20"/>
          <w:szCs w:val="20"/>
          <w:color w:val="auto"/>
        </w:rPr>
      </w:pPr>
      <w:r>
        <w:rPr>
          <w:rFonts w:ascii="Arial" w:cs="Arial" w:eastAsia="Arial" w:hAnsi="Arial"/>
          <w:sz w:val="17"/>
          <w:szCs w:val="17"/>
          <w:color w:val="auto"/>
        </w:rPr>
        <w:t>The closing of the transactions contemplated by this Agreement (the “</w:t>
      </w:r>
      <w:r>
        <w:rPr>
          <w:rFonts w:ascii="Arial" w:cs="Arial" w:eastAsia="Arial" w:hAnsi="Arial"/>
          <w:sz w:val="17"/>
          <w:szCs w:val="17"/>
          <w:u w:val="single" w:color="auto"/>
          <w:color w:val="auto"/>
        </w:rPr>
        <w:t>Closing</w:t>
      </w:r>
      <w:r>
        <w:rPr>
          <w:rFonts w:ascii="Arial" w:cs="Arial" w:eastAsia="Arial" w:hAnsi="Arial"/>
          <w:sz w:val="17"/>
          <w:szCs w:val="17"/>
          <w:color w:val="auto"/>
        </w:rPr>
        <w:t>”) shall take place remotely via the exchange of documents and signatures on November 15, 2018, or at such other time and place as the parties may agree to in writing. That date of the Closing is herein called the “</w:t>
      </w:r>
      <w:r>
        <w:rPr>
          <w:rFonts w:ascii="Arial" w:cs="Arial" w:eastAsia="Arial" w:hAnsi="Arial"/>
          <w:sz w:val="17"/>
          <w:szCs w:val="17"/>
          <w:u w:val="single" w:color="auto"/>
          <w:color w:val="auto"/>
        </w:rPr>
        <w:t>Closing Date</w:t>
      </w:r>
      <w:r>
        <w:rPr>
          <w:rFonts w:ascii="Arial" w:cs="Arial" w:eastAsia="Arial" w:hAnsi="Arial"/>
          <w:sz w:val="17"/>
          <w:szCs w:val="17"/>
          <w:color w:val="auto"/>
        </w:rPr>
        <w:t>.”</w:t>
      </w:r>
    </w:p>
    <w:p>
      <w:pPr>
        <w:spacing w:after="0" w:line="175" w:lineRule="exact"/>
        <w:rPr>
          <w:sz w:val="20"/>
          <w:szCs w:val="20"/>
          <w:color w:val="auto"/>
        </w:rPr>
      </w:pPr>
    </w:p>
    <w:p>
      <w:pPr>
        <w:ind w:right="660" w:firstLine="421"/>
        <w:spacing w:after="0" w:line="279"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Obligations of Buyers</w:t>
      </w:r>
      <w:r>
        <w:rPr>
          <w:rFonts w:ascii="Arial" w:cs="Arial" w:eastAsia="Arial" w:hAnsi="Arial"/>
          <w:sz w:val="17"/>
          <w:szCs w:val="17"/>
          <w:color w:val="auto"/>
        </w:rPr>
        <w:t>. At the Closing, each Buyer shall deliver to Seller a wire transfer of immediately available funds to an account designated by Seller, in the amount of such Buyer’s Aggregate Purchase Price.</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480"/>
          </w:cols>
          <w:pgMar w:left="700" w:top="269" w:right="719" w:bottom="1440" w:gutter="0" w:footer="0" w:header="0"/>
        </w:sectPr>
      </w:pPr>
    </w:p>
    <w:bookmarkStart w:id="35" w:name="page36"/>
    <w:bookmarkEnd w:id="35"/>
    <w:p>
      <w:pPr>
        <w:ind w:right="460" w:firstLine="421"/>
        <w:spacing w:after="0" w:line="26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294880" cy="37465"/>
                    </a:xfrm>
                    <a:prstGeom prst="rect">
                      <a:avLst/>
                    </a:prstGeom>
                    <a:noFill/>
                  </pic:spPr>
                </pic:pic>
              </a:graphicData>
            </a:graphic>
          </wp:anchor>
        </w:drawing>
        <w:t xml:space="preserve">7.2 </w:t>
      </w:r>
      <w:r>
        <w:rPr>
          <w:rFonts w:ascii="Arial" w:cs="Arial" w:eastAsia="Arial" w:hAnsi="Arial"/>
          <w:sz w:val="17"/>
          <w:szCs w:val="17"/>
          <w:u w:val="single" w:color="auto"/>
          <w:color w:val="auto"/>
        </w:rPr>
        <w:t>Obligations of Seller</w:t>
      </w:r>
      <w:r>
        <w:rPr>
          <w:rFonts w:ascii="Arial" w:cs="Arial" w:eastAsia="Arial" w:hAnsi="Arial"/>
          <w:sz w:val="17"/>
          <w:szCs w:val="17"/>
          <w:color w:val="auto"/>
        </w:rPr>
        <w:t>. Upon confirmation of receipt of each Buyer’s Aggregate Purchase Price, the Seller shall immediately instruct the Company’s transfer agent (i) to cause such Buyer’s Purchased Shares to be delivered by crediting such Buyer’s Purchased Shares to the accounts designated by such Buyer and (ii) within one business day, to provide a transaction notice to such Buyer reflecting such Buyer’s Purchased Shares credited in the Direct Registration System (DRS).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8. INDEMNIFICATION</w:t>
      </w:r>
    </w:p>
    <w:p>
      <w:pPr>
        <w:spacing w:after="0" w:line="223" w:lineRule="exact"/>
        <w:rPr>
          <w:sz w:val="20"/>
          <w:szCs w:val="20"/>
          <w:color w:val="auto"/>
        </w:rPr>
      </w:pPr>
    </w:p>
    <w:p>
      <w:pPr>
        <w:ind w:firstLine="421"/>
        <w:spacing w:after="0" w:line="291" w:lineRule="auto"/>
        <w:rPr>
          <w:sz w:val="20"/>
          <w:szCs w:val="20"/>
          <w:color w:val="auto"/>
        </w:rPr>
      </w:pPr>
      <w:r>
        <w:rPr>
          <w:rFonts w:ascii="Arial" w:cs="Arial" w:eastAsia="Arial" w:hAnsi="Arial"/>
          <w:sz w:val="15"/>
          <w:szCs w:val="15"/>
          <w:color w:val="auto"/>
        </w:rPr>
        <w:t>8.1 The Company shall, notwithstanding any termination of this Agreement, indemnify, defend and hold harmless each Buyer (to the extent a seller under the Registration Statement), the officers, directors, agents, partners, members, managers, stockholders, affiliates, employees and investment advisers of each of them, each person who controls such Buyer (within the meaning of Section 15 of the Securities Act or Section 20 of the Securities Exchange Act of 1934, as amended (the “</w:t>
      </w:r>
      <w:r>
        <w:rPr>
          <w:rFonts w:ascii="Arial" w:cs="Arial" w:eastAsia="Arial" w:hAnsi="Arial"/>
          <w:sz w:val="15"/>
          <w:szCs w:val="15"/>
          <w:u w:val="single" w:color="auto"/>
          <w:color w:val="auto"/>
        </w:rPr>
        <w:t>Exchange Act</w:t>
      </w:r>
      <w:r>
        <w:rPr>
          <w:rFonts w:ascii="Arial" w:cs="Arial" w:eastAsia="Arial" w:hAnsi="Arial"/>
          <w:sz w:val="15"/>
          <w:szCs w:val="15"/>
          <w:color w:val="auto"/>
        </w:rPr>
        <w:t>”)) and the officers, directors, partners, members, managers, stockholders, agents, affiliates, employees and investment advisers of each such controlling person, to the fullest extent permitted by applicable law, from and against any and all losses, claims, damages, liabilities, costs (including, without limitation, reasonable attorneys’ fees) and expenses (collectively, “</w:t>
      </w:r>
      <w:r>
        <w:rPr>
          <w:rFonts w:ascii="Arial" w:cs="Arial" w:eastAsia="Arial" w:hAnsi="Arial"/>
          <w:sz w:val="15"/>
          <w:szCs w:val="15"/>
          <w:u w:val="single" w:color="auto"/>
          <w:color w:val="auto"/>
        </w:rPr>
        <w:t>Losses</w:t>
      </w:r>
      <w:r>
        <w:rPr>
          <w:rFonts w:ascii="Arial" w:cs="Arial" w:eastAsia="Arial" w:hAnsi="Arial"/>
          <w:sz w:val="15"/>
          <w:szCs w:val="15"/>
          <w:color w:val="auto"/>
        </w:rPr>
        <w:t>”), as incurred, that arise out of or are based upon (i) any untrue or alleged untrue statement of a material fact contained in the Registration Statement, any prospectus included in the Registration Statement or any form of prospectus or in any amendment or supplement thereto or in any preliminary prospectus, or arising out of or relating to any omission or alleged omission to state a material fact required to be stated therein or necessary to make the statements therein (in the case of any prospectus or form of prospectus or supplement thereto, in light of the circumstances under which they were made) not misleading, or (ii) any violation or alleged violation by the Company of the Securities Act, Exchange Act or any state securities law or any rule or regulation thereunder, in connection with the performance of its obligations with respect to the Registration Statement, except to the extent, but only to the extent, that such untrue statements, alleged untrue statements, omissions or alleged omissions are based solely upon information regarding such Buyer furnished in writing to the Company by such Buyer expressly for use therein. The Company shall notify such Buyer promptly of the institution, threat or assertion of any proceeding arising from or in connection with the Registration Statement. Such indemnity shall remain in full force and effect regardless of any investigation made by or on behalf of an indemnified party and shall survive the transfer of the Shares by such Buyer.</w:t>
      </w:r>
    </w:p>
    <w:p>
      <w:pPr>
        <w:spacing w:after="0" w:line="160" w:lineRule="exact"/>
        <w:rPr>
          <w:sz w:val="20"/>
          <w:szCs w:val="20"/>
          <w:color w:val="auto"/>
        </w:rPr>
      </w:pPr>
    </w:p>
    <w:p>
      <w:pPr>
        <w:ind w:right="40" w:firstLine="421"/>
        <w:spacing w:after="0" w:line="273" w:lineRule="auto"/>
        <w:rPr>
          <w:sz w:val="20"/>
          <w:szCs w:val="20"/>
          <w:color w:val="auto"/>
        </w:rPr>
      </w:pPr>
      <w:r>
        <w:rPr>
          <w:rFonts w:ascii="Arial" w:cs="Arial" w:eastAsia="Arial" w:hAnsi="Arial"/>
          <w:sz w:val="16"/>
          <w:szCs w:val="16"/>
          <w:color w:val="auto"/>
        </w:rPr>
        <w:t>8.2 Each Buyer (to the extent a seller under the Registration Statement) shall, severally and not jointly with any other Buyer, indemnify and hold harmless the Company, its directors, officers, agents and employees, each person who controls the Company (within the meaning of Section 15 of the Securities Act and Section 20 of the Exchange Act), and the directors, officers, agents or employees of such controlling persons, to the fullest extent permitted by applicable law, from and against all Losses, as incurred, arising out of or are based upon any untrue or alleged untrue statement of a material fact contained in any Registration Statement, any prospectus included in the Registration Statement,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form of prospectus or supplement thereto, in light of the circumstances under which they were made) not misleading to the extent, but only to the extent, that such untrue statements or omissions are based solely upon information regarding such Buyer furnished in writing to the Company by such Buyer expressly for use therein. In no event shall the liability of any Buyer be greater in amount than the dollar amount of the net proceeds received by such Buyer upon the sale of the Shares giving rise to such indemnification obligation.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500"/>
          </w:cols>
          <w:pgMar w:left="700" w:top="269" w:right="699" w:bottom="1440" w:gutter="0" w:footer="0" w:header="0"/>
        </w:sectPr>
      </w:pPr>
    </w:p>
    <w:bookmarkStart w:id="36" w:name="page37"/>
    <w:bookmarkEnd w:id="36"/>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294880" cy="37465"/>
                    </a:xfrm>
                    <a:prstGeom prst="rect">
                      <a:avLst/>
                    </a:prstGeom>
                    <a:noFill/>
                  </pic:spPr>
                </pic:pic>
              </a:graphicData>
            </a:graphic>
          </wp:anchor>
        </w:drawing>
        <w:t>SECTION 9. MISCELLANEOUS</w:t>
      </w:r>
    </w:p>
    <w:p>
      <w:pPr>
        <w:spacing w:after="0" w:line="223" w:lineRule="exact"/>
        <w:rPr>
          <w:sz w:val="20"/>
          <w:szCs w:val="20"/>
          <w:color w:val="auto"/>
        </w:rPr>
      </w:pPr>
    </w:p>
    <w:p>
      <w:pPr>
        <w:ind w:firstLine="421"/>
        <w:spacing w:after="0" w:line="259" w:lineRule="auto"/>
        <w:rPr>
          <w:sz w:val="20"/>
          <w:szCs w:val="20"/>
          <w:color w:val="auto"/>
        </w:rPr>
      </w:pPr>
      <w:r>
        <w:rPr>
          <w:rFonts w:ascii="Arial" w:cs="Arial" w:eastAsia="Arial" w:hAnsi="Arial"/>
          <w:sz w:val="17"/>
          <w:szCs w:val="17"/>
          <w:color w:val="auto"/>
        </w:rPr>
        <w:t xml:space="preserve">9.1 </w:t>
      </w:r>
      <w:r>
        <w:rPr>
          <w:rFonts w:ascii="Arial" w:cs="Arial" w:eastAsia="Arial" w:hAnsi="Arial"/>
          <w:sz w:val="17"/>
          <w:szCs w:val="17"/>
          <w:u w:val="single" w:color="auto"/>
          <w:color w:val="auto"/>
        </w:rPr>
        <w:t>Finder’s or Broker’s Fees</w:t>
      </w:r>
      <w:r>
        <w:rPr>
          <w:rFonts w:ascii="Arial" w:cs="Arial" w:eastAsia="Arial" w:hAnsi="Arial"/>
          <w:sz w:val="17"/>
          <w:szCs w:val="17"/>
          <w:color w:val="auto"/>
        </w:rPr>
        <w:t>. Each party represents and warrants that it has dealt with no broker or finder in connection with any transaction contemplated by this Agreement and, as far as it knows, no broker or other person is entitled to any commission or finder’s fee in connection with any of these transactions. Each party agrees to indemnify and hold harmless the other parties from and against any loss, liability, damage, cost, claim or expense incurred by reason of any brokerage, commission or finder’s fee alleged to be payable because of any act, omission or statement of the indemnifying party.</w:t>
      </w:r>
    </w:p>
    <w:p>
      <w:pPr>
        <w:spacing w:after="0" w:line="183" w:lineRule="exact"/>
        <w:rPr>
          <w:sz w:val="20"/>
          <w:szCs w:val="20"/>
          <w:color w:val="auto"/>
        </w:rPr>
      </w:pPr>
    </w:p>
    <w:p>
      <w:pPr>
        <w:ind w:right="700" w:firstLine="421"/>
        <w:spacing w:after="0" w:line="279" w:lineRule="auto"/>
        <w:rPr>
          <w:sz w:val="20"/>
          <w:szCs w:val="20"/>
          <w:color w:val="auto"/>
        </w:rPr>
      </w:pPr>
      <w:r>
        <w:rPr>
          <w:rFonts w:ascii="Arial" w:cs="Arial" w:eastAsia="Arial" w:hAnsi="Arial"/>
          <w:sz w:val="17"/>
          <w:szCs w:val="17"/>
          <w:color w:val="auto"/>
        </w:rPr>
        <w:t xml:space="preserve">9.2 </w:t>
      </w:r>
      <w:r>
        <w:rPr>
          <w:rFonts w:ascii="Arial" w:cs="Arial" w:eastAsia="Arial" w:hAnsi="Arial"/>
          <w:sz w:val="17"/>
          <w:szCs w:val="17"/>
          <w:u w:val="single" w:color="auto"/>
          <w:color w:val="auto"/>
        </w:rPr>
        <w:t>Effect of Headings</w:t>
      </w:r>
      <w:r>
        <w:rPr>
          <w:rFonts w:ascii="Arial" w:cs="Arial" w:eastAsia="Arial" w:hAnsi="Arial"/>
          <w:sz w:val="17"/>
          <w:szCs w:val="17"/>
          <w:color w:val="auto"/>
        </w:rPr>
        <w:t>. The subject headings of the sections of this Agreement are included for convenience only and shall not affect the construction or interpretation of any of its provisions.</w:t>
      </w:r>
    </w:p>
    <w:p>
      <w:pPr>
        <w:spacing w:after="0" w:line="164" w:lineRule="exact"/>
        <w:rPr>
          <w:sz w:val="20"/>
          <w:szCs w:val="20"/>
          <w:color w:val="auto"/>
        </w:rPr>
      </w:pPr>
    </w:p>
    <w:p>
      <w:pPr>
        <w:ind w:right="80" w:firstLine="421"/>
        <w:spacing w:after="0" w:line="277" w:lineRule="auto"/>
        <w:rPr>
          <w:sz w:val="20"/>
          <w:szCs w:val="20"/>
          <w:color w:val="auto"/>
        </w:rPr>
      </w:pPr>
      <w:r>
        <w:rPr>
          <w:rFonts w:ascii="Arial" w:cs="Arial" w:eastAsia="Arial" w:hAnsi="Arial"/>
          <w:sz w:val="16"/>
          <w:szCs w:val="16"/>
          <w:color w:val="auto"/>
        </w:rPr>
        <w:t xml:space="preserve">9.3 </w:t>
      </w:r>
      <w:r>
        <w:rPr>
          <w:rFonts w:ascii="Arial" w:cs="Arial" w:eastAsia="Arial" w:hAnsi="Arial"/>
          <w:sz w:val="16"/>
          <w:szCs w:val="16"/>
          <w:u w:val="single" w:color="auto"/>
          <w:color w:val="auto"/>
        </w:rPr>
        <w:t>Entire Agreement; Modification; Waiver</w:t>
      </w:r>
      <w:r>
        <w:rPr>
          <w:rFonts w:ascii="Arial" w:cs="Arial" w:eastAsia="Arial" w:hAnsi="Arial"/>
          <w:sz w:val="16"/>
          <w:szCs w:val="16"/>
          <w:color w:val="auto"/>
        </w:rPr>
        <w:t>. This Agreement, together with all Exhibits hereto which are made a part hereof, constitutes the entire agreement between the parties pertaining to its subject matter, and supersedes, merges and voids all prior and contemporaneous agreements, representations and understandings of the parties with respect thereto, whether written or oral. No supplement, modification or amendment of this Agreement shall be binding unless executed in writing by all the parties. No waiver of any of the provisions of this Agreement shall be deemed, or shall constitute, a waiver of any other provision, whether or not similar, nor shall any waiver constitute a continuing waiver unless it expressly provides such by its terms. No waiver shall be binding unless executed in writing by the party making the waiver.</w:t>
      </w:r>
    </w:p>
    <w:p>
      <w:pPr>
        <w:spacing w:after="0" w:line="170" w:lineRule="exact"/>
        <w:rPr>
          <w:sz w:val="20"/>
          <w:szCs w:val="20"/>
          <w:color w:val="auto"/>
        </w:rPr>
      </w:pPr>
    </w:p>
    <w:p>
      <w:pPr>
        <w:ind w:right="120" w:firstLine="421"/>
        <w:spacing w:after="0" w:line="259" w:lineRule="auto"/>
        <w:rPr>
          <w:sz w:val="20"/>
          <w:szCs w:val="20"/>
          <w:color w:val="auto"/>
        </w:rPr>
      </w:pPr>
      <w:r>
        <w:rPr>
          <w:rFonts w:ascii="Arial" w:cs="Arial" w:eastAsia="Arial" w:hAnsi="Arial"/>
          <w:sz w:val="17"/>
          <w:szCs w:val="17"/>
          <w:color w:val="auto"/>
        </w:rPr>
        <w:t xml:space="preserve">9.4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any number of multiple counterparts, each of which shall be deemed to be an original (including signatures delivered via facsimile or PDF) and all of which taken together shall constitute one agreement and the same instrument shall become effective when counterparts have been signed by each party and delivered to the other party, it being understood that both parties need not sign the same counterpart. The parties may deliver this Agreement by facsimile or PDF and each party shall be permitted to rely on the signatures so transmitted to the same extent and effect as if they were original signatures.</w:t>
      </w:r>
    </w:p>
    <w:p>
      <w:pPr>
        <w:spacing w:after="0" w:line="183" w:lineRule="exact"/>
        <w:rPr>
          <w:sz w:val="20"/>
          <w:szCs w:val="20"/>
          <w:color w:val="auto"/>
        </w:rPr>
      </w:pPr>
    </w:p>
    <w:p>
      <w:pPr>
        <w:ind w:right="60" w:firstLine="421"/>
        <w:spacing w:after="0" w:line="259" w:lineRule="auto"/>
        <w:rPr>
          <w:sz w:val="20"/>
          <w:szCs w:val="20"/>
          <w:color w:val="auto"/>
        </w:rPr>
      </w:pPr>
      <w:r>
        <w:rPr>
          <w:rFonts w:ascii="Arial" w:cs="Arial" w:eastAsia="Arial" w:hAnsi="Arial"/>
          <w:sz w:val="17"/>
          <w:szCs w:val="17"/>
          <w:color w:val="auto"/>
        </w:rPr>
        <w:t xml:space="preserve">9.5 </w:t>
      </w:r>
      <w:r>
        <w:rPr>
          <w:rFonts w:ascii="Arial" w:cs="Arial" w:eastAsia="Arial" w:hAnsi="Arial"/>
          <w:sz w:val="17"/>
          <w:szCs w:val="17"/>
          <w:u w:val="single" w:color="auto"/>
          <w:color w:val="auto"/>
        </w:rPr>
        <w:t>Binding Effect</w:t>
      </w:r>
      <w:r>
        <w:rPr>
          <w:rFonts w:ascii="Arial" w:cs="Arial" w:eastAsia="Arial" w:hAnsi="Arial"/>
          <w:sz w:val="17"/>
          <w:szCs w:val="17"/>
          <w:color w:val="auto"/>
        </w:rPr>
        <w:t>. Except as otherwise expressly provided herein, this Agreement shall be binding on and inure to the benefit of the parties, their heirs, executors, administrators, successors and all other persons hereafter that become a party hereto. No rights or obligations hereunder may be assigned by any party without the written consent of the Seller (in the case a Buyer is the assigning party) or the relevant Buyer (in the case the Seller is the assigning party). Any attempted transfer or assignment by any party of its rights and obligations under this Agreement, without the consent of the other party, shall be null and void.</w:t>
      </w:r>
    </w:p>
    <w:p>
      <w:pPr>
        <w:spacing w:after="0" w:line="183" w:lineRule="exact"/>
        <w:rPr>
          <w:sz w:val="20"/>
          <w:szCs w:val="20"/>
          <w:color w:val="auto"/>
        </w:rPr>
      </w:pPr>
    </w:p>
    <w:p>
      <w:pPr>
        <w:ind w:right="40" w:firstLine="421"/>
        <w:spacing w:after="0" w:line="262" w:lineRule="auto"/>
        <w:rPr>
          <w:sz w:val="20"/>
          <w:szCs w:val="20"/>
          <w:color w:val="auto"/>
        </w:rPr>
      </w:pPr>
      <w:r>
        <w:rPr>
          <w:rFonts w:ascii="Arial" w:cs="Arial" w:eastAsia="Arial" w:hAnsi="Arial"/>
          <w:sz w:val="17"/>
          <w:szCs w:val="17"/>
          <w:color w:val="auto"/>
        </w:rPr>
        <w:t xml:space="preserve">9.6 </w:t>
      </w:r>
      <w:r>
        <w:rPr>
          <w:rFonts w:ascii="Arial" w:cs="Arial" w:eastAsia="Arial" w:hAnsi="Arial"/>
          <w:sz w:val="17"/>
          <w:szCs w:val="17"/>
          <w:u w:val="single" w:color="auto"/>
          <w:color w:val="auto"/>
        </w:rPr>
        <w:t>Notices</w:t>
      </w:r>
      <w:r>
        <w:rPr>
          <w:rFonts w:ascii="Arial" w:cs="Arial" w:eastAsia="Arial" w:hAnsi="Arial"/>
          <w:sz w:val="17"/>
          <w:szCs w:val="17"/>
          <w:color w:val="auto"/>
        </w:rPr>
        <w:t>. Any notice, consent, payment, demand, or communication required or permitted to be given by any provision of this Agreement shall be in writing and shall be (a) delivered personally to the party or to an officer of the party to whom the same is directed, or (b) sent by facsimile or other electronic or digital transmission method (including e-mail), or registered or certified mail, return receipt requested, postage prepaid, addressed as follows:</w:t>
      </w:r>
    </w:p>
    <w:p>
      <w:pPr>
        <w:spacing w:after="0" w:line="75" w:lineRule="exact"/>
        <w:rPr>
          <w:sz w:val="20"/>
          <w:szCs w:val="20"/>
          <w:color w:val="auto"/>
        </w:rPr>
      </w:pPr>
    </w:p>
    <w:p>
      <w:pPr>
        <w:ind w:left="840"/>
        <w:spacing w:after="0"/>
        <w:rPr>
          <w:sz w:val="20"/>
          <w:szCs w:val="20"/>
          <w:color w:val="auto"/>
        </w:rPr>
      </w:pPr>
      <w:r>
        <w:rPr>
          <w:rFonts w:ascii="Arial" w:cs="Arial" w:eastAsia="Arial" w:hAnsi="Arial"/>
          <w:sz w:val="17"/>
          <w:szCs w:val="17"/>
          <w:color w:val="auto"/>
        </w:rPr>
        <w:t>If to the Seller:</w:t>
      </w:r>
    </w:p>
    <w:p>
      <w:pPr>
        <w:spacing w:after="0" w:line="114" w:lineRule="exact"/>
        <w:rPr>
          <w:sz w:val="20"/>
          <w:szCs w:val="20"/>
          <w:color w:val="auto"/>
        </w:rPr>
      </w:pPr>
    </w:p>
    <w:p>
      <w:pPr>
        <w:ind w:left="840"/>
        <w:spacing w:after="0"/>
        <w:rPr>
          <w:sz w:val="20"/>
          <w:szCs w:val="20"/>
          <w:color w:val="auto"/>
        </w:rPr>
      </w:pPr>
      <w:r>
        <w:rPr>
          <w:rFonts w:ascii="Arial" w:cs="Arial" w:eastAsia="Arial" w:hAnsi="Arial"/>
          <w:sz w:val="17"/>
          <w:szCs w:val="17"/>
          <w:color w:val="auto"/>
        </w:rPr>
        <w:t>C.P. Pharmaceuticals International C.V.</w:t>
      </w:r>
    </w:p>
    <w:p>
      <w:pPr>
        <w:spacing w:after="0" w:line="22" w:lineRule="exact"/>
        <w:rPr>
          <w:sz w:val="20"/>
          <w:szCs w:val="20"/>
          <w:color w:val="auto"/>
        </w:rPr>
      </w:pPr>
    </w:p>
    <w:p>
      <w:pPr>
        <w:ind w:left="840"/>
        <w:spacing w:after="0"/>
        <w:rPr>
          <w:sz w:val="20"/>
          <w:szCs w:val="20"/>
          <w:color w:val="auto"/>
        </w:rPr>
      </w:pPr>
      <w:r>
        <w:rPr>
          <w:rFonts w:ascii="Arial" w:cs="Arial" w:eastAsia="Arial" w:hAnsi="Arial"/>
          <w:sz w:val="17"/>
          <w:szCs w:val="17"/>
          <w:color w:val="auto"/>
        </w:rPr>
        <w:t>c/o Pfizer Inc.</w:t>
      </w:r>
    </w:p>
    <w:p>
      <w:pPr>
        <w:spacing w:after="0" w:line="11" w:lineRule="exact"/>
        <w:rPr>
          <w:sz w:val="20"/>
          <w:szCs w:val="20"/>
          <w:color w:val="auto"/>
        </w:rPr>
      </w:pPr>
    </w:p>
    <w:p>
      <w:pPr>
        <w:ind w:left="840"/>
        <w:spacing w:after="0"/>
        <w:rPr>
          <w:sz w:val="20"/>
          <w:szCs w:val="20"/>
          <w:color w:val="auto"/>
        </w:rPr>
      </w:pPr>
      <w:r>
        <w:rPr>
          <w:rFonts w:ascii="Arial" w:cs="Arial" w:eastAsia="Arial" w:hAnsi="Arial"/>
          <w:sz w:val="17"/>
          <w:szCs w:val="17"/>
          <w:color w:val="auto"/>
        </w:rPr>
        <w:t>235 East 42nd Street</w:t>
      </w:r>
    </w:p>
    <w:p>
      <w:pPr>
        <w:spacing w:after="0" w:line="11" w:lineRule="exact"/>
        <w:rPr>
          <w:sz w:val="20"/>
          <w:szCs w:val="20"/>
          <w:color w:val="auto"/>
        </w:rPr>
      </w:pPr>
    </w:p>
    <w:p>
      <w:pPr>
        <w:ind w:left="840"/>
        <w:spacing w:after="0"/>
        <w:rPr>
          <w:sz w:val="20"/>
          <w:szCs w:val="20"/>
          <w:color w:val="auto"/>
        </w:rPr>
      </w:pPr>
      <w:r>
        <w:rPr>
          <w:rFonts w:ascii="Arial" w:cs="Arial" w:eastAsia="Arial" w:hAnsi="Arial"/>
          <w:sz w:val="17"/>
          <w:szCs w:val="17"/>
          <w:color w:val="auto"/>
        </w:rPr>
        <w:t>New York, NY 10017</w:t>
      </w:r>
    </w:p>
    <w:p>
      <w:pPr>
        <w:spacing w:after="0" w:line="11" w:lineRule="exact"/>
        <w:rPr>
          <w:sz w:val="20"/>
          <w:szCs w:val="20"/>
          <w:color w:val="auto"/>
        </w:rPr>
      </w:pPr>
    </w:p>
    <w:p>
      <w:pPr>
        <w:ind w:left="840"/>
        <w:spacing w:after="0"/>
        <w:rPr>
          <w:sz w:val="20"/>
          <w:szCs w:val="20"/>
          <w:color w:val="auto"/>
        </w:rPr>
      </w:pPr>
      <w:r>
        <w:rPr>
          <w:rFonts w:ascii="Arial" w:cs="Arial" w:eastAsia="Arial" w:hAnsi="Arial"/>
          <w:sz w:val="17"/>
          <w:szCs w:val="17"/>
          <w:color w:val="auto"/>
        </w:rPr>
        <w:t>Attention: Brian McMahon, Vice President and Assistant Treasurer</w:t>
      </w:r>
    </w:p>
    <w:p>
      <w:pPr>
        <w:spacing w:after="0" w:line="11" w:lineRule="exact"/>
        <w:rPr>
          <w:sz w:val="20"/>
          <w:szCs w:val="20"/>
          <w:color w:val="auto"/>
        </w:rPr>
      </w:pPr>
    </w:p>
    <w:p>
      <w:pPr>
        <w:ind w:left="840"/>
        <w:spacing w:after="0"/>
        <w:rPr>
          <w:sz w:val="20"/>
          <w:szCs w:val="20"/>
          <w:color w:val="auto"/>
        </w:rPr>
      </w:pPr>
      <w:r>
        <w:rPr>
          <w:rFonts w:ascii="Arial" w:cs="Arial" w:eastAsia="Arial" w:hAnsi="Arial"/>
          <w:sz w:val="17"/>
          <w:szCs w:val="17"/>
          <w:color w:val="auto"/>
        </w:rPr>
        <w:t>Facsimile: 212-716-5452</w:t>
      </w:r>
    </w:p>
    <w:p>
      <w:pPr>
        <w:spacing w:after="0" w:line="11" w:lineRule="exact"/>
        <w:rPr>
          <w:sz w:val="20"/>
          <w:szCs w:val="20"/>
          <w:color w:val="auto"/>
        </w:rPr>
      </w:pPr>
    </w:p>
    <w:p>
      <w:pPr>
        <w:ind w:left="840"/>
        <w:spacing w:after="0"/>
        <w:rPr>
          <w:sz w:val="20"/>
          <w:szCs w:val="20"/>
          <w:color w:val="auto"/>
        </w:rPr>
      </w:pPr>
      <w:r>
        <w:rPr>
          <w:rFonts w:ascii="Arial" w:cs="Arial" w:eastAsia="Arial" w:hAnsi="Arial"/>
          <w:sz w:val="17"/>
          <w:szCs w:val="17"/>
          <w:color w:val="auto"/>
        </w:rPr>
        <w:t>E-mail: Brian.McMahon@Pfizer.com</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500"/>
          </w:cols>
          <w:pgMar w:left="700" w:top="263" w:right="699" w:bottom="1440" w:gutter="0" w:footer="0" w:header="0"/>
        </w:sectPr>
      </w:pPr>
    </w:p>
    <w:bookmarkStart w:id="37" w:name="page38"/>
    <w:bookmarkEnd w:id="37"/>
    <w:p>
      <w:pPr>
        <w:ind w:left="8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294880" cy="37465"/>
                    </a:xfrm>
                    <a:prstGeom prst="rect">
                      <a:avLst/>
                    </a:prstGeom>
                    <a:noFill/>
                  </pic:spPr>
                </pic:pic>
              </a:graphicData>
            </a:graphic>
          </wp:anchor>
        </w:drawing>
        <w:t>If to any Buyer:</w:t>
      </w:r>
    </w:p>
    <w:p>
      <w:pPr>
        <w:spacing w:after="0" w:line="114" w:lineRule="exact"/>
        <w:rPr>
          <w:sz w:val="20"/>
          <w:szCs w:val="20"/>
          <w:color w:val="auto"/>
        </w:rPr>
      </w:pPr>
    </w:p>
    <w:p>
      <w:pPr>
        <w:ind w:left="840"/>
        <w:spacing w:after="0"/>
        <w:rPr>
          <w:sz w:val="20"/>
          <w:szCs w:val="20"/>
          <w:color w:val="auto"/>
        </w:rPr>
      </w:pPr>
      <w:r>
        <w:rPr>
          <w:rFonts w:ascii="Arial" w:cs="Arial" w:eastAsia="Arial" w:hAnsi="Arial"/>
          <w:sz w:val="17"/>
          <w:szCs w:val="17"/>
          <w:color w:val="auto"/>
        </w:rPr>
        <w:t>c/o T. Rowe Price Associates, Inc., investment adviser</w:t>
      </w:r>
    </w:p>
    <w:p>
      <w:pPr>
        <w:spacing w:after="0" w:line="22" w:lineRule="exact"/>
        <w:rPr>
          <w:sz w:val="20"/>
          <w:szCs w:val="20"/>
          <w:color w:val="auto"/>
        </w:rPr>
      </w:pPr>
    </w:p>
    <w:p>
      <w:pPr>
        <w:ind w:left="840"/>
        <w:spacing w:after="0"/>
        <w:rPr>
          <w:sz w:val="20"/>
          <w:szCs w:val="20"/>
          <w:color w:val="auto"/>
        </w:rPr>
      </w:pPr>
      <w:r>
        <w:rPr>
          <w:rFonts w:ascii="Arial" w:cs="Arial" w:eastAsia="Arial" w:hAnsi="Arial"/>
          <w:sz w:val="17"/>
          <w:szCs w:val="17"/>
          <w:color w:val="auto"/>
        </w:rPr>
        <w:t>100 East Pratt Street</w:t>
      </w:r>
    </w:p>
    <w:p>
      <w:pPr>
        <w:spacing w:after="0" w:line="11" w:lineRule="exact"/>
        <w:rPr>
          <w:sz w:val="20"/>
          <w:szCs w:val="20"/>
          <w:color w:val="auto"/>
        </w:rPr>
      </w:pPr>
    </w:p>
    <w:p>
      <w:pPr>
        <w:ind w:left="840"/>
        <w:spacing w:after="0"/>
        <w:rPr>
          <w:sz w:val="20"/>
          <w:szCs w:val="20"/>
          <w:color w:val="auto"/>
        </w:rPr>
      </w:pPr>
      <w:r>
        <w:rPr>
          <w:rFonts w:ascii="Arial" w:cs="Arial" w:eastAsia="Arial" w:hAnsi="Arial"/>
          <w:sz w:val="17"/>
          <w:szCs w:val="17"/>
          <w:color w:val="auto"/>
        </w:rPr>
        <w:t>Baltimore, MD 21202</w:t>
      </w:r>
    </w:p>
    <w:p>
      <w:pPr>
        <w:spacing w:after="0" w:line="11" w:lineRule="exact"/>
        <w:rPr>
          <w:sz w:val="20"/>
          <w:szCs w:val="20"/>
          <w:color w:val="auto"/>
        </w:rPr>
      </w:pPr>
    </w:p>
    <w:p>
      <w:pPr>
        <w:ind w:left="840"/>
        <w:spacing w:after="0"/>
        <w:rPr>
          <w:sz w:val="20"/>
          <w:szCs w:val="20"/>
          <w:color w:val="auto"/>
        </w:rPr>
      </w:pPr>
      <w:r>
        <w:rPr>
          <w:rFonts w:ascii="Arial" w:cs="Arial" w:eastAsia="Arial" w:hAnsi="Arial"/>
          <w:sz w:val="17"/>
          <w:szCs w:val="17"/>
          <w:color w:val="auto"/>
        </w:rPr>
        <w:t>Attention: Andrew Baek and Margie Schwartz</w:t>
      </w:r>
    </w:p>
    <w:p>
      <w:pPr>
        <w:spacing w:after="0" w:line="11" w:lineRule="exact"/>
        <w:rPr>
          <w:sz w:val="20"/>
          <w:szCs w:val="20"/>
          <w:color w:val="auto"/>
        </w:rPr>
      </w:pPr>
    </w:p>
    <w:p>
      <w:pPr>
        <w:ind w:left="840"/>
        <w:spacing w:after="0"/>
        <w:rPr>
          <w:sz w:val="20"/>
          <w:szCs w:val="20"/>
          <w:color w:val="auto"/>
        </w:rPr>
      </w:pPr>
      <w:r>
        <w:rPr>
          <w:rFonts w:ascii="Arial" w:cs="Arial" w:eastAsia="Arial" w:hAnsi="Arial"/>
          <w:sz w:val="17"/>
          <w:szCs w:val="17"/>
          <w:color w:val="auto"/>
        </w:rPr>
        <w:t>Facsimile: 410-345-6575</w:t>
      </w:r>
    </w:p>
    <w:p>
      <w:pPr>
        <w:spacing w:after="0" w:line="11" w:lineRule="exact"/>
        <w:rPr>
          <w:sz w:val="20"/>
          <w:szCs w:val="20"/>
          <w:color w:val="auto"/>
        </w:rPr>
      </w:pPr>
    </w:p>
    <w:p>
      <w:pPr>
        <w:ind w:left="840"/>
        <w:spacing w:after="0"/>
        <w:rPr>
          <w:sz w:val="20"/>
          <w:szCs w:val="20"/>
          <w:color w:val="auto"/>
        </w:rPr>
      </w:pPr>
      <w:r>
        <w:rPr>
          <w:rFonts w:ascii="Arial" w:cs="Arial" w:eastAsia="Arial" w:hAnsi="Arial"/>
          <w:sz w:val="17"/>
          <w:szCs w:val="17"/>
          <w:color w:val="auto"/>
        </w:rPr>
        <w:t>E-mail: andrew_baek@troweprice.com; margie_schwartz@troweprice.com</w:t>
      </w:r>
    </w:p>
    <w:p>
      <w:pPr>
        <w:spacing w:after="0" w:line="206" w:lineRule="exact"/>
        <w:rPr>
          <w:sz w:val="20"/>
          <w:szCs w:val="20"/>
          <w:color w:val="auto"/>
        </w:rPr>
      </w:pPr>
    </w:p>
    <w:p>
      <w:pPr>
        <w:ind w:right="140" w:firstLine="421"/>
        <w:spacing w:after="0" w:line="262" w:lineRule="auto"/>
        <w:rPr>
          <w:sz w:val="20"/>
          <w:szCs w:val="20"/>
          <w:color w:val="auto"/>
        </w:rPr>
      </w:pPr>
      <w:r>
        <w:rPr>
          <w:rFonts w:ascii="Arial" w:cs="Arial" w:eastAsia="Arial" w:hAnsi="Arial"/>
          <w:sz w:val="17"/>
          <w:szCs w:val="17"/>
          <w:color w:val="auto"/>
        </w:rPr>
        <w:t>or to such other address as such party may from time to time specify in writing to the other parties hereto. Any such notice shall be deemed to be delivered, given and received for all purposes as of: (i) the date so delivered, if delivered personally, (ii) upon receipt, if sent by facsimile or other electronic or digital transmission method (including e-mail), or (iii) on the date of receipt or refusal indicated on the return receipt, if sent by registered or certified mail, return receipt requested, postage and charges prepaid and properly addressed.</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9.7 </w:t>
      </w: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shall be governed by and construed in accordance with the laws of the State of New York.</w:t>
      </w:r>
    </w:p>
    <w:p>
      <w:pPr>
        <w:spacing w:after="0" w:line="217" w:lineRule="exact"/>
        <w:rPr>
          <w:sz w:val="20"/>
          <w:szCs w:val="20"/>
          <w:color w:val="auto"/>
        </w:rPr>
      </w:pPr>
    </w:p>
    <w:p>
      <w:pPr>
        <w:ind w:right="80" w:firstLine="421"/>
        <w:spacing w:after="0" w:line="279" w:lineRule="auto"/>
        <w:rPr>
          <w:sz w:val="20"/>
          <w:szCs w:val="20"/>
          <w:color w:val="auto"/>
        </w:rPr>
      </w:pPr>
      <w:r>
        <w:rPr>
          <w:rFonts w:ascii="Arial" w:cs="Arial" w:eastAsia="Arial" w:hAnsi="Arial"/>
          <w:sz w:val="17"/>
          <w:szCs w:val="17"/>
          <w:color w:val="auto"/>
        </w:rPr>
        <w:t xml:space="preserve">9.8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of this Agreement is held invalid or unenforceable by any court of final jurisdiction, it is the intent of the parties that all other provisions of this Agreement be construed to remain fully valid, enforceable and binding on the parties.</w:t>
      </w:r>
    </w:p>
    <w:p>
      <w:pPr>
        <w:spacing w:after="0" w:line="164" w:lineRule="exact"/>
        <w:rPr>
          <w:sz w:val="20"/>
          <w:szCs w:val="20"/>
          <w:color w:val="auto"/>
        </w:rPr>
      </w:pPr>
    </w:p>
    <w:p>
      <w:pPr>
        <w:ind w:right="180" w:firstLine="421"/>
        <w:spacing w:after="0" w:line="279" w:lineRule="auto"/>
        <w:rPr>
          <w:sz w:val="20"/>
          <w:szCs w:val="20"/>
          <w:color w:val="auto"/>
        </w:rPr>
      </w:pPr>
      <w:r>
        <w:rPr>
          <w:rFonts w:ascii="Arial" w:cs="Arial" w:eastAsia="Arial" w:hAnsi="Arial"/>
          <w:sz w:val="17"/>
          <w:szCs w:val="17"/>
          <w:color w:val="auto"/>
        </w:rPr>
        <w:t xml:space="preserve">9.9 </w:t>
      </w:r>
      <w:r>
        <w:rPr>
          <w:rFonts w:ascii="Arial" w:cs="Arial" w:eastAsia="Arial" w:hAnsi="Arial"/>
          <w:sz w:val="17"/>
          <w:szCs w:val="17"/>
          <w:u w:val="single" w:color="auto"/>
          <w:color w:val="auto"/>
        </w:rPr>
        <w:t>Survival of Representations and Warranties</w:t>
      </w:r>
      <w:r>
        <w:rPr>
          <w:rFonts w:ascii="Arial" w:cs="Arial" w:eastAsia="Arial" w:hAnsi="Arial"/>
          <w:sz w:val="17"/>
          <w:szCs w:val="17"/>
          <w:color w:val="auto"/>
        </w:rPr>
        <w:t>. The representations and warranties made by Seller and each of the Buyers contained in or made pursuant to this Agreement shall survive the execution and delivery of this Agreement and the Closing.</w:t>
      </w:r>
    </w:p>
    <w:p>
      <w:pPr>
        <w:spacing w:after="0" w:line="164" w:lineRule="exact"/>
        <w:rPr>
          <w:sz w:val="20"/>
          <w:szCs w:val="20"/>
          <w:color w:val="auto"/>
        </w:rPr>
      </w:pPr>
    </w:p>
    <w:p>
      <w:pPr>
        <w:ind w:right="280" w:firstLine="421"/>
        <w:spacing w:after="0" w:line="266" w:lineRule="auto"/>
        <w:rPr>
          <w:sz w:val="20"/>
          <w:szCs w:val="20"/>
          <w:color w:val="auto"/>
        </w:rPr>
      </w:pPr>
      <w:r>
        <w:rPr>
          <w:rFonts w:ascii="Arial" w:cs="Arial" w:eastAsia="Arial" w:hAnsi="Arial"/>
          <w:sz w:val="17"/>
          <w:szCs w:val="17"/>
          <w:color w:val="auto"/>
        </w:rPr>
        <w:t xml:space="preserve">9.10 </w:t>
      </w:r>
      <w:r>
        <w:rPr>
          <w:rFonts w:ascii="Arial" w:cs="Arial" w:eastAsia="Arial" w:hAnsi="Arial"/>
          <w:sz w:val="17"/>
          <w:szCs w:val="17"/>
          <w:u w:val="single" w:color="auto"/>
          <w:color w:val="auto"/>
        </w:rPr>
        <w:t>Expenses</w:t>
      </w:r>
      <w:r>
        <w:rPr>
          <w:rFonts w:ascii="Arial" w:cs="Arial" w:eastAsia="Arial" w:hAnsi="Arial"/>
          <w:sz w:val="17"/>
          <w:szCs w:val="17"/>
          <w:color w:val="auto"/>
        </w:rPr>
        <w:t>. Each party shall pay the expenses and costs incurred by it incidental to the preparation of this Agreement, the performance and compliance with all agreements contained in this Agreement to be performed or complied with by them and the consummation of the transactions contemplated hereby.</w:t>
      </w:r>
    </w:p>
    <w:p>
      <w:pPr>
        <w:spacing w:after="0" w:line="175" w:lineRule="exact"/>
        <w:rPr>
          <w:sz w:val="20"/>
          <w:szCs w:val="20"/>
          <w:color w:val="auto"/>
        </w:rPr>
      </w:pPr>
    </w:p>
    <w:p>
      <w:pPr>
        <w:ind w:firstLine="421"/>
        <w:spacing w:after="0" w:line="307" w:lineRule="auto"/>
        <w:rPr>
          <w:sz w:val="20"/>
          <w:szCs w:val="20"/>
          <w:color w:val="auto"/>
        </w:rPr>
      </w:pPr>
      <w:r>
        <w:rPr>
          <w:rFonts w:ascii="Arial" w:cs="Arial" w:eastAsia="Arial" w:hAnsi="Arial"/>
          <w:sz w:val="15"/>
          <w:szCs w:val="15"/>
          <w:color w:val="auto"/>
        </w:rPr>
        <w:t xml:space="preserve">9.11 </w:t>
      </w:r>
      <w:r>
        <w:rPr>
          <w:rFonts w:ascii="Arial" w:cs="Arial" w:eastAsia="Arial" w:hAnsi="Arial"/>
          <w:sz w:val="15"/>
          <w:szCs w:val="15"/>
          <w:u w:val="single" w:color="auto"/>
          <w:color w:val="auto"/>
        </w:rPr>
        <w:t>Specific Enforcement</w:t>
      </w:r>
      <w:r>
        <w:rPr>
          <w:rFonts w:ascii="Arial" w:cs="Arial" w:eastAsia="Arial" w:hAnsi="Arial"/>
          <w:sz w:val="15"/>
          <w:szCs w:val="15"/>
          <w:color w:val="auto"/>
        </w:rPr>
        <w:t>. Notwithstanding anything to the contrary set forth herein, it is agreed and understood that monetary damages would not adequately compensate an injured party hereto for the breach of this Agreement by any other party hereto, that this Agreement shall be specifically enforceable, and that any breach or threatened breach of this Agreement shall be the proper subject of a temporary or permanent injunction or restraining order. Further, each party waives any claim or defense that there is an adequate remedy at law for such breach or threatened breach.</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[Signature Page Follows]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500"/>
          </w:cols>
          <w:pgMar w:left="700" w:top="269" w:right="699" w:bottom="1440" w:gutter="0" w:footer="0" w:header="0"/>
        </w:sectPr>
      </w:pPr>
    </w:p>
    <w:bookmarkStart w:id="38" w:name="page39"/>
    <w:bookmarkEnd w:id="38"/>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294880" cy="37465"/>
                    </a:xfrm>
                    <a:prstGeom prst="rect">
                      <a:avLst/>
                    </a:prstGeom>
                    <a:noFill/>
                  </pic:spPr>
                </pic:pic>
              </a:graphicData>
            </a:graphic>
          </wp:anchor>
        </w:drawing>
        <w:t>IN WITNESS WHEREOF, the parties to this Agreement have duly executed it as of the day and year first above written.</w:t>
      </w:r>
    </w:p>
    <w:p>
      <w:pPr>
        <w:spacing w:after="0" w:line="243"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SELLER:</w:t>
      </w:r>
    </w:p>
    <w:p>
      <w:pPr>
        <w:spacing w:after="0" w:line="217"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For and on behalf of C. P. Pharmaceuticals International</w:t>
      </w:r>
    </w:p>
    <w:p>
      <w:pPr>
        <w:spacing w:after="0" w:line="33"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C.V., by its General Partners</w:t>
      </w:r>
    </w:p>
    <w:p>
      <w:pPr>
        <w:spacing w:after="0" w:line="206"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Pfizer Production LLC</w:t>
      </w:r>
    </w:p>
    <w:p>
      <w:pPr>
        <w:spacing w:after="0" w:line="22"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As general partner for and on behalf of</w:t>
      </w:r>
    </w:p>
    <w:p>
      <w:pPr>
        <w:spacing w:after="0" w:line="11"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C. P. Pharmaceuticals International C.V.</w:t>
      </w:r>
    </w:p>
    <w:p>
      <w:pPr>
        <w:spacing w:after="0" w:line="206" w:lineRule="exact"/>
        <w:rPr>
          <w:sz w:val="20"/>
          <w:szCs w:val="20"/>
          <w:color w:val="auto"/>
        </w:rPr>
      </w:pPr>
    </w:p>
    <w:tbl>
      <w:tblPr>
        <w:tblLayout w:type="fixed"/>
        <w:tblInd w:w="5900" w:type="dxa"/>
        <w:tblCellMar>
          <w:top w:w="0" w:type="dxa"/>
          <w:left w:w="0" w:type="dxa"/>
          <w:bottom w:w="0" w:type="dxa"/>
          <w:right w:w="0" w:type="dxa"/>
        </w:tblCellMar>
      </w:tblPr>
      <w:tr>
        <w:trPr>
          <w:trHeight w:val="219"/>
        </w:trPr>
        <w:tc>
          <w:tcPr>
            <w:tcW w:w="540" w:type="dxa"/>
            <w:vAlign w:val="bottom"/>
          </w:tcPr>
          <w:p>
            <w:pPr>
              <w:spacing w:after="0"/>
              <w:rPr>
                <w:sz w:val="20"/>
                <w:szCs w:val="20"/>
                <w:color w:val="auto"/>
              </w:rPr>
            </w:pPr>
            <w:r>
              <w:rPr>
                <w:rFonts w:ascii="Arial" w:cs="Arial" w:eastAsia="Arial" w:hAnsi="Arial"/>
                <w:sz w:val="17"/>
                <w:szCs w:val="17"/>
                <w:color w:val="auto"/>
              </w:rPr>
              <w:t>By:</w:t>
            </w:r>
          </w:p>
        </w:tc>
        <w:tc>
          <w:tcPr>
            <w:tcW w:w="36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Brian McMahon</w:t>
            </w:r>
          </w:p>
        </w:tc>
      </w:tr>
      <w:tr>
        <w:trPr>
          <w:trHeight w:val="200"/>
        </w:trPr>
        <w:tc>
          <w:tcPr>
            <w:tcW w:w="540" w:type="dxa"/>
            <w:vAlign w:val="bottom"/>
          </w:tcPr>
          <w:p>
            <w:pPr>
              <w:spacing w:after="0"/>
              <w:rPr>
                <w:sz w:val="20"/>
                <w:szCs w:val="20"/>
                <w:color w:val="auto"/>
              </w:rPr>
            </w:pPr>
            <w:r>
              <w:rPr>
                <w:rFonts w:ascii="Arial" w:cs="Arial" w:eastAsia="Arial" w:hAnsi="Arial"/>
                <w:sz w:val="17"/>
                <w:szCs w:val="17"/>
                <w:color w:val="auto"/>
              </w:rPr>
              <w:t>Name:</w:t>
            </w:r>
          </w:p>
        </w:tc>
        <w:tc>
          <w:tcPr>
            <w:tcW w:w="3660" w:type="dxa"/>
            <w:vAlign w:val="bottom"/>
          </w:tcPr>
          <w:p>
            <w:pPr>
              <w:spacing w:after="0"/>
              <w:rPr>
                <w:sz w:val="20"/>
                <w:szCs w:val="20"/>
                <w:color w:val="auto"/>
              </w:rPr>
            </w:pPr>
            <w:r>
              <w:rPr>
                <w:rFonts w:ascii="Arial" w:cs="Arial" w:eastAsia="Arial" w:hAnsi="Arial"/>
                <w:sz w:val="17"/>
                <w:szCs w:val="17"/>
                <w:color w:val="auto"/>
              </w:rPr>
              <w:t>Brian McMahon</w:t>
            </w:r>
          </w:p>
        </w:tc>
      </w:tr>
      <w:tr>
        <w:trPr>
          <w:trHeight w:val="217"/>
        </w:trPr>
        <w:tc>
          <w:tcPr>
            <w:tcW w:w="540" w:type="dxa"/>
            <w:vAlign w:val="bottom"/>
          </w:tcPr>
          <w:p>
            <w:pPr>
              <w:spacing w:after="0"/>
              <w:rPr>
                <w:sz w:val="20"/>
                <w:szCs w:val="20"/>
                <w:color w:val="auto"/>
              </w:rPr>
            </w:pPr>
            <w:r>
              <w:rPr>
                <w:rFonts w:ascii="Arial" w:cs="Arial" w:eastAsia="Arial" w:hAnsi="Arial"/>
                <w:sz w:val="17"/>
                <w:szCs w:val="17"/>
                <w:color w:val="auto"/>
              </w:rPr>
              <w:t>Title:</w:t>
            </w:r>
          </w:p>
        </w:tc>
        <w:tc>
          <w:tcPr>
            <w:tcW w:w="3660" w:type="dxa"/>
            <w:vAlign w:val="bottom"/>
          </w:tcPr>
          <w:p>
            <w:pPr>
              <w:spacing w:after="0"/>
              <w:rPr>
                <w:sz w:val="20"/>
                <w:szCs w:val="20"/>
                <w:color w:val="auto"/>
              </w:rPr>
            </w:pPr>
            <w:r>
              <w:rPr>
                <w:rFonts w:ascii="Arial" w:cs="Arial" w:eastAsia="Arial" w:hAnsi="Arial"/>
                <w:sz w:val="17"/>
                <w:szCs w:val="17"/>
                <w:color w:val="auto"/>
              </w:rPr>
              <w:t>Senior Vice President</w:t>
            </w:r>
          </w:p>
        </w:tc>
      </w:tr>
    </w:tbl>
    <w:p>
      <w:pPr>
        <w:spacing w:after="0" w:line="195"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Pfizer Manufacturing LLC</w:t>
      </w:r>
    </w:p>
    <w:p>
      <w:pPr>
        <w:spacing w:after="0" w:line="22"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As general partner for and on behalf of</w:t>
      </w:r>
    </w:p>
    <w:p>
      <w:pPr>
        <w:spacing w:after="0" w:line="11"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C. P. Pharmaceuticals International C.V.</w:t>
      </w:r>
    </w:p>
    <w:p>
      <w:pPr>
        <w:spacing w:after="0" w:line="206" w:lineRule="exact"/>
        <w:rPr>
          <w:sz w:val="20"/>
          <w:szCs w:val="20"/>
          <w:color w:val="auto"/>
        </w:rPr>
      </w:pPr>
    </w:p>
    <w:tbl>
      <w:tblPr>
        <w:tblLayout w:type="fixed"/>
        <w:tblInd w:w="5900" w:type="dxa"/>
        <w:tblCellMar>
          <w:top w:w="0" w:type="dxa"/>
          <w:left w:w="0" w:type="dxa"/>
          <w:bottom w:w="0" w:type="dxa"/>
          <w:right w:w="0" w:type="dxa"/>
        </w:tblCellMar>
      </w:tblPr>
      <w:tr>
        <w:trPr>
          <w:trHeight w:val="219"/>
        </w:trPr>
        <w:tc>
          <w:tcPr>
            <w:tcW w:w="540" w:type="dxa"/>
            <w:vAlign w:val="bottom"/>
          </w:tcPr>
          <w:p>
            <w:pPr>
              <w:spacing w:after="0"/>
              <w:rPr>
                <w:sz w:val="20"/>
                <w:szCs w:val="20"/>
                <w:color w:val="auto"/>
              </w:rPr>
            </w:pPr>
            <w:r>
              <w:rPr>
                <w:rFonts w:ascii="Arial" w:cs="Arial" w:eastAsia="Arial" w:hAnsi="Arial"/>
                <w:sz w:val="17"/>
                <w:szCs w:val="17"/>
                <w:color w:val="auto"/>
              </w:rPr>
              <w:t>By:</w:t>
            </w:r>
          </w:p>
        </w:tc>
        <w:tc>
          <w:tcPr>
            <w:tcW w:w="36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Brian Byala</w:t>
            </w:r>
          </w:p>
        </w:tc>
      </w:tr>
      <w:tr>
        <w:trPr>
          <w:trHeight w:val="200"/>
        </w:trPr>
        <w:tc>
          <w:tcPr>
            <w:tcW w:w="540" w:type="dxa"/>
            <w:vAlign w:val="bottom"/>
          </w:tcPr>
          <w:p>
            <w:pPr>
              <w:spacing w:after="0"/>
              <w:rPr>
                <w:sz w:val="20"/>
                <w:szCs w:val="20"/>
                <w:color w:val="auto"/>
              </w:rPr>
            </w:pPr>
            <w:r>
              <w:rPr>
                <w:rFonts w:ascii="Arial" w:cs="Arial" w:eastAsia="Arial" w:hAnsi="Arial"/>
                <w:sz w:val="17"/>
                <w:szCs w:val="17"/>
                <w:color w:val="auto"/>
              </w:rPr>
              <w:t>Name:</w:t>
            </w:r>
          </w:p>
        </w:tc>
        <w:tc>
          <w:tcPr>
            <w:tcW w:w="3660" w:type="dxa"/>
            <w:vAlign w:val="bottom"/>
          </w:tcPr>
          <w:p>
            <w:pPr>
              <w:spacing w:after="0"/>
              <w:rPr>
                <w:sz w:val="20"/>
                <w:szCs w:val="20"/>
                <w:color w:val="auto"/>
              </w:rPr>
            </w:pPr>
            <w:r>
              <w:rPr>
                <w:rFonts w:ascii="Arial" w:cs="Arial" w:eastAsia="Arial" w:hAnsi="Arial"/>
                <w:sz w:val="17"/>
                <w:szCs w:val="17"/>
                <w:color w:val="auto"/>
              </w:rPr>
              <w:t>Brian Byala</w:t>
            </w:r>
          </w:p>
        </w:tc>
      </w:tr>
      <w:tr>
        <w:trPr>
          <w:trHeight w:val="217"/>
        </w:trPr>
        <w:tc>
          <w:tcPr>
            <w:tcW w:w="540" w:type="dxa"/>
            <w:vAlign w:val="bottom"/>
          </w:tcPr>
          <w:p>
            <w:pPr>
              <w:spacing w:after="0"/>
              <w:rPr>
                <w:sz w:val="20"/>
                <w:szCs w:val="20"/>
                <w:color w:val="auto"/>
              </w:rPr>
            </w:pPr>
            <w:r>
              <w:rPr>
                <w:rFonts w:ascii="Arial" w:cs="Arial" w:eastAsia="Arial" w:hAnsi="Arial"/>
                <w:sz w:val="17"/>
                <w:szCs w:val="17"/>
                <w:color w:val="auto"/>
              </w:rPr>
              <w:t>Title:</w:t>
            </w:r>
          </w:p>
        </w:tc>
        <w:tc>
          <w:tcPr>
            <w:tcW w:w="3660" w:type="dxa"/>
            <w:vAlign w:val="bottom"/>
          </w:tcPr>
          <w:p>
            <w:pPr>
              <w:spacing w:after="0"/>
              <w:rPr>
                <w:sz w:val="20"/>
                <w:szCs w:val="20"/>
                <w:color w:val="auto"/>
              </w:rPr>
            </w:pPr>
            <w:r>
              <w:rPr>
                <w:rFonts w:ascii="Arial" w:cs="Arial" w:eastAsia="Arial" w:hAnsi="Arial"/>
                <w:sz w:val="17"/>
                <w:szCs w:val="17"/>
                <w:color w:val="auto"/>
              </w:rPr>
              <w:t>Senior Vice President</w:t>
            </w:r>
          </w:p>
        </w:tc>
      </w:tr>
    </w:tbl>
    <w:p>
      <w:pPr>
        <w:sectPr>
          <w:pgSz w:w="11900" w:h="16838" w:orient="portrait"/>
          <w:cols w:equalWidth="0" w:num="1">
            <w:col w:w="10100"/>
          </w:cols>
          <w:pgMar w:left="1120" w:top="269" w:right="679" w:bottom="1440" w:gutter="0" w:footer="0" w:header="0"/>
        </w:sectPr>
      </w:pPr>
    </w:p>
    <w:bookmarkStart w:id="39" w:name="page40"/>
    <w:bookmarkEnd w:id="39"/>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294880" cy="37465"/>
                    </a:xfrm>
                    <a:prstGeom prst="rect">
                      <a:avLst/>
                    </a:prstGeom>
                    <a:noFill/>
                  </pic:spPr>
                </pic:pic>
              </a:graphicData>
            </a:graphic>
          </wp:anchor>
        </w:drawing>
        <w:t>IN WITNESS WHEREOF, the parties to this Agreement have duly executed it as of the day and year first above written.</w:t>
      </w:r>
    </w:p>
    <w:p>
      <w:pPr>
        <w:spacing w:after="0" w:line="243" w:lineRule="exact"/>
        <w:rPr>
          <w:sz w:val="20"/>
          <w:szCs w:val="20"/>
          <w:color w:val="auto"/>
        </w:rPr>
      </w:pPr>
    </w:p>
    <w:p>
      <w:pPr>
        <w:ind w:left="4840"/>
        <w:spacing w:after="0"/>
        <w:rPr>
          <w:sz w:val="20"/>
          <w:szCs w:val="20"/>
          <w:color w:val="auto"/>
        </w:rPr>
      </w:pPr>
      <w:r>
        <w:rPr>
          <w:rFonts w:ascii="Arial" w:cs="Arial" w:eastAsia="Arial" w:hAnsi="Arial"/>
          <w:sz w:val="17"/>
          <w:szCs w:val="17"/>
          <w:color w:val="auto"/>
        </w:rPr>
        <w:t>BUYERS:</w:t>
      </w:r>
    </w:p>
    <w:p>
      <w:pPr>
        <w:spacing w:after="0" w:line="211" w:lineRule="exact"/>
        <w:rPr>
          <w:sz w:val="20"/>
          <w:szCs w:val="20"/>
          <w:color w:val="auto"/>
        </w:rPr>
      </w:pPr>
    </w:p>
    <w:p>
      <w:pPr>
        <w:ind w:left="4840"/>
        <w:spacing w:after="0"/>
        <w:rPr>
          <w:sz w:val="20"/>
          <w:szCs w:val="20"/>
          <w:color w:val="auto"/>
        </w:rPr>
      </w:pPr>
      <w:r>
        <w:rPr>
          <w:rFonts w:ascii="Arial" w:cs="Arial" w:eastAsia="Arial" w:hAnsi="Arial"/>
          <w:sz w:val="17"/>
          <w:szCs w:val="17"/>
          <w:b w:val="1"/>
          <w:bCs w:val="1"/>
          <w:color w:val="auto"/>
        </w:rPr>
        <w:t>T. ROWE PRICE HEALTH SCIENCES FUND, INC.</w:t>
      </w:r>
    </w:p>
    <w:p>
      <w:pPr>
        <w:spacing w:after="0" w:line="28" w:lineRule="exact"/>
        <w:rPr>
          <w:sz w:val="20"/>
          <w:szCs w:val="20"/>
          <w:color w:val="auto"/>
        </w:rPr>
      </w:pPr>
    </w:p>
    <w:p>
      <w:pPr>
        <w:ind w:left="4840"/>
        <w:spacing w:after="0"/>
        <w:rPr>
          <w:sz w:val="20"/>
          <w:szCs w:val="20"/>
          <w:color w:val="auto"/>
        </w:rPr>
      </w:pPr>
      <w:r>
        <w:rPr>
          <w:rFonts w:ascii="Arial" w:cs="Arial" w:eastAsia="Arial" w:hAnsi="Arial"/>
          <w:sz w:val="17"/>
          <w:szCs w:val="17"/>
          <w:b w:val="1"/>
          <w:bCs w:val="1"/>
          <w:color w:val="auto"/>
        </w:rPr>
        <w:t>TD MUTUAL FUNDS-TD HEALTH SCIENCES FUND VALIC</w:t>
      </w:r>
    </w:p>
    <w:p>
      <w:pPr>
        <w:spacing w:after="0" w:line="11" w:lineRule="exact"/>
        <w:rPr>
          <w:sz w:val="20"/>
          <w:szCs w:val="20"/>
          <w:color w:val="auto"/>
        </w:rPr>
      </w:pPr>
    </w:p>
    <w:p>
      <w:pPr>
        <w:ind w:left="4840"/>
        <w:spacing w:after="0"/>
        <w:rPr>
          <w:sz w:val="20"/>
          <w:szCs w:val="20"/>
          <w:color w:val="auto"/>
        </w:rPr>
      </w:pPr>
      <w:r>
        <w:rPr>
          <w:rFonts w:ascii="Arial" w:cs="Arial" w:eastAsia="Arial" w:hAnsi="Arial"/>
          <w:sz w:val="17"/>
          <w:szCs w:val="17"/>
          <w:b w:val="1"/>
          <w:bCs w:val="1"/>
          <w:color w:val="auto"/>
        </w:rPr>
        <w:t>COMPANY I-HEALTH SCIENCES FUND</w:t>
      </w:r>
    </w:p>
    <w:p>
      <w:pPr>
        <w:spacing w:after="0" w:line="11" w:lineRule="exact"/>
        <w:rPr>
          <w:sz w:val="20"/>
          <w:szCs w:val="20"/>
          <w:color w:val="auto"/>
        </w:rPr>
      </w:pPr>
    </w:p>
    <w:p>
      <w:pPr>
        <w:ind w:left="4840" w:right="140"/>
        <w:spacing w:after="0" w:line="266" w:lineRule="auto"/>
        <w:rPr>
          <w:sz w:val="20"/>
          <w:szCs w:val="20"/>
          <w:color w:val="auto"/>
        </w:rPr>
      </w:pPr>
      <w:r>
        <w:rPr>
          <w:rFonts w:ascii="Arial" w:cs="Arial" w:eastAsia="Arial" w:hAnsi="Arial"/>
          <w:sz w:val="17"/>
          <w:szCs w:val="17"/>
          <w:b w:val="1"/>
          <w:bCs w:val="1"/>
          <w:color w:val="auto"/>
        </w:rPr>
        <w:t xml:space="preserve">T. ROWE PRICE HEALTH SCIENCES PORTFOLIO Each account, severally </w:t>
      </w:r>
      <w:r>
        <w:rPr>
          <w:rFonts w:ascii="Arial" w:cs="Arial" w:eastAsia="Arial" w:hAnsi="Arial"/>
          <w:sz w:val="17"/>
          <w:szCs w:val="17"/>
          <w:color w:val="auto"/>
        </w:rPr>
        <w:t>not jointly</w:t>
      </w:r>
    </w:p>
    <w:p>
      <w:pPr>
        <w:spacing w:after="0" w:line="175" w:lineRule="exact"/>
        <w:rPr>
          <w:sz w:val="20"/>
          <w:szCs w:val="20"/>
          <w:color w:val="auto"/>
        </w:rPr>
      </w:pPr>
    </w:p>
    <w:p>
      <w:pPr>
        <w:ind w:left="4840"/>
        <w:spacing w:after="0"/>
        <w:rPr>
          <w:sz w:val="20"/>
          <w:szCs w:val="20"/>
          <w:color w:val="auto"/>
        </w:rPr>
      </w:pPr>
      <w:r>
        <w:rPr>
          <w:rFonts w:ascii="Arial" w:cs="Arial" w:eastAsia="Arial" w:hAnsi="Arial"/>
          <w:sz w:val="17"/>
          <w:szCs w:val="17"/>
          <w:color w:val="auto"/>
        </w:rPr>
        <w:t>By: T. Rowe Price Associates, Inc.,</w:t>
      </w:r>
    </w:p>
    <w:p>
      <w:pPr>
        <w:spacing w:after="0" w:line="22" w:lineRule="exact"/>
        <w:rPr>
          <w:sz w:val="20"/>
          <w:szCs w:val="20"/>
          <w:color w:val="auto"/>
        </w:rPr>
      </w:pPr>
    </w:p>
    <w:p>
      <w:pPr>
        <w:ind w:left="4840"/>
        <w:spacing w:after="0"/>
        <w:rPr>
          <w:sz w:val="20"/>
          <w:szCs w:val="20"/>
          <w:color w:val="auto"/>
        </w:rPr>
      </w:pPr>
      <w:r>
        <w:rPr>
          <w:rFonts w:ascii="Arial" w:cs="Arial" w:eastAsia="Arial" w:hAnsi="Arial"/>
          <w:sz w:val="17"/>
          <w:szCs w:val="17"/>
          <w:color w:val="auto"/>
        </w:rPr>
        <w:t>Investment Adviser or Subadviser, as applicable</w:t>
      </w:r>
    </w:p>
    <w:p>
      <w:pPr>
        <w:spacing w:after="0" w:line="219" w:lineRule="exact"/>
        <w:rPr>
          <w:sz w:val="20"/>
          <w:szCs w:val="20"/>
          <w:color w:val="auto"/>
        </w:rPr>
      </w:pPr>
    </w:p>
    <w:tbl>
      <w:tblPr>
        <w:tblLayout w:type="fixed"/>
        <w:tblInd w:w="4840" w:type="dxa"/>
        <w:tblCellMar>
          <w:top w:w="0" w:type="dxa"/>
          <w:left w:w="0" w:type="dxa"/>
          <w:bottom w:w="0" w:type="dxa"/>
          <w:right w:w="0" w:type="dxa"/>
        </w:tblCellMar>
      </w:tblPr>
      <w:tr>
        <w:trPr>
          <w:trHeight w:val="219"/>
        </w:trPr>
        <w:tc>
          <w:tcPr>
            <w:tcW w:w="700" w:type="dxa"/>
            <w:vAlign w:val="bottom"/>
          </w:tcPr>
          <w:p>
            <w:pPr>
              <w:spacing w:after="0"/>
              <w:rPr>
                <w:sz w:val="20"/>
                <w:szCs w:val="20"/>
                <w:color w:val="auto"/>
              </w:rPr>
            </w:pPr>
            <w:r>
              <w:rPr>
                <w:rFonts w:ascii="Arial" w:cs="Arial" w:eastAsia="Arial" w:hAnsi="Arial"/>
                <w:sz w:val="17"/>
                <w:szCs w:val="17"/>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Jon Wood</w:t>
            </w:r>
          </w:p>
        </w:tc>
      </w:tr>
      <w:tr>
        <w:trPr>
          <w:trHeight w:val="212"/>
        </w:trPr>
        <w:tc>
          <w:tcPr>
            <w:tcW w:w="700" w:type="dxa"/>
            <w:vAlign w:val="bottom"/>
          </w:tcPr>
          <w:p>
            <w:pPr>
              <w:spacing w:after="0"/>
              <w:rPr>
                <w:sz w:val="20"/>
                <w:szCs w:val="20"/>
                <w:color w:val="auto"/>
              </w:rPr>
            </w:pPr>
            <w:r>
              <w:rPr>
                <w:rFonts w:ascii="Arial" w:cs="Arial" w:eastAsia="Arial" w:hAnsi="Arial"/>
                <w:sz w:val="17"/>
                <w:szCs w:val="17"/>
                <w:color w:val="auto"/>
              </w:rPr>
              <w:t>Name:</w:t>
            </w:r>
          </w:p>
        </w:tc>
        <w:tc>
          <w:tcPr>
            <w:tcW w:w="45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Jon Wood</w:t>
            </w:r>
          </w:p>
        </w:tc>
      </w:tr>
      <w:tr>
        <w:trPr>
          <w:trHeight w:val="210"/>
        </w:trPr>
        <w:tc>
          <w:tcPr>
            <w:tcW w:w="700" w:type="dxa"/>
            <w:vAlign w:val="bottom"/>
          </w:tcPr>
          <w:p>
            <w:pPr>
              <w:spacing w:after="0"/>
              <w:rPr>
                <w:sz w:val="20"/>
                <w:szCs w:val="20"/>
                <w:color w:val="auto"/>
              </w:rPr>
            </w:pPr>
            <w:r>
              <w:rPr>
                <w:rFonts w:ascii="Arial" w:cs="Arial" w:eastAsia="Arial" w:hAnsi="Arial"/>
                <w:sz w:val="17"/>
                <w:szCs w:val="17"/>
                <w:color w:val="auto"/>
              </w:rPr>
              <w:t>Title:</w:t>
            </w:r>
          </w:p>
        </w:tc>
        <w:tc>
          <w:tcPr>
            <w:tcW w:w="4560" w:type="dxa"/>
            <w:vAlign w:val="bottom"/>
          </w:tcPr>
          <w:p>
            <w:pPr>
              <w:spacing w:after="0"/>
              <w:rPr>
                <w:sz w:val="20"/>
                <w:szCs w:val="20"/>
                <w:color w:val="auto"/>
              </w:rPr>
            </w:pPr>
            <w:r>
              <w:rPr>
                <w:rFonts w:ascii="Arial" w:cs="Arial" w:eastAsia="Arial" w:hAnsi="Arial"/>
                <w:sz w:val="17"/>
                <w:szCs w:val="17"/>
                <w:color w:val="auto"/>
              </w:rPr>
              <w:t>Vice President</w:t>
            </w:r>
          </w:p>
        </w:tc>
      </w:tr>
    </w:tbl>
    <w:p>
      <w:pPr>
        <w:spacing w:after="0" w:line="195" w:lineRule="exact"/>
        <w:rPr>
          <w:sz w:val="20"/>
          <w:szCs w:val="20"/>
          <w:color w:val="auto"/>
        </w:rPr>
      </w:pPr>
    </w:p>
    <w:p>
      <w:pPr>
        <w:ind w:left="4840"/>
        <w:spacing w:after="0"/>
        <w:rPr>
          <w:sz w:val="20"/>
          <w:szCs w:val="20"/>
          <w:color w:val="auto"/>
        </w:rPr>
      </w:pPr>
      <w:r>
        <w:rPr>
          <w:rFonts w:ascii="Arial" w:cs="Arial" w:eastAsia="Arial" w:hAnsi="Arial"/>
          <w:sz w:val="17"/>
          <w:szCs w:val="17"/>
          <w:color w:val="auto"/>
        </w:rPr>
        <w:t>Address:</w:t>
      </w:r>
    </w:p>
    <w:p>
      <w:pPr>
        <w:spacing w:after="0" w:line="217" w:lineRule="exact"/>
        <w:rPr>
          <w:sz w:val="20"/>
          <w:szCs w:val="20"/>
          <w:color w:val="auto"/>
        </w:rPr>
      </w:pPr>
    </w:p>
    <w:p>
      <w:pPr>
        <w:ind w:left="4840"/>
        <w:spacing w:after="0"/>
        <w:rPr>
          <w:sz w:val="20"/>
          <w:szCs w:val="20"/>
          <w:color w:val="auto"/>
        </w:rPr>
      </w:pPr>
      <w:r>
        <w:rPr>
          <w:rFonts w:ascii="Arial" w:cs="Arial" w:eastAsia="Arial" w:hAnsi="Arial"/>
          <w:sz w:val="17"/>
          <w:szCs w:val="17"/>
          <w:color w:val="auto"/>
        </w:rPr>
        <w:t>T. Rowe Price Associates, Inc.</w:t>
      </w:r>
    </w:p>
    <w:p>
      <w:pPr>
        <w:spacing w:after="0" w:line="22" w:lineRule="exact"/>
        <w:rPr>
          <w:sz w:val="20"/>
          <w:szCs w:val="20"/>
          <w:color w:val="auto"/>
        </w:rPr>
      </w:pPr>
    </w:p>
    <w:p>
      <w:pPr>
        <w:ind w:left="4840"/>
        <w:spacing w:after="0"/>
        <w:rPr>
          <w:sz w:val="20"/>
          <w:szCs w:val="20"/>
          <w:color w:val="auto"/>
        </w:rPr>
      </w:pPr>
      <w:r>
        <w:rPr>
          <w:rFonts w:ascii="Arial" w:cs="Arial" w:eastAsia="Arial" w:hAnsi="Arial"/>
          <w:sz w:val="17"/>
          <w:szCs w:val="17"/>
          <w:color w:val="auto"/>
        </w:rPr>
        <w:t>100 East Pratt Street Baltimore, MD 21202</w:t>
      </w:r>
    </w:p>
    <w:p>
      <w:pPr>
        <w:spacing w:after="0" w:line="13" w:lineRule="exact"/>
        <w:rPr>
          <w:sz w:val="20"/>
          <w:szCs w:val="20"/>
          <w:color w:val="auto"/>
        </w:rPr>
      </w:pPr>
    </w:p>
    <w:p>
      <w:pPr>
        <w:ind w:left="4840"/>
        <w:spacing w:after="0"/>
        <w:rPr>
          <w:sz w:val="20"/>
          <w:szCs w:val="20"/>
          <w:color w:val="auto"/>
        </w:rPr>
      </w:pPr>
      <w:r>
        <w:rPr>
          <w:rFonts w:ascii="Arial" w:cs="Arial" w:eastAsia="Arial" w:hAnsi="Arial"/>
          <w:sz w:val="17"/>
          <w:szCs w:val="17"/>
          <w:color w:val="auto"/>
        </w:rPr>
        <w:t>Attn.: Andrew Baek, Vice President and Senior Legal Counsel</w:t>
      </w:r>
    </w:p>
    <w:p>
      <w:pPr>
        <w:spacing w:after="0" w:line="22" w:lineRule="exact"/>
        <w:rPr>
          <w:sz w:val="20"/>
          <w:szCs w:val="20"/>
          <w:color w:val="auto"/>
        </w:rPr>
      </w:pPr>
    </w:p>
    <w:p>
      <w:pPr>
        <w:ind w:left="4840"/>
        <w:spacing w:after="0"/>
        <w:rPr>
          <w:sz w:val="20"/>
          <w:szCs w:val="20"/>
          <w:color w:val="auto"/>
        </w:rPr>
      </w:pPr>
      <w:r>
        <w:rPr>
          <w:rFonts w:ascii="Arial" w:cs="Arial" w:eastAsia="Arial" w:hAnsi="Arial"/>
          <w:sz w:val="17"/>
          <w:szCs w:val="17"/>
          <w:color w:val="auto"/>
        </w:rPr>
        <w:t>Phone: 410-345 -2090</w:t>
      </w:r>
    </w:p>
    <w:p>
      <w:pPr>
        <w:spacing w:after="0" w:line="13" w:lineRule="exact"/>
        <w:rPr>
          <w:sz w:val="20"/>
          <w:szCs w:val="20"/>
          <w:color w:val="auto"/>
        </w:rPr>
      </w:pPr>
    </w:p>
    <w:p>
      <w:pPr>
        <w:ind w:left="4840"/>
        <w:spacing w:after="0"/>
        <w:rPr>
          <w:sz w:val="20"/>
          <w:szCs w:val="20"/>
          <w:color w:val="auto"/>
        </w:rPr>
      </w:pPr>
      <w:r>
        <w:rPr>
          <w:rFonts w:ascii="Arial" w:cs="Arial" w:eastAsia="Arial" w:hAnsi="Arial"/>
          <w:sz w:val="17"/>
          <w:szCs w:val="17"/>
          <w:color w:val="auto"/>
        </w:rPr>
        <w:t>Email: andrew_baek@troweprice.com</w:t>
      </w:r>
    </w:p>
    <w:p>
      <w:pPr>
        <w:sectPr>
          <w:pgSz w:w="11900" w:h="16838" w:orient="portrait"/>
          <w:cols w:equalWidth="0" w:num="1">
            <w:col w:w="10100"/>
          </w:cols>
          <w:pgMar w:left="1120" w:top="269" w:right="679" w:bottom="1440" w:gutter="0" w:footer="0" w:header="0"/>
        </w:sectPr>
      </w:pPr>
    </w:p>
    <w:bookmarkStart w:id="40" w:name="page41"/>
    <w:bookmarkEnd w:id="40"/>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7294880" cy="37465"/>
                    </a:xfrm>
                    <a:prstGeom prst="rect">
                      <a:avLst/>
                    </a:prstGeom>
                    <a:noFill/>
                  </pic:spPr>
                </pic:pic>
              </a:graphicData>
            </a:graphic>
          </wp:anchor>
        </w:drawing>
        <w:t>IN WITNESS WHEREOF, the parties to this Agreement have duly executed it as of the day and year first above written.</w:t>
      </w:r>
    </w:p>
    <w:p>
      <w:pPr>
        <w:spacing w:after="0" w:line="243" w:lineRule="exact"/>
        <w:rPr>
          <w:sz w:val="20"/>
          <w:szCs w:val="20"/>
          <w:color w:val="auto"/>
        </w:rPr>
      </w:pPr>
    </w:p>
    <w:p>
      <w:pPr>
        <w:ind w:left="4840"/>
        <w:spacing w:after="0"/>
        <w:rPr>
          <w:sz w:val="20"/>
          <w:szCs w:val="20"/>
          <w:color w:val="auto"/>
        </w:rPr>
      </w:pPr>
      <w:r>
        <w:rPr>
          <w:rFonts w:ascii="Arial" w:cs="Arial" w:eastAsia="Arial" w:hAnsi="Arial"/>
          <w:sz w:val="17"/>
          <w:szCs w:val="17"/>
          <w:color w:val="auto"/>
        </w:rPr>
        <w:t>BUYERS:</w:t>
      </w:r>
    </w:p>
    <w:p>
      <w:pPr>
        <w:spacing w:after="0" w:line="211" w:lineRule="exact"/>
        <w:rPr>
          <w:sz w:val="20"/>
          <w:szCs w:val="20"/>
          <w:color w:val="auto"/>
        </w:rPr>
      </w:pPr>
    </w:p>
    <w:p>
      <w:pPr>
        <w:ind w:left="4840"/>
        <w:spacing w:after="0"/>
        <w:rPr>
          <w:sz w:val="20"/>
          <w:szCs w:val="20"/>
          <w:color w:val="auto"/>
        </w:rPr>
      </w:pPr>
      <w:r>
        <w:rPr>
          <w:rFonts w:ascii="Arial" w:cs="Arial" w:eastAsia="Arial" w:hAnsi="Arial"/>
          <w:sz w:val="17"/>
          <w:szCs w:val="17"/>
          <w:b w:val="1"/>
          <w:bCs w:val="1"/>
          <w:color w:val="auto"/>
        </w:rPr>
        <w:t>T. ROWE PRICE NEW HORIZONS FUND, INC.</w:t>
      </w:r>
    </w:p>
    <w:p>
      <w:pPr>
        <w:spacing w:after="0" w:line="28" w:lineRule="exact"/>
        <w:rPr>
          <w:sz w:val="20"/>
          <w:szCs w:val="20"/>
          <w:color w:val="auto"/>
        </w:rPr>
      </w:pPr>
    </w:p>
    <w:p>
      <w:pPr>
        <w:ind w:left="4840"/>
        <w:spacing w:after="0"/>
        <w:rPr>
          <w:sz w:val="20"/>
          <w:szCs w:val="20"/>
          <w:color w:val="auto"/>
        </w:rPr>
      </w:pPr>
      <w:r>
        <w:rPr>
          <w:rFonts w:ascii="Arial" w:cs="Arial" w:eastAsia="Arial" w:hAnsi="Arial"/>
          <w:sz w:val="17"/>
          <w:szCs w:val="17"/>
          <w:b w:val="1"/>
          <w:bCs w:val="1"/>
          <w:color w:val="auto"/>
        </w:rPr>
        <w:t>T. ROWE PRICE NEW HORIZONS TRUST</w:t>
      </w:r>
    </w:p>
    <w:p>
      <w:pPr>
        <w:spacing w:after="0" w:line="11" w:lineRule="exact"/>
        <w:rPr>
          <w:sz w:val="20"/>
          <w:szCs w:val="20"/>
          <w:color w:val="auto"/>
        </w:rPr>
      </w:pPr>
    </w:p>
    <w:p>
      <w:pPr>
        <w:ind w:left="4840"/>
        <w:spacing w:after="0"/>
        <w:rPr>
          <w:sz w:val="20"/>
          <w:szCs w:val="20"/>
          <w:color w:val="auto"/>
        </w:rPr>
      </w:pPr>
      <w:r>
        <w:rPr>
          <w:rFonts w:ascii="Arial" w:cs="Arial" w:eastAsia="Arial" w:hAnsi="Arial"/>
          <w:sz w:val="17"/>
          <w:szCs w:val="17"/>
          <w:b w:val="1"/>
          <w:bCs w:val="1"/>
          <w:color w:val="auto"/>
        </w:rPr>
        <w:t>T. ROWE PRICE U.S. EQUITIES TRUST</w:t>
      </w:r>
    </w:p>
    <w:p>
      <w:pPr>
        <w:spacing w:after="0" w:line="11" w:lineRule="exact"/>
        <w:rPr>
          <w:sz w:val="20"/>
          <w:szCs w:val="20"/>
          <w:color w:val="auto"/>
        </w:rPr>
      </w:pPr>
    </w:p>
    <w:p>
      <w:pPr>
        <w:jc w:val="right"/>
        <w:ind w:right="580"/>
        <w:spacing w:after="0"/>
        <w:rPr>
          <w:sz w:val="20"/>
          <w:szCs w:val="20"/>
          <w:color w:val="auto"/>
        </w:rPr>
      </w:pPr>
      <w:r>
        <w:rPr>
          <w:rFonts w:ascii="Arial" w:cs="Arial" w:eastAsia="Arial" w:hAnsi="Arial"/>
          <w:sz w:val="17"/>
          <w:szCs w:val="17"/>
          <w:b w:val="1"/>
          <w:bCs w:val="1"/>
          <w:color w:val="auto"/>
        </w:rPr>
        <w:t>MASSMUTUAL SELECT FUNDS - MASSMUTUAL SELECT</w:t>
      </w:r>
    </w:p>
    <w:p>
      <w:pPr>
        <w:spacing w:after="0" w:line="11" w:lineRule="exact"/>
        <w:rPr>
          <w:sz w:val="20"/>
          <w:szCs w:val="20"/>
          <w:color w:val="auto"/>
        </w:rPr>
      </w:pPr>
    </w:p>
    <w:p>
      <w:pPr>
        <w:ind w:left="5000"/>
        <w:spacing w:after="0"/>
        <w:rPr>
          <w:sz w:val="20"/>
          <w:szCs w:val="20"/>
          <w:color w:val="auto"/>
        </w:rPr>
      </w:pPr>
      <w:r>
        <w:rPr>
          <w:rFonts w:ascii="Arial" w:cs="Arial" w:eastAsia="Arial" w:hAnsi="Arial"/>
          <w:sz w:val="17"/>
          <w:szCs w:val="17"/>
          <w:b w:val="1"/>
          <w:bCs w:val="1"/>
          <w:color w:val="auto"/>
        </w:rPr>
        <w:t>T. ROWE PRICE SMALL AND MID CAP BLEND FUND</w:t>
      </w:r>
    </w:p>
    <w:p>
      <w:pPr>
        <w:spacing w:after="0" w:line="11" w:lineRule="exact"/>
        <w:rPr>
          <w:sz w:val="20"/>
          <w:szCs w:val="20"/>
          <w:color w:val="auto"/>
        </w:rPr>
      </w:pPr>
    </w:p>
    <w:p>
      <w:pPr>
        <w:ind w:left="4840"/>
        <w:spacing w:after="0"/>
        <w:rPr>
          <w:sz w:val="20"/>
          <w:szCs w:val="20"/>
          <w:color w:val="auto"/>
        </w:rPr>
      </w:pPr>
      <w:r>
        <w:rPr>
          <w:rFonts w:ascii="Arial" w:cs="Arial" w:eastAsia="Arial" w:hAnsi="Arial"/>
          <w:sz w:val="17"/>
          <w:szCs w:val="17"/>
          <w:b w:val="1"/>
          <w:bCs w:val="1"/>
          <w:color w:val="auto"/>
        </w:rPr>
        <w:t>NEW YORK CITY DEFERRED COMPENSATION PLAN</w:t>
      </w:r>
    </w:p>
    <w:p>
      <w:pPr>
        <w:spacing w:after="0" w:line="11" w:lineRule="exact"/>
        <w:rPr>
          <w:sz w:val="20"/>
          <w:szCs w:val="20"/>
          <w:color w:val="auto"/>
        </w:rPr>
      </w:pPr>
    </w:p>
    <w:p>
      <w:pPr>
        <w:ind w:left="4840"/>
        <w:spacing w:after="0"/>
        <w:rPr>
          <w:sz w:val="20"/>
          <w:szCs w:val="20"/>
          <w:color w:val="auto"/>
        </w:rPr>
      </w:pPr>
      <w:r>
        <w:rPr>
          <w:rFonts w:ascii="Arial" w:cs="Arial" w:eastAsia="Arial" w:hAnsi="Arial"/>
          <w:sz w:val="17"/>
          <w:szCs w:val="17"/>
          <w:b w:val="1"/>
          <w:bCs w:val="1"/>
          <w:color w:val="auto"/>
        </w:rPr>
        <w:t>SAINT-GOBAIN CORPORATION</w:t>
      </w:r>
    </w:p>
    <w:p>
      <w:pPr>
        <w:spacing w:after="0" w:line="11" w:lineRule="exact"/>
        <w:rPr>
          <w:sz w:val="20"/>
          <w:szCs w:val="20"/>
          <w:color w:val="auto"/>
        </w:rPr>
      </w:pPr>
    </w:p>
    <w:p>
      <w:pPr>
        <w:ind w:left="4840"/>
        <w:spacing w:after="0"/>
        <w:rPr>
          <w:sz w:val="20"/>
          <w:szCs w:val="20"/>
          <w:color w:val="auto"/>
        </w:rPr>
      </w:pPr>
      <w:r>
        <w:rPr>
          <w:rFonts w:ascii="Arial" w:cs="Arial" w:eastAsia="Arial" w:hAnsi="Arial"/>
          <w:sz w:val="17"/>
          <w:szCs w:val="17"/>
          <w:b w:val="1"/>
          <w:bCs w:val="1"/>
          <w:color w:val="auto"/>
        </w:rPr>
        <w:t>DOW RETIREMENT GROUP TRUST</w:t>
      </w:r>
    </w:p>
    <w:p>
      <w:pPr>
        <w:spacing w:after="0" w:line="24" w:lineRule="exact"/>
        <w:rPr>
          <w:sz w:val="20"/>
          <w:szCs w:val="20"/>
          <w:color w:val="auto"/>
        </w:rPr>
      </w:pPr>
    </w:p>
    <w:p>
      <w:pPr>
        <w:ind w:left="4840"/>
        <w:spacing w:after="0"/>
        <w:rPr>
          <w:sz w:val="20"/>
          <w:szCs w:val="20"/>
          <w:color w:val="auto"/>
        </w:rPr>
      </w:pPr>
      <w:r>
        <w:rPr>
          <w:rFonts w:ascii="Arial" w:cs="Arial" w:eastAsia="Arial" w:hAnsi="Arial"/>
          <w:sz w:val="17"/>
          <w:szCs w:val="17"/>
          <w:b w:val="1"/>
          <w:bCs w:val="1"/>
          <w:color w:val="auto"/>
        </w:rPr>
        <w:t>JOHNSON &amp; JOHNSON PENSION AND SAVINGS PLANS</w:t>
      </w:r>
    </w:p>
    <w:p>
      <w:pPr>
        <w:spacing w:after="0" w:line="11" w:lineRule="exact"/>
        <w:rPr>
          <w:sz w:val="20"/>
          <w:szCs w:val="20"/>
          <w:color w:val="auto"/>
        </w:rPr>
      </w:pPr>
    </w:p>
    <w:p>
      <w:pPr>
        <w:ind w:left="4840"/>
        <w:spacing w:after="0"/>
        <w:rPr>
          <w:sz w:val="20"/>
          <w:szCs w:val="20"/>
          <w:color w:val="auto"/>
        </w:rPr>
      </w:pPr>
      <w:r>
        <w:rPr>
          <w:rFonts w:ascii="Arial" w:cs="Arial" w:eastAsia="Arial" w:hAnsi="Arial"/>
          <w:sz w:val="17"/>
          <w:szCs w:val="17"/>
          <w:b w:val="1"/>
          <w:bCs w:val="1"/>
          <w:color w:val="auto"/>
        </w:rPr>
        <w:t>MASTER TRUST</w:t>
      </w:r>
    </w:p>
    <w:p>
      <w:pPr>
        <w:spacing w:after="0" w:line="11" w:lineRule="exact"/>
        <w:rPr>
          <w:sz w:val="20"/>
          <w:szCs w:val="20"/>
          <w:color w:val="auto"/>
        </w:rPr>
      </w:pPr>
    </w:p>
    <w:p>
      <w:pPr>
        <w:ind w:left="4840"/>
        <w:spacing w:after="0"/>
        <w:rPr>
          <w:sz w:val="20"/>
          <w:szCs w:val="20"/>
          <w:color w:val="auto"/>
        </w:rPr>
      </w:pPr>
      <w:r>
        <w:rPr>
          <w:rFonts w:ascii="Arial" w:cs="Arial" w:eastAsia="Arial" w:hAnsi="Arial"/>
          <w:sz w:val="17"/>
          <w:szCs w:val="17"/>
          <w:b w:val="1"/>
          <w:bCs w:val="1"/>
          <w:color w:val="auto"/>
        </w:rPr>
        <w:t>BANK OF AMERICA PENSION PLAN</w:t>
      </w:r>
    </w:p>
    <w:p>
      <w:pPr>
        <w:spacing w:after="0" w:line="11" w:lineRule="exact"/>
        <w:rPr>
          <w:sz w:val="20"/>
          <w:szCs w:val="20"/>
          <w:color w:val="auto"/>
        </w:rPr>
      </w:pPr>
    </w:p>
    <w:p>
      <w:pPr>
        <w:ind w:left="4840"/>
        <w:spacing w:after="0"/>
        <w:rPr>
          <w:sz w:val="20"/>
          <w:szCs w:val="20"/>
          <w:color w:val="auto"/>
        </w:rPr>
      </w:pPr>
      <w:r>
        <w:rPr>
          <w:rFonts w:ascii="Arial" w:cs="Arial" w:eastAsia="Arial" w:hAnsi="Arial"/>
          <w:sz w:val="17"/>
          <w:szCs w:val="17"/>
          <w:color w:val="auto"/>
        </w:rPr>
        <w:t>Eac h account, severally not jointly</w:t>
      </w:r>
    </w:p>
    <w:p>
      <w:pPr>
        <w:spacing w:after="0" w:line="206" w:lineRule="exact"/>
        <w:rPr>
          <w:sz w:val="20"/>
          <w:szCs w:val="20"/>
          <w:color w:val="auto"/>
        </w:rPr>
      </w:pPr>
    </w:p>
    <w:p>
      <w:pPr>
        <w:ind w:left="4840"/>
        <w:spacing w:after="0"/>
        <w:rPr>
          <w:sz w:val="20"/>
          <w:szCs w:val="20"/>
          <w:color w:val="auto"/>
        </w:rPr>
      </w:pPr>
      <w:r>
        <w:rPr>
          <w:rFonts w:ascii="Arial" w:cs="Arial" w:eastAsia="Arial" w:hAnsi="Arial"/>
          <w:sz w:val="17"/>
          <w:szCs w:val="17"/>
          <w:color w:val="auto"/>
        </w:rPr>
        <w:t>By: T. Rowe Price Associates, Inc.,</w:t>
      </w:r>
    </w:p>
    <w:p>
      <w:pPr>
        <w:spacing w:after="0" w:line="22" w:lineRule="exact"/>
        <w:rPr>
          <w:sz w:val="20"/>
          <w:szCs w:val="20"/>
          <w:color w:val="auto"/>
        </w:rPr>
      </w:pPr>
    </w:p>
    <w:p>
      <w:pPr>
        <w:ind w:left="4840"/>
        <w:spacing w:after="0"/>
        <w:rPr>
          <w:sz w:val="20"/>
          <w:szCs w:val="20"/>
          <w:color w:val="auto"/>
        </w:rPr>
      </w:pPr>
      <w:r>
        <w:rPr>
          <w:rFonts w:ascii="Arial" w:cs="Arial" w:eastAsia="Arial" w:hAnsi="Arial"/>
          <w:sz w:val="17"/>
          <w:szCs w:val="17"/>
          <w:color w:val="auto"/>
        </w:rPr>
        <w:t>Investment Adviser or Subadviser, as applicable</w:t>
      </w:r>
    </w:p>
    <w:p>
      <w:pPr>
        <w:spacing w:after="0" w:line="219" w:lineRule="exact"/>
        <w:rPr>
          <w:sz w:val="20"/>
          <w:szCs w:val="20"/>
          <w:color w:val="auto"/>
        </w:rPr>
      </w:pPr>
    </w:p>
    <w:tbl>
      <w:tblPr>
        <w:tblLayout w:type="fixed"/>
        <w:tblInd w:w="4840" w:type="dxa"/>
        <w:tblCellMar>
          <w:top w:w="0" w:type="dxa"/>
          <w:left w:w="0" w:type="dxa"/>
          <w:bottom w:w="0" w:type="dxa"/>
          <w:right w:w="0" w:type="dxa"/>
        </w:tblCellMar>
      </w:tblPr>
      <w:tr>
        <w:trPr>
          <w:trHeight w:val="219"/>
        </w:trPr>
        <w:tc>
          <w:tcPr>
            <w:tcW w:w="700" w:type="dxa"/>
            <w:vAlign w:val="bottom"/>
          </w:tcPr>
          <w:p>
            <w:pPr>
              <w:spacing w:after="0"/>
              <w:rPr>
                <w:sz w:val="20"/>
                <w:szCs w:val="20"/>
                <w:color w:val="auto"/>
              </w:rPr>
            </w:pPr>
            <w:r>
              <w:rPr>
                <w:rFonts w:ascii="Arial" w:cs="Arial" w:eastAsia="Arial" w:hAnsi="Arial"/>
                <w:sz w:val="17"/>
                <w:szCs w:val="17"/>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Alex Roik</w:t>
            </w:r>
          </w:p>
        </w:tc>
      </w:tr>
      <w:tr>
        <w:trPr>
          <w:trHeight w:val="212"/>
        </w:trPr>
        <w:tc>
          <w:tcPr>
            <w:tcW w:w="700" w:type="dxa"/>
            <w:vAlign w:val="bottom"/>
          </w:tcPr>
          <w:p>
            <w:pPr>
              <w:spacing w:after="0"/>
              <w:rPr>
                <w:sz w:val="20"/>
                <w:szCs w:val="20"/>
                <w:color w:val="auto"/>
              </w:rPr>
            </w:pPr>
            <w:r>
              <w:rPr>
                <w:rFonts w:ascii="Arial" w:cs="Arial" w:eastAsia="Arial" w:hAnsi="Arial"/>
                <w:sz w:val="17"/>
                <w:szCs w:val="17"/>
                <w:color w:val="auto"/>
              </w:rPr>
              <w:t>Name:</w:t>
            </w:r>
          </w:p>
        </w:tc>
        <w:tc>
          <w:tcPr>
            <w:tcW w:w="45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Alex Roik</w:t>
            </w:r>
          </w:p>
        </w:tc>
      </w:tr>
      <w:tr>
        <w:trPr>
          <w:trHeight w:val="210"/>
        </w:trPr>
        <w:tc>
          <w:tcPr>
            <w:tcW w:w="700" w:type="dxa"/>
            <w:vAlign w:val="bottom"/>
          </w:tcPr>
          <w:p>
            <w:pPr>
              <w:spacing w:after="0"/>
              <w:rPr>
                <w:sz w:val="20"/>
                <w:szCs w:val="20"/>
                <w:color w:val="auto"/>
              </w:rPr>
            </w:pPr>
            <w:r>
              <w:rPr>
                <w:rFonts w:ascii="Arial" w:cs="Arial" w:eastAsia="Arial" w:hAnsi="Arial"/>
                <w:sz w:val="17"/>
                <w:szCs w:val="17"/>
                <w:color w:val="auto"/>
              </w:rPr>
              <w:t>Title:</w:t>
            </w:r>
          </w:p>
        </w:tc>
        <w:tc>
          <w:tcPr>
            <w:tcW w:w="4560" w:type="dxa"/>
            <w:vAlign w:val="bottom"/>
          </w:tcPr>
          <w:p>
            <w:pPr>
              <w:spacing w:after="0"/>
              <w:rPr>
                <w:sz w:val="20"/>
                <w:szCs w:val="20"/>
                <w:color w:val="auto"/>
              </w:rPr>
            </w:pPr>
            <w:r>
              <w:rPr>
                <w:rFonts w:ascii="Arial" w:cs="Arial" w:eastAsia="Arial" w:hAnsi="Arial"/>
                <w:sz w:val="17"/>
                <w:szCs w:val="17"/>
                <w:color w:val="auto"/>
              </w:rPr>
              <w:t>Vice President</w:t>
            </w:r>
          </w:p>
        </w:tc>
      </w:tr>
    </w:tbl>
    <w:p>
      <w:pPr>
        <w:spacing w:after="0" w:line="195" w:lineRule="exact"/>
        <w:rPr>
          <w:sz w:val="20"/>
          <w:szCs w:val="20"/>
          <w:color w:val="auto"/>
        </w:rPr>
      </w:pPr>
    </w:p>
    <w:p>
      <w:pPr>
        <w:ind w:left="4840"/>
        <w:spacing w:after="0"/>
        <w:rPr>
          <w:sz w:val="20"/>
          <w:szCs w:val="20"/>
          <w:color w:val="auto"/>
        </w:rPr>
      </w:pPr>
      <w:r>
        <w:rPr>
          <w:rFonts w:ascii="Arial" w:cs="Arial" w:eastAsia="Arial" w:hAnsi="Arial"/>
          <w:sz w:val="17"/>
          <w:szCs w:val="17"/>
          <w:color w:val="auto"/>
        </w:rPr>
        <w:t>Address:</w:t>
      </w:r>
    </w:p>
    <w:p>
      <w:pPr>
        <w:spacing w:after="0" w:line="217" w:lineRule="exact"/>
        <w:rPr>
          <w:sz w:val="20"/>
          <w:szCs w:val="20"/>
          <w:color w:val="auto"/>
        </w:rPr>
      </w:pPr>
    </w:p>
    <w:p>
      <w:pPr>
        <w:ind w:left="4840"/>
        <w:spacing w:after="0"/>
        <w:rPr>
          <w:sz w:val="20"/>
          <w:szCs w:val="20"/>
          <w:color w:val="auto"/>
        </w:rPr>
      </w:pPr>
      <w:r>
        <w:rPr>
          <w:rFonts w:ascii="Arial" w:cs="Arial" w:eastAsia="Arial" w:hAnsi="Arial"/>
          <w:sz w:val="17"/>
          <w:szCs w:val="17"/>
          <w:color w:val="auto"/>
        </w:rPr>
        <w:t>T. Rowe Price Associates, Inc.</w:t>
      </w:r>
    </w:p>
    <w:p>
      <w:pPr>
        <w:spacing w:after="0" w:line="22" w:lineRule="exact"/>
        <w:rPr>
          <w:sz w:val="20"/>
          <w:szCs w:val="20"/>
          <w:color w:val="auto"/>
        </w:rPr>
      </w:pPr>
    </w:p>
    <w:p>
      <w:pPr>
        <w:ind w:left="4840"/>
        <w:spacing w:after="0"/>
        <w:rPr>
          <w:sz w:val="20"/>
          <w:szCs w:val="20"/>
          <w:color w:val="auto"/>
        </w:rPr>
      </w:pPr>
      <w:r>
        <w:rPr>
          <w:rFonts w:ascii="Arial" w:cs="Arial" w:eastAsia="Arial" w:hAnsi="Arial"/>
          <w:sz w:val="17"/>
          <w:szCs w:val="17"/>
          <w:color w:val="auto"/>
        </w:rPr>
        <w:t>l 00 East Pratt Street Baltimore, MD 21202</w:t>
      </w:r>
    </w:p>
    <w:p>
      <w:pPr>
        <w:spacing w:after="0" w:line="13" w:lineRule="exact"/>
        <w:rPr>
          <w:sz w:val="20"/>
          <w:szCs w:val="20"/>
          <w:color w:val="auto"/>
        </w:rPr>
      </w:pPr>
    </w:p>
    <w:p>
      <w:pPr>
        <w:ind w:left="4840"/>
        <w:spacing w:after="0"/>
        <w:rPr>
          <w:sz w:val="20"/>
          <w:szCs w:val="20"/>
          <w:color w:val="auto"/>
        </w:rPr>
      </w:pPr>
      <w:r>
        <w:rPr>
          <w:rFonts w:ascii="Arial" w:cs="Arial" w:eastAsia="Arial" w:hAnsi="Arial"/>
          <w:sz w:val="17"/>
          <w:szCs w:val="17"/>
          <w:color w:val="auto"/>
        </w:rPr>
        <w:t>Attn.: Andrew Baek, Vice President and Senior Legal Counsel</w:t>
      </w:r>
    </w:p>
    <w:p>
      <w:pPr>
        <w:spacing w:after="0" w:line="22" w:lineRule="exact"/>
        <w:rPr>
          <w:sz w:val="20"/>
          <w:szCs w:val="20"/>
          <w:color w:val="auto"/>
        </w:rPr>
      </w:pPr>
    </w:p>
    <w:p>
      <w:pPr>
        <w:ind w:left="4840"/>
        <w:spacing w:after="0"/>
        <w:rPr>
          <w:sz w:val="20"/>
          <w:szCs w:val="20"/>
          <w:color w:val="auto"/>
        </w:rPr>
      </w:pPr>
      <w:r>
        <w:rPr>
          <w:rFonts w:ascii="Arial" w:cs="Arial" w:eastAsia="Arial" w:hAnsi="Arial"/>
          <w:sz w:val="17"/>
          <w:szCs w:val="17"/>
          <w:color w:val="auto"/>
        </w:rPr>
        <w:t>Phone: 410-345-2090</w:t>
      </w:r>
    </w:p>
    <w:p>
      <w:pPr>
        <w:spacing w:after="0" w:line="13" w:lineRule="exact"/>
        <w:rPr>
          <w:sz w:val="20"/>
          <w:szCs w:val="20"/>
          <w:color w:val="auto"/>
        </w:rPr>
      </w:pPr>
    </w:p>
    <w:p>
      <w:pPr>
        <w:ind w:left="4840"/>
        <w:spacing w:after="0"/>
        <w:rPr>
          <w:sz w:val="20"/>
          <w:szCs w:val="20"/>
          <w:color w:val="auto"/>
        </w:rPr>
      </w:pPr>
      <w:r>
        <w:rPr>
          <w:rFonts w:ascii="Arial" w:cs="Arial" w:eastAsia="Arial" w:hAnsi="Arial"/>
          <w:sz w:val="17"/>
          <w:szCs w:val="17"/>
          <w:color w:val="auto"/>
        </w:rPr>
        <w:t>Email: andrew_baek@troweprice.com</w:t>
      </w:r>
    </w:p>
    <w:p>
      <w:pPr>
        <w:sectPr>
          <w:pgSz w:w="11900" w:h="16838" w:orient="portrait"/>
          <w:cols w:equalWidth="0" w:num="1">
            <w:col w:w="10100"/>
          </w:cols>
          <w:pgMar w:left="1120" w:top="269" w:right="679" w:bottom="1440" w:gutter="0" w:footer="0" w:header="0"/>
        </w:sectPr>
      </w:pPr>
    </w:p>
    <w:bookmarkStart w:id="41" w:name="page42"/>
    <w:bookmarkEnd w:id="41"/>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7294880" cy="37465"/>
                    </a:xfrm>
                    <a:prstGeom prst="rect">
                      <a:avLst/>
                    </a:prstGeom>
                    <a:noFill/>
                  </pic:spPr>
                </pic:pic>
              </a:graphicData>
            </a:graphic>
          </wp:anchor>
        </w:drawing>
        <w:t>IN WITNESS WHEREOF, the parties to this Agreement have duly executed it as of the day and year first above written.</w:t>
      </w:r>
    </w:p>
    <w:p>
      <w:pPr>
        <w:spacing w:after="0" w:line="243" w:lineRule="exact"/>
        <w:rPr>
          <w:sz w:val="20"/>
          <w:szCs w:val="20"/>
          <w:color w:val="auto"/>
        </w:rPr>
      </w:pPr>
    </w:p>
    <w:p>
      <w:pPr>
        <w:ind w:left="4840"/>
        <w:spacing w:after="0"/>
        <w:rPr>
          <w:sz w:val="20"/>
          <w:szCs w:val="20"/>
          <w:color w:val="auto"/>
        </w:rPr>
      </w:pPr>
      <w:r>
        <w:rPr>
          <w:rFonts w:ascii="Arial" w:cs="Arial" w:eastAsia="Arial" w:hAnsi="Arial"/>
          <w:sz w:val="17"/>
          <w:szCs w:val="17"/>
          <w:color w:val="auto"/>
        </w:rPr>
        <w:t>BUYERS:</w:t>
      </w:r>
    </w:p>
    <w:p>
      <w:pPr>
        <w:spacing w:after="0" w:line="211" w:lineRule="exact"/>
        <w:rPr>
          <w:sz w:val="20"/>
          <w:szCs w:val="20"/>
          <w:color w:val="auto"/>
        </w:rPr>
      </w:pPr>
    </w:p>
    <w:p>
      <w:pPr>
        <w:ind w:left="4840"/>
        <w:spacing w:after="0"/>
        <w:rPr>
          <w:sz w:val="20"/>
          <w:szCs w:val="20"/>
          <w:color w:val="auto"/>
        </w:rPr>
      </w:pPr>
      <w:r>
        <w:rPr>
          <w:rFonts w:ascii="Arial" w:cs="Arial" w:eastAsia="Arial" w:hAnsi="Arial"/>
          <w:sz w:val="17"/>
          <w:szCs w:val="17"/>
          <w:b w:val="1"/>
          <w:bCs w:val="1"/>
          <w:color w:val="auto"/>
        </w:rPr>
        <w:t>T. ROWE PRICE SMALL-CAP STOCK FUND, INC.</w:t>
      </w:r>
    </w:p>
    <w:p>
      <w:pPr>
        <w:spacing w:after="0" w:line="28" w:lineRule="exact"/>
        <w:rPr>
          <w:sz w:val="20"/>
          <w:szCs w:val="20"/>
          <w:color w:val="auto"/>
        </w:rPr>
      </w:pPr>
    </w:p>
    <w:p>
      <w:pPr>
        <w:ind w:left="4840"/>
        <w:spacing w:after="0"/>
        <w:rPr>
          <w:sz w:val="20"/>
          <w:szCs w:val="20"/>
          <w:color w:val="auto"/>
        </w:rPr>
      </w:pPr>
      <w:r>
        <w:rPr>
          <w:rFonts w:ascii="Arial" w:cs="Arial" w:eastAsia="Arial" w:hAnsi="Arial"/>
          <w:sz w:val="17"/>
          <w:szCs w:val="17"/>
          <w:b w:val="1"/>
          <w:bCs w:val="1"/>
          <w:color w:val="auto"/>
        </w:rPr>
        <w:t>TD MUTUAL FUNDS - TD U.S. SMALL-CAP EQUITY FUND</w:t>
      </w:r>
    </w:p>
    <w:p>
      <w:pPr>
        <w:spacing w:after="0" w:line="11" w:lineRule="exact"/>
        <w:rPr>
          <w:sz w:val="20"/>
          <w:szCs w:val="20"/>
          <w:color w:val="auto"/>
        </w:rPr>
      </w:pPr>
    </w:p>
    <w:p>
      <w:pPr>
        <w:ind w:left="4840"/>
        <w:spacing w:after="0"/>
        <w:rPr>
          <w:sz w:val="20"/>
          <w:szCs w:val="20"/>
          <w:color w:val="auto"/>
        </w:rPr>
      </w:pPr>
      <w:r>
        <w:rPr>
          <w:rFonts w:ascii="Arial" w:cs="Arial" w:eastAsia="Arial" w:hAnsi="Arial"/>
          <w:sz w:val="17"/>
          <w:szCs w:val="17"/>
          <w:b w:val="1"/>
          <w:bCs w:val="1"/>
          <w:color w:val="auto"/>
        </w:rPr>
        <w:t>T. ROWE PRICE PERSONAL STRATEGY INCOME FUND</w:t>
      </w:r>
    </w:p>
    <w:p>
      <w:pPr>
        <w:spacing w:after="0" w:line="11" w:lineRule="exact"/>
        <w:rPr>
          <w:sz w:val="20"/>
          <w:szCs w:val="20"/>
          <w:color w:val="auto"/>
        </w:rPr>
      </w:pPr>
    </w:p>
    <w:p>
      <w:pPr>
        <w:ind w:left="4840"/>
        <w:spacing w:after="0"/>
        <w:rPr>
          <w:sz w:val="20"/>
          <w:szCs w:val="20"/>
          <w:color w:val="auto"/>
        </w:rPr>
      </w:pPr>
      <w:r>
        <w:rPr>
          <w:rFonts w:ascii="Arial" w:cs="Arial" w:eastAsia="Arial" w:hAnsi="Arial"/>
          <w:sz w:val="17"/>
          <w:szCs w:val="17"/>
          <w:b w:val="1"/>
          <w:bCs w:val="1"/>
          <w:color w:val="auto"/>
        </w:rPr>
        <w:t>T. ROWE PRICE PERSONAL STRATEGY BALANCED</w:t>
      </w:r>
    </w:p>
    <w:p>
      <w:pPr>
        <w:spacing w:after="0" w:line="11" w:lineRule="exact"/>
        <w:rPr>
          <w:sz w:val="20"/>
          <w:szCs w:val="20"/>
          <w:color w:val="auto"/>
        </w:rPr>
      </w:pPr>
    </w:p>
    <w:p>
      <w:pPr>
        <w:ind w:left="4840"/>
        <w:spacing w:after="0"/>
        <w:rPr>
          <w:sz w:val="20"/>
          <w:szCs w:val="20"/>
          <w:color w:val="auto"/>
        </w:rPr>
      </w:pPr>
      <w:r>
        <w:rPr>
          <w:rFonts w:ascii="Arial" w:cs="Arial" w:eastAsia="Arial" w:hAnsi="Arial"/>
          <w:sz w:val="17"/>
          <w:szCs w:val="17"/>
          <w:b w:val="1"/>
          <w:bCs w:val="1"/>
          <w:color w:val="auto"/>
        </w:rPr>
        <w:t>PORTFOLIO</w:t>
      </w:r>
    </w:p>
    <w:p>
      <w:pPr>
        <w:spacing w:after="0" w:line="11" w:lineRule="exact"/>
        <w:rPr>
          <w:sz w:val="20"/>
          <w:szCs w:val="20"/>
          <w:color w:val="auto"/>
        </w:rPr>
      </w:pPr>
    </w:p>
    <w:p>
      <w:pPr>
        <w:ind w:left="4840"/>
        <w:spacing w:after="0"/>
        <w:rPr>
          <w:sz w:val="20"/>
          <w:szCs w:val="20"/>
          <w:color w:val="auto"/>
        </w:rPr>
      </w:pPr>
      <w:r>
        <w:rPr>
          <w:rFonts w:ascii="Arial" w:cs="Arial" w:eastAsia="Arial" w:hAnsi="Arial"/>
          <w:sz w:val="17"/>
          <w:szCs w:val="17"/>
          <w:b w:val="1"/>
          <w:bCs w:val="1"/>
          <w:color w:val="auto"/>
        </w:rPr>
        <w:t>T. ROWE PRICE PERSONAL STRATEGY GROWTH FUND</w:t>
      </w:r>
    </w:p>
    <w:p>
      <w:pPr>
        <w:spacing w:after="0" w:line="11" w:lineRule="exact"/>
        <w:rPr>
          <w:sz w:val="20"/>
          <w:szCs w:val="20"/>
          <w:color w:val="auto"/>
        </w:rPr>
      </w:pPr>
    </w:p>
    <w:p>
      <w:pPr>
        <w:ind w:left="4840"/>
        <w:spacing w:after="0"/>
        <w:rPr>
          <w:sz w:val="20"/>
          <w:szCs w:val="20"/>
          <w:color w:val="auto"/>
        </w:rPr>
      </w:pPr>
      <w:r>
        <w:rPr>
          <w:rFonts w:ascii="Arial" w:cs="Arial" w:eastAsia="Arial" w:hAnsi="Arial"/>
          <w:sz w:val="17"/>
          <w:szCs w:val="17"/>
          <w:b w:val="1"/>
          <w:bCs w:val="1"/>
          <w:color w:val="auto"/>
        </w:rPr>
        <w:t>T. ROWE PRICE PERSONAL STRATEGY BALANCED FUND</w:t>
      </w:r>
    </w:p>
    <w:p>
      <w:pPr>
        <w:spacing w:after="0" w:line="11" w:lineRule="exact"/>
        <w:rPr>
          <w:sz w:val="20"/>
          <w:szCs w:val="20"/>
          <w:color w:val="auto"/>
        </w:rPr>
      </w:pPr>
    </w:p>
    <w:p>
      <w:pPr>
        <w:ind w:left="4840"/>
        <w:spacing w:after="0"/>
        <w:rPr>
          <w:sz w:val="20"/>
          <w:szCs w:val="20"/>
          <w:color w:val="auto"/>
        </w:rPr>
      </w:pPr>
      <w:r>
        <w:rPr>
          <w:rFonts w:ascii="Arial" w:cs="Arial" w:eastAsia="Arial" w:hAnsi="Arial"/>
          <w:sz w:val="17"/>
          <w:szCs w:val="17"/>
          <w:b w:val="1"/>
          <w:bCs w:val="1"/>
          <w:color w:val="auto"/>
        </w:rPr>
        <w:t>T. ROWE PRICE INSTITUTIONAL SMALL-CAP STOCK FUND</w:t>
      </w:r>
    </w:p>
    <w:p>
      <w:pPr>
        <w:spacing w:after="0" w:line="11" w:lineRule="exact"/>
        <w:rPr>
          <w:sz w:val="20"/>
          <w:szCs w:val="20"/>
          <w:color w:val="auto"/>
        </w:rPr>
      </w:pPr>
    </w:p>
    <w:p>
      <w:pPr>
        <w:ind w:left="4840"/>
        <w:spacing w:after="0"/>
        <w:rPr>
          <w:sz w:val="20"/>
          <w:szCs w:val="20"/>
          <w:color w:val="auto"/>
        </w:rPr>
      </w:pPr>
      <w:r>
        <w:rPr>
          <w:rFonts w:ascii="Arial" w:cs="Arial" w:eastAsia="Arial" w:hAnsi="Arial"/>
          <w:sz w:val="17"/>
          <w:szCs w:val="17"/>
          <w:b w:val="1"/>
          <w:bCs w:val="1"/>
          <w:color w:val="auto"/>
        </w:rPr>
        <w:t>VALIC COMPANY I - SMALL CAP FUND</w:t>
      </w:r>
    </w:p>
    <w:p>
      <w:pPr>
        <w:spacing w:after="0" w:line="11" w:lineRule="exact"/>
        <w:rPr>
          <w:sz w:val="20"/>
          <w:szCs w:val="20"/>
          <w:color w:val="auto"/>
        </w:rPr>
      </w:pPr>
    </w:p>
    <w:p>
      <w:pPr>
        <w:ind w:left="4840"/>
        <w:spacing w:after="0"/>
        <w:rPr>
          <w:sz w:val="20"/>
          <w:szCs w:val="20"/>
          <w:color w:val="auto"/>
        </w:rPr>
      </w:pPr>
      <w:r>
        <w:rPr>
          <w:rFonts w:ascii="Arial" w:cs="Arial" w:eastAsia="Arial" w:hAnsi="Arial"/>
          <w:sz w:val="17"/>
          <w:szCs w:val="17"/>
          <w:b w:val="1"/>
          <w:bCs w:val="1"/>
          <w:color w:val="auto"/>
        </w:rPr>
        <w:t>U.S. SMALL-CAP STOCK TRUST MINNESOTA LIFE INSURANCE</w:t>
      </w:r>
    </w:p>
    <w:p>
      <w:pPr>
        <w:spacing w:after="0" w:line="11" w:lineRule="exact"/>
        <w:rPr>
          <w:sz w:val="20"/>
          <w:szCs w:val="20"/>
          <w:color w:val="auto"/>
        </w:rPr>
      </w:pPr>
    </w:p>
    <w:p>
      <w:pPr>
        <w:ind w:left="4840"/>
        <w:spacing w:after="0"/>
        <w:rPr>
          <w:sz w:val="20"/>
          <w:szCs w:val="20"/>
          <w:color w:val="auto"/>
        </w:rPr>
      </w:pPr>
      <w:r>
        <w:rPr>
          <w:rFonts w:ascii="Arial" w:cs="Arial" w:eastAsia="Arial" w:hAnsi="Arial"/>
          <w:sz w:val="17"/>
          <w:szCs w:val="17"/>
          <w:b w:val="1"/>
          <w:bCs w:val="1"/>
          <w:color w:val="auto"/>
        </w:rPr>
        <w:t>COMPANY</w:t>
      </w:r>
    </w:p>
    <w:p>
      <w:pPr>
        <w:spacing w:after="0" w:line="11" w:lineRule="exact"/>
        <w:rPr>
          <w:sz w:val="20"/>
          <w:szCs w:val="20"/>
          <w:color w:val="auto"/>
        </w:rPr>
      </w:pPr>
    </w:p>
    <w:p>
      <w:pPr>
        <w:ind w:left="4840"/>
        <w:spacing w:after="0"/>
        <w:rPr>
          <w:sz w:val="20"/>
          <w:szCs w:val="20"/>
          <w:color w:val="auto"/>
        </w:rPr>
      </w:pPr>
      <w:r>
        <w:rPr>
          <w:rFonts w:ascii="Arial" w:cs="Arial" w:eastAsia="Arial" w:hAnsi="Arial"/>
          <w:sz w:val="17"/>
          <w:szCs w:val="17"/>
          <w:b w:val="1"/>
          <w:bCs w:val="1"/>
          <w:color w:val="auto"/>
        </w:rPr>
        <w:t>T. ROWE PRICE U.S. SMALL-CAP CORE EQUITY TRUST</w:t>
      </w:r>
    </w:p>
    <w:p>
      <w:pPr>
        <w:spacing w:after="0" w:line="11" w:lineRule="exact"/>
        <w:rPr>
          <w:sz w:val="20"/>
          <w:szCs w:val="20"/>
          <w:color w:val="auto"/>
        </w:rPr>
      </w:pPr>
    </w:p>
    <w:p>
      <w:pPr>
        <w:ind w:left="4840"/>
        <w:spacing w:after="0"/>
        <w:rPr>
          <w:sz w:val="20"/>
          <w:szCs w:val="20"/>
          <w:color w:val="auto"/>
        </w:rPr>
      </w:pPr>
      <w:r>
        <w:rPr>
          <w:rFonts w:ascii="Arial" w:cs="Arial" w:eastAsia="Arial" w:hAnsi="Arial"/>
          <w:sz w:val="17"/>
          <w:szCs w:val="17"/>
          <w:b w:val="1"/>
          <w:bCs w:val="1"/>
          <w:color w:val="auto"/>
        </w:rPr>
        <w:t>COSTCO 401(K) RETIREMENT PLAN</w:t>
      </w:r>
    </w:p>
    <w:p>
      <w:pPr>
        <w:spacing w:after="0" w:line="11" w:lineRule="exact"/>
        <w:rPr>
          <w:sz w:val="20"/>
          <w:szCs w:val="20"/>
          <w:color w:val="auto"/>
        </w:rPr>
      </w:pPr>
    </w:p>
    <w:p>
      <w:pPr>
        <w:ind w:left="4840"/>
        <w:spacing w:after="0"/>
        <w:rPr>
          <w:sz w:val="20"/>
          <w:szCs w:val="20"/>
          <w:color w:val="auto"/>
        </w:rPr>
      </w:pPr>
      <w:r>
        <w:rPr>
          <w:rFonts w:ascii="Arial" w:cs="Arial" w:eastAsia="Arial" w:hAnsi="Arial"/>
          <w:sz w:val="17"/>
          <w:szCs w:val="17"/>
          <w:b w:val="1"/>
          <w:bCs w:val="1"/>
          <w:color w:val="auto"/>
        </w:rPr>
        <w:t>MASSMUTUAL SELECT FUNDS - MASSMUTUAL SELECT</w:t>
      </w:r>
    </w:p>
    <w:p>
      <w:pPr>
        <w:spacing w:after="0" w:line="11" w:lineRule="exact"/>
        <w:rPr>
          <w:sz w:val="20"/>
          <w:szCs w:val="20"/>
          <w:color w:val="auto"/>
        </w:rPr>
      </w:pPr>
    </w:p>
    <w:p>
      <w:pPr>
        <w:ind w:left="4840"/>
        <w:spacing w:after="0"/>
        <w:rPr>
          <w:sz w:val="20"/>
          <w:szCs w:val="20"/>
          <w:color w:val="auto"/>
        </w:rPr>
      </w:pPr>
      <w:r>
        <w:rPr>
          <w:rFonts w:ascii="Arial" w:cs="Arial" w:eastAsia="Arial" w:hAnsi="Arial"/>
          <w:sz w:val="17"/>
          <w:szCs w:val="17"/>
          <w:b w:val="1"/>
          <w:bCs w:val="1"/>
          <w:color w:val="auto"/>
        </w:rPr>
        <w:t>T. ROWE PRICE SMALL AND MID CAP BLEND FUND</w:t>
      </w:r>
    </w:p>
    <w:p>
      <w:pPr>
        <w:spacing w:after="0" w:line="11" w:lineRule="exact"/>
        <w:rPr>
          <w:sz w:val="20"/>
          <w:szCs w:val="20"/>
          <w:color w:val="auto"/>
        </w:rPr>
      </w:pPr>
    </w:p>
    <w:p>
      <w:pPr>
        <w:ind w:left="4840"/>
        <w:spacing w:after="0"/>
        <w:rPr>
          <w:sz w:val="20"/>
          <w:szCs w:val="20"/>
          <w:color w:val="auto"/>
        </w:rPr>
      </w:pPr>
      <w:r>
        <w:rPr>
          <w:rFonts w:ascii="Arial" w:cs="Arial" w:eastAsia="Arial" w:hAnsi="Arial"/>
          <w:sz w:val="17"/>
          <w:szCs w:val="17"/>
          <w:b w:val="1"/>
          <w:bCs w:val="1"/>
          <w:color w:val="auto"/>
        </w:rPr>
        <w:t xml:space="preserve">Each account, severally </w:t>
      </w:r>
      <w:r>
        <w:rPr>
          <w:rFonts w:ascii="Arial" w:cs="Arial" w:eastAsia="Arial" w:hAnsi="Arial"/>
          <w:sz w:val="17"/>
          <w:szCs w:val="17"/>
          <w:color w:val="auto"/>
        </w:rPr>
        <w:t>not jointly</w:t>
      </w:r>
    </w:p>
    <w:p>
      <w:pPr>
        <w:spacing w:after="0" w:line="219" w:lineRule="exact"/>
        <w:rPr>
          <w:sz w:val="20"/>
          <w:szCs w:val="20"/>
          <w:color w:val="auto"/>
        </w:rPr>
      </w:pPr>
    </w:p>
    <w:tbl>
      <w:tblPr>
        <w:tblLayout w:type="fixed"/>
        <w:tblInd w:w="4840" w:type="dxa"/>
        <w:tblCellMar>
          <w:top w:w="0" w:type="dxa"/>
          <w:left w:w="0" w:type="dxa"/>
          <w:bottom w:w="0" w:type="dxa"/>
          <w:right w:w="0" w:type="dxa"/>
        </w:tblCellMar>
      </w:tblPr>
      <w:tr>
        <w:trPr>
          <w:trHeight w:val="217"/>
        </w:trPr>
        <w:tc>
          <w:tcPr>
            <w:tcW w:w="700" w:type="dxa"/>
            <w:vAlign w:val="bottom"/>
          </w:tcPr>
          <w:p>
            <w:pPr>
              <w:spacing w:after="0"/>
              <w:rPr>
                <w:sz w:val="20"/>
                <w:szCs w:val="20"/>
                <w:color w:val="auto"/>
              </w:rPr>
            </w:pPr>
            <w:r>
              <w:rPr>
                <w:rFonts w:ascii="Arial" w:cs="Arial" w:eastAsia="Arial" w:hAnsi="Arial"/>
                <w:sz w:val="17"/>
                <w:szCs w:val="17"/>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Dave Wagner</w:t>
            </w:r>
          </w:p>
        </w:tc>
      </w:tr>
      <w:tr>
        <w:trPr>
          <w:trHeight w:val="212"/>
        </w:trPr>
        <w:tc>
          <w:tcPr>
            <w:tcW w:w="700" w:type="dxa"/>
            <w:vAlign w:val="bottom"/>
          </w:tcPr>
          <w:p>
            <w:pPr>
              <w:spacing w:after="0"/>
              <w:rPr>
                <w:sz w:val="20"/>
                <w:szCs w:val="20"/>
                <w:color w:val="auto"/>
              </w:rPr>
            </w:pPr>
            <w:r>
              <w:rPr>
                <w:rFonts w:ascii="Arial" w:cs="Arial" w:eastAsia="Arial" w:hAnsi="Arial"/>
                <w:sz w:val="17"/>
                <w:szCs w:val="17"/>
                <w:color w:val="auto"/>
              </w:rPr>
              <w:t>Name:</w:t>
            </w:r>
          </w:p>
        </w:tc>
        <w:tc>
          <w:tcPr>
            <w:tcW w:w="45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Dave Wagner</w:t>
            </w:r>
          </w:p>
        </w:tc>
      </w:tr>
      <w:tr>
        <w:trPr>
          <w:trHeight w:val="212"/>
        </w:trPr>
        <w:tc>
          <w:tcPr>
            <w:tcW w:w="700" w:type="dxa"/>
            <w:vAlign w:val="bottom"/>
          </w:tcPr>
          <w:p>
            <w:pPr>
              <w:spacing w:after="0"/>
              <w:rPr>
                <w:sz w:val="20"/>
                <w:szCs w:val="20"/>
                <w:color w:val="auto"/>
              </w:rPr>
            </w:pPr>
            <w:r>
              <w:rPr>
                <w:rFonts w:ascii="Arial" w:cs="Arial" w:eastAsia="Arial" w:hAnsi="Arial"/>
                <w:sz w:val="17"/>
                <w:szCs w:val="17"/>
                <w:color w:val="auto"/>
              </w:rPr>
              <w:t>Title:</w:t>
            </w:r>
          </w:p>
        </w:tc>
        <w:tc>
          <w:tcPr>
            <w:tcW w:w="4560" w:type="dxa"/>
            <w:vAlign w:val="bottom"/>
          </w:tcPr>
          <w:p>
            <w:pPr>
              <w:spacing w:after="0"/>
              <w:rPr>
                <w:sz w:val="20"/>
                <w:szCs w:val="20"/>
                <w:color w:val="auto"/>
              </w:rPr>
            </w:pPr>
            <w:r>
              <w:rPr>
                <w:rFonts w:ascii="Arial" w:cs="Arial" w:eastAsia="Arial" w:hAnsi="Arial"/>
                <w:sz w:val="17"/>
                <w:szCs w:val="17"/>
                <w:color w:val="auto"/>
              </w:rPr>
              <w:t>Vice President</w:t>
            </w:r>
          </w:p>
        </w:tc>
      </w:tr>
    </w:tbl>
    <w:p>
      <w:pPr>
        <w:spacing w:after="0" w:line="195" w:lineRule="exact"/>
        <w:rPr>
          <w:sz w:val="20"/>
          <w:szCs w:val="20"/>
          <w:color w:val="auto"/>
        </w:rPr>
      </w:pPr>
    </w:p>
    <w:p>
      <w:pPr>
        <w:ind w:left="4840"/>
        <w:spacing w:after="0"/>
        <w:rPr>
          <w:sz w:val="20"/>
          <w:szCs w:val="20"/>
          <w:color w:val="auto"/>
        </w:rPr>
      </w:pPr>
      <w:r>
        <w:rPr>
          <w:rFonts w:ascii="Arial" w:cs="Arial" w:eastAsia="Arial" w:hAnsi="Arial"/>
          <w:sz w:val="17"/>
          <w:szCs w:val="17"/>
          <w:color w:val="auto"/>
        </w:rPr>
        <w:t>Address:</w:t>
      </w:r>
    </w:p>
    <w:p>
      <w:pPr>
        <w:spacing w:after="0" w:line="217" w:lineRule="exact"/>
        <w:rPr>
          <w:sz w:val="20"/>
          <w:szCs w:val="20"/>
          <w:color w:val="auto"/>
        </w:rPr>
      </w:pPr>
    </w:p>
    <w:p>
      <w:pPr>
        <w:ind w:left="4840"/>
        <w:spacing w:after="0"/>
        <w:rPr>
          <w:sz w:val="20"/>
          <w:szCs w:val="20"/>
          <w:color w:val="auto"/>
        </w:rPr>
      </w:pPr>
      <w:r>
        <w:rPr>
          <w:rFonts w:ascii="Arial" w:cs="Arial" w:eastAsia="Arial" w:hAnsi="Arial"/>
          <w:sz w:val="17"/>
          <w:szCs w:val="17"/>
          <w:color w:val="auto"/>
        </w:rPr>
        <w:t>T. Rowe Price Associates, Inc.</w:t>
      </w:r>
    </w:p>
    <w:p>
      <w:pPr>
        <w:spacing w:after="0" w:line="22" w:lineRule="exact"/>
        <w:rPr>
          <w:sz w:val="20"/>
          <w:szCs w:val="20"/>
          <w:color w:val="auto"/>
        </w:rPr>
      </w:pPr>
    </w:p>
    <w:p>
      <w:pPr>
        <w:ind w:left="4840"/>
        <w:spacing w:after="0"/>
        <w:rPr>
          <w:sz w:val="20"/>
          <w:szCs w:val="20"/>
          <w:color w:val="auto"/>
        </w:rPr>
      </w:pPr>
      <w:r>
        <w:rPr>
          <w:rFonts w:ascii="Arial" w:cs="Arial" w:eastAsia="Arial" w:hAnsi="Arial"/>
          <w:sz w:val="17"/>
          <w:szCs w:val="17"/>
          <w:color w:val="auto"/>
        </w:rPr>
        <w:t>100 East Pratt Street Baltimore, MD 21202</w:t>
      </w:r>
    </w:p>
    <w:p>
      <w:pPr>
        <w:spacing w:after="0" w:line="13" w:lineRule="exact"/>
        <w:rPr>
          <w:sz w:val="20"/>
          <w:szCs w:val="20"/>
          <w:color w:val="auto"/>
        </w:rPr>
      </w:pPr>
    </w:p>
    <w:p>
      <w:pPr>
        <w:ind w:left="4840"/>
        <w:spacing w:after="0"/>
        <w:rPr>
          <w:sz w:val="20"/>
          <w:szCs w:val="20"/>
          <w:color w:val="auto"/>
        </w:rPr>
      </w:pPr>
      <w:r>
        <w:rPr>
          <w:rFonts w:ascii="Arial" w:cs="Arial" w:eastAsia="Arial" w:hAnsi="Arial"/>
          <w:sz w:val="17"/>
          <w:szCs w:val="17"/>
          <w:color w:val="auto"/>
        </w:rPr>
        <w:t>Attn.: Andrew Baek, Vice President and Senior Legal Counsel</w:t>
      </w:r>
    </w:p>
    <w:p>
      <w:pPr>
        <w:spacing w:after="0" w:line="22" w:lineRule="exact"/>
        <w:rPr>
          <w:sz w:val="20"/>
          <w:szCs w:val="20"/>
          <w:color w:val="auto"/>
        </w:rPr>
      </w:pPr>
    </w:p>
    <w:p>
      <w:pPr>
        <w:ind w:left="4840"/>
        <w:spacing w:after="0"/>
        <w:rPr>
          <w:sz w:val="20"/>
          <w:szCs w:val="20"/>
          <w:color w:val="auto"/>
        </w:rPr>
      </w:pPr>
      <w:r>
        <w:rPr>
          <w:rFonts w:ascii="Arial" w:cs="Arial" w:eastAsia="Arial" w:hAnsi="Arial"/>
          <w:sz w:val="17"/>
          <w:szCs w:val="17"/>
          <w:color w:val="auto"/>
        </w:rPr>
        <w:t>Phone: 410-345-2090</w:t>
      </w:r>
    </w:p>
    <w:p>
      <w:pPr>
        <w:spacing w:after="0" w:line="13" w:lineRule="exact"/>
        <w:rPr>
          <w:sz w:val="20"/>
          <w:szCs w:val="20"/>
          <w:color w:val="auto"/>
        </w:rPr>
      </w:pPr>
    </w:p>
    <w:p>
      <w:pPr>
        <w:ind w:left="4840"/>
        <w:spacing w:after="0"/>
        <w:rPr>
          <w:sz w:val="20"/>
          <w:szCs w:val="20"/>
          <w:color w:val="auto"/>
        </w:rPr>
      </w:pPr>
      <w:r>
        <w:rPr>
          <w:rFonts w:ascii="Arial" w:cs="Arial" w:eastAsia="Arial" w:hAnsi="Arial"/>
          <w:sz w:val="17"/>
          <w:szCs w:val="17"/>
          <w:color w:val="auto"/>
        </w:rPr>
        <w:t>Email: andrew_baek@troweprice.com</w:t>
      </w:r>
    </w:p>
    <w:p>
      <w:pPr>
        <w:sectPr>
          <w:pgSz w:w="11900" w:h="16838" w:orient="portrait"/>
          <w:cols w:equalWidth="0" w:num="1">
            <w:col w:w="10100"/>
          </w:cols>
          <w:pgMar w:left="1120" w:top="269" w:right="679" w:bottom="1440" w:gutter="0" w:footer="0" w:header="0"/>
        </w:sectPr>
      </w:pPr>
    </w:p>
    <w:bookmarkStart w:id="42" w:name="page43"/>
    <w:bookmarkEnd w:id="42"/>
    <w:p>
      <w:pPr>
        <w:ind w:left="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7294880" cy="37465"/>
                    </a:xfrm>
                    <a:prstGeom prst="rect">
                      <a:avLst/>
                    </a:prstGeom>
                    <a:noFill/>
                  </pic:spPr>
                </pic:pic>
              </a:graphicData>
            </a:graphic>
          </wp:anchor>
        </w:drawing>
        <w:t>IN WITNESS WHEREOF, the parties to this Agreement have duly executed it as of the day and year first above written.</w:t>
      </w:r>
    </w:p>
    <w:p>
      <w:pPr>
        <w:spacing w:after="0" w:line="243" w:lineRule="exact"/>
        <w:rPr>
          <w:sz w:val="20"/>
          <w:szCs w:val="20"/>
          <w:color w:val="auto"/>
        </w:rPr>
      </w:pPr>
    </w:p>
    <w:p>
      <w:pPr>
        <w:ind w:left="3460"/>
        <w:spacing w:after="0"/>
        <w:rPr>
          <w:sz w:val="20"/>
          <w:szCs w:val="20"/>
          <w:color w:val="auto"/>
        </w:rPr>
      </w:pPr>
      <w:r>
        <w:rPr>
          <w:rFonts w:ascii="Arial" w:cs="Arial" w:eastAsia="Arial" w:hAnsi="Arial"/>
          <w:sz w:val="17"/>
          <w:szCs w:val="17"/>
          <w:color w:val="auto"/>
        </w:rPr>
        <w:t>BUYERS:</w:t>
      </w:r>
    </w:p>
    <w:p>
      <w:pPr>
        <w:spacing w:after="0" w:line="211" w:lineRule="exact"/>
        <w:rPr>
          <w:sz w:val="20"/>
          <w:szCs w:val="20"/>
          <w:color w:val="auto"/>
        </w:rPr>
      </w:pPr>
    </w:p>
    <w:p>
      <w:pPr>
        <w:ind w:left="3460"/>
        <w:spacing w:after="0"/>
        <w:rPr>
          <w:sz w:val="20"/>
          <w:szCs w:val="20"/>
          <w:color w:val="auto"/>
        </w:rPr>
      </w:pPr>
      <w:r>
        <w:rPr>
          <w:rFonts w:ascii="Arial" w:cs="Arial" w:eastAsia="Arial" w:hAnsi="Arial"/>
          <w:sz w:val="17"/>
          <w:szCs w:val="17"/>
          <w:b w:val="1"/>
          <w:bCs w:val="1"/>
          <w:color w:val="auto"/>
        </w:rPr>
        <w:t>T. ROWE PRICE MID-CAP GROWTH FUND, INC.</w:t>
      </w:r>
    </w:p>
    <w:p>
      <w:pPr>
        <w:spacing w:after="0" w:line="28" w:lineRule="exact"/>
        <w:rPr>
          <w:sz w:val="20"/>
          <w:szCs w:val="20"/>
          <w:color w:val="auto"/>
        </w:rPr>
      </w:pPr>
    </w:p>
    <w:p>
      <w:pPr>
        <w:ind w:left="3460"/>
        <w:spacing w:after="0"/>
        <w:rPr>
          <w:sz w:val="20"/>
          <w:szCs w:val="20"/>
          <w:color w:val="auto"/>
        </w:rPr>
      </w:pPr>
      <w:r>
        <w:rPr>
          <w:rFonts w:ascii="Arial" w:cs="Arial" w:eastAsia="Arial" w:hAnsi="Arial"/>
          <w:sz w:val="17"/>
          <w:szCs w:val="17"/>
          <w:b w:val="1"/>
          <w:bCs w:val="1"/>
          <w:color w:val="auto"/>
        </w:rPr>
        <w:t>TD MUTUAL FUNDS - TD U.S. MID-CAP GROWTH FUND</w:t>
      </w:r>
    </w:p>
    <w:p>
      <w:pPr>
        <w:spacing w:after="0" w:line="11" w:lineRule="exact"/>
        <w:rPr>
          <w:sz w:val="20"/>
          <w:szCs w:val="20"/>
          <w:color w:val="auto"/>
        </w:rPr>
      </w:pPr>
    </w:p>
    <w:p>
      <w:pPr>
        <w:ind w:left="3460"/>
        <w:spacing w:after="0"/>
        <w:rPr>
          <w:sz w:val="20"/>
          <w:szCs w:val="20"/>
          <w:color w:val="auto"/>
        </w:rPr>
      </w:pPr>
      <w:r>
        <w:rPr>
          <w:rFonts w:ascii="Arial" w:cs="Arial" w:eastAsia="Arial" w:hAnsi="Arial"/>
          <w:sz w:val="17"/>
          <w:szCs w:val="17"/>
          <w:b w:val="1"/>
          <w:bCs w:val="1"/>
          <w:color w:val="auto"/>
        </w:rPr>
        <w:t>JNL SERIES TRUST-JNL/T. ROWE PRICE MID-CAP GROWTH FUND</w:t>
      </w:r>
    </w:p>
    <w:p>
      <w:pPr>
        <w:spacing w:after="0" w:line="11" w:lineRule="exact"/>
        <w:rPr>
          <w:sz w:val="20"/>
          <w:szCs w:val="20"/>
          <w:color w:val="auto"/>
        </w:rPr>
      </w:pPr>
    </w:p>
    <w:p>
      <w:pPr>
        <w:ind w:left="3460"/>
        <w:spacing w:after="0"/>
        <w:rPr>
          <w:sz w:val="20"/>
          <w:szCs w:val="20"/>
          <w:color w:val="auto"/>
        </w:rPr>
      </w:pPr>
      <w:r>
        <w:rPr>
          <w:rFonts w:ascii="Arial" w:cs="Arial" w:eastAsia="Arial" w:hAnsi="Arial"/>
          <w:sz w:val="17"/>
          <w:szCs w:val="17"/>
          <w:b w:val="1"/>
          <w:bCs w:val="1"/>
          <w:color w:val="auto"/>
        </w:rPr>
        <w:t>T. ROWE PRICE INSTITUTIONAL MID-CAP EQUITY GROWTH FUND</w:t>
      </w:r>
    </w:p>
    <w:p>
      <w:pPr>
        <w:spacing w:after="0" w:line="11" w:lineRule="exact"/>
        <w:rPr>
          <w:sz w:val="20"/>
          <w:szCs w:val="20"/>
          <w:color w:val="auto"/>
        </w:rPr>
      </w:pPr>
    </w:p>
    <w:p>
      <w:pPr>
        <w:ind w:left="3460"/>
        <w:spacing w:after="0"/>
        <w:rPr>
          <w:sz w:val="20"/>
          <w:szCs w:val="20"/>
          <w:color w:val="auto"/>
        </w:rPr>
      </w:pPr>
      <w:r>
        <w:rPr>
          <w:rFonts w:ascii="Arial" w:cs="Arial" w:eastAsia="Arial" w:hAnsi="Arial"/>
          <w:sz w:val="17"/>
          <w:szCs w:val="17"/>
          <w:b w:val="1"/>
          <w:bCs w:val="1"/>
          <w:color w:val="auto"/>
        </w:rPr>
        <w:t>T. ROWE PRICE MID-CAP GROWTH PORTFOLIO</w:t>
      </w:r>
    </w:p>
    <w:p>
      <w:pPr>
        <w:spacing w:after="0" w:line="11" w:lineRule="exact"/>
        <w:rPr>
          <w:sz w:val="20"/>
          <w:szCs w:val="20"/>
          <w:color w:val="auto"/>
        </w:rPr>
      </w:pPr>
    </w:p>
    <w:p>
      <w:pPr>
        <w:ind w:left="3460"/>
        <w:spacing w:after="0"/>
        <w:rPr>
          <w:sz w:val="20"/>
          <w:szCs w:val="20"/>
          <w:color w:val="auto"/>
        </w:rPr>
      </w:pPr>
      <w:r>
        <w:rPr>
          <w:rFonts w:ascii="Arial" w:cs="Arial" w:eastAsia="Arial" w:hAnsi="Arial"/>
          <w:sz w:val="17"/>
          <w:szCs w:val="17"/>
          <w:b w:val="1"/>
          <w:bCs w:val="1"/>
          <w:color w:val="auto"/>
        </w:rPr>
        <w:t>GREAT-WEST FUNDS, INC. - GREAT-WEST T. ROWE PRICE MID CAP</w:t>
      </w:r>
    </w:p>
    <w:p>
      <w:pPr>
        <w:spacing w:after="0" w:line="11" w:lineRule="exact"/>
        <w:rPr>
          <w:sz w:val="20"/>
          <w:szCs w:val="20"/>
          <w:color w:val="auto"/>
        </w:rPr>
      </w:pPr>
    </w:p>
    <w:p>
      <w:pPr>
        <w:ind w:left="3460"/>
        <w:spacing w:after="0"/>
        <w:rPr>
          <w:sz w:val="20"/>
          <w:szCs w:val="20"/>
          <w:color w:val="auto"/>
        </w:rPr>
      </w:pPr>
      <w:r>
        <w:rPr>
          <w:rFonts w:ascii="Arial" w:cs="Arial" w:eastAsia="Arial" w:hAnsi="Arial"/>
          <w:sz w:val="17"/>
          <w:szCs w:val="17"/>
          <w:b w:val="1"/>
          <w:bCs w:val="1"/>
          <w:color w:val="auto"/>
        </w:rPr>
        <w:t>GROWTH FUND</w:t>
      </w:r>
    </w:p>
    <w:p>
      <w:pPr>
        <w:spacing w:after="0" w:line="11" w:lineRule="exact"/>
        <w:rPr>
          <w:sz w:val="20"/>
          <w:szCs w:val="20"/>
          <w:color w:val="auto"/>
        </w:rPr>
      </w:pPr>
    </w:p>
    <w:p>
      <w:pPr>
        <w:ind w:left="3460"/>
        <w:spacing w:after="0"/>
        <w:rPr>
          <w:sz w:val="20"/>
          <w:szCs w:val="20"/>
          <w:color w:val="auto"/>
        </w:rPr>
      </w:pPr>
      <w:r>
        <w:rPr>
          <w:rFonts w:ascii="Arial" w:cs="Arial" w:eastAsia="Arial" w:hAnsi="Arial"/>
          <w:sz w:val="17"/>
          <w:szCs w:val="17"/>
          <w:b w:val="1"/>
          <w:bCs w:val="1"/>
          <w:color w:val="auto"/>
        </w:rPr>
        <w:t>MASSMUTUAL SELECT FUNDS - MASSMUTUAL SELECT MID CAP</w:t>
      </w:r>
    </w:p>
    <w:p>
      <w:pPr>
        <w:spacing w:after="0" w:line="11" w:lineRule="exact"/>
        <w:rPr>
          <w:sz w:val="20"/>
          <w:szCs w:val="20"/>
          <w:color w:val="auto"/>
        </w:rPr>
      </w:pPr>
    </w:p>
    <w:p>
      <w:pPr>
        <w:ind w:left="3460"/>
        <w:spacing w:after="0"/>
        <w:rPr>
          <w:sz w:val="20"/>
          <w:szCs w:val="20"/>
          <w:color w:val="auto"/>
        </w:rPr>
      </w:pPr>
      <w:r>
        <w:rPr>
          <w:rFonts w:ascii="Arial" w:cs="Arial" w:eastAsia="Arial" w:hAnsi="Arial"/>
          <w:sz w:val="17"/>
          <w:szCs w:val="17"/>
          <w:b w:val="1"/>
          <w:bCs w:val="1"/>
          <w:color w:val="auto"/>
        </w:rPr>
        <w:t>GROWTH FUND</w:t>
      </w:r>
    </w:p>
    <w:p>
      <w:pPr>
        <w:spacing w:after="0" w:line="11" w:lineRule="exact"/>
        <w:rPr>
          <w:sz w:val="20"/>
          <w:szCs w:val="20"/>
          <w:color w:val="auto"/>
        </w:rPr>
      </w:pPr>
    </w:p>
    <w:p>
      <w:pPr>
        <w:ind w:left="3460"/>
        <w:spacing w:after="0"/>
        <w:rPr>
          <w:sz w:val="20"/>
          <w:szCs w:val="20"/>
          <w:color w:val="auto"/>
        </w:rPr>
      </w:pPr>
      <w:r>
        <w:rPr>
          <w:rFonts w:ascii="Arial" w:cs="Arial" w:eastAsia="Arial" w:hAnsi="Arial"/>
          <w:sz w:val="17"/>
          <w:szCs w:val="17"/>
          <w:b w:val="1"/>
          <w:bCs w:val="1"/>
          <w:color w:val="auto"/>
        </w:rPr>
        <w:t>SAINT-GOBAIN CORPORATION</w:t>
      </w:r>
    </w:p>
    <w:p>
      <w:pPr>
        <w:spacing w:after="0" w:line="11" w:lineRule="exact"/>
        <w:rPr>
          <w:sz w:val="20"/>
          <w:szCs w:val="20"/>
          <w:color w:val="auto"/>
        </w:rPr>
      </w:pPr>
    </w:p>
    <w:p>
      <w:pPr>
        <w:ind w:left="3460"/>
        <w:spacing w:after="0"/>
        <w:rPr>
          <w:sz w:val="20"/>
          <w:szCs w:val="20"/>
          <w:color w:val="auto"/>
        </w:rPr>
      </w:pPr>
      <w:r>
        <w:rPr>
          <w:rFonts w:ascii="Arial" w:cs="Arial" w:eastAsia="Arial" w:hAnsi="Arial"/>
          <w:sz w:val="17"/>
          <w:szCs w:val="17"/>
          <w:b w:val="1"/>
          <w:bCs w:val="1"/>
          <w:color w:val="auto"/>
        </w:rPr>
        <w:t>MARRIOTT INTERNATIONAL, INC. POOLED INVESTMENT TRUST FOR</w:t>
      </w:r>
    </w:p>
    <w:p>
      <w:pPr>
        <w:spacing w:after="0" w:line="11" w:lineRule="exact"/>
        <w:rPr>
          <w:sz w:val="20"/>
          <w:szCs w:val="20"/>
          <w:color w:val="auto"/>
        </w:rPr>
      </w:pPr>
    </w:p>
    <w:p>
      <w:pPr>
        <w:ind w:left="3460"/>
        <w:spacing w:after="0"/>
        <w:rPr>
          <w:sz w:val="20"/>
          <w:szCs w:val="20"/>
          <w:color w:val="auto"/>
        </w:rPr>
      </w:pPr>
      <w:r>
        <w:rPr>
          <w:rFonts w:ascii="Arial" w:cs="Arial" w:eastAsia="Arial" w:hAnsi="Arial"/>
          <w:sz w:val="17"/>
          <w:szCs w:val="17"/>
          <w:b w:val="1"/>
          <w:bCs w:val="1"/>
          <w:color w:val="auto"/>
        </w:rPr>
        <w:t>PARTICIPANT DIRECTED ACCOUNTS</w:t>
      </w:r>
    </w:p>
    <w:p>
      <w:pPr>
        <w:spacing w:after="0" w:line="11" w:lineRule="exact"/>
        <w:rPr>
          <w:sz w:val="20"/>
          <w:szCs w:val="20"/>
          <w:color w:val="auto"/>
        </w:rPr>
      </w:pPr>
    </w:p>
    <w:p>
      <w:pPr>
        <w:ind w:left="3460"/>
        <w:spacing w:after="0"/>
        <w:rPr>
          <w:sz w:val="20"/>
          <w:szCs w:val="20"/>
          <w:color w:val="auto"/>
        </w:rPr>
      </w:pPr>
      <w:r>
        <w:rPr>
          <w:rFonts w:ascii="Arial" w:cs="Arial" w:eastAsia="Arial" w:hAnsi="Arial"/>
          <w:sz w:val="17"/>
          <w:szCs w:val="17"/>
          <w:b w:val="1"/>
          <w:bCs w:val="1"/>
          <w:color w:val="auto"/>
        </w:rPr>
        <w:t>BRIGHTHOUSE FUNDS TRUST I - T. ROWE PRICE MID CAP</w:t>
      </w:r>
    </w:p>
    <w:p>
      <w:pPr>
        <w:spacing w:after="0" w:line="11" w:lineRule="exact"/>
        <w:rPr>
          <w:sz w:val="20"/>
          <w:szCs w:val="20"/>
          <w:color w:val="auto"/>
        </w:rPr>
      </w:pPr>
    </w:p>
    <w:p>
      <w:pPr>
        <w:ind w:left="3460"/>
        <w:spacing w:after="0"/>
        <w:rPr>
          <w:sz w:val="20"/>
          <w:szCs w:val="20"/>
          <w:color w:val="auto"/>
        </w:rPr>
      </w:pPr>
      <w:r>
        <w:rPr>
          <w:rFonts w:ascii="Arial" w:cs="Arial" w:eastAsia="Arial" w:hAnsi="Arial"/>
          <w:sz w:val="17"/>
          <w:szCs w:val="17"/>
          <w:b w:val="1"/>
          <w:bCs w:val="1"/>
          <w:color w:val="auto"/>
        </w:rPr>
        <w:t>GROWTH PORTFOLIO</w:t>
      </w:r>
    </w:p>
    <w:p>
      <w:pPr>
        <w:spacing w:after="0" w:line="11" w:lineRule="exact"/>
        <w:rPr>
          <w:sz w:val="20"/>
          <w:szCs w:val="20"/>
          <w:color w:val="auto"/>
        </w:rPr>
      </w:pPr>
    </w:p>
    <w:p>
      <w:pPr>
        <w:ind w:left="3460"/>
        <w:spacing w:after="0"/>
        <w:rPr>
          <w:sz w:val="20"/>
          <w:szCs w:val="20"/>
          <w:color w:val="auto"/>
        </w:rPr>
      </w:pPr>
      <w:r>
        <w:rPr>
          <w:rFonts w:ascii="Arial" w:cs="Arial" w:eastAsia="Arial" w:hAnsi="Arial"/>
          <w:sz w:val="17"/>
          <w:szCs w:val="17"/>
          <w:b w:val="1"/>
          <w:bCs w:val="1"/>
          <w:color w:val="auto"/>
        </w:rPr>
        <w:t>MML SERIES INVESTMENT FUND - MML MID CAP GROWTH FUND</w:t>
      </w:r>
    </w:p>
    <w:p>
      <w:pPr>
        <w:spacing w:after="0" w:line="11" w:lineRule="exact"/>
        <w:rPr>
          <w:sz w:val="20"/>
          <w:szCs w:val="20"/>
          <w:color w:val="auto"/>
        </w:rPr>
      </w:pPr>
    </w:p>
    <w:p>
      <w:pPr>
        <w:ind w:left="3460"/>
        <w:spacing w:after="0"/>
        <w:rPr>
          <w:sz w:val="20"/>
          <w:szCs w:val="20"/>
          <w:color w:val="auto"/>
        </w:rPr>
      </w:pPr>
      <w:r>
        <w:rPr>
          <w:rFonts w:ascii="Arial" w:cs="Arial" w:eastAsia="Arial" w:hAnsi="Arial"/>
          <w:sz w:val="17"/>
          <w:szCs w:val="17"/>
          <w:b w:val="1"/>
          <w:bCs w:val="1"/>
          <w:color w:val="auto"/>
        </w:rPr>
        <w:t>T. ROWE PRICE U.S. EQUITIES TRUST</w:t>
      </w:r>
    </w:p>
    <w:p>
      <w:pPr>
        <w:spacing w:after="0" w:line="11" w:lineRule="exact"/>
        <w:rPr>
          <w:sz w:val="20"/>
          <w:szCs w:val="20"/>
          <w:color w:val="auto"/>
        </w:rPr>
      </w:pPr>
    </w:p>
    <w:p>
      <w:pPr>
        <w:ind w:left="3460"/>
        <w:spacing w:after="0"/>
        <w:rPr>
          <w:sz w:val="20"/>
          <w:szCs w:val="20"/>
          <w:color w:val="auto"/>
        </w:rPr>
      </w:pPr>
      <w:r>
        <w:rPr>
          <w:rFonts w:ascii="Arial" w:cs="Arial" w:eastAsia="Arial" w:hAnsi="Arial"/>
          <w:sz w:val="17"/>
          <w:szCs w:val="17"/>
          <w:b w:val="1"/>
          <w:bCs w:val="1"/>
          <w:color w:val="auto"/>
        </w:rPr>
        <w:t>T. ROWE PRICE U.S. MID-CAP GROWTH EQUITY TRUST L’OREAL USA, INC.</w:t>
      </w:r>
    </w:p>
    <w:p>
      <w:pPr>
        <w:spacing w:after="0" w:line="11" w:lineRule="exact"/>
        <w:rPr>
          <w:sz w:val="20"/>
          <w:szCs w:val="20"/>
          <w:color w:val="auto"/>
        </w:rPr>
      </w:pPr>
    </w:p>
    <w:p>
      <w:pPr>
        <w:ind w:left="3460"/>
        <w:spacing w:after="0"/>
        <w:rPr>
          <w:sz w:val="20"/>
          <w:szCs w:val="20"/>
          <w:color w:val="auto"/>
        </w:rPr>
      </w:pPr>
      <w:r>
        <w:rPr>
          <w:rFonts w:ascii="Arial" w:cs="Arial" w:eastAsia="Arial" w:hAnsi="Arial"/>
          <w:sz w:val="17"/>
          <w:szCs w:val="17"/>
          <w:b w:val="1"/>
          <w:bCs w:val="1"/>
          <w:color w:val="auto"/>
        </w:rPr>
        <w:t>EMPLOYEE RETIREMENT SAVINGS PLAN COSTCO 401(K) RETIREMENT</w:t>
      </w:r>
    </w:p>
    <w:p>
      <w:pPr>
        <w:spacing w:after="0" w:line="11" w:lineRule="exact"/>
        <w:rPr>
          <w:sz w:val="20"/>
          <w:szCs w:val="20"/>
          <w:color w:val="auto"/>
        </w:rPr>
      </w:pPr>
    </w:p>
    <w:p>
      <w:pPr>
        <w:ind w:left="3460"/>
        <w:spacing w:after="0"/>
        <w:rPr>
          <w:sz w:val="20"/>
          <w:szCs w:val="20"/>
          <w:color w:val="auto"/>
        </w:rPr>
      </w:pPr>
      <w:r>
        <w:rPr>
          <w:rFonts w:ascii="Arial" w:cs="Arial" w:eastAsia="Arial" w:hAnsi="Arial"/>
          <w:sz w:val="17"/>
          <w:szCs w:val="17"/>
          <w:b w:val="1"/>
          <w:bCs w:val="1"/>
          <w:color w:val="auto"/>
        </w:rPr>
        <w:t>PLAN</w:t>
      </w:r>
    </w:p>
    <w:p>
      <w:pPr>
        <w:spacing w:after="0" w:line="11" w:lineRule="exact"/>
        <w:rPr>
          <w:sz w:val="20"/>
          <w:szCs w:val="20"/>
          <w:color w:val="auto"/>
        </w:rPr>
      </w:pPr>
    </w:p>
    <w:p>
      <w:pPr>
        <w:ind w:left="3460"/>
        <w:spacing w:after="0"/>
        <w:rPr>
          <w:sz w:val="20"/>
          <w:szCs w:val="20"/>
          <w:color w:val="auto"/>
        </w:rPr>
      </w:pPr>
      <w:r>
        <w:rPr>
          <w:rFonts w:ascii="Arial" w:cs="Arial" w:eastAsia="Arial" w:hAnsi="Arial"/>
          <w:sz w:val="17"/>
          <w:szCs w:val="17"/>
          <w:b w:val="1"/>
          <w:bCs w:val="1"/>
          <w:color w:val="auto"/>
        </w:rPr>
        <w:t>MASSMUTUAL SELECT FUNDS - MASSMUTUAL SELECT T. ROWE PRICE</w:t>
      </w:r>
    </w:p>
    <w:p>
      <w:pPr>
        <w:spacing w:after="0" w:line="11" w:lineRule="exact"/>
        <w:rPr>
          <w:sz w:val="20"/>
          <w:szCs w:val="20"/>
          <w:color w:val="auto"/>
        </w:rPr>
      </w:pPr>
    </w:p>
    <w:p>
      <w:pPr>
        <w:ind w:left="3460"/>
        <w:spacing w:after="0"/>
        <w:rPr>
          <w:sz w:val="20"/>
          <w:szCs w:val="20"/>
          <w:color w:val="auto"/>
        </w:rPr>
      </w:pPr>
      <w:r>
        <w:rPr>
          <w:rFonts w:ascii="Arial" w:cs="Arial" w:eastAsia="Arial" w:hAnsi="Arial"/>
          <w:sz w:val="17"/>
          <w:szCs w:val="17"/>
          <w:b w:val="1"/>
          <w:bCs w:val="1"/>
          <w:color w:val="auto"/>
        </w:rPr>
        <w:t>SMALL AND MID CAP BLEND FUND</w:t>
      </w:r>
    </w:p>
    <w:p>
      <w:pPr>
        <w:spacing w:after="0" w:line="11" w:lineRule="exact"/>
        <w:rPr>
          <w:sz w:val="20"/>
          <w:szCs w:val="20"/>
          <w:color w:val="auto"/>
        </w:rPr>
      </w:pPr>
    </w:p>
    <w:p>
      <w:pPr>
        <w:ind w:left="3460"/>
        <w:spacing w:after="0"/>
        <w:rPr>
          <w:sz w:val="20"/>
          <w:szCs w:val="20"/>
          <w:color w:val="auto"/>
        </w:rPr>
      </w:pPr>
      <w:r>
        <w:rPr>
          <w:rFonts w:ascii="Arial" w:cs="Arial" w:eastAsia="Arial" w:hAnsi="Arial"/>
          <w:sz w:val="17"/>
          <w:szCs w:val="17"/>
          <w:color w:val="auto"/>
        </w:rPr>
        <w:t>Each account, severally not jointly</w:t>
      </w:r>
    </w:p>
    <w:p>
      <w:pPr>
        <w:spacing w:after="0" w:line="206" w:lineRule="exact"/>
        <w:rPr>
          <w:sz w:val="20"/>
          <w:szCs w:val="20"/>
          <w:color w:val="auto"/>
        </w:rPr>
      </w:pPr>
    </w:p>
    <w:p>
      <w:pPr>
        <w:ind w:left="3460"/>
        <w:spacing w:after="0"/>
        <w:rPr>
          <w:sz w:val="20"/>
          <w:szCs w:val="20"/>
          <w:color w:val="auto"/>
        </w:rPr>
      </w:pPr>
      <w:r>
        <w:rPr>
          <w:rFonts w:ascii="Arial" w:cs="Arial" w:eastAsia="Arial" w:hAnsi="Arial"/>
          <w:sz w:val="17"/>
          <w:szCs w:val="17"/>
          <w:color w:val="auto"/>
        </w:rPr>
        <w:t>By: T. Rowe Price Associates, Inc.,</w:t>
      </w:r>
    </w:p>
    <w:p>
      <w:pPr>
        <w:spacing w:after="0" w:line="22" w:lineRule="exact"/>
        <w:rPr>
          <w:sz w:val="20"/>
          <w:szCs w:val="20"/>
          <w:color w:val="auto"/>
        </w:rPr>
      </w:pPr>
    </w:p>
    <w:p>
      <w:pPr>
        <w:ind w:left="3460"/>
        <w:spacing w:after="0"/>
        <w:rPr>
          <w:sz w:val="20"/>
          <w:szCs w:val="20"/>
          <w:color w:val="auto"/>
        </w:rPr>
      </w:pPr>
      <w:r>
        <w:rPr>
          <w:rFonts w:ascii="Arial" w:cs="Arial" w:eastAsia="Arial" w:hAnsi="Arial"/>
          <w:sz w:val="17"/>
          <w:szCs w:val="17"/>
          <w:color w:val="auto"/>
        </w:rPr>
        <w:t>Investment Adviser or Subadviser, as applicable</w:t>
      </w:r>
    </w:p>
    <w:p>
      <w:pPr>
        <w:spacing w:after="0" w:line="219" w:lineRule="exact"/>
        <w:rPr>
          <w:sz w:val="20"/>
          <w:szCs w:val="20"/>
          <w:color w:val="auto"/>
        </w:rPr>
      </w:pPr>
    </w:p>
    <w:tbl>
      <w:tblPr>
        <w:tblLayout w:type="fixed"/>
        <w:tblInd w:w="3460" w:type="dxa"/>
        <w:tblCellMar>
          <w:top w:w="0" w:type="dxa"/>
          <w:left w:w="0" w:type="dxa"/>
          <w:bottom w:w="0" w:type="dxa"/>
          <w:right w:w="0" w:type="dxa"/>
        </w:tblCellMar>
      </w:tblPr>
      <w:tr>
        <w:trPr>
          <w:trHeight w:val="219"/>
        </w:trPr>
        <w:tc>
          <w:tcPr>
            <w:tcW w:w="840" w:type="dxa"/>
            <w:vAlign w:val="bottom"/>
          </w:tcPr>
          <w:p>
            <w:pPr>
              <w:spacing w:after="0"/>
              <w:rPr>
                <w:sz w:val="20"/>
                <w:szCs w:val="20"/>
                <w:color w:val="auto"/>
              </w:rPr>
            </w:pPr>
            <w:r>
              <w:rPr>
                <w:rFonts w:ascii="Arial" w:cs="Arial" w:eastAsia="Arial" w:hAnsi="Arial"/>
                <w:sz w:val="17"/>
                <w:szCs w:val="17"/>
                <w:color w:val="auto"/>
              </w:rPr>
              <w:t>By:</w:t>
            </w:r>
          </w:p>
        </w:tc>
        <w:tc>
          <w:tcPr>
            <w:tcW w:w="54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Brian Berghuis</w:t>
            </w:r>
          </w:p>
        </w:tc>
      </w:tr>
      <w:tr>
        <w:trPr>
          <w:trHeight w:val="212"/>
        </w:trPr>
        <w:tc>
          <w:tcPr>
            <w:tcW w:w="840" w:type="dxa"/>
            <w:vAlign w:val="bottom"/>
          </w:tcPr>
          <w:p>
            <w:pPr>
              <w:spacing w:after="0"/>
              <w:rPr>
                <w:sz w:val="20"/>
                <w:szCs w:val="20"/>
                <w:color w:val="auto"/>
              </w:rPr>
            </w:pPr>
            <w:r>
              <w:rPr>
                <w:rFonts w:ascii="Arial" w:cs="Arial" w:eastAsia="Arial" w:hAnsi="Arial"/>
                <w:sz w:val="17"/>
                <w:szCs w:val="17"/>
                <w:color w:val="auto"/>
              </w:rPr>
              <w:t>Name:</w:t>
            </w:r>
          </w:p>
        </w:tc>
        <w:tc>
          <w:tcPr>
            <w:tcW w:w="54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Brian Berghuis</w:t>
            </w:r>
          </w:p>
        </w:tc>
      </w:tr>
      <w:tr>
        <w:trPr>
          <w:trHeight w:val="210"/>
        </w:trPr>
        <w:tc>
          <w:tcPr>
            <w:tcW w:w="840" w:type="dxa"/>
            <w:vAlign w:val="bottom"/>
          </w:tcPr>
          <w:p>
            <w:pPr>
              <w:spacing w:after="0"/>
              <w:rPr>
                <w:sz w:val="20"/>
                <w:szCs w:val="20"/>
                <w:color w:val="auto"/>
              </w:rPr>
            </w:pPr>
            <w:r>
              <w:rPr>
                <w:rFonts w:ascii="Arial" w:cs="Arial" w:eastAsia="Arial" w:hAnsi="Arial"/>
                <w:sz w:val="17"/>
                <w:szCs w:val="17"/>
                <w:color w:val="auto"/>
              </w:rPr>
              <w:t>Title:</w:t>
            </w:r>
          </w:p>
        </w:tc>
        <w:tc>
          <w:tcPr>
            <w:tcW w:w="5480" w:type="dxa"/>
            <w:vAlign w:val="bottom"/>
          </w:tcPr>
          <w:p>
            <w:pPr>
              <w:spacing w:after="0"/>
              <w:rPr>
                <w:sz w:val="20"/>
                <w:szCs w:val="20"/>
                <w:color w:val="auto"/>
              </w:rPr>
            </w:pPr>
            <w:r>
              <w:rPr>
                <w:rFonts w:ascii="Arial" w:cs="Arial" w:eastAsia="Arial" w:hAnsi="Arial"/>
                <w:sz w:val="17"/>
                <w:szCs w:val="17"/>
                <w:color w:val="auto"/>
              </w:rPr>
              <w:t>Vice President</w:t>
            </w:r>
          </w:p>
        </w:tc>
      </w:tr>
      <w:tr>
        <w:trPr>
          <w:trHeight w:val="413"/>
        </w:trPr>
        <w:tc>
          <w:tcPr>
            <w:tcW w:w="840" w:type="dxa"/>
            <w:vAlign w:val="bottom"/>
          </w:tcPr>
          <w:p>
            <w:pPr>
              <w:spacing w:after="0"/>
              <w:rPr>
                <w:sz w:val="20"/>
                <w:szCs w:val="20"/>
                <w:color w:val="auto"/>
              </w:rPr>
            </w:pPr>
            <w:r>
              <w:rPr>
                <w:rFonts w:ascii="Arial" w:cs="Arial" w:eastAsia="Arial" w:hAnsi="Arial"/>
                <w:sz w:val="17"/>
                <w:szCs w:val="17"/>
                <w:color w:val="auto"/>
              </w:rPr>
              <w:t>Address:</w:t>
            </w:r>
          </w:p>
        </w:tc>
        <w:tc>
          <w:tcPr>
            <w:tcW w:w="5480" w:type="dxa"/>
            <w:vAlign w:val="bottom"/>
          </w:tcPr>
          <w:p>
            <w:pPr>
              <w:spacing w:after="0"/>
              <w:rPr>
                <w:sz w:val="24"/>
                <w:szCs w:val="24"/>
                <w:color w:val="auto"/>
              </w:rPr>
            </w:pPr>
          </w:p>
        </w:tc>
      </w:tr>
    </w:tbl>
    <w:p>
      <w:pPr>
        <w:spacing w:after="0" w:line="195" w:lineRule="exact"/>
        <w:rPr>
          <w:sz w:val="20"/>
          <w:szCs w:val="20"/>
          <w:color w:val="auto"/>
        </w:rPr>
      </w:pPr>
    </w:p>
    <w:p>
      <w:pPr>
        <w:ind w:left="3460"/>
        <w:spacing w:after="0"/>
        <w:rPr>
          <w:sz w:val="20"/>
          <w:szCs w:val="20"/>
          <w:color w:val="auto"/>
        </w:rPr>
      </w:pPr>
      <w:r>
        <w:rPr>
          <w:rFonts w:ascii="Arial" w:cs="Arial" w:eastAsia="Arial" w:hAnsi="Arial"/>
          <w:sz w:val="17"/>
          <w:szCs w:val="17"/>
          <w:color w:val="auto"/>
        </w:rPr>
        <w:t>T. Rowe Price Associates, Inc.</w:t>
      </w:r>
    </w:p>
    <w:p>
      <w:pPr>
        <w:spacing w:after="0" w:line="22" w:lineRule="exact"/>
        <w:rPr>
          <w:sz w:val="20"/>
          <w:szCs w:val="20"/>
          <w:color w:val="auto"/>
        </w:rPr>
      </w:pPr>
    </w:p>
    <w:p>
      <w:pPr>
        <w:ind w:left="3460"/>
        <w:spacing w:after="0"/>
        <w:rPr>
          <w:sz w:val="20"/>
          <w:szCs w:val="20"/>
          <w:color w:val="auto"/>
        </w:rPr>
      </w:pPr>
      <w:r>
        <w:rPr>
          <w:rFonts w:ascii="Arial" w:cs="Arial" w:eastAsia="Arial" w:hAnsi="Arial"/>
          <w:sz w:val="17"/>
          <w:szCs w:val="17"/>
          <w:color w:val="auto"/>
        </w:rPr>
        <w:t>l 00 East Pratt Street Baltimore, MD 21202</w:t>
      </w:r>
    </w:p>
    <w:p>
      <w:pPr>
        <w:spacing w:after="0" w:line="13" w:lineRule="exact"/>
        <w:rPr>
          <w:sz w:val="20"/>
          <w:szCs w:val="20"/>
          <w:color w:val="auto"/>
        </w:rPr>
      </w:pPr>
    </w:p>
    <w:p>
      <w:pPr>
        <w:ind w:left="3460"/>
        <w:spacing w:after="0"/>
        <w:rPr>
          <w:sz w:val="20"/>
          <w:szCs w:val="20"/>
          <w:color w:val="auto"/>
        </w:rPr>
      </w:pPr>
      <w:r>
        <w:rPr>
          <w:rFonts w:ascii="Arial" w:cs="Arial" w:eastAsia="Arial" w:hAnsi="Arial"/>
          <w:sz w:val="17"/>
          <w:szCs w:val="17"/>
          <w:color w:val="auto"/>
        </w:rPr>
        <w:t>Attn.: Andrew Baek, Vice President and Senior Legal Counsel</w:t>
      </w:r>
    </w:p>
    <w:p>
      <w:pPr>
        <w:spacing w:after="0" w:line="22" w:lineRule="exact"/>
        <w:rPr>
          <w:sz w:val="20"/>
          <w:szCs w:val="20"/>
          <w:color w:val="auto"/>
        </w:rPr>
      </w:pPr>
    </w:p>
    <w:p>
      <w:pPr>
        <w:ind w:left="3460"/>
        <w:spacing w:after="0"/>
        <w:rPr>
          <w:sz w:val="20"/>
          <w:szCs w:val="20"/>
          <w:color w:val="auto"/>
        </w:rPr>
      </w:pPr>
      <w:r>
        <w:rPr>
          <w:rFonts w:ascii="Arial" w:cs="Arial" w:eastAsia="Arial" w:hAnsi="Arial"/>
          <w:sz w:val="17"/>
          <w:szCs w:val="17"/>
          <w:color w:val="auto"/>
        </w:rPr>
        <w:t>Phone: 410-345-2090</w:t>
      </w:r>
    </w:p>
    <w:p>
      <w:pPr>
        <w:spacing w:after="0" w:line="13" w:lineRule="exact"/>
        <w:rPr>
          <w:sz w:val="20"/>
          <w:szCs w:val="20"/>
          <w:color w:val="auto"/>
        </w:rPr>
      </w:pPr>
    </w:p>
    <w:p>
      <w:pPr>
        <w:jc w:val="center"/>
        <w:ind w:right="200"/>
        <w:spacing w:after="0"/>
        <w:rPr>
          <w:sz w:val="20"/>
          <w:szCs w:val="20"/>
          <w:color w:val="auto"/>
        </w:rPr>
      </w:pPr>
      <w:r>
        <w:rPr>
          <w:rFonts w:ascii="Arial" w:cs="Arial" w:eastAsia="Arial" w:hAnsi="Arial"/>
          <w:sz w:val="17"/>
          <w:szCs w:val="17"/>
          <w:color w:val="auto"/>
        </w:rPr>
        <w:t>Email: andrew_baek@troweprice.com</w:t>
      </w:r>
    </w:p>
    <w:p>
      <w:pPr>
        <w:sectPr>
          <w:pgSz w:w="11900" w:h="16838" w:orient="portrait"/>
          <w:cols w:equalWidth="0" w:num="1">
            <w:col w:w="9780"/>
          </w:cols>
          <w:pgMar w:left="1440" w:top="269" w:right="679" w:bottom="1440" w:gutter="0" w:footer="0" w:header="0"/>
        </w:sectPr>
      </w:pPr>
    </w:p>
    <w:bookmarkStart w:id="43" w:name="page44"/>
    <w:bookmarkEnd w:id="43"/>
    <w:p>
      <w:pPr>
        <w:jc w:val="center"/>
        <w:ind w:right="180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7294880" cy="37465"/>
                    </a:xfrm>
                    <a:prstGeom prst="rect">
                      <a:avLst/>
                    </a:prstGeom>
                    <a:noFill/>
                  </pic:spPr>
                </pic:pic>
              </a:graphicData>
            </a:graphic>
          </wp:anchor>
        </w:drawing>
        <w:t>IN WITNESS WHEREOF, the parties to this Agreement have duly executed it as of the day and year first above written.</w:t>
      </w:r>
    </w:p>
    <w:p>
      <w:pPr>
        <w:spacing w:after="0" w:line="266" w:lineRule="exact"/>
        <w:rPr>
          <w:sz w:val="20"/>
          <w:szCs w:val="20"/>
          <w:color w:val="auto"/>
        </w:rPr>
      </w:pPr>
    </w:p>
    <w:p>
      <w:pPr>
        <w:ind w:left="3780"/>
        <w:spacing w:after="0"/>
        <w:rPr>
          <w:sz w:val="20"/>
          <w:szCs w:val="20"/>
          <w:color w:val="auto"/>
        </w:rPr>
      </w:pPr>
      <w:r>
        <w:rPr>
          <w:rFonts w:ascii="Arial" w:cs="Arial" w:eastAsia="Arial" w:hAnsi="Arial"/>
          <w:sz w:val="17"/>
          <w:szCs w:val="17"/>
          <w:color w:val="auto"/>
        </w:rPr>
        <w:t>BUYERS:</w:t>
      </w:r>
    </w:p>
    <w:p>
      <w:pPr>
        <w:spacing w:after="0" w:line="211" w:lineRule="exact"/>
        <w:rPr>
          <w:sz w:val="20"/>
          <w:szCs w:val="20"/>
          <w:color w:val="auto"/>
        </w:rPr>
      </w:pPr>
    </w:p>
    <w:p>
      <w:pPr>
        <w:ind w:left="3780"/>
        <w:spacing w:after="0"/>
        <w:rPr>
          <w:sz w:val="20"/>
          <w:szCs w:val="20"/>
          <w:color w:val="auto"/>
        </w:rPr>
      </w:pPr>
      <w:r>
        <w:rPr>
          <w:rFonts w:ascii="Arial" w:cs="Arial" w:eastAsia="Arial" w:hAnsi="Arial"/>
          <w:sz w:val="17"/>
          <w:szCs w:val="17"/>
          <w:b w:val="1"/>
          <w:bCs w:val="1"/>
          <w:color w:val="auto"/>
        </w:rPr>
        <w:t>BRIGHTHOUSE FUNDS TRUST II - T. ROWE PRICE SMALL CAP GROWTH</w:t>
      </w:r>
    </w:p>
    <w:p>
      <w:pPr>
        <w:spacing w:after="0" w:line="28" w:lineRule="exact"/>
        <w:rPr>
          <w:sz w:val="20"/>
          <w:szCs w:val="20"/>
          <w:color w:val="auto"/>
        </w:rPr>
      </w:pPr>
    </w:p>
    <w:p>
      <w:pPr>
        <w:ind w:left="3780"/>
        <w:spacing w:after="0"/>
        <w:rPr>
          <w:sz w:val="20"/>
          <w:szCs w:val="20"/>
          <w:color w:val="auto"/>
        </w:rPr>
      </w:pPr>
      <w:r>
        <w:rPr>
          <w:rFonts w:ascii="Arial" w:cs="Arial" w:eastAsia="Arial" w:hAnsi="Arial"/>
          <w:sz w:val="17"/>
          <w:szCs w:val="17"/>
          <w:b w:val="1"/>
          <w:bCs w:val="1"/>
          <w:color w:val="auto"/>
        </w:rPr>
        <w:t>PORTFOLIO</w:t>
      </w:r>
    </w:p>
    <w:p>
      <w:pPr>
        <w:spacing w:after="0" w:line="11" w:lineRule="exact"/>
        <w:rPr>
          <w:sz w:val="20"/>
          <w:szCs w:val="20"/>
          <w:color w:val="auto"/>
        </w:rPr>
      </w:pPr>
    </w:p>
    <w:p>
      <w:pPr>
        <w:ind w:left="3780"/>
        <w:spacing w:after="0"/>
        <w:rPr>
          <w:sz w:val="20"/>
          <w:szCs w:val="20"/>
          <w:color w:val="auto"/>
        </w:rPr>
      </w:pPr>
      <w:r>
        <w:rPr>
          <w:rFonts w:ascii="Arial" w:cs="Arial" w:eastAsia="Arial" w:hAnsi="Arial"/>
          <w:sz w:val="17"/>
          <w:szCs w:val="17"/>
          <w:b w:val="1"/>
          <w:bCs w:val="1"/>
          <w:color w:val="auto"/>
        </w:rPr>
        <w:t>T. ROWE PRICE QM U.S. SMALL-CAP GROWTH EQUITY FUND MASTER</w:t>
      </w:r>
    </w:p>
    <w:p>
      <w:pPr>
        <w:spacing w:after="0" w:line="11" w:lineRule="exact"/>
        <w:rPr>
          <w:sz w:val="20"/>
          <w:szCs w:val="20"/>
          <w:color w:val="auto"/>
        </w:rPr>
      </w:pPr>
    </w:p>
    <w:p>
      <w:pPr>
        <w:ind w:left="3780"/>
        <w:spacing w:after="0"/>
        <w:rPr>
          <w:sz w:val="20"/>
          <w:szCs w:val="20"/>
          <w:color w:val="auto"/>
        </w:rPr>
      </w:pPr>
      <w:r>
        <w:rPr>
          <w:rFonts w:ascii="Arial" w:cs="Arial" w:eastAsia="Arial" w:hAnsi="Arial"/>
          <w:sz w:val="17"/>
          <w:szCs w:val="17"/>
          <w:b w:val="1"/>
          <w:bCs w:val="1"/>
          <w:color w:val="auto"/>
        </w:rPr>
        <w:t>PENSION TRUST OF CSX CORPORATION AND</w:t>
      </w:r>
    </w:p>
    <w:p>
      <w:pPr>
        <w:spacing w:after="0" w:line="11" w:lineRule="exact"/>
        <w:rPr>
          <w:sz w:val="20"/>
          <w:szCs w:val="20"/>
          <w:color w:val="auto"/>
        </w:rPr>
      </w:pPr>
    </w:p>
    <w:p>
      <w:pPr>
        <w:ind w:left="3780"/>
        <w:spacing w:after="0"/>
        <w:rPr>
          <w:sz w:val="20"/>
          <w:szCs w:val="20"/>
          <w:color w:val="auto"/>
        </w:rPr>
      </w:pPr>
      <w:r>
        <w:rPr>
          <w:rFonts w:ascii="Arial" w:cs="Arial" w:eastAsia="Arial" w:hAnsi="Arial"/>
          <w:sz w:val="17"/>
          <w:szCs w:val="17"/>
          <w:b w:val="1"/>
          <w:bCs w:val="1"/>
          <w:color w:val="auto"/>
        </w:rPr>
        <w:t>AFFILIATED COMPANIES</w:t>
      </w:r>
    </w:p>
    <w:p>
      <w:pPr>
        <w:spacing w:after="0" w:line="11" w:lineRule="exact"/>
        <w:rPr>
          <w:sz w:val="20"/>
          <w:szCs w:val="20"/>
          <w:color w:val="auto"/>
        </w:rPr>
      </w:pPr>
    </w:p>
    <w:p>
      <w:pPr>
        <w:ind w:left="3780"/>
        <w:spacing w:after="0"/>
        <w:rPr>
          <w:sz w:val="20"/>
          <w:szCs w:val="20"/>
          <w:color w:val="auto"/>
        </w:rPr>
      </w:pPr>
      <w:r>
        <w:rPr>
          <w:rFonts w:ascii="Arial" w:cs="Arial" w:eastAsia="Arial" w:hAnsi="Arial"/>
          <w:sz w:val="17"/>
          <w:szCs w:val="17"/>
          <w:b w:val="1"/>
          <w:bCs w:val="1"/>
          <w:color w:val="auto"/>
        </w:rPr>
        <w:t>MULTI-MANAGERSMALL CAP GROWTH FUND</w:t>
      </w:r>
    </w:p>
    <w:p>
      <w:pPr>
        <w:spacing w:after="0" w:line="11" w:lineRule="exact"/>
        <w:rPr>
          <w:sz w:val="20"/>
          <w:szCs w:val="20"/>
          <w:color w:val="auto"/>
        </w:rPr>
      </w:pPr>
    </w:p>
    <w:p>
      <w:pPr>
        <w:ind w:left="3780"/>
        <w:spacing w:after="0"/>
        <w:rPr>
          <w:sz w:val="20"/>
          <w:szCs w:val="20"/>
          <w:color w:val="auto"/>
        </w:rPr>
      </w:pPr>
      <w:r>
        <w:rPr>
          <w:rFonts w:ascii="Arial" w:cs="Arial" w:eastAsia="Arial" w:hAnsi="Arial"/>
          <w:sz w:val="17"/>
          <w:szCs w:val="17"/>
          <w:b w:val="1"/>
          <w:bCs w:val="1"/>
          <w:color w:val="auto"/>
        </w:rPr>
        <w:t>T. ROWE PRICE QM U.S. SMALL &amp; MID-CAP CORE EQUITY FUND</w:t>
      </w:r>
    </w:p>
    <w:p>
      <w:pPr>
        <w:spacing w:after="0" w:line="11" w:lineRule="exact"/>
        <w:rPr>
          <w:sz w:val="20"/>
          <w:szCs w:val="20"/>
          <w:color w:val="auto"/>
        </w:rPr>
      </w:pPr>
    </w:p>
    <w:p>
      <w:pPr>
        <w:ind w:left="3780"/>
        <w:spacing w:after="0"/>
        <w:rPr>
          <w:sz w:val="20"/>
          <w:szCs w:val="20"/>
          <w:color w:val="auto"/>
        </w:rPr>
      </w:pPr>
      <w:r>
        <w:rPr>
          <w:rFonts w:ascii="Arial" w:cs="Arial" w:eastAsia="Arial" w:hAnsi="Arial"/>
          <w:sz w:val="17"/>
          <w:szCs w:val="17"/>
          <w:color w:val="auto"/>
        </w:rPr>
        <w:t>Each account, severally not jointly</w:t>
      </w:r>
    </w:p>
    <w:p>
      <w:pPr>
        <w:spacing w:after="0" w:line="206" w:lineRule="exact"/>
        <w:rPr>
          <w:sz w:val="20"/>
          <w:szCs w:val="20"/>
          <w:color w:val="auto"/>
        </w:rPr>
      </w:pPr>
    </w:p>
    <w:p>
      <w:pPr>
        <w:ind w:left="3780"/>
        <w:spacing w:after="0"/>
        <w:rPr>
          <w:sz w:val="20"/>
          <w:szCs w:val="20"/>
          <w:color w:val="auto"/>
        </w:rPr>
      </w:pPr>
      <w:r>
        <w:rPr>
          <w:rFonts w:ascii="Arial" w:cs="Arial" w:eastAsia="Arial" w:hAnsi="Arial"/>
          <w:sz w:val="17"/>
          <w:szCs w:val="17"/>
          <w:color w:val="auto"/>
        </w:rPr>
        <w:t>By: T. Rowe Price Associates, Inc.,</w:t>
      </w:r>
    </w:p>
    <w:p>
      <w:pPr>
        <w:spacing w:after="0" w:line="22" w:lineRule="exact"/>
        <w:rPr>
          <w:sz w:val="20"/>
          <w:szCs w:val="20"/>
          <w:color w:val="auto"/>
        </w:rPr>
      </w:pPr>
    </w:p>
    <w:p>
      <w:pPr>
        <w:ind w:left="3780"/>
        <w:spacing w:after="0"/>
        <w:rPr>
          <w:sz w:val="20"/>
          <w:szCs w:val="20"/>
          <w:color w:val="auto"/>
        </w:rPr>
      </w:pPr>
      <w:r>
        <w:rPr>
          <w:rFonts w:ascii="Arial" w:cs="Arial" w:eastAsia="Arial" w:hAnsi="Arial"/>
          <w:sz w:val="17"/>
          <w:szCs w:val="17"/>
          <w:color w:val="auto"/>
        </w:rPr>
        <w:t>Investment Adviser or Subadviser, as applicable</w:t>
      </w:r>
    </w:p>
    <w:p>
      <w:pPr>
        <w:spacing w:after="0" w:line="219" w:lineRule="exact"/>
        <w:rPr>
          <w:sz w:val="20"/>
          <w:szCs w:val="20"/>
          <w:color w:val="auto"/>
        </w:rPr>
      </w:pPr>
    </w:p>
    <w:tbl>
      <w:tblPr>
        <w:tblLayout w:type="fixed"/>
        <w:tblInd w:w="3780" w:type="dxa"/>
        <w:tblCellMar>
          <w:top w:w="0" w:type="dxa"/>
          <w:left w:w="0" w:type="dxa"/>
          <w:bottom w:w="0" w:type="dxa"/>
          <w:right w:w="0" w:type="dxa"/>
        </w:tblCellMar>
      </w:tblPr>
      <w:tr>
        <w:trPr>
          <w:trHeight w:val="219"/>
        </w:trPr>
        <w:tc>
          <w:tcPr>
            <w:tcW w:w="840" w:type="dxa"/>
            <w:vAlign w:val="bottom"/>
          </w:tcPr>
          <w:p>
            <w:pPr>
              <w:spacing w:after="0"/>
              <w:rPr>
                <w:sz w:val="20"/>
                <w:szCs w:val="20"/>
                <w:color w:val="auto"/>
              </w:rPr>
            </w:pPr>
            <w:r>
              <w:rPr>
                <w:rFonts w:ascii="Arial" w:cs="Arial" w:eastAsia="Arial" w:hAnsi="Arial"/>
                <w:sz w:val="17"/>
                <w:szCs w:val="17"/>
                <w:color w:val="auto"/>
              </w:rPr>
              <w:t>By:</w:t>
            </w:r>
          </w:p>
        </w:tc>
        <w:tc>
          <w:tcPr>
            <w:tcW w:w="54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Sudhir Nanda</w:t>
            </w:r>
          </w:p>
        </w:tc>
      </w:tr>
      <w:tr>
        <w:trPr>
          <w:trHeight w:val="212"/>
        </w:trPr>
        <w:tc>
          <w:tcPr>
            <w:tcW w:w="840" w:type="dxa"/>
            <w:vAlign w:val="bottom"/>
          </w:tcPr>
          <w:p>
            <w:pPr>
              <w:spacing w:after="0"/>
              <w:rPr>
                <w:sz w:val="20"/>
                <w:szCs w:val="20"/>
                <w:color w:val="auto"/>
              </w:rPr>
            </w:pPr>
            <w:r>
              <w:rPr>
                <w:rFonts w:ascii="Arial" w:cs="Arial" w:eastAsia="Arial" w:hAnsi="Arial"/>
                <w:sz w:val="17"/>
                <w:szCs w:val="17"/>
                <w:color w:val="auto"/>
              </w:rPr>
              <w:t>Name:</w:t>
            </w:r>
          </w:p>
        </w:tc>
        <w:tc>
          <w:tcPr>
            <w:tcW w:w="54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Sudhir Nanda</w:t>
            </w:r>
          </w:p>
        </w:tc>
      </w:tr>
      <w:tr>
        <w:trPr>
          <w:trHeight w:val="210"/>
        </w:trPr>
        <w:tc>
          <w:tcPr>
            <w:tcW w:w="840" w:type="dxa"/>
            <w:vAlign w:val="bottom"/>
          </w:tcPr>
          <w:p>
            <w:pPr>
              <w:spacing w:after="0"/>
              <w:rPr>
                <w:sz w:val="20"/>
                <w:szCs w:val="20"/>
                <w:color w:val="auto"/>
              </w:rPr>
            </w:pPr>
            <w:r>
              <w:rPr>
                <w:rFonts w:ascii="Arial" w:cs="Arial" w:eastAsia="Arial" w:hAnsi="Arial"/>
                <w:sz w:val="17"/>
                <w:szCs w:val="17"/>
                <w:color w:val="auto"/>
              </w:rPr>
              <w:t>Title:</w:t>
            </w:r>
          </w:p>
        </w:tc>
        <w:tc>
          <w:tcPr>
            <w:tcW w:w="5480" w:type="dxa"/>
            <w:vAlign w:val="bottom"/>
          </w:tcPr>
          <w:p>
            <w:pPr>
              <w:spacing w:after="0"/>
              <w:rPr>
                <w:sz w:val="20"/>
                <w:szCs w:val="20"/>
                <w:color w:val="auto"/>
              </w:rPr>
            </w:pPr>
            <w:r>
              <w:rPr>
                <w:rFonts w:ascii="Arial" w:cs="Arial" w:eastAsia="Arial" w:hAnsi="Arial"/>
                <w:sz w:val="17"/>
                <w:szCs w:val="17"/>
                <w:color w:val="auto"/>
              </w:rPr>
              <w:t>Vice President</w:t>
            </w:r>
          </w:p>
        </w:tc>
      </w:tr>
      <w:tr>
        <w:trPr>
          <w:trHeight w:val="413"/>
        </w:trPr>
        <w:tc>
          <w:tcPr>
            <w:tcW w:w="840" w:type="dxa"/>
            <w:vAlign w:val="bottom"/>
          </w:tcPr>
          <w:p>
            <w:pPr>
              <w:spacing w:after="0"/>
              <w:rPr>
                <w:sz w:val="20"/>
                <w:szCs w:val="20"/>
                <w:color w:val="auto"/>
              </w:rPr>
            </w:pPr>
            <w:r>
              <w:rPr>
                <w:rFonts w:ascii="Arial" w:cs="Arial" w:eastAsia="Arial" w:hAnsi="Arial"/>
                <w:sz w:val="17"/>
                <w:szCs w:val="17"/>
                <w:color w:val="auto"/>
              </w:rPr>
              <w:t>Address:</w:t>
            </w:r>
          </w:p>
        </w:tc>
        <w:tc>
          <w:tcPr>
            <w:tcW w:w="5480" w:type="dxa"/>
            <w:vAlign w:val="bottom"/>
          </w:tcPr>
          <w:p>
            <w:pPr>
              <w:spacing w:after="0"/>
              <w:rPr>
                <w:sz w:val="24"/>
                <w:szCs w:val="24"/>
                <w:color w:val="auto"/>
              </w:rPr>
            </w:pPr>
          </w:p>
        </w:tc>
      </w:tr>
    </w:tbl>
    <w:p>
      <w:pPr>
        <w:spacing w:after="0" w:line="195" w:lineRule="exact"/>
        <w:rPr>
          <w:sz w:val="20"/>
          <w:szCs w:val="20"/>
          <w:color w:val="auto"/>
        </w:rPr>
      </w:pPr>
    </w:p>
    <w:p>
      <w:pPr>
        <w:ind w:left="3780"/>
        <w:spacing w:after="0"/>
        <w:rPr>
          <w:sz w:val="20"/>
          <w:szCs w:val="20"/>
          <w:color w:val="auto"/>
        </w:rPr>
      </w:pPr>
      <w:r>
        <w:rPr>
          <w:rFonts w:ascii="Arial" w:cs="Arial" w:eastAsia="Arial" w:hAnsi="Arial"/>
          <w:sz w:val="17"/>
          <w:szCs w:val="17"/>
          <w:color w:val="auto"/>
        </w:rPr>
        <w:t>T. Rowe Price Associates, Inc.</w:t>
      </w:r>
    </w:p>
    <w:p>
      <w:pPr>
        <w:spacing w:after="0" w:line="22" w:lineRule="exact"/>
        <w:rPr>
          <w:sz w:val="20"/>
          <w:szCs w:val="20"/>
          <w:color w:val="auto"/>
        </w:rPr>
      </w:pPr>
    </w:p>
    <w:p>
      <w:pPr>
        <w:ind w:left="3780"/>
        <w:spacing w:after="0"/>
        <w:rPr>
          <w:sz w:val="20"/>
          <w:szCs w:val="20"/>
          <w:color w:val="auto"/>
        </w:rPr>
      </w:pPr>
      <w:r>
        <w:rPr>
          <w:rFonts w:ascii="Arial" w:cs="Arial" w:eastAsia="Arial" w:hAnsi="Arial"/>
          <w:sz w:val="17"/>
          <w:szCs w:val="17"/>
          <w:color w:val="auto"/>
        </w:rPr>
        <w:t>100 East Pratt Street Baltimore, MD 21202</w:t>
      </w:r>
    </w:p>
    <w:p>
      <w:pPr>
        <w:spacing w:after="0" w:line="13" w:lineRule="exact"/>
        <w:rPr>
          <w:sz w:val="20"/>
          <w:szCs w:val="20"/>
          <w:color w:val="auto"/>
        </w:rPr>
      </w:pPr>
    </w:p>
    <w:p>
      <w:pPr>
        <w:ind w:left="3780"/>
        <w:spacing w:after="0"/>
        <w:rPr>
          <w:sz w:val="20"/>
          <w:szCs w:val="20"/>
          <w:color w:val="auto"/>
        </w:rPr>
      </w:pPr>
      <w:r>
        <w:rPr>
          <w:rFonts w:ascii="Arial" w:cs="Arial" w:eastAsia="Arial" w:hAnsi="Arial"/>
          <w:sz w:val="17"/>
          <w:szCs w:val="17"/>
          <w:color w:val="auto"/>
        </w:rPr>
        <w:t>Attn.: Andrew Baek, Vice President and Senior Legal Counsel</w:t>
      </w:r>
    </w:p>
    <w:p>
      <w:pPr>
        <w:spacing w:after="0" w:line="22" w:lineRule="exact"/>
        <w:rPr>
          <w:sz w:val="20"/>
          <w:szCs w:val="20"/>
          <w:color w:val="auto"/>
        </w:rPr>
      </w:pPr>
    </w:p>
    <w:p>
      <w:pPr>
        <w:ind w:left="3780"/>
        <w:spacing w:after="0"/>
        <w:rPr>
          <w:sz w:val="20"/>
          <w:szCs w:val="20"/>
          <w:color w:val="auto"/>
        </w:rPr>
      </w:pPr>
      <w:r>
        <w:rPr>
          <w:rFonts w:ascii="Arial" w:cs="Arial" w:eastAsia="Arial" w:hAnsi="Arial"/>
          <w:sz w:val="17"/>
          <w:szCs w:val="17"/>
          <w:color w:val="auto"/>
        </w:rPr>
        <w:t>Phone: 410-345-2090</w:t>
      </w:r>
    </w:p>
    <w:p>
      <w:pPr>
        <w:spacing w:after="0" w:line="13"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Email: andrew_ baek@troweprice.com</w:t>
      </w:r>
    </w:p>
    <w:p>
      <w:pPr>
        <w:sectPr>
          <w:pgSz w:w="11900" w:h="16838" w:orient="portrait"/>
          <w:cols w:equalWidth="0" w:num="1">
            <w:col w:w="10100"/>
          </w:cols>
          <w:pgMar w:left="1120" w:top="269" w:right="679" w:bottom="1440" w:gutter="0" w:footer="0" w:header="0"/>
        </w:sectPr>
      </w:pPr>
    </w:p>
    <w:bookmarkStart w:id="44" w:name="page45"/>
    <w:bookmarkEnd w:id="44"/>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7294880" cy="37465"/>
                    </a:xfrm>
                    <a:prstGeom prst="rect">
                      <a:avLst/>
                    </a:prstGeom>
                    <a:noFill/>
                  </pic:spPr>
                </pic:pic>
              </a:graphicData>
            </a:graphic>
          </wp:anchor>
        </w:drawing>
        <w:t>IN WITNESS WHEREOF, the parties to this Agreement have duly executed it as of the day and year first above written.</w:t>
      </w:r>
    </w:p>
    <w:p>
      <w:pPr>
        <w:spacing w:after="0" w:line="243" w:lineRule="exact"/>
        <w:rPr>
          <w:sz w:val="20"/>
          <w:szCs w:val="20"/>
          <w:color w:val="auto"/>
        </w:rPr>
      </w:pPr>
    </w:p>
    <w:p>
      <w:pPr>
        <w:ind w:left="5060"/>
        <w:spacing w:after="0"/>
        <w:rPr>
          <w:sz w:val="20"/>
          <w:szCs w:val="20"/>
          <w:color w:val="auto"/>
        </w:rPr>
      </w:pPr>
      <w:r>
        <w:rPr>
          <w:rFonts w:ascii="Arial" w:cs="Arial" w:eastAsia="Arial" w:hAnsi="Arial"/>
          <w:sz w:val="17"/>
          <w:szCs w:val="17"/>
          <w:color w:val="auto"/>
        </w:rPr>
        <w:t>BUYERS:</w:t>
      </w:r>
    </w:p>
    <w:p>
      <w:pPr>
        <w:spacing w:after="0" w:line="108" w:lineRule="exact"/>
        <w:rPr>
          <w:sz w:val="20"/>
          <w:szCs w:val="20"/>
          <w:color w:val="auto"/>
        </w:rPr>
      </w:pPr>
    </w:p>
    <w:p>
      <w:pPr>
        <w:ind w:left="5060"/>
        <w:spacing w:after="0"/>
        <w:rPr>
          <w:sz w:val="20"/>
          <w:szCs w:val="20"/>
          <w:color w:val="auto"/>
        </w:rPr>
      </w:pPr>
      <w:r>
        <w:rPr>
          <w:rFonts w:ascii="Arial" w:cs="Arial" w:eastAsia="Arial" w:hAnsi="Arial"/>
          <w:sz w:val="17"/>
          <w:szCs w:val="17"/>
          <w:b w:val="1"/>
          <w:bCs w:val="1"/>
          <w:color w:val="auto"/>
        </w:rPr>
        <w:t>SEASONS SERIES TRUST- SA MULTI-MANAGED MID CAP</w:t>
      </w:r>
    </w:p>
    <w:p>
      <w:pPr>
        <w:spacing w:after="0" w:line="28" w:lineRule="exact"/>
        <w:rPr>
          <w:sz w:val="20"/>
          <w:szCs w:val="20"/>
          <w:color w:val="auto"/>
        </w:rPr>
      </w:pPr>
    </w:p>
    <w:p>
      <w:pPr>
        <w:ind w:left="5060"/>
        <w:spacing w:after="0"/>
        <w:rPr>
          <w:sz w:val="20"/>
          <w:szCs w:val="20"/>
          <w:color w:val="auto"/>
        </w:rPr>
      </w:pPr>
      <w:r>
        <w:rPr>
          <w:rFonts w:ascii="Arial" w:cs="Arial" w:eastAsia="Arial" w:hAnsi="Arial"/>
          <w:sz w:val="17"/>
          <w:szCs w:val="17"/>
          <w:b w:val="1"/>
          <w:bCs w:val="1"/>
          <w:color w:val="auto"/>
        </w:rPr>
        <w:t>GROWTH PORTFOLIO</w:t>
      </w:r>
    </w:p>
    <w:p>
      <w:pPr>
        <w:spacing w:after="0" w:line="11" w:lineRule="exact"/>
        <w:rPr>
          <w:sz w:val="20"/>
          <w:szCs w:val="20"/>
          <w:color w:val="auto"/>
        </w:rPr>
      </w:pPr>
    </w:p>
    <w:p>
      <w:pPr>
        <w:ind w:left="5060"/>
        <w:spacing w:after="0"/>
        <w:rPr>
          <w:sz w:val="20"/>
          <w:szCs w:val="20"/>
          <w:color w:val="auto"/>
        </w:rPr>
      </w:pPr>
      <w:r>
        <w:rPr>
          <w:rFonts w:ascii="Arial" w:cs="Arial" w:eastAsia="Arial" w:hAnsi="Arial"/>
          <w:sz w:val="17"/>
          <w:szCs w:val="17"/>
          <w:b w:val="1"/>
          <w:bCs w:val="1"/>
          <w:color w:val="auto"/>
        </w:rPr>
        <w:t>T. ROWE PRICE DIVERSIFIED MID-CAP GROWTH FUND,</w:t>
      </w:r>
    </w:p>
    <w:p>
      <w:pPr>
        <w:spacing w:after="0" w:line="11" w:lineRule="exact"/>
        <w:rPr>
          <w:sz w:val="20"/>
          <w:szCs w:val="20"/>
          <w:color w:val="auto"/>
        </w:rPr>
      </w:pPr>
    </w:p>
    <w:p>
      <w:pPr>
        <w:ind w:left="5060"/>
        <w:spacing w:after="0"/>
        <w:rPr>
          <w:sz w:val="20"/>
          <w:szCs w:val="20"/>
          <w:color w:val="auto"/>
        </w:rPr>
      </w:pPr>
      <w:r>
        <w:rPr>
          <w:rFonts w:ascii="Arial" w:cs="Arial" w:eastAsia="Arial" w:hAnsi="Arial"/>
          <w:sz w:val="17"/>
          <w:szCs w:val="17"/>
          <w:b w:val="1"/>
          <w:bCs w:val="1"/>
          <w:color w:val="auto"/>
        </w:rPr>
        <w:t>INC. LINCOLN VARIABLE INSURANCE PRODUCTS TRUST-</w:t>
      </w:r>
    </w:p>
    <w:p>
      <w:pPr>
        <w:spacing w:after="0" w:line="11" w:lineRule="exact"/>
        <w:rPr>
          <w:sz w:val="20"/>
          <w:szCs w:val="20"/>
          <w:color w:val="auto"/>
        </w:rPr>
      </w:pPr>
    </w:p>
    <w:p>
      <w:pPr>
        <w:ind w:left="5060"/>
        <w:spacing w:after="0"/>
        <w:rPr>
          <w:sz w:val="20"/>
          <w:szCs w:val="20"/>
          <w:color w:val="auto"/>
        </w:rPr>
      </w:pPr>
      <w:r>
        <w:rPr>
          <w:rFonts w:ascii="Arial" w:cs="Arial" w:eastAsia="Arial" w:hAnsi="Arial"/>
          <w:sz w:val="17"/>
          <w:szCs w:val="17"/>
          <w:b w:val="1"/>
          <w:bCs w:val="1"/>
          <w:color w:val="auto"/>
        </w:rPr>
        <w:t>LVIP T. ROWE PRICE STRUCTURED MID-CAP GROWTH</w:t>
      </w:r>
    </w:p>
    <w:p>
      <w:pPr>
        <w:spacing w:after="0" w:line="11" w:lineRule="exact"/>
        <w:rPr>
          <w:sz w:val="20"/>
          <w:szCs w:val="20"/>
          <w:color w:val="auto"/>
        </w:rPr>
      </w:pPr>
    </w:p>
    <w:p>
      <w:pPr>
        <w:ind w:left="5060"/>
        <w:spacing w:after="0"/>
        <w:rPr>
          <w:sz w:val="20"/>
          <w:szCs w:val="20"/>
          <w:color w:val="auto"/>
        </w:rPr>
      </w:pPr>
      <w:r>
        <w:rPr>
          <w:rFonts w:ascii="Arial" w:cs="Arial" w:eastAsia="Arial" w:hAnsi="Arial"/>
          <w:sz w:val="17"/>
          <w:szCs w:val="17"/>
          <w:b w:val="1"/>
          <w:bCs w:val="1"/>
          <w:color w:val="auto"/>
        </w:rPr>
        <w:t>FUND</w:t>
      </w:r>
    </w:p>
    <w:p>
      <w:pPr>
        <w:spacing w:after="0" w:line="11" w:lineRule="exact"/>
        <w:rPr>
          <w:sz w:val="20"/>
          <w:szCs w:val="20"/>
          <w:color w:val="auto"/>
        </w:rPr>
      </w:pPr>
    </w:p>
    <w:p>
      <w:pPr>
        <w:ind w:left="5060"/>
        <w:spacing w:after="0"/>
        <w:rPr>
          <w:sz w:val="20"/>
          <w:szCs w:val="20"/>
          <w:color w:val="auto"/>
        </w:rPr>
      </w:pPr>
      <w:r>
        <w:rPr>
          <w:rFonts w:ascii="Arial" w:cs="Arial" w:eastAsia="Arial" w:hAnsi="Arial"/>
          <w:sz w:val="17"/>
          <w:szCs w:val="17"/>
          <w:b w:val="1"/>
          <w:bCs w:val="1"/>
          <w:color w:val="auto"/>
        </w:rPr>
        <w:t>VOYA PARTNERS, INC.- VY T. ROWE PRICE DIVERSIFIED</w:t>
      </w:r>
    </w:p>
    <w:p>
      <w:pPr>
        <w:spacing w:after="0" w:line="11" w:lineRule="exact"/>
        <w:rPr>
          <w:sz w:val="20"/>
          <w:szCs w:val="20"/>
          <w:color w:val="auto"/>
        </w:rPr>
      </w:pPr>
    </w:p>
    <w:p>
      <w:pPr>
        <w:ind w:left="5060"/>
        <w:spacing w:after="0"/>
        <w:rPr>
          <w:sz w:val="20"/>
          <w:szCs w:val="20"/>
          <w:color w:val="auto"/>
        </w:rPr>
      </w:pPr>
      <w:r>
        <w:rPr>
          <w:rFonts w:ascii="Arial" w:cs="Arial" w:eastAsia="Arial" w:hAnsi="Arial"/>
          <w:sz w:val="17"/>
          <w:szCs w:val="17"/>
          <w:b w:val="1"/>
          <w:bCs w:val="1"/>
          <w:color w:val="auto"/>
        </w:rPr>
        <w:t>MID CAP GROWTH PORTFOLIO</w:t>
      </w:r>
    </w:p>
    <w:p>
      <w:pPr>
        <w:spacing w:after="0" w:line="11" w:lineRule="exact"/>
        <w:rPr>
          <w:sz w:val="20"/>
          <w:szCs w:val="20"/>
          <w:color w:val="auto"/>
        </w:rPr>
      </w:pPr>
    </w:p>
    <w:p>
      <w:pPr>
        <w:ind w:left="5060"/>
        <w:spacing w:after="0"/>
        <w:rPr>
          <w:sz w:val="20"/>
          <w:szCs w:val="20"/>
          <w:color w:val="auto"/>
        </w:rPr>
      </w:pPr>
      <w:r>
        <w:rPr>
          <w:rFonts w:ascii="Arial" w:cs="Arial" w:eastAsia="Arial" w:hAnsi="Arial"/>
          <w:sz w:val="17"/>
          <w:szCs w:val="17"/>
          <w:b w:val="1"/>
          <w:bCs w:val="1"/>
          <w:color w:val="auto"/>
        </w:rPr>
        <w:t>LINCOLN VARIABLE INSURANCE PRODUCTS TRUST- LVIP</w:t>
      </w:r>
    </w:p>
    <w:p>
      <w:pPr>
        <w:spacing w:after="0" w:line="11" w:lineRule="exact"/>
        <w:rPr>
          <w:sz w:val="20"/>
          <w:szCs w:val="20"/>
          <w:color w:val="auto"/>
        </w:rPr>
      </w:pPr>
    </w:p>
    <w:p>
      <w:pPr>
        <w:ind w:left="5060"/>
        <w:spacing w:after="0"/>
        <w:rPr>
          <w:sz w:val="20"/>
          <w:szCs w:val="20"/>
          <w:color w:val="auto"/>
        </w:rPr>
      </w:pPr>
      <w:r>
        <w:rPr>
          <w:rFonts w:ascii="Arial" w:cs="Arial" w:eastAsia="Arial" w:hAnsi="Arial"/>
          <w:sz w:val="17"/>
          <w:szCs w:val="17"/>
          <w:b w:val="1"/>
          <w:bCs w:val="1"/>
          <w:color w:val="auto"/>
        </w:rPr>
        <w:t>BLENDED MID CAP MANAGED VOLATILITY FUND</w:t>
      </w:r>
    </w:p>
    <w:p>
      <w:pPr>
        <w:spacing w:after="0" w:line="11" w:lineRule="exact"/>
        <w:rPr>
          <w:sz w:val="20"/>
          <w:szCs w:val="20"/>
          <w:color w:val="auto"/>
        </w:rPr>
      </w:pPr>
    </w:p>
    <w:p>
      <w:pPr>
        <w:ind w:left="5060"/>
        <w:spacing w:after="0"/>
        <w:rPr>
          <w:sz w:val="20"/>
          <w:szCs w:val="20"/>
          <w:color w:val="auto"/>
        </w:rPr>
      </w:pPr>
      <w:r>
        <w:rPr>
          <w:rFonts w:ascii="Arial" w:cs="Arial" w:eastAsia="Arial" w:hAnsi="Arial"/>
          <w:sz w:val="17"/>
          <w:szCs w:val="17"/>
          <w:b w:val="1"/>
          <w:bCs w:val="1"/>
          <w:color w:val="auto"/>
        </w:rPr>
        <w:t>T. ROWE PRICE TAX-EFFICIENTEQUITY FUND</w:t>
      </w:r>
    </w:p>
    <w:p>
      <w:pPr>
        <w:spacing w:after="0" w:line="11" w:lineRule="exact"/>
        <w:rPr>
          <w:sz w:val="20"/>
          <w:szCs w:val="20"/>
          <w:color w:val="auto"/>
        </w:rPr>
      </w:pPr>
    </w:p>
    <w:p>
      <w:pPr>
        <w:ind w:left="5060"/>
        <w:spacing w:after="0"/>
        <w:rPr>
          <w:sz w:val="20"/>
          <w:szCs w:val="20"/>
          <w:color w:val="auto"/>
        </w:rPr>
      </w:pPr>
      <w:r>
        <w:rPr>
          <w:rFonts w:ascii="Arial" w:cs="Arial" w:eastAsia="Arial" w:hAnsi="Arial"/>
          <w:sz w:val="17"/>
          <w:szCs w:val="17"/>
          <w:b w:val="1"/>
          <w:bCs w:val="1"/>
          <w:color w:val="auto"/>
        </w:rPr>
        <w:t xml:space="preserve">Each account, severally </w:t>
      </w:r>
      <w:r>
        <w:rPr>
          <w:rFonts w:ascii="Arial" w:cs="Arial" w:eastAsia="Arial" w:hAnsi="Arial"/>
          <w:sz w:val="17"/>
          <w:szCs w:val="17"/>
          <w:color w:val="auto"/>
        </w:rPr>
        <w:t>not jointly</w:t>
      </w:r>
    </w:p>
    <w:p>
      <w:pPr>
        <w:spacing w:after="0" w:line="206" w:lineRule="exact"/>
        <w:rPr>
          <w:sz w:val="20"/>
          <w:szCs w:val="20"/>
          <w:color w:val="auto"/>
        </w:rPr>
      </w:pPr>
    </w:p>
    <w:tbl>
      <w:tblPr>
        <w:tblLayout w:type="fixed"/>
        <w:tblInd w:w="5060" w:type="dxa"/>
        <w:tblCellMar>
          <w:top w:w="0" w:type="dxa"/>
          <w:left w:w="0" w:type="dxa"/>
          <w:bottom w:w="0" w:type="dxa"/>
          <w:right w:w="0" w:type="dxa"/>
        </w:tblCellMar>
      </w:tblPr>
      <w:tr>
        <w:trPr>
          <w:trHeight w:val="217"/>
        </w:trPr>
        <w:tc>
          <w:tcPr>
            <w:tcW w:w="660" w:type="dxa"/>
            <w:vAlign w:val="bottom"/>
          </w:tcPr>
          <w:p>
            <w:pPr>
              <w:spacing w:after="0"/>
              <w:rPr>
                <w:sz w:val="20"/>
                <w:szCs w:val="20"/>
                <w:color w:val="auto"/>
              </w:rPr>
            </w:pPr>
            <w:r>
              <w:rPr>
                <w:rFonts w:ascii="Arial" w:cs="Arial" w:eastAsia="Arial" w:hAnsi="Arial"/>
                <w:sz w:val="17"/>
                <w:szCs w:val="17"/>
                <w:color w:val="auto"/>
              </w:rPr>
              <w:t>By:</w:t>
            </w:r>
          </w:p>
        </w:tc>
        <w:tc>
          <w:tcPr>
            <w:tcW w:w="43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Don Easley</w:t>
            </w:r>
          </w:p>
        </w:tc>
      </w:tr>
      <w:tr>
        <w:trPr>
          <w:trHeight w:val="212"/>
        </w:trPr>
        <w:tc>
          <w:tcPr>
            <w:tcW w:w="660" w:type="dxa"/>
            <w:vAlign w:val="bottom"/>
          </w:tcPr>
          <w:p>
            <w:pPr>
              <w:spacing w:after="0"/>
              <w:rPr>
                <w:sz w:val="20"/>
                <w:szCs w:val="20"/>
                <w:color w:val="auto"/>
              </w:rPr>
            </w:pPr>
            <w:r>
              <w:rPr>
                <w:rFonts w:ascii="Arial" w:cs="Arial" w:eastAsia="Arial" w:hAnsi="Arial"/>
                <w:sz w:val="17"/>
                <w:szCs w:val="17"/>
                <w:color w:val="auto"/>
              </w:rPr>
              <w:t>Name:</w:t>
            </w:r>
          </w:p>
        </w:tc>
        <w:tc>
          <w:tcPr>
            <w:tcW w:w="43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Don Easley</w:t>
            </w:r>
          </w:p>
        </w:tc>
      </w:tr>
      <w:tr>
        <w:trPr>
          <w:trHeight w:val="212"/>
        </w:trPr>
        <w:tc>
          <w:tcPr>
            <w:tcW w:w="660" w:type="dxa"/>
            <w:vAlign w:val="bottom"/>
          </w:tcPr>
          <w:p>
            <w:pPr>
              <w:spacing w:after="0"/>
              <w:rPr>
                <w:sz w:val="20"/>
                <w:szCs w:val="20"/>
                <w:color w:val="auto"/>
              </w:rPr>
            </w:pPr>
            <w:r>
              <w:rPr>
                <w:rFonts w:ascii="Arial" w:cs="Arial" w:eastAsia="Arial" w:hAnsi="Arial"/>
                <w:sz w:val="17"/>
                <w:szCs w:val="17"/>
                <w:color w:val="auto"/>
              </w:rPr>
              <w:t>Title:</w:t>
            </w:r>
          </w:p>
        </w:tc>
        <w:tc>
          <w:tcPr>
            <w:tcW w:w="4380" w:type="dxa"/>
            <w:vAlign w:val="bottom"/>
          </w:tcPr>
          <w:p>
            <w:pPr>
              <w:spacing w:after="0"/>
              <w:rPr>
                <w:sz w:val="20"/>
                <w:szCs w:val="20"/>
                <w:color w:val="auto"/>
              </w:rPr>
            </w:pPr>
            <w:r>
              <w:rPr>
                <w:rFonts w:ascii="Arial" w:cs="Arial" w:eastAsia="Arial" w:hAnsi="Arial"/>
                <w:sz w:val="17"/>
                <w:szCs w:val="17"/>
                <w:color w:val="auto"/>
              </w:rPr>
              <w:t>Vice President</w:t>
            </w:r>
          </w:p>
        </w:tc>
      </w:tr>
    </w:tbl>
    <w:p>
      <w:pPr>
        <w:spacing w:after="0" w:line="195" w:lineRule="exact"/>
        <w:rPr>
          <w:sz w:val="20"/>
          <w:szCs w:val="20"/>
          <w:color w:val="auto"/>
        </w:rPr>
      </w:pPr>
    </w:p>
    <w:p>
      <w:pPr>
        <w:ind w:left="5060"/>
        <w:spacing w:after="0"/>
        <w:rPr>
          <w:sz w:val="20"/>
          <w:szCs w:val="20"/>
          <w:color w:val="auto"/>
        </w:rPr>
      </w:pPr>
      <w:r>
        <w:rPr>
          <w:rFonts w:ascii="Arial" w:cs="Arial" w:eastAsia="Arial" w:hAnsi="Arial"/>
          <w:sz w:val="17"/>
          <w:szCs w:val="17"/>
          <w:color w:val="auto"/>
        </w:rPr>
        <w:t>Address:</w:t>
      </w:r>
    </w:p>
    <w:p>
      <w:pPr>
        <w:spacing w:after="0" w:line="114" w:lineRule="exact"/>
        <w:rPr>
          <w:sz w:val="20"/>
          <w:szCs w:val="20"/>
          <w:color w:val="auto"/>
        </w:rPr>
      </w:pPr>
    </w:p>
    <w:p>
      <w:pPr>
        <w:ind w:left="5060"/>
        <w:spacing w:after="0"/>
        <w:rPr>
          <w:sz w:val="20"/>
          <w:szCs w:val="20"/>
          <w:color w:val="auto"/>
        </w:rPr>
      </w:pPr>
      <w:r>
        <w:rPr>
          <w:rFonts w:ascii="Arial" w:cs="Arial" w:eastAsia="Arial" w:hAnsi="Arial"/>
          <w:sz w:val="17"/>
          <w:szCs w:val="17"/>
          <w:color w:val="auto"/>
        </w:rPr>
        <w:t>T. Rowe Price Associates, Inc.</w:t>
      </w:r>
    </w:p>
    <w:p>
      <w:pPr>
        <w:spacing w:after="0" w:line="22" w:lineRule="exact"/>
        <w:rPr>
          <w:sz w:val="20"/>
          <w:szCs w:val="20"/>
          <w:color w:val="auto"/>
        </w:rPr>
      </w:pPr>
    </w:p>
    <w:p>
      <w:pPr>
        <w:ind w:left="5060"/>
        <w:spacing w:after="0"/>
        <w:rPr>
          <w:sz w:val="20"/>
          <w:szCs w:val="20"/>
          <w:color w:val="auto"/>
        </w:rPr>
      </w:pPr>
      <w:r>
        <w:rPr>
          <w:rFonts w:ascii="Arial" w:cs="Arial" w:eastAsia="Arial" w:hAnsi="Arial"/>
          <w:sz w:val="17"/>
          <w:szCs w:val="17"/>
          <w:color w:val="auto"/>
        </w:rPr>
        <w:t>100 East Pratt Street Baltimore, MD 21202</w:t>
      </w:r>
    </w:p>
    <w:p>
      <w:pPr>
        <w:spacing w:after="0" w:line="13" w:lineRule="exact"/>
        <w:rPr>
          <w:sz w:val="20"/>
          <w:szCs w:val="20"/>
          <w:color w:val="auto"/>
        </w:rPr>
      </w:pPr>
    </w:p>
    <w:p>
      <w:pPr>
        <w:ind w:left="5060"/>
        <w:spacing w:after="0"/>
        <w:rPr>
          <w:sz w:val="20"/>
          <w:szCs w:val="20"/>
          <w:color w:val="auto"/>
        </w:rPr>
      </w:pPr>
      <w:r>
        <w:rPr>
          <w:rFonts w:ascii="Arial" w:cs="Arial" w:eastAsia="Arial" w:hAnsi="Arial"/>
          <w:sz w:val="17"/>
          <w:szCs w:val="17"/>
          <w:color w:val="auto"/>
        </w:rPr>
        <w:t>Attn.: Andrew Baek, Vice President and Senior Legal</w:t>
      </w:r>
    </w:p>
    <w:p>
      <w:pPr>
        <w:spacing w:after="0" w:line="22" w:lineRule="exact"/>
        <w:rPr>
          <w:sz w:val="20"/>
          <w:szCs w:val="20"/>
          <w:color w:val="auto"/>
        </w:rPr>
      </w:pPr>
    </w:p>
    <w:p>
      <w:pPr>
        <w:ind w:left="5060"/>
        <w:spacing w:after="0"/>
        <w:rPr>
          <w:sz w:val="20"/>
          <w:szCs w:val="20"/>
          <w:color w:val="auto"/>
        </w:rPr>
      </w:pPr>
      <w:r>
        <w:rPr>
          <w:rFonts w:ascii="Arial" w:cs="Arial" w:eastAsia="Arial" w:hAnsi="Arial"/>
          <w:sz w:val="17"/>
          <w:szCs w:val="17"/>
          <w:color w:val="auto"/>
        </w:rPr>
        <w:t>Counsel</w:t>
      </w:r>
    </w:p>
    <w:p>
      <w:pPr>
        <w:spacing w:after="0" w:line="11" w:lineRule="exact"/>
        <w:rPr>
          <w:sz w:val="20"/>
          <w:szCs w:val="20"/>
          <w:color w:val="auto"/>
        </w:rPr>
      </w:pPr>
    </w:p>
    <w:p>
      <w:pPr>
        <w:ind w:left="5060"/>
        <w:spacing w:after="0"/>
        <w:rPr>
          <w:sz w:val="20"/>
          <w:szCs w:val="20"/>
          <w:color w:val="auto"/>
        </w:rPr>
      </w:pPr>
      <w:r>
        <w:rPr>
          <w:rFonts w:ascii="Arial" w:cs="Arial" w:eastAsia="Arial" w:hAnsi="Arial"/>
          <w:sz w:val="17"/>
          <w:szCs w:val="17"/>
          <w:color w:val="auto"/>
        </w:rPr>
        <w:t>Phone:410-345-2090</w:t>
      </w:r>
    </w:p>
    <w:p>
      <w:pPr>
        <w:spacing w:after="0" w:line="13" w:lineRule="exact"/>
        <w:rPr>
          <w:sz w:val="20"/>
          <w:szCs w:val="20"/>
          <w:color w:val="auto"/>
        </w:rPr>
      </w:pPr>
    </w:p>
    <w:p>
      <w:pPr>
        <w:ind w:left="5060"/>
        <w:spacing w:after="0"/>
        <w:rPr>
          <w:sz w:val="20"/>
          <w:szCs w:val="20"/>
          <w:color w:val="auto"/>
        </w:rPr>
      </w:pPr>
      <w:r>
        <w:rPr>
          <w:rFonts w:ascii="Arial" w:cs="Arial" w:eastAsia="Arial" w:hAnsi="Arial"/>
          <w:sz w:val="17"/>
          <w:szCs w:val="17"/>
          <w:color w:val="auto"/>
        </w:rPr>
        <w:t>Email: andrew_baek@troweprice.com</w:t>
      </w:r>
    </w:p>
    <w:p>
      <w:pPr>
        <w:sectPr>
          <w:pgSz w:w="11900" w:h="16838" w:orient="portrait"/>
          <w:cols w:equalWidth="0" w:num="1">
            <w:col w:w="10100"/>
          </w:cols>
          <w:pgMar w:left="1120" w:top="269" w:right="679" w:bottom="1440" w:gutter="0" w:footer="0" w:header="0"/>
        </w:sectPr>
      </w:pPr>
    </w:p>
    <w:bookmarkStart w:id="45" w:name="page46"/>
    <w:bookmarkEnd w:id="45"/>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7294880" cy="37465"/>
                    </a:xfrm>
                    <a:prstGeom prst="rect">
                      <a:avLst/>
                    </a:prstGeom>
                    <a:noFill/>
                  </pic:spPr>
                </pic:pic>
              </a:graphicData>
            </a:graphic>
          </wp:anchor>
        </w:drawing>
        <w:t>IN WITNESS WHEREOF, the parties to this Agreement have duly executed it as of the day and year first above written.</w:t>
      </w:r>
    </w:p>
    <w:p>
      <w:pPr>
        <w:spacing w:after="0" w:line="266"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COMPANY:</w:t>
      </w:r>
    </w:p>
    <w:p>
      <w:pPr>
        <w:spacing w:after="0" w:line="217"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ICU MEDICAL, INC.</w:t>
      </w:r>
    </w:p>
    <w:p>
      <w:pPr>
        <w:spacing w:after="0" w:line="217" w:lineRule="exact"/>
        <w:rPr>
          <w:sz w:val="20"/>
          <w:szCs w:val="20"/>
          <w:color w:val="auto"/>
        </w:rPr>
      </w:pPr>
    </w:p>
    <w:p>
      <w:pPr>
        <w:ind w:left="5900"/>
        <w:spacing w:after="0"/>
        <w:tabs>
          <w:tab w:leader="none" w:pos="642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Scott Lamb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4092575</wp:posOffset>
            </wp:positionH>
            <wp:positionV relativeFrom="paragraph">
              <wp:posOffset>14605</wp:posOffset>
            </wp:positionV>
            <wp:extent cx="23164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2316480" cy="8255"/>
                    </a:xfrm>
                    <a:prstGeom prst="rect">
                      <a:avLst/>
                    </a:prstGeom>
                    <a:noFill/>
                  </pic:spPr>
                </pic:pic>
              </a:graphicData>
            </a:graphic>
          </wp:anchor>
        </w:drawing>
      </w:r>
    </w:p>
    <w:p>
      <w:pPr>
        <w:spacing w:after="0" w:line="17"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Name: Scott Lamb</w:t>
      </w:r>
    </w:p>
    <w:p>
      <w:pPr>
        <w:spacing w:after="0" w:line="22" w:lineRule="exact"/>
        <w:rPr>
          <w:sz w:val="20"/>
          <w:szCs w:val="20"/>
          <w:color w:val="auto"/>
        </w:rPr>
      </w:pPr>
    </w:p>
    <w:p>
      <w:pPr>
        <w:ind w:left="5900"/>
        <w:spacing w:after="0"/>
        <w:tabs>
          <w:tab w:leader="none" w:pos="6420" w:val="left"/>
        </w:tabs>
        <w:rPr>
          <w:sz w:val="20"/>
          <w:szCs w:val="20"/>
          <w:color w:val="auto"/>
        </w:rPr>
      </w:pPr>
      <w:r>
        <w:rPr>
          <w:rFonts w:ascii="Arial" w:cs="Arial" w:eastAsia="Arial" w:hAnsi="Arial"/>
          <w:sz w:val="17"/>
          <w:szCs w:val="17"/>
          <w:color w:val="auto"/>
        </w:rPr>
        <w:t>Title:</w:t>
        <w:tab/>
        <w:t>CFO</w:t>
      </w:r>
    </w:p>
    <w:p>
      <w:pPr>
        <w:sectPr>
          <w:pgSz w:w="11900" w:h="16838" w:orient="portrait"/>
          <w:cols w:equalWidth="0" w:num="1">
            <w:col w:w="9339"/>
          </w:cols>
          <w:pgMar w:left="1120" w:top="269" w:right="1440" w:bottom="1440" w:gutter="0" w:footer="0" w:header="0"/>
        </w:sectPr>
      </w:pPr>
    </w:p>
    <w:bookmarkStart w:id="46" w:name="page47"/>
    <w:bookmarkEnd w:id="46"/>
    <w:p>
      <w:pPr>
        <w:jc w:val="center"/>
        <w:ind w:right="20"/>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7294880" cy="37465"/>
                    </a:xfrm>
                    <a:prstGeom prst="rect">
                      <a:avLst/>
                    </a:prstGeom>
                    <a:noFill/>
                  </pic:spPr>
                </pic:pic>
              </a:graphicData>
            </a:graphic>
          </wp:anchor>
        </w:drawing>
        <w:t>Exhibit A</w:t>
      </w: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u w:val="single" w:color="auto"/>
          <w:color w:val="auto"/>
        </w:rPr>
        <w:t>Buyers and Shares Purchased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16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1"/>
              </w:rPr>
              <w:t>Total Number of</w:t>
            </w:r>
          </w:p>
        </w:tc>
        <w:tc>
          <w:tcPr>
            <w:tcW w:w="100" w:type="dxa"/>
            <w:vAlign w:val="bottom"/>
          </w:tcPr>
          <w:p>
            <w:pPr>
              <w:spacing w:after="0"/>
              <w:rPr>
                <w:sz w:val="14"/>
                <w:szCs w:val="14"/>
                <w:color w:val="auto"/>
              </w:rPr>
            </w:pPr>
          </w:p>
        </w:tc>
        <w:tc>
          <w:tcPr>
            <w:tcW w:w="114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2"/>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5"/>
              </w:rPr>
              <w:t>Buyer</w:t>
            </w:r>
          </w:p>
        </w:tc>
        <w:tc>
          <w:tcPr>
            <w:tcW w:w="7260" w:type="dxa"/>
            <w:vAlign w:val="bottom"/>
            <w:vMerge w:val="restart"/>
          </w:tcPr>
          <w:p>
            <w:pPr>
              <w:spacing w:after="0"/>
              <w:rPr>
                <w:sz w:val="12"/>
                <w:szCs w:val="12"/>
                <w:color w:val="auto"/>
              </w:rPr>
            </w:pPr>
          </w:p>
        </w:tc>
        <w:tc>
          <w:tcPr>
            <w:tcW w:w="1660" w:type="dxa"/>
            <w:vAlign w:val="bottom"/>
            <w:gridSpan w:val="2"/>
          </w:tcPr>
          <w:p>
            <w:pPr>
              <w:jc w:val="center"/>
              <w:ind w:right="540"/>
              <w:spacing w:after="0" w:line="142" w:lineRule="exact"/>
              <w:rPr>
                <w:sz w:val="20"/>
                <w:szCs w:val="20"/>
                <w:color w:val="auto"/>
              </w:rPr>
            </w:pPr>
            <w:r>
              <w:rPr>
                <w:rFonts w:ascii="Arial" w:cs="Arial" w:eastAsia="Arial" w:hAnsi="Arial"/>
                <w:sz w:val="14"/>
                <w:szCs w:val="14"/>
                <w:b w:val="1"/>
                <w:bCs w:val="1"/>
                <w:color w:val="auto"/>
                <w:w w:val="87"/>
              </w:rPr>
              <w:t>Shares of Common</w:t>
            </w: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60" w:type="dxa"/>
            <w:vAlign w:val="bottom"/>
            <w:tcBorders>
              <w:bottom w:val="single" w:sz="8" w:color="auto"/>
            </w:tcBorders>
            <w:vMerge w:val="continue"/>
          </w:tcPr>
          <w:p>
            <w:pPr>
              <w:spacing w:after="0"/>
              <w:rPr>
                <w:sz w:val="14"/>
                <w:szCs w:val="14"/>
                <w:color w:val="auto"/>
              </w:rPr>
            </w:pPr>
          </w:p>
        </w:tc>
        <w:tc>
          <w:tcPr>
            <w:tcW w:w="7260" w:type="dxa"/>
            <w:vAlign w:val="bottom"/>
            <w:vMerge w:val="continue"/>
          </w:tcPr>
          <w:p>
            <w:pPr>
              <w:spacing w:after="0"/>
              <w:rPr>
                <w:sz w:val="14"/>
                <w:szCs w:val="14"/>
                <w:color w:val="auto"/>
              </w:rPr>
            </w:pPr>
          </w:p>
        </w:tc>
        <w:tc>
          <w:tcPr>
            <w:tcW w:w="1660" w:type="dxa"/>
            <w:vAlign w:val="bottom"/>
            <w:gridSpan w:val="2"/>
          </w:tcPr>
          <w:p>
            <w:pPr>
              <w:jc w:val="center"/>
              <w:ind w:right="520"/>
              <w:spacing w:after="0" w:line="151" w:lineRule="exact"/>
              <w:rPr>
                <w:sz w:val="20"/>
                <w:szCs w:val="20"/>
                <w:color w:val="auto"/>
              </w:rPr>
            </w:pPr>
            <w:r>
              <w:rPr>
                <w:rFonts w:ascii="Arial" w:cs="Arial" w:eastAsia="Arial" w:hAnsi="Arial"/>
                <w:sz w:val="14"/>
                <w:szCs w:val="14"/>
                <w:b w:val="1"/>
                <w:bCs w:val="1"/>
                <w:color w:val="auto"/>
                <w:w w:val="86"/>
              </w:rPr>
              <w:t>Stock Purchased</w:t>
            </w:r>
          </w:p>
        </w:tc>
        <w:tc>
          <w:tcPr>
            <w:tcW w:w="100" w:type="dxa"/>
            <w:vAlign w:val="bottom"/>
          </w:tcPr>
          <w:p>
            <w:pPr>
              <w:spacing w:after="0"/>
              <w:rPr>
                <w:sz w:val="14"/>
                <w:szCs w:val="14"/>
                <w:color w:val="auto"/>
              </w:rPr>
            </w:pPr>
          </w:p>
        </w:tc>
        <w:tc>
          <w:tcPr>
            <w:tcW w:w="1140" w:type="dxa"/>
            <w:vAlign w:val="bottom"/>
            <w:gridSpan w:val="2"/>
          </w:tcPr>
          <w:p>
            <w:pPr>
              <w:jc w:val="right"/>
              <w:ind w:right="200"/>
              <w:spacing w:after="0" w:line="151" w:lineRule="exact"/>
              <w:rPr>
                <w:sz w:val="20"/>
                <w:szCs w:val="20"/>
                <w:color w:val="auto"/>
              </w:rPr>
            </w:pPr>
            <w:r>
              <w:rPr>
                <w:rFonts w:ascii="Arial" w:cs="Arial" w:eastAsia="Arial" w:hAnsi="Arial"/>
                <w:sz w:val="14"/>
                <w:szCs w:val="14"/>
                <w:b w:val="1"/>
                <w:bCs w:val="1"/>
                <w:color w:val="auto"/>
                <w:w w:val="90"/>
              </w:rPr>
              <w:t>Purchase Price</w:t>
            </w:r>
          </w:p>
        </w:tc>
        <w:tc>
          <w:tcPr>
            <w:tcW w:w="0" w:type="dxa"/>
            <w:vAlign w:val="bottom"/>
          </w:tcPr>
          <w:p>
            <w:pPr>
              <w:spacing w:after="0"/>
              <w:rPr>
                <w:sz w:val="1"/>
                <w:szCs w:val="1"/>
                <w:color w:val="auto"/>
              </w:rPr>
            </w:pPr>
          </w:p>
        </w:tc>
      </w:tr>
      <w:tr>
        <w:trPr>
          <w:trHeight w:val="192"/>
        </w:trPr>
        <w:tc>
          <w:tcPr>
            <w:tcW w:w="7620" w:type="dxa"/>
            <w:vAlign w:val="bottom"/>
            <w:tcBorders>
              <w:top w:val="single" w:sz="8" w:color="CCEEFF"/>
            </w:tcBorders>
            <w:gridSpan w:val="2"/>
            <w:shd w:val="clear" w:color="auto" w:fill="CCEEFF"/>
          </w:tcPr>
          <w:p>
            <w:pPr>
              <w:spacing w:after="0" w:line="192" w:lineRule="exact"/>
              <w:rPr>
                <w:sz w:val="20"/>
                <w:szCs w:val="20"/>
                <w:color w:val="auto"/>
              </w:rPr>
            </w:pPr>
            <w:r>
              <w:rPr>
                <w:rFonts w:ascii="Arial" w:cs="Arial" w:eastAsia="Arial" w:hAnsi="Arial"/>
                <w:sz w:val="17"/>
                <w:szCs w:val="17"/>
                <w:color w:val="auto"/>
              </w:rPr>
              <w:t>T. Rowe Price New Horizons Fund, Inc.</w:t>
            </w:r>
          </w:p>
        </w:tc>
        <w:tc>
          <w:tcPr>
            <w:tcW w:w="112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491,311</w:t>
            </w:r>
          </w:p>
        </w:tc>
        <w:tc>
          <w:tcPr>
            <w:tcW w:w="5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w w:val="89"/>
              </w:rPr>
              <w:t>102,806,826.75</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7620" w:type="dxa"/>
            <w:vAlign w:val="bottom"/>
            <w:gridSpan w:val="2"/>
          </w:tcPr>
          <w:p>
            <w:pPr>
              <w:spacing w:after="0"/>
              <w:rPr>
                <w:sz w:val="20"/>
                <w:szCs w:val="20"/>
                <w:color w:val="auto"/>
              </w:rPr>
            </w:pPr>
            <w:r>
              <w:rPr>
                <w:rFonts w:ascii="Arial" w:cs="Arial" w:eastAsia="Arial" w:hAnsi="Arial"/>
                <w:sz w:val="17"/>
                <w:szCs w:val="17"/>
                <w:color w:val="auto"/>
              </w:rPr>
              <w:t>New York City Deferred Compensation Plan</w:t>
            </w:r>
          </w:p>
        </w:tc>
        <w:tc>
          <w:tcPr>
            <w:tcW w:w="1660" w:type="dxa"/>
            <w:vAlign w:val="bottom"/>
            <w:gridSpan w:val="2"/>
          </w:tcPr>
          <w:p>
            <w:pPr>
              <w:jc w:val="right"/>
              <w:ind w:right="540"/>
              <w:spacing w:after="0"/>
              <w:rPr>
                <w:sz w:val="20"/>
                <w:szCs w:val="20"/>
                <w:color w:val="auto"/>
              </w:rPr>
            </w:pPr>
            <w:r>
              <w:rPr>
                <w:rFonts w:ascii="Arial" w:cs="Arial" w:eastAsia="Arial" w:hAnsi="Arial"/>
                <w:sz w:val="17"/>
                <w:szCs w:val="17"/>
                <w:color w:val="auto"/>
              </w:rPr>
              <w:t>15,010</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3,140,842.50</w:t>
            </w:r>
          </w:p>
        </w:tc>
        <w:tc>
          <w:tcPr>
            <w:tcW w:w="0" w:type="dxa"/>
            <w:vAlign w:val="bottom"/>
          </w:tcPr>
          <w:p>
            <w:pPr>
              <w:spacing w:after="0"/>
              <w:rPr>
                <w:sz w:val="1"/>
                <w:szCs w:val="1"/>
                <w:color w:val="auto"/>
              </w:rPr>
            </w:pPr>
          </w:p>
        </w:tc>
      </w:tr>
      <w:tr>
        <w:trPr>
          <w:trHeight w:val="206"/>
        </w:trPr>
        <w:tc>
          <w:tcPr>
            <w:tcW w:w="7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 Rowe Price New Horizons Trust</w:t>
            </w:r>
          </w:p>
        </w:tc>
        <w:tc>
          <w:tcPr>
            <w:tcW w:w="166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57,582</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7"/>
              </w:rPr>
              <w:t>12,049,033.50</w:t>
            </w:r>
          </w:p>
        </w:tc>
        <w:tc>
          <w:tcPr>
            <w:tcW w:w="0" w:type="dxa"/>
            <w:vAlign w:val="bottom"/>
          </w:tcPr>
          <w:p>
            <w:pPr>
              <w:spacing w:after="0"/>
              <w:rPr>
                <w:sz w:val="1"/>
                <w:szCs w:val="1"/>
                <w:color w:val="auto"/>
              </w:rPr>
            </w:pPr>
          </w:p>
        </w:tc>
      </w:tr>
      <w:tr>
        <w:trPr>
          <w:trHeight w:val="206"/>
        </w:trPr>
        <w:tc>
          <w:tcPr>
            <w:tcW w:w="7620" w:type="dxa"/>
            <w:vAlign w:val="bottom"/>
            <w:gridSpan w:val="2"/>
          </w:tcPr>
          <w:p>
            <w:pPr>
              <w:spacing w:after="0"/>
              <w:rPr>
                <w:sz w:val="20"/>
                <w:szCs w:val="20"/>
                <w:color w:val="auto"/>
              </w:rPr>
            </w:pPr>
            <w:r>
              <w:rPr>
                <w:rFonts w:ascii="Arial" w:cs="Arial" w:eastAsia="Arial" w:hAnsi="Arial"/>
                <w:sz w:val="17"/>
                <w:szCs w:val="17"/>
                <w:color w:val="auto"/>
              </w:rPr>
              <w:t>T. Rowe Price U.S. Equities Trust</w:t>
            </w:r>
          </w:p>
        </w:tc>
        <w:tc>
          <w:tcPr>
            <w:tcW w:w="1660" w:type="dxa"/>
            <w:vAlign w:val="bottom"/>
            <w:gridSpan w:val="2"/>
          </w:tcPr>
          <w:p>
            <w:pPr>
              <w:jc w:val="right"/>
              <w:ind w:right="540"/>
              <w:spacing w:after="0"/>
              <w:rPr>
                <w:sz w:val="20"/>
                <w:szCs w:val="20"/>
                <w:color w:val="auto"/>
              </w:rPr>
            </w:pPr>
            <w:r>
              <w:rPr>
                <w:rFonts w:ascii="Arial" w:cs="Arial" w:eastAsia="Arial" w:hAnsi="Arial"/>
                <w:sz w:val="17"/>
                <w:szCs w:val="17"/>
                <w:color w:val="auto"/>
              </w:rPr>
              <w:t>3,559</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744,720.75</w:t>
            </w:r>
          </w:p>
        </w:tc>
        <w:tc>
          <w:tcPr>
            <w:tcW w:w="0" w:type="dxa"/>
            <w:vAlign w:val="bottom"/>
          </w:tcPr>
          <w:p>
            <w:pPr>
              <w:spacing w:after="0"/>
              <w:rPr>
                <w:sz w:val="1"/>
                <w:szCs w:val="1"/>
                <w:color w:val="auto"/>
              </w:rPr>
            </w:pPr>
          </w:p>
        </w:tc>
      </w:tr>
      <w:tr>
        <w:trPr>
          <w:trHeight w:val="206"/>
        </w:trPr>
        <w:tc>
          <w:tcPr>
            <w:tcW w:w="7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MassMutual Select Funds - MassMutual Select T. Rowe Price Small and Mid Cap Blend Fund</w:t>
            </w:r>
          </w:p>
        </w:tc>
        <w:tc>
          <w:tcPr>
            <w:tcW w:w="166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1,561</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326,639.25</w:t>
            </w:r>
          </w:p>
        </w:tc>
        <w:tc>
          <w:tcPr>
            <w:tcW w:w="0" w:type="dxa"/>
            <w:vAlign w:val="bottom"/>
          </w:tcPr>
          <w:p>
            <w:pPr>
              <w:spacing w:after="0"/>
              <w:rPr>
                <w:sz w:val="1"/>
                <w:szCs w:val="1"/>
                <w:color w:val="auto"/>
              </w:rPr>
            </w:pPr>
          </w:p>
        </w:tc>
      </w:tr>
      <w:tr>
        <w:trPr>
          <w:trHeight w:val="206"/>
        </w:trPr>
        <w:tc>
          <w:tcPr>
            <w:tcW w:w="7620" w:type="dxa"/>
            <w:vAlign w:val="bottom"/>
            <w:gridSpan w:val="2"/>
          </w:tcPr>
          <w:p>
            <w:pPr>
              <w:spacing w:after="0"/>
              <w:rPr>
                <w:sz w:val="20"/>
                <w:szCs w:val="20"/>
                <w:color w:val="auto"/>
              </w:rPr>
            </w:pPr>
            <w:r>
              <w:rPr>
                <w:rFonts w:ascii="Arial" w:cs="Arial" w:eastAsia="Arial" w:hAnsi="Arial"/>
                <w:sz w:val="17"/>
                <w:szCs w:val="17"/>
                <w:color w:val="auto"/>
              </w:rPr>
              <w:t>Saint-Gobain Corporation</w:t>
            </w:r>
          </w:p>
        </w:tc>
        <w:tc>
          <w:tcPr>
            <w:tcW w:w="1660" w:type="dxa"/>
            <w:vAlign w:val="bottom"/>
            <w:gridSpan w:val="2"/>
          </w:tcPr>
          <w:p>
            <w:pPr>
              <w:jc w:val="right"/>
              <w:ind w:right="540"/>
              <w:spacing w:after="0"/>
              <w:rPr>
                <w:sz w:val="20"/>
                <w:szCs w:val="20"/>
                <w:color w:val="auto"/>
              </w:rPr>
            </w:pPr>
            <w:r>
              <w:rPr>
                <w:rFonts w:ascii="Arial" w:cs="Arial" w:eastAsia="Arial" w:hAnsi="Arial"/>
                <w:sz w:val="17"/>
                <w:szCs w:val="17"/>
                <w:color w:val="auto"/>
              </w:rPr>
              <w:t>547</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114,459.75</w:t>
            </w:r>
          </w:p>
        </w:tc>
        <w:tc>
          <w:tcPr>
            <w:tcW w:w="0" w:type="dxa"/>
            <w:vAlign w:val="bottom"/>
          </w:tcPr>
          <w:p>
            <w:pPr>
              <w:spacing w:after="0"/>
              <w:rPr>
                <w:sz w:val="1"/>
                <w:szCs w:val="1"/>
                <w:color w:val="auto"/>
              </w:rPr>
            </w:pPr>
          </w:p>
        </w:tc>
      </w:tr>
      <w:tr>
        <w:trPr>
          <w:trHeight w:val="206"/>
        </w:trPr>
        <w:tc>
          <w:tcPr>
            <w:tcW w:w="7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DOW RETIREMENT GROUP TRUST</w:t>
            </w:r>
          </w:p>
        </w:tc>
        <w:tc>
          <w:tcPr>
            <w:tcW w:w="166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4,754</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994,774.50</w:t>
            </w:r>
          </w:p>
        </w:tc>
        <w:tc>
          <w:tcPr>
            <w:tcW w:w="0" w:type="dxa"/>
            <w:vAlign w:val="bottom"/>
          </w:tcPr>
          <w:p>
            <w:pPr>
              <w:spacing w:after="0"/>
              <w:rPr>
                <w:sz w:val="1"/>
                <w:szCs w:val="1"/>
                <w:color w:val="auto"/>
              </w:rPr>
            </w:pPr>
          </w:p>
        </w:tc>
      </w:tr>
      <w:tr>
        <w:trPr>
          <w:trHeight w:val="206"/>
        </w:trPr>
        <w:tc>
          <w:tcPr>
            <w:tcW w:w="7620" w:type="dxa"/>
            <w:vAlign w:val="bottom"/>
            <w:gridSpan w:val="2"/>
          </w:tcPr>
          <w:p>
            <w:pPr>
              <w:spacing w:after="0"/>
              <w:rPr>
                <w:sz w:val="20"/>
                <w:szCs w:val="20"/>
                <w:color w:val="auto"/>
              </w:rPr>
            </w:pPr>
            <w:r>
              <w:rPr>
                <w:rFonts w:ascii="Arial" w:cs="Arial" w:eastAsia="Arial" w:hAnsi="Arial"/>
                <w:sz w:val="17"/>
                <w:szCs w:val="17"/>
                <w:color w:val="auto"/>
              </w:rPr>
              <w:t>JOHNSON &amp; JOHNSON PENSION AND SAVINGS PLANS MASTER TRUST</w:t>
            </w:r>
          </w:p>
        </w:tc>
        <w:tc>
          <w:tcPr>
            <w:tcW w:w="1660" w:type="dxa"/>
            <w:vAlign w:val="bottom"/>
            <w:gridSpan w:val="2"/>
          </w:tcPr>
          <w:p>
            <w:pPr>
              <w:jc w:val="right"/>
              <w:ind w:right="540"/>
              <w:spacing w:after="0"/>
              <w:rPr>
                <w:sz w:val="20"/>
                <w:szCs w:val="20"/>
                <w:color w:val="auto"/>
              </w:rPr>
            </w:pPr>
            <w:r>
              <w:rPr>
                <w:rFonts w:ascii="Arial" w:cs="Arial" w:eastAsia="Arial" w:hAnsi="Arial"/>
                <w:sz w:val="17"/>
                <w:szCs w:val="17"/>
                <w:color w:val="auto"/>
              </w:rPr>
              <w:t>13,391</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2,802,066.75</w:t>
            </w:r>
          </w:p>
        </w:tc>
        <w:tc>
          <w:tcPr>
            <w:tcW w:w="0" w:type="dxa"/>
            <w:vAlign w:val="bottom"/>
          </w:tcPr>
          <w:p>
            <w:pPr>
              <w:spacing w:after="0"/>
              <w:rPr>
                <w:sz w:val="1"/>
                <w:szCs w:val="1"/>
                <w:color w:val="auto"/>
              </w:rPr>
            </w:pPr>
          </w:p>
        </w:tc>
      </w:tr>
      <w:tr>
        <w:trPr>
          <w:trHeight w:val="206"/>
        </w:trPr>
        <w:tc>
          <w:tcPr>
            <w:tcW w:w="7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Bank of America Pension Plan</w:t>
            </w:r>
          </w:p>
        </w:tc>
        <w:tc>
          <w:tcPr>
            <w:tcW w:w="166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3,066</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641,560.50</w:t>
            </w:r>
          </w:p>
        </w:tc>
        <w:tc>
          <w:tcPr>
            <w:tcW w:w="0" w:type="dxa"/>
            <w:vAlign w:val="bottom"/>
          </w:tcPr>
          <w:p>
            <w:pPr>
              <w:spacing w:after="0"/>
              <w:rPr>
                <w:sz w:val="1"/>
                <w:szCs w:val="1"/>
                <w:color w:val="auto"/>
              </w:rPr>
            </w:pPr>
          </w:p>
        </w:tc>
      </w:tr>
      <w:tr>
        <w:trPr>
          <w:trHeight w:val="206"/>
        </w:trPr>
        <w:tc>
          <w:tcPr>
            <w:tcW w:w="7620" w:type="dxa"/>
            <w:vAlign w:val="bottom"/>
            <w:gridSpan w:val="2"/>
          </w:tcPr>
          <w:p>
            <w:pPr>
              <w:spacing w:after="0"/>
              <w:rPr>
                <w:sz w:val="20"/>
                <w:szCs w:val="20"/>
                <w:color w:val="auto"/>
              </w:rPr>
            </w:pPr>
            <w:r>
              <w:rPr>
                <w:rFonts w:ascii="Arial" w:cs="Arial" w:eastAsia="Arial" w:hAnsi="Arial"/>
                <w:sz w:val="17"/>
                <w:szCs w:val="17"/>
                <w:color w:val="auto"/>
              </w:rPr>
              <w:t>Brighthouse Funds Trust II - T. Rowe Price Small Cap Growth Portfolio</w:t>
            </w:r>
          </w:p>
        </w:tc>
        <w:tc>
          <w:tcPr>
            <w:tcW w:w="1660" w:type="dxa"/>
            <w:vAlign w:val="bottom"/>
            <w:gridSpan w:val="2"/>
          </w:tcPr>
          <w:p>
            <w:pPr>
              <w:jc w:val="right"/>
              <w:ind w:right="540"/>
              <w:spacing w:after="0"/>
              <w:rPr>
                <w:sz w:val="20"/>
                <w:szCs w:val="20"/>
                <w:color w:val="auto"/>
              </w:rPr>
            </w:pPr>
            <w:r>
              <w:rPr>
                <w:rFonts w:ascii="Arial" w:cs="Arial" w:eastAsia="Arial" w:hAnsi="Arial"/>
                <w:sz w:val="17"/>
                <w:szCs w:val="17"/>
                <w:color w:val="auto"/>
              </w:rPr>
              <w:t>5,706</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1,193,980.50</w:t>
            </w:r>
          </w:p>
        </w:tc>
        <w:tc>
          <w:tcPr>
            <w:tcW w:w="0" w:type="dxa"/>
            <w:vAlign w:val="bottom"/>
          </w:tcPr>
          <w:p>
            <w:pPr>
              <w:spacing w:after="0"/>
              <w:rPr>
                <w:sz w:val="1"/>
                <w:szCs w:val="1"/>
                <w:color w:val="auto"/>
              </w:rPr>
            </w:pPr>
          </w:p>
        </w:tc>
      </w:tr>
      <w:tr>
        <w:trPr>
          <w:trHeight w:val="206"/>
        </w:trPr>
        <w:tc>
          <w:tcPr>
            <w:tcW w:w="7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 Rowe Price QM U.S. Small-Cap Growth Equity Fund</w:t>
            </w:r>
          </w:p>
        </w:tc>
        <w:tc>
          <w:tcPr>
            <w:tcW w:w="166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30,898</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6,465,406.50</w:t>
            </w:r>
          </w:p>
        </w:tc>
        <w:tc>
          <w:tcPr>
            <w:tcW w:w="0" w:type="dxa"/>
            <w:vAlign w:val="bottom"/>
          </w:tcPr>
          <w:p>
            <w:pPr>
              <w:spacing w:after="0"/>
              <w:rPr>
                <w:sz w:val="1"/>
                <w:szCs w:val="1"/>
                <w:color w:val="auto"/>
              </w:rPr>
            </w:pPr>
          </w:p>
        </w:tc>
      </w:tr>
      <w:tr>
        <w:trPr>
          <w:trHeight w:val="206"/>
        </w:trPr>
        <w:tc>
          <w:tcPr>
            <w:tcW w:w="7620" w:type="dxa"/>
            <w:vAlign w:val="bottom"/>
            <w:gridSpan w:val="2"/>
          </w:tcPr>
          <w:p>
            <w:pPr>
              <w:spacing w:after="0"/>
              <w:rPr>
                <w:sz w:val="20"/>
                <w:szCs w:val="20"/>
                <w:color w:val="auto"/>
              </w:rPr>
            </w:pPr>
            <w:r>
              <w:rPr>
                <w:rFonts w:ascii="Arial" w:cs="Arial" w:eastAsia="Arial" w:hAnsi="Arial"/>
                <w:sz w:val="17"/>
                <w:szCs w:val="17"/>
                <w:color w:val="auto"/>
              </w:rPr>
              <w:t>Master Pension Trust of CSX Corporation and Affiliated Companies</w:t>
            </w:r>
          </w:p>
        </w:tc>
        <w:tc>
          <w:tcPr>
            <w:tcW w:w="1660" w:type="dxa"/>
            <w:vAlign w:val="bottom"/>
            <w:gridSpan w:val="2"/>
          </w:tcPr>
          <w:p>
            <w:pPr>
              <w:jc w:val="right"/>
              <w:ind w:right="540"/>
              <w:spacing w:after="0"/>
              <w:rPr>
                <w:sz w:val="20"/>
                <w:szCs w:val="20"/>
                <w:color w:val="auto"/>
              </w:rPr>
            </w:pPr>
            <w:r>
              <w:rPr>
                <w:rFonts w:ascii="Arial" w:cs="Arial" w:eastAsia="Arial" w:hAnsi="Arial"/>
                <w:sz w:val="17"/>
                <w:szCs w:val="17"/>
                <w:color w:val="auto"/>
              </w:rPr>
              <w:t>340</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71,145.00</w:t>
            </w:r>
          </w:p>
        </w:tc>
        <w:tc>
          <w:tcPr>
            <w:tcW w:w="0" w:type="dxa"/>
            <w:vAlign w:val="bottom"/>
          </w:tcPr>
          <w:p>
            <w:pPr>
              <w:spacing w:after="0"/>
              <w:rPr>
                <w:sz w:val="1"/>
                <w:szCs w:val="1"/>
                <w:color w:val="auto"/>
              </w:rPr>
            </w:pPr>
          </w:p>
        </w:tc>
      </w:tr>
      <w:tr>
        <w:trPr>
          <w:trHeight w:val="206"/>
        </w:trPr>
        <w:tc>
          <w:tcPr>
            <w:tcW w:w="7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Multi-Manager Small Cap Growth Fund</w:t>
            </w:r>
          </w:p>
        </w:tc>
        <w:tc>
          <w:tcPr>
            <w:tcW w:w="166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22</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4,603.50</w:t>
            </w:r>
          </w:p>
        </w:tc>
        <w:tc>
          <w:tcPr>
            <w:tcW w:w="0" w:type="dxa"/>
            <w:vAlign w:val="bottom"/>
          </w:tcPr>
          <w:p>
            <w:pPr>
              <w:spacing w:after="0"/>
              <w:rPr>
                <w:sz w:val="1"/>
                <w:szCs w:val="1"/>
                <w:color w:val="auto"/>
              </w:rPr>
            </w:pPr>
          </w:p>
        </w:tc>
      </w:tr>
      <w:tr>
        <w:trPr>
          <w:trHeight w:val="206"/>
        </w:trPr>
        <w:tc>
          <w:tcPr>
            <w:tcW w:w="7620" w:type="dxa"/>
            <w:vAlign w:val="bottom"/>
            <w:gridSpan w:val="2"/>
          </w:tcPr>
          <w:p>
            <w:pPr>
              <w:spacing w:after="0"/>
              <w:rPr>
                <w:sz w:val="20"/>
                <w:szCs w:val="20"/>
                <w:color w:val="auto"/>
              </w:rPr>
            </w:pPr>
            <w:r>
              <w:rPr>
                <w:rFonts w:ascii="Arial" w:cs="Arial" w:eastAsia="Arial" w:hAnsi="Arial"/>
                <w:sz w:val="17"/>
                <w:szCs w:val="17"/>
                <w:color w:val="auto"/>
              </w:rPr>
              <w:t>T. Rowe Price QM U.S. Small &amp; Mid-Cap Core Equity Fund</w:t>
            </w:r>
          </w:p>
        </w:tc>
        <w:tc>
          <w:tcPr>
            <w:tcW w:w="1660" w:type="dxa"/>
            <w:vAlign w:val="bottom"/>
            <w:gridSpan w:val="2"/>
          </w:tcPr>
          <w:p>
            <w:pPr>
              <w:jc w:val="right"/>
              <w:ind w:right="540"/>
              <w:spacing w:after="0"/>
              <w:rPr>
                <w:sz w:val="20"/>
                <w:szCs w:val="20"/>
                <w:color w:val="auto"/>
              </w:rPr>
            </w:pPr>
            <w:r>
              <w:rPr>
                <w:rFonts w:ascii="Arial" w:cs="Arial" w:eastAsia="Arial" w:hAnsi="Arial"/>
                <w:sz w:val="17"/>
                <w:szCs w:val="17"/>
                <w:color w:val="auto"/>
              </w:rPr>
              <w:t>342</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71,563.50</w:t>
            </w:r>
          </w:p>
        </w:tc>
        <w:tc>
          <w:tcPr>
            <w:tcW w:w="0" w:type="dxa"/>
            <w:vAlign w:val="bottom"/>
          </w:tcPr>
          <w:p>
            <w:pPr>
              <w:spacing w:after="0"/>
              <w:rPr>
                <w:sz w:val="1"/>
                <w:szCs w:val="1"/>
                <w:color w:val="auto"/>
              </w:rPr>
            </w:pPr>
          </w:p>
        </w:tc>
      </w:tr>
      <w:tr>
        <w:trPr>
          <w:trHeight w:val="206"/>
        </w:trPr>
        <w:tc>
          <w:tcPr>
            <w:tcW w:w="7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 Rowe Price Mid-Cap Growth Fund, Inc.</w:t>
            </w:r>
          </w:p>
        </w:tc>
        <w:tc>
          <w:tcPr>
            <w:tcW w:w="166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515,737</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9"/>
              </w:rPr>
              <w:t>107,917,967.25</w:t>
            </w:r>
          </w:p>
        </w:tc>
        <w:tc>
          <w:tcPr>
            <w:tcW w:w="0" w:type="dxa"/>
            <w:vAlign w:val="bottom"/>
          </w:tcPr>
          <w:p>
            <w:pPr>
              <w:spacing w:after="0"/>
              <w:rPr>
                <w:sz w:val="1"/>
                <w:szCs w:val="1"/>
                <w:color w:val="auto"/>
              </w:rPr>
            </w:pPr>
          </w:p>
        </w:tc>
      </w:tr>
      <w:tr>
        <w:trPr>
          <w:trHeight w:val="206"/>
        </w:trPr>
        <w:tc>
          <w:tcPr>
            <w:tcW w:w="7620" w:type="dxa"/>
            <w:vAlign w:val="bottom"/>
            <w:gridSpan w:val="2"/>
          </w:tcPr>
          <w:p>
            <w:pPr>
              <w:spacing w:after="0"/>
              <w:rPr>
                <w:sz w:val="20"/>
                <w:szCs w:val="20"/>
                <w:color w:val="auto"/>
              </w:rPr>
            </w:pPr>
            <w:r>
              <w:rPr>
                <w:rFonts w:ascii="Arial" w:cs="Arial" w:eastAsia="Arial" w:hAnsi="Arial"/>
                <w:sz w:val="17"/>
                <w:szCs w:val="17"/>
                <w:color w:val="auto"/>
              </w:rPr>
              <w:t>TD Mutual Funds - TD U.S. Mid-Cap Growth Fund</w:t>
            </w:r>
          </w:p>
        </w:tc>
        <w:tc>
          <w:tcPr>
            <w:tcW w:w="1660" w:type="dxa"/>
            <w:vAlign w:val="bottom"/>
            <w:gridSpan w:val="2"/>
          </w:tcPr>
          <w:p>
            <w:pPr>
              <w:jc w:val="right"/>
              <w:ind w:right="540"/>
              <w:spacing w:after="0"/>
              <w:rPr>
                <w:sz w:val="20"/>
                <w:szCs w:val="20"/>
                <w:color w:val="auto"/>
              </w:rPr>
            </w:pPr>
            <w:r>
              <w:rPr>
                <w:rFonts w:ascii="Arial" w:cs="Arial" w:eastAsia="Arial" w:hAnsi="Arial"/>
                <w:sz w:val="17"/>
                <w:szCs w:val="17"/>
                <w:color w:val="auto"/>
              </w:rPr>
              <w:t>22,184</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4,642,002.00</w:t>
            </w:r>
          </w:p>
        </w:tc>
        <w:tc>
          <w:tcPr>
            <w:tcW w:w="0" w:type="dxa"/>
            <w:vAlign w:val="bottom"/>
          </w:tcPr>
          <w:p>
            <w:pPr>
              <w:spacing w:after="0"/>
              <w:rPr>
                <w:sz w:val="1"/>
                <w:szCs w:val="1"/>
                <w:color w:val="auto"/>
              </w:rPr>
            </w:pPr>
          </w:p>
        </w:tc>
      </w:tr>
      <w:tr>
        <w:trPr>
          <w:trHeight w:val="206"/>
        </w:trPr>
        <w:tc>
          <w:tcPr>
            <w:tcW w:w="7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JNL Series Trust - JNL/T. Rowe Price Mid-Cap Growth Fund</w:t>
            </w:r>
          </w:p>
        </w:tc>
        <w:tc>
          <w:tcPr>
            <w:tcW w:w="166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94,246</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7"/>
              </w:rPr>
              <w:t>19,720,975.50</w:t>
            </w:r>
          </w:p>
        </w:tc>
        <w:tc>
          <w:tcPr>
            <w:tcW w:w="0" w:type="dxa"/>
            <w:vAlign w:val="bottom"/>
          </w:tcPr>
          <w:p>
            <w:pPr>
              <w:spacing w:after="0"/>
              <w:rPr>
                <w:sz w:val="1"/>
                <w:szCs w:val="1"/>
                <w:color w:val="auto"/>
              </w:rPr>
            </w:pPr>
          </w:p>
        </w:tc>
      </w:tr>
      <w:tr>
        <w:trPr>
          <w:trHeight w:val="206"/>
        </w:trPr>
        <w:tc>
          <w:tcPr>
            <w:tcW w:w="7620" w:type="dxa"/>
            <w:vAlign w:val="bottom"/>
            <w:gridSpan w:val="2"/>
          </w:tcPr>
          <w:p>
            <w:pPr>
              <w:spacing w:after="0"/>
              <w:rPr>
                <w:sz w:val="20"/>
                <w:szCs w:val="20"/>
                <w:color w:val="auto"/>
              </w:rPr>
            </w:pPr>
            <w:r>
              <w:rPr>
                <w:rFonts w:ascii="Arial" w:cs="Arial" w:eastAsia="Arial" w:hAnsi="Arial"/>
                <w:sz w:val="17"/>
                <w:szCs w:val="17"/>
                <w:color w:val="auto"/>
              </w:rPr>
              <w:t>T. Rowe Price Institutional Mid-Cap Equity Growth Fund</w:t>
            </w:r>
          </w:p>
        </w:tc>
        <w:tc>
          <w:tcPr>
            <w:tcW w:w="1660" w:type="dxa"/>
            <w:vAlign w:val="bottom"/>
            <w:gridSpan w:val="2"/>
          </w:tcPr>
          <w:p>
            <w:pPr>
              <w:jc w:val="right"/>
              <w:ind w:right="540"/>
              <w:spacing w:after="0"/>
              <w:rPr>
                <w:sz w:val="20"/>
                <w:szCs w:val="20"/>
                <w:color w:val="auto"/>
              </w:rPr>
            </w:pPr>
            <w:r>
              <w:rPr>
                <w:rFonts w:ascii="Arial" w:cs="Arial" w:eastAsia="Arial" w:hAnsi="Arial"/>
                <w:sz w:val="17"/>
                <w:szCs w:val="17"/>
                <w:color w:val="auto"/>
              </w:rPr>
              <w:t>117,738</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w w:val="97"/>
              </w:rPr>
              <w:t>24,636,676.50</w:t>
            </w:r>
          </w:p>
        </w:tc>
        <w:tc>
          <w:tcPr>
            <w:tcW w:w="0" w:type="dxa"/>
            <w:vAlign w:val="bottom"/>
          </w:tcPr>
          <w:p>
            <w:pPr>
              <w:spacing w:after="0"/>
              <w:rPr>
                <w:sz w:val="1"/>
                <w:szCs w:val="1"/>
                <w:color w:val="auto"/>
              </w:rPr>
            </w:pPr>
          </w:p>
        </w:tc>
      </w:tr>
      <w:tr>
        <w:trPr>
          <w:trHeight w:val="206"/>
        </w:trPr>
        <w:tc>
          <w:tcPr>
            <w:tcW w:w="7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 Rowe Price Mid-Cap Growth Portfolio</w:t>
            </w:r>
          </w:p>
        </w:tc>
        <w:tc>
          <w:tcPr>
            <w:tcW w:w="166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7,826</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1,637,590.50</w:t>
            </w:r>
          </w:p>
        </w:tc>
        <w:tc>
          <w:tcPr>
            <w:tcW w:w="0" w:type="dxa"/>
            <w:vAlign w:val="bottom"/>
          </w:tcPr>
          <w:p>
            <w:pPr>
              <w:spacing w:after="0"/>
              <w:rPr>
                <w:sz w:val="1"/>
                <w:szCs w:val="1"/>
                <w:color w:val="auto"/>
              </w:rPr>
            </w:pPr>
          </w:p>
        </w:tc>
      </w:tr>
      <w:tr>
        <w:trPr>
          <w:trHeight w:val="206"/>
        </w:trPr>
        <w:tc>
          <w:tcPr>
            <w:tcW w:w="7620" w:type="dxa"/>
            <w:vAlign w:val="bottom"/>
            <w:gridSpan w:val="2"/>
          </w:tcPr>
          <w:p>
            <w:pPr>
              <w:spacing w:after="0"/>
              <w:rPr>
                <w:sz w:val="20"/>
                <w:szCs w:val="20"/>
                <w:color w:val="auto"/>
              </w:rPr>
            </w:pPr>
            <w:r>
              <w:rPr>
                <w:rFonts w:ascii="Arial" w:cs="Arial" w:eastAsia="Arial" w:hAnsi="Arial"/>
                <w:sz w:val="17"/>
                <w:szCs w:val="17"/>
                <w:color w:val="auto"/>
              </w:rPr>
              <w:t>Great-West Funds, Inc. - Great-West T. Rowe Price Mid Cap Growth Fund</w:t>
            </w:r>
          </w:p>
        </w:tc>
        <w:tc>
          <w:tcPr>
            <w:tcW w:w="1660" w:type="dxa"/>
            <w:vAlign w:val="bottom"/>
            <w:gridSpan w:val="2"/>
          </w:tcPr>
          <w:p>
            <w:pPr>
              <w:jc w:val="right"/>
              <w:ind w:right="540"/>
              <w:spacing w:after="0"/>
              <w:rPr>
                <w:sz w:val="20"/>
                <w:szCs w:val="20"/>
                <w:color w:val="auto"/>
              </w:rPr>
            </w:pPr>
            <w:r>
              <w:rPr>
                <w:rFonts w:ascii="Arial" w:cs="Arial" w:eastAsia="Arial" w:hAnsi="Arial"/>
                <w:sz w:val="17"/>
                <w:szCs w:val="17"/>
                <w:color w:val="auto"/>
              </w:rPr>
              <w:t>25,947</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5,429,409.75</w:t>
            </w:r>
          </w:p>
        </w:tc>
        <w:tc>
          <w:tcPr>
            <w:tcW w:w="0" w:type="dxa"/>
            <w:vAlign w:val="bottom"/>
          </w:tcPr>
          <w:p>
            <w:pPr>
              <w:spacing w:after="0"/>
              <w:rPr>
                <w:sz w:val="1"/>
                <w:szCs w:val="1"/>
                <w:color w:val="auto"/>
              </w:rPr>
            </w:pPr>
          </w:p>
        </w:tc>
      </w:tr>
      <w:tr>
        <w:trPr>
          <w:trHeight w:val="206"/>
        </w:trPr>
        <w:tc>
          <w:tcPr>
            <w:tcW w:w="7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MassMutual Select Funds - MassMutual Select Mid Cap Growth Fund</w:t>
            </w:r>
          </w:p>
        </w:tc>
        <w:tc>
          <w:tcPr>
            <w:tcW w:w="166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95,636</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7"/>
              </w:rPr>
              <w:t>20,011,833.00</w:t>
            </w:r>
          </w:p>
        </w:tc>
        <w:tc>
          <w:tcPr>
            <w:tcW w:w="0" w:type="dxa"/>
            <w:vAlign w:val="bottom"/>
          </w:tcPr>
          <w:p>
            <w:pPr>
              <w:spacing w:after="0"/>
              <w:rPr>
                <w:sz w:val="1"/>
                <w:szCs w:val="1"/>
                <w:color w:val="auto"/>
              </w:rPr>
            </w:pPr>
          </w:p>
        </w:tc>
      </w:tr>
      <w:tr>
        <w:trPr>
          <w:trHeight w:val="206"/>
        </w:trPr>
        <w:tc>
          <w:tcPr>
            <w:tcW w:w="7620" w:type="dxa"/>
            <w:vAlign w:val="bottom"/>
            <w:gridSpan w:val="2"/>
          </w:tcPr>
          <w:p>
            <w:pPr>
              <w:spacing w:after="0"/>
              <w:rPr>
                <w:sz w:val="20"/>
                <w:szCs w:val="20"/>
                <w:color w:val="auto"/>
              </w:rPr>
            </w:pPr>
            <w:r>
              <w:rPr>
                <w:rFonts w:ascii="Arial" w:cs="Arial" w:eastAsia="Arial" w:hAnsi="Arial"/>
                <w:sz w:val="17"/>
                <w:szCs w:val="17"/>
                <w:color w:val="auto"/>
              </w:rPr>
              <w:t>Saint-Gobain Corporation</w:t>
            </w:r>
          </w:p>
        </w:tc>
        <w:tc>
          <w:tcPr>
            <w:tcW w:w="1660" w:type="dxa"/>
            <w:vAlign w:val="bottom"/>
            <w:gridSpan w:val="2"/>
          </w:tcPr>
          <w:p>
            <w:pPr>
              <w:jc w:val="right"/>
              <w:ind w:right="540"/>
              <w:spacing w:after="0"/>
              <w:rPr>
                <w:sz w:val="20"/>
                <w:szCs w:val="20"/>
                <w:color w:val="auto"/>
              </w:rPr>
            </w:pPr>
            <w:r>
              <w:rPr>
                <w:rFonts w:ascii="Arial" w:cs="Arial" w:eastAsia="Arial" w:hAnsi="Arial"/>
                <w:sz w:val="17"/>
                <w:szCs w:val="17"/>
                <w:color w:val="auto"/>
              </w:rPr>
              <w:t>97</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20,297.25</w:t>
            </w:r>
          </w:p>
        </w:tc>
        <w:tc>
          <w:tcPr>
            <w:tcW w:w="0" w:type="dxa"/>
            <w:vAlign w:val="bottom"/>
          </w:tcPr>
          <w:p>
            <w:pPr>
              <w:spacing w:after="0"/>
              <w:rPr>
                <w:sz w:val="1"/>
                <w:szCs w:val="1"/>
                <w:color w:val="auto"/>
              </w:rPr>
            </w:pPr>
          </w:p>
        </w:tc>
      </w:tr>
      <w:tr>
        <w:trPr>
          <w:trHeight w:val="206"/>
        </w:trPr>
        <w:tc>
          <w:tcPr>
            <w:tcW w:w="7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Marriott International, Inc. Pooled Investment Trust For Participant Directed Accounts</w:t>
            </w:r>
          </w:p>
        </w:tc>
        <w:tc>
          <w:tcPr>
            <w:tcW w:w="166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9,735</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2,037,048.75</w:t>
            </w:r>
          </w:p>
        </w:tc>
        <w:tc>
          <w:tcPr>
            <w:tcW w:w="0" w:type="dxa"/>
            <w:vAlign w:val="bottom"/>
          </w:tcPr>
          <w:p>
            <w:pPr>
              <w:spacing w:after="0"/>
              <w:rPr>
                <w:sz w:val="1"/>
                <w:szCs w:val="1"/>
                <w:color w:val="auto"/>
              </w:rPr>
            </w:pPr>
          </w:p>
        </w:tc>
      </w:tr>
      <w:tr>
        <w:trPr>
          <w:trHeight w:val="206"/>
        </w:trPr>
        <w:tc>
          <w:tcPr>
            <w:tcW w:w="7620" w:type="dxa"/>
            <w:vAlign w:val="bottom"/>
            <w:gridSpan w:val="2"/>
          </w:tcPr>
          <w:p>
            <w:pPr>
              <w:spacing w:after="0"/>
              <w:rPr>
                <w:sz w:val="20"/>
                <w:szCs w:val="20"/>
                <w:color w:val="auto"/>
              </w:rPr>
            </w:pPr>
            <w:r>
              <w:rPr>
                <w:rFonts w:ascii="Arial" w:cs="Arial" w:eastAsia="Arial" w:hAnsi="Arial"/>
                <w:sz w:val="17"/>
                <w:szCs w:val="17"/>
                <w:color w:val="auto"/>
              </w:rPr>
              <w:t>Brighthouse Funds Trust I - T. Rowe Price Mid Cap Growth Portfolio</w:t>
            </w:r>
          </w:p>
        </w:tc>
        <w:tc>
          <w:tcPr>
            <w:tcW w:w="1660" w:type="dxa"/>
            <w:vAlign w:val="bottom"/>
            <w:gridSpan w:val="2"/>
          </w:tcPr>
          <w:p>
            <w:pPr>
              <w:jc w:val="right"/>
              <w:ind w:right="540"/>
              <w:spacing w:after="0"/>
              <w:rPr>
                <w:sz w:val="20"/>
                <w:szCs w:val="20"/>
                <w:color w:val="auto"/>
              </w:rPr>
            </w:pPr>
            <w:r>
              <w:rPr>
                <w:rFonts w:ascii="Arial" w:cs="Arial" w:eastAsia="Arial" w:hAnsi="Arial"/>
                <w:sz w:val="17"/>
                <w:szCs w:val="17"/>
                <w:color w:val="auto"/>
              </w:rPr>
              <w:t>27,276</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5,707,503.00</w:t>
            </w:r>
          </w:p>
        </w:tc>
        <w:tc>
          <w:tcPr>
            <w:tcW w:w="0" w:type="dxa"/>
            <w:vAlign w:val="bottom"/>
          </w:tcPr>
          <w:p>
            <w:pPr>
              <w:spacing w:after="0"/>
              <w:rPr>
                <w:sz w:val="1"/>
                <w:szCs w:val="1"/>
                <w:color w:val="auto"/>
              </w:rPr>
            </w:pPr>
          </w:p>
        </w:tc>
      </w:tr>
      <w:tr>
        <w:trPr>
          <w:trHeight w:val="206"/>
        </w:trPr>
        <w:tc>
          <w:tcPr>
            <w:tcW w:w="7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MML Series Investment Fund - MML Mid Cap Growth Fund</w:t>
            </w:r>
          </w:p>
        </w:tc>
        <w:tc>
          <w:tcPr>
            <w:tcW w:w="166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7,677</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1,606,412.25</w:t>
            </w:r>
          </w:p>
        </w:tc>
        <w:tc>
          <w:tcPr>
            <w:tcW w:w="0" w:type="dxa"/>
            <w:vAlign w:val="bottom"/>
          </w:tcPr>
          <w:p>
            <w:pPr>
              <w:spacing w:after="0"/>
              <w:rPr>
                <w:sz w:val="1"/>
                <w:szCs w:val="1"/>
                <w:color w:val="auto"/>
              </w:rPr>
            </w:pPr>
          </w:p>
        </w:tc>
      </w:tr>
      <w:tr>
        <w:trPr>
          <w:trHeight w:val="206"/>
        </w:trPr>
        <w:tc>
          <w:tcPr>
            <w:tcW w:w="7620" w:type="dxa"/>
            <w:vAlign w:val="bottom"/>
            <w:gridSpan w:val="2"/>
          </w:tcPr>
          <w:p>
            <w:pPr>
              <w:spacing w:after="0"/>
              <w:rPr>
                <w:sz w:val="20"/>
                <w:szCs w:val="20"/>
                <w:color w:val="auto"/>
              </w:rPr>
            </w:pPr>
            <w:r>
              <w:rPr>
                <w:rFonts w:ascii="Arial" w:cs="Arial" w:eastAsia="Arial" w:hAnsi="Arial"/>
                <w:sz w:val="17"/>
                <w:szCs w:val="17"/>
                <w:color w:val="auto"/>
              </w:rPr>
              <w:t>T. Rowe Price U.S. Equities Trust</w:t>
            </w:r>
          </w:p>
        </w:tc>
        <w:tc>
          <w:tcPr>
            <w:tcW w:w="1660" w:type="dxa"/>
            <w:vAlign w:val="bottom"/>
            <w:gridSpan w:val="2"/>
          </w:tcPr>
          <w:p>
            <w:pPr>
              <w:jc w:val="right"/>
              <w:ind w:right="540"/>
              <w:spacing w:after="0"/>
              <w:rPr>
                <w:sz w:val="20"/>
                <w:szCs w:val="20"/>
                <w:color w:val="auto"/>
              </w:rPr>
            </w:pPr>
            <w:r>
              <w:rPr>
                <w:rFonts w:ascii="Arial" w:cs="Arial" w:eastAsia="Arial" w:hAnsi="Arial"/>
                <w:sz w:val="17"/>
                <w:szCs w:val="17"/>
                <w:color w:val="auto"/>
              </w:rPr>
              <w:t>3,096</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647,838.00</w:t>
            </w:r>
          </w:p>
        </w:tc>
        <w:tc>
          <w:tcPr>
            <w:tcW w:w="0" w:type="dxa"/>
            <w:vAlign w:val="bottom"/>
          </w:tcPr>
          <w:p>
            <w:pPr>
              <w:spacing w:after="0"/>
              <w:rPr>
                <w:sz w:val="1"/>
                <w:szCs w:val="1"/>
                <w:color w:val="auto"/>
              </w:rPr>
            </w:pPr>
          </w:p>
        </w:tc>
      </w:tr>
      <w:tr>
        <w:trPr>
          <w:trHeight w:val="206"/>
        </w:trPr>
        <w:tc>
          <w:tcPr>
            <w:tcW w:w="7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 Rowe Price U.S. Mid-Cap Growth Equity Trust</w:t>
            </w:r>
          </w:p>
        </w:tc>
        <w:tc>
          <w:tcPr>
            <w:tcW w:w="166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46,356</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9,699,993.00</w:t>
            </w:r>
          </w:p>
        </w:tc>
        <w:tc>
          <w:tcPr>
            <w:tcW w:w="0" w:type="dxa"/>
            <w:vAlign w:val="bottom"/>
          </w:tcPr>
          <w:p>
            <w:pPr>
              <w:spacing w:after="0"/>
              <w:rPr>
                <w:sz w:val="1"/>
                <w:szCs w:val="1"/>
                <w:color w:val="auto"/>
              </w:rPr>
            </w:pPr>
          </w:p>
        </w:tc>
      </w:tr>
      <w:tr>
        <w:trPr>
          <w:trHeight w:val="206"/>
        </w:trPr>
        <w:tc>
          <w:tcPr>
            <w:tcW w:w="7620" w:type="dxa"/>
            <w:vAlign w:val="bottom"/>
            <w:gridSpan w:val="2"/>
          </w:tcPr>
          <w:p>
            <w:pPr>
              <w:spacing w:after="0"/>
              <w:rPr>
                <w:sz w:val="20"/>
                <w:szCs w:val="20"/>
                <w:color w:val="auto"/>
              </w:rPr>
            </w:pPr>
            <w:r>
              <w:rPr>
                <w:rFonts w:ascii="Arial" w:cs="Arial" w:eastAsia="Arial" w:hAnsi="Arial"/>
                <w:sz w:val="17"/>
                <w:szCs w:val="17"/>
                <w:color w:val="auto"/>
              </w:rPr>
              <w:t>L’Oreal USA, Inc. Employee Retirement Savings Plan</w:t>
            </w:r>
          </w:p>
        </w:tc>
        <w:tc>
          <w:tcPr>
            <w:tcW w:w="1660" w:type="dxa"/>
            <w:vAlign w:val="bottom"/>
            <w:gridSpan w:val="2"/>
          </w:tcPr>
          <w:p>
            <w:pPr>
              <w:jc w:val="right"/>
              <w:ind w:right="540"/>
              <w:spacing w:after="0"/>
              <w:rPr>
                <w:sz w:val="20"/>
                <w:szCs w:val="20"/>
                <w:color w:val="auto"/>
              </w:rPr>
            </w:pPr>
            <w:r>
              <w:rPr>
                <w:rFonts w:ascii="Arial" w:cs="Arial" w:eastAsia="Arial" w:hAnsi="Arial"/>
                <w:sz w:val="17"/>
                <w:szCs w:val="17"/>
                <w:color w:val="auto"/>
              </w:rPr>
              <w:t>2,573</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538,400.25</w:t>
            </w:r>
          </w:p>
        </w:tc>
        <w:tc>
          <w:tcPr>
            <w:tcW w:w="0" w:type="dxa"/>
            <w:vAlign w:val="bottom"/>
          </w:tcPr>
          <w:p>
            <w:pPr>
              <w:spacing w:after="0"/>
              <w:rPr>
                <w:sz w:val="1"/>
                <w:szCs w:val="1"/>
                <w:color w:val="auto"/>
              </w:rPr>
            </w:pPr>
          </w:p>
        </w:tc>
      </w:tr>
      <w:tr>
        <w:trPr>
          <w:trHeight w:val="206"/>
        </w:trPr>
        <w:tc>
          <w:tcPr>
            <w:tcW w:w="7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Costco 401(k) Retirement Plan</w:t>
            </w:r>
          </w:p>
        </w:tc>
        <w:tc>
          <w:tcPr>
            <w:tcW w:w="166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17,545</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3,671,291.25</w:t>
            </w:r>
          </w:p>
        </w:tc>
        <w:tc>
          <w:tcPr>
            <w:tcW w:w="0" w:type="dxa"/>
            <w:vAlign w:val="bottom"/>
          </w:tcPr>
          <w:p>
            <w:pPr>
              <w:spacing w:after="0"/>
              <w:rPr>
                <w:sz w:val="1"/>
                <w:szCs w:val="1"/>
                <w:color w:val="auto"/>
              </w:rPr>
            </w:pPr>
          </w:p>
        </w:tc>
      </w:tr>
      <w:tr>
        <w:trPr>
          <w:trHeight w:val="206"/>
        </w:trPr>
        <w:tc>
          <w:tcPr>
            <w:tcW w:w="7620" w:type="dxa"/>
            <w:vAlign w:val="bottom"/>
            <w:gridSpan w:val="2"/>
          </w:tcPr>
          <w:p>
            <w:pPr>
              <w:spacing w:after="0"/>
              <w:rPr>
                <w:sz w:val="20"/>
                <w:szCs w:val="20"/>
                <w:color w:val="auto"/>
              </w:rPr>
            </w:pPr>
            <w:r>
              <w:rPr>
                <w:rFonts w:ascii="Arial" w:cs="Arial" w:eastAsia="Arial" w:hAnsi="Arial"/>
                <w:sz w:val="17"/>
                <w:szCs w:val="17"/>
                <w:color w:val="auto"/>
              </w:rPr>
              <w:t>MassMutual Select Funds - MassMutual Select T. Rowe Price Small and Mid Cap Blend Fund</w:t>
            </w:r>
          </w:p>
        </w:tc>
        <w:tc>
          <w:tcPr>
            <w:tcW w:w="1660" w:type="dxa"/>
            <w:vAlign w:val="bottom"/>
            <w:gridSpan w:val="2"/>
          </w:tcPr>
          <w:p>
            <w:pPr>
              <w:jc w:val="right"/>
              <w:ind w:right="540"/>
              <w:spacing w:after="0"/>
              <w:rPr>
                <w:sz w:val="20"/>
                <w:szCs w:val="20"/>
                <w:color w:val="auto"/>
              </w:rPr>
            </w:pPr>
            <w:r>
              <w:rPr>
                <w:rFonts w:ascii="Arial" w:cs="Arial" w:eastAsia="Arial" w:hAnsi="Arial"/>
                <w:sz w:val="17"/>
                <w:szCs w:val="17"/>
                <w:color w:val="auto"/>
              </w:rPr>
              <w:t>2,041</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427,079.25</w:t>
            </w:r>
          </w:p>
        </w:tc>
        <w:tc>
          <w:tcPr>
            <w:tcW w:w="0" w:type="dxa"/>
            <w:vAlign w:val="bottom"/>
          </w:tcPr>
          <w:p>
            <w:pPr>
              <w:spacing w:after="0"/>
              <w:rPr>
                <w:sz w:val="1"/>
                <w:szCs w:val="1"/>
                <w:color w:val="auto"/>
              </w:rPr>
            </w:pPr>
          </w:p>
        </w:tc>
      </w:tr>
      <w:tr>
        <w:trPr>
          <w:trHeight w:val="206"/>
        </w:trPr>
        <w:tc>
          <w:tcPr>
            <w:tcW w:w="7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 Rowe Price Small-Cap Stock Fund, Inc.</w:t>
            </w:r>
          </w:p>
        </w:tc>
        <w:tc>
          <w:tcPr>
            <w:tcW w:w="166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148,235</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7"/>
              </w:rPr>
              <w:t>31,018,173.75</w:t>
            </w:r>
          </w:p>
        </w:tc>
        <w:tc>
          <w:tcPr>
            <w:tcW w:w="0" w:type="dxa"/>
            <w:vAlign w:val="bottom"/>
          </w:tcPr>
          <w:p>
            <w:pPr>
              <w:spacing w:after="0"/>
              <w:rPr>
                <w:sz w:val="1"/>
                <w:szCs w:val="1"/>
                <w:color w:val="auto"/>
              </w:rPr>
            </w:pPr>
          </w:p>
        </w:tc>
      </w:tr>
      <w:tr>
        <w:trPr>
          <w:trHeight w:val="206"/>
        </w:trPr>
        <w:tc>
          <w:tcPr>
            <w:tcW w:w="7620" w:type="dxa"/>
            <w:vAlign w:val="bottom"/>
            <w:gridSpan w:val="2"/>
          </w:tcPr>
          <w:p>
            <w:pPr>
              <w:spacing w:after="0"/>
              <w:rPr>
                <w:sz w:val="20"/>
                <w:szCs w:val="20"/>
                <w:color w:val="auto"/>
              </w:rPr>
            </w:pPr>
            <w:r>
              <w:rPr>
                <w:rFonts w:ascii="Arial" w:cs="Arial" w:eastAsia="Arial" w:hAnsi="Arial"/>
                <w:sz w:val="17"/>
                <w:szCs w:val="17"/>
                <w:color w:val="auto"/>
              </w:rPr>
              <w:t>TD Mutual Funds - TD U.S. Small-Cap Equity Fund</w:t>
            </w:r>
          </w:p>
        </w:tc>
        <w:tc>
          <w:tcPr>
            <w:tcW w:w="1660" w:type="dxa"/>
            <w:vAlign w:val="bottom"/>
            <w:gridSpan w:val="2"/>
          </w:tcPr>
          <w:p>
            <w:pPr>
              <w:jc w:val="right"/>
              <w:ind w:right="540"/>
              <w:spacing w:after="0"/>
              <w:rPr>
                <w:sz w:val="20"/>
                <w:szCs w:val="20"/>
                <w:color w:val="auto"/>
              </w:rPr>
            </w:pPr>
            <w:r>
              <w:rPr>
                <w:rFonts w:ascii="Arial" w:cs="Arial" w:eastAsia="Arial" w:hAnsi="Arial"/>
                <w:sz w:val="17"/>
                <w:szCs w:val="17"/>
                <w:color w:val="auto"/>
              </w:rPr>
              <w:t>6,675</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1,396,743.75</w:t>
            </w:r>
          </w:p>
        </w:tc>
        <w:tc>
          <w:tcPr>
            <w:tcW w:w="0" w:type="dxa"/>
            <w:vAlign w:val="bottom"/>
          </w:tcPr>
          <w:p>
            <w:pPr>
              <w:spacing w:after="0"/>
              <w:rPr>
                <w:sz w:val="1"/>
                <w:szCs w:val="1"/>
                <w:color w:val="auto"/>
              </w:rPr>
            </w:pPr>
          </w:p>
        </w:tc>
      </w:tr>
      <w:tr>
        <w:trPr>
          <w:trHeight w:val="206"/>
        </w:trPr>
        <w:tc>
          <w:tcPr>
            <w:tcW w:w="7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 Rowe Price Personal Strategy Income Fund</w:t>
            </w:r>
          </w:p>
        </w:tc>
        <w:tc>
          <w:tcPr>
            <w:tcW w:w="166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1,214</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254,029.50</w:t>
            </w:r>
          </w:p>
        </w:tc>
        <w:tc>
          <w:tcPr>
            <w:tcW w:w="0" w:type="dxa"/>
            <w:vAlign w:val="bottom"/>
          </w:tcPr>
          <w:p>
            <w:pPr>
              <w:spacing w:after="0"/>
              <w:rPr>
                <w:sz w:val="1"/>
                <w:szCs w:val="1"/>
                <w:color w:val="auto"/>
              </w:rPr>
            </w:pPr>
          </w:p>
        </w:tc>
      </w:tr>
      <w:tr>
        <w:trPr>
          <w:trHeight w:val="206"/>
        </w:trPr>
        <w:tc>
          <w:tcPr>
            <w:tcW w:w="7620" w:type="dxa"/>
            <w:vAlign w:val="bottom"/>
            <w:gridSpan w:val="2"/>
          </w:tcPr>
          <w:p>
            <w:pPr>
              <w:spacing w:after="0"/>
              <w:rPr>
                <w:sz w:val="20"/>
                <w:szCs w:val="20"/>
                <w:color w:val="auto"/>
              </w:rPr>
            </w:pPr>
            <w:r>
              <w:rPr>
                <w:rFonts w:ascii="Arial" w:cs="Arial" w:eastAsia="Arial" w:hAnsi="Arial"/>
                <w:sz w:val="17"/>
                <w:szCs w:val="17"/>
                <w:color w:val="auto"/>
              </w:rPr>
              <w:t>T. Rowe Price Personal Strategy Balanced Portfolio</w:t>
            </w:r>
          </w:p>
        </w:tc>
        <w:tc>
          <w:tcPr>
            <w:tcW w:w="1660" w:type="dxa"/>
            <w:vAlign w:val="bottom"/>
            <w:gridSpan w:val="2"/>
          </w:tcPr>
          <w:p>
            <w:pPr>
              <w:jc w:val="right"/>
              <w:ind w:right="540"/>
              <w:spacing w:after="0"/>
              <w:rPr>
                <w:sz w:val="20"/>
                <w:szCs w:val="20"/>
                <w:color w:val="auto"/>
              </w:rPr>
            </w:pPr>
            <w:r>
              <w:rPr>
                <w:rFonts w:ascii="Arial" w:cs="Arial" w:eastAsia="Arial" w:hAnsi="Arial"/>
                <w:sz w:val="17"/>
                <w:szCs w:val="17"/>
                <w:color w:val="auto"/>
              </w:rPr>
              <w:t>146</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30,550.50</w:t>
            </w:r>
          </w:p>
        </w:tc>
        <w:tc>
          <w:tcPr>
            <w:tcW w:w="0" w:type="dxa"/>
            <w:vAlign w:val="bottom"/>
          </w:tcPr>
          <w:p>
            <w:pPr>
              <w:spacing w:after="0"/>
              <w:rPr>
                <w:sz w:val="1"/>
                <w:szCs w:val="1"/>
                <w:color w:val="auto"/>
              </w:rPr>
            </w:pPr>
          </w:p>
        </w:tc>
      </w:tr>
      <w:tr>
        <w:trPr>
          <w:trHeight w:val="206"/>
        </w:trPr>
        <w:tc>
          <w:tcPr>
            <w:tcW w:w="7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 Rowe Price Personal Strategy Growth Fund</w:t>
            </w:r>
          </w:p>
        </w:tc>
        <w:tc>
          <w:tcPr>
            <w:tcW w:w="166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2,629</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550,118.25</w:t>
            </w:r>
          </w:p>
        </w:tc>
        <w:tc>
          <w:tcPr>
            <w:tcW w:w="0" w:type="dxa"/>
            <w:vAlign w:val="bottom"/>
          </w:tcPr>
          <w:p>
            <w:pPr>
              <w:spacing w:after="0"/>
              <w:rPr>
                <w:sz w:val="1"/>
                <w:szCs w:val="1"/>
                <w:color w:val="auto"/>
              </w:rPr>
            </w:pPr>
          </w:p>
        </w:tc>
      </w:tr>
      <w:tr>
        <w:trPr>
          <w:trHeight w:val="206"/>
        </w:trPr>
        <w:tc>
          <w:tcPr>
            <w:tcW w:w="7620" w:type="dxa"/>
            <w:vAlign w:val="bottom"/>
            <w:gridSpan w:val="2"/>
          </w:tcPr>
          <w:p>
            <w:pPr>
              <w:spacing w:after="0"/>
              <w:rPr>
                <w:sz w:val="20"/>
                <w:szCs w:val="20"/>
                <w:color w:val="auto"/>
              </w:rPr>
            </w:pPr>
            <w:r>
              <w:rPr>
                <w:rFonts w:ascii="Arial" w:cs="Arial" w:eastAsia="Arial" w:hAnsi="Arial"/>
                <w:sz w:val="17"/>
                <w:szCs w:val="17"/>
                <w:color w:val="auto"/>
              </w:rPr>
              <w:t>T. Rowe Price Personal Strategy Balanced Fund</w:t>
            </w:r>
          </w:p>
        </w:tc>
        <w:tc>
          <w:tcPr>
            <w:tcW w:w="1660" w:type="dxa"/>
            <w:vAlign w:val="bottom"/>
            <w:gridSpan w:val="2"/>
          </w:tcPr>
          <w:p>
            <w:pPr>
              <w:jc w:val="right"/>
              <w:ind w:right="540"/>
              <w:spacing w:after="0"/>
              <w:rPr>
                <w:sz w:val="20"/>
                <w:szCs w:val="20"/>
                <w:color w:val="auto"/>
              </w:rPr>
            </w:pPr>
            <w:r>
              <w:rPr>
                <w:rFonts w:ascii="Arial" w:cs="Arial" w:eastAsia="Arial" w:hAnsi="Arial"/>
                <w:sz w:val="17"/>
                <w:szCs w:val="17"/>
                <w:color w:val="auto"/>
              </w:rPr>
              <w:t>1,837</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384,392.25</w:t>
            </w:r>
          </w:p>
        </w:tc>
        <w:tc>
          <w:tcPr>
            <w:tcW w:w="0" w:type="dxa"/>
            <w:vAlign w:val="bottom"/>
          </w:tcPr>
          <w:p>
            <w:pPr>
              <w:spacing w:after="0"/>
              <w:rPr>
                <w:sz w:val="1"/>
                <w:szCs w:val="1"/>
                <w:color w:val="auto"/>
              </w:rPr>
            </w:pPr>
          </w:p>
        </w:tc>
      </w:tr>
      <w:tr>
        <w:trPr>
          <w:trHeight w:val="206"/>
        </w:trPr>
        <w:tc>
          <w:tcPr>
            <w:tcW w:w="7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 Rowe Price Institutional Small-Cap Stock Fund</w:t>
            </w:r>
          </w:p>
        </w:tc>
        <w:tc>
          <w:tcPr>
            <w:tcW w:w="166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72,222</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7"/>
              </w:rPr>
              <w:t>15,112,453.50</w:t>
            </w:r>
          </w:p>
        </w:tc>
        <w:tc>
          <w:tcPr>
            <w:tcW w:w="0" w:type="dxa"/>
            <w:vAlign w:val="bottom"/>
          </w:tcPr>
          <w:p>
            <w:pPr>
              <w:spacing w:after="0"/>
              <w:rPr>
                <w:sz w:val="1"/>
                <w:szCs w:val="1"/>
                <w:color w:val="auto"/>
              </w:rPr>
            </w:pPr>
          </w:p>
        </w:tc>
      </w:tr>
      <w:tr>
        <w:trPr>
          <w:trHeight w:val="206"/>
        </w:trPr>
        <w:tc>
          <w:tcPr>
            <w:tcW w:w="7620" w:type="dxa"/>
            <w:vAlign w:val="bottom"/>
            <w:gridSpan w:val="2"/>
          </w:tcPr>
          <w:p>
            <w:pPr>
              <w:spacing w:after="0"/>
              <w:rPr>
                <w:sz w:val="20"/>
                <w:szCs w:val="20"/>
                <w:color w:val="auto"/>
              </w:rPr>
            </w:pPr>
            <w:r>
              <w:rPr>
                <w:rFonts w:ascii="Arial" w:cs="Arial" w:eastAsia="Arial" w:hAnsi="Arial"/>
                <w:sz w:val="17"/>
                <w:szCs w:val="17"/>
                <w:color w:val="auto"/>
              </w:rPr>
              <w:t>VALIC Company I - Small Cap Fund</w:t>
            </w:r>
          </w:p>
        </w:tc>
        <w:tc>
          <w:tcPr>
            <w:tcW w:w="1660" w:type="dxa"/>
            <w:vAlign w:val="bottom"/>
            <w:gridSpan w:val="2"/>
          </w:tcPr>
          <w:p>
            <w:pPr>
              <w:jc w:val="right"/>
              <w:ind w:right="540"/>
              <w:spacing w:after="0"/>
              <w:rPr>
                <w:sz w:val="20"/>
                <w:szCs w:val="20"/>
                <w:color w:val="auto"/>
              </w:rPr>
            </w:pPr>
            <w:r>
              <w:rPr>
                <w:rFonts w:ascii="Arial" w:cs="Arial" w:eastAsia="Arial" w:hAnsi="Arial"/>
                <w:sz w:val="17"/>
                <w:szCs w:val="17"/>
                <w:color w:val="auto"/>
              </w:rPr>
              <w:t>1,539</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322,035.75</w:t>
            </w:r>
          </w:p>
        </w:tc>
        <w:tc>
          <w:tcPr>
            <w:tcW w:w="0" w:type="dxa"/>
            <w:vAlign w:val="bottom"/>
          </w:tcPr>
          <w:p>
            <w:pPr>
              <w:spacing w:after="0"/>
              <w:rPr>
                <w:sz w:val="1"/>
                <w:szCs w:val="1"/>
                <w:color w:val="auto"/>
              </w:rPr>
            </w:pPr>
          </w:p>
        </w:tc>
      </w:tr>
      <w:tr>
        <w:trPr>
          <w:trHeight w:val="206"/>
        </w:trPr>
        <w:tc>
          <w:tcPr>
            <w:tcW w:w="7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U.S. Small-Cap Stock Trust</w:t>
            </w:r>
          </w:p>
        </w:tc>
        <w:tc>
          <w:tcPr>
            <w:tcW w:w="166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6,045</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1,264,916.25</w:t>
            </w:r>
          </w:p>
        </w:tc>
        <w:tc>
          <w:tcPr>
            <w:tcW w:w="0" w:type="dxa"/>
            <w:vAlign w:val="bottom"/>
          </w:tcPr>
          <w:p>
            <w:pPr>
              <w:spacing w:after="0"/>
              <w:rPr>
                <w:sz w:val="1"/>
                <w:szCs w:val="1"/>
                <w:color w:val="auto"/>
              </w:rPr>
            </w:pPr>
          </w:p>
        </w:tc>
      </w:tr>
      <w:tr>
        <w:trPr>
          <w:trHeight w:val="206"/>
        </w:trPr>
        <w:tc>
          <w:tcPr>
            <w:tcW w:w="7620" w:type="dxa"/>
            <w:vAlign w:val="bottom"/>
            <w:gridSpan w:val="2"/>
          </w:tcPr>
          <w:p>
            <w:pPr>
              <w:spacing w:after="0"/>
              <w:rPr>
                <w:sz w:val="20"/>
                <w:szCs w:val="20"/>
                <w:color w:val="auto"/>
              </w:rPr>
            </w:pPr>
            <w:r>
              <w:rPr>
                <w:rFonts w:ascii="Arial" w:cs="Arial" w:eastAsia="Arial" w:hAnsi="Arial"/>
                <w:sz w:val="17"/>
                <w:szCs w:val="17"/>
                <w:color w:val="auto"/>
              </w:rPr>
              <w:t>Minnesota Life Insurance Company</w:t>
            </w:r>
          </w:p>
        </w:tc>
        <w:tc>
          <w:tcPr>
            <w:tcW w:w="1660" w:type="dxa"/>
            <w:vAlign w:val="bottom"/>
            <w:gridSpan w:val="2"/>
          </w:tcPr>
          <w:p>
            <w:pPr>
              <w:jc w:val="right"/>
              <w:ind w:right="540"/>
              <w:spacing w:after="0"/>
              <w:rPr>
                <w:sz w:val="20"/>
                <w:szCs w:val="20"/>
                <w:color w:val="auto"/>
              </w:rPr>
            </w:pPr>
            <w:r>
              <w:rPr>
                <w:rFonts w:ascii="Arial" w:cs="Arial" w:eastAsia="Arial" w:hAnsi="Arial"/>
                <w:sz w:val="17"/>
                <w:szCs w:val="17"/>
                <w:color w:val="auto"/>
              </w:rPr>
              <w:t>1,525</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319,106.25</w:t>
            </w:r>
          </w:p>
        </w:tc>
        <w:tc>
          <w:tcPr>
            <w:tcW w:w="0" w:type="dxa"/>
            <w:vAlign w:val="bottom"/>
          </w:tcPr>
          <w:p>
            <w:pPr>
              <w:spacing w:after="0"/>
              <w:rPr>
                <w:sz w:val="1"/>
                <w:szCs w:val="1"/>
                <w:color w:val="auto"/>
              </w:rPr>
            </w:pPr>
          </w:p>
        </w:tc>
      </w:tr>
      <w:tr>
        <w:trPr>
          <w:trHeight w:val="206"/>
        </w:trPr>
        <w:tc>
          <w:tcPr>
            <w:tcW w:w="7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 Rowe Price U.S. Small-Cap Core Equity Trust</w:t>
            </w:r>
          </w:p>
        </w:tc>
        <w:tc>
          <w:tcPr>
            <w:tcW w:w="166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25,147</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5,262,009.75</w:t>
            </w:r>
          </w:p>
        </w:tc>
        <w:tc>
          <w:tcPr>
            <w:tcW w:w="0" w:type="dxa"/>
            <w:vAlign w:val="bottom"/>
          </w:tcPr>
          <w:p>
            <w:pPr>
              <w:spacing w:after="0"/>
              <w:rPr>
                <w:sz w:val="1"/>
                <w:szCs w:val="1"/>
                <w:color w:val="auto"/>
              </w:rPr>
            </w:pPr>
          </w:p>
        </w:tc>
      </w:tr>
      <w:tr>
        <w:trPr>
          <w:trHeight w:val="206"/>
        </w:trPr>
        <w:tc>
          <w:tcPr>
            <w:tcW w:w="7620" w:type="dxa"/>
            <w:vAlign w:val="bottom"/>
            <w:gridSpan w:val="2"/>
          </w:tcPr>
          <w:p>
            <w:pPr>
              <w:spacing w:after="0"/>
              <w:rPr>
                <w:sz w:val="20"/>
                <w:szCs w:val="20"/>
                <w:color w:val="auto"/>
              </w:rPr>
            </w:pPr>
            <w:r>
              <w:rPr>
                <w:rFonts w:ascii="Arial" w:cs="Arial" w:eastAsia="Arial" w:hAnsi="Arial"/>
                <w:sz w:val="17"/>
                <w:szCs w:val="17"/>
                <w:color w:val="auto"/>
              </w:rPr>
              <w:t>Costco 401(k) Retirement Plan</w:t>
            </w:r>
          </w:p>
        </w:tc>
        <w:tc>
          <w:tcPr>
            <w:tcW w:w="1660" w:type="dxa"/>
            <w:vAlign w:val="bottom"/>
            <w:gridSpan w:val="2"/>
          </w:tcPr>
          <w:p>
            <w:pPr>
              <w:jc w:val="right"/>
              <w:ind w:right="540"/>
              <w:spacing w:after="0"/>
              <w:rPr>
                <w:sz w:val="20"/>
                <w:szCs w:val="20"/>
                <w:color w:val="auto"/>
              </w:rPr>
            </w:pPr>
            <w:r>
              <w:rPr>
                <w:rFonts w:ascii="Arial" w:cs="Arial" w:eastAsia="Arial" w:hAnsi="Arial"/>
                <w:sz w:val="17"/>
                <w:szCs w:val="17"/>
                <w:color w:val="auto"/>
              </w:rPr>
              <w:t>6,369</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1,332,713.25</w:t>
            </w:r>
          </w:p>
        </w:tc>
        <w:tc>
          <w:tcPr>
            <w:tcW w:w="0" w:type="dxa"/>
            <w:vAlign w:val="bottom"/>
          </w:tcPr>
          <w:p>
            <w:pPr>
              <w:spacing w:after="0"/>
              <w:rPr>
                <w:sz w:val="1"/>
                <w:szCs w:val="1"/>
                <w:color w:val="auto"/>
              </w:rPr>
            </w:pPr>
          </w:p>
        </w:tc>
      </w:tr>
      <w:tr>
        <w:trPr>
          <w:trHeight w:val="206"/>
        </w:trPr>
        <w:tc>
          <w:tcPr>
            <w:tcW w:w="7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MassMutual Select Funds - MassMutual Select T. Rowe Price Small and Mid Cap Blend Fund</w:t>
            </w:r>
          </w:p>
        </w:tc>
        <w:tc>
          <w:tcPr>
            <w:tcW w:w="166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1,178</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246,496.50</w:t>
            </w:r>
          </w:p>
        </w:tc>
        <w:tc>
          <w:tcPr>
            <w:tcW w:w="0" w:type="dxa"/>
            <w:vAlign w:val="bottom"/>
          </w:tcPr>
          <w:p>
            <w:pPr>
              <w:spacing w:after="0"/>
              <w:rPr>
                <w:sz w:val="1"/>
                <w:szCs w:val="1"/>
                <w:color w:val="auto"/>
              </w:rPr>
            </w:pPr>
          </w:p>
        </w:tc>
      </w:tr>
      <w:tr>
        <w:trPr>
          <w:trHeight w:val="206"/>
        </w:trPr>
        <w:tc>
          <w:tcPr>
            <w:tcW w:w="7620" w:type="dxa"/>
            <w:vAlign w:val="bottom"/>
            <w:gridSpan w:val="2"/>
          </w:tcPr>
          <w:p>
            <w:pPr>
              <w:spacing w:after="0"/>
              <w:rPr>
                <w:sz w:val="20"/>
                <w:szCs w:val="20"/>
                <w:color w:val="auto"/>
              </w:rPr>
            </w:pPr>
            <w:r>
              <w:rPr>
                <w:rFonts w:ascii="Arial" w:cs="Arial" w:eastAsia="Arial" w:hAnsi="Arial"/>
                <w:sz w:val="17"/>
                <w:szCs w:val="17"/>
                <w:color w:val="auto"/>
              </w:rPr>
              <w:t>T. Rowe Price Health Sciences Fund, Inc.</w:t>
            </w:r>
          </w:p>
        </w:tc>
        <w:tc>
          <w:tcPr>
            <w:tcW w:w="1660" w:type="dxa"/>
            <w:vAlign w:val="bottom"/>
            <w:gridSpan w:val="2"/>
          </w:tcPr>
          <w:p>
            <w:pPr>
              <w:jc w:val="right"/>
              <w:ind w:right="540"/>
              <w:spacing w:after="0"/>
              <w:rPr>
                <w:sz w:val="20"/>
                <w:szCs w:val="20"/>
                <w:color w:val="auto"/>
              </w:rPr>
            </w:pPr>
            <w:r>
              <w:rPr>
                <w:rFonts w:ascii="Arial" w:cs="Arial" w:eastAsia="Arial" w:hAnsi="Arial"/>
                <w:sz w:val="17"/>
                <w:szCs w:val="17"/>
                <w:color w:val="auto"/>
              </w:rPr>
              <w:t>289,417</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w w:val="97"/>
              </w:rPr>
              <w:t>60,560,507.25</w:t>
            </w:r>
          </w:p>
        </w:tc>
        <w:tc>
          <w:tcPr>
            <w:tcW w:w="0" w:type="dxa"/>
            <w:vAlign w:val="bottom"/>
          </w:tcPr>
          <w:p>
            <w:pPr>
              <w:spacing w:after="0"/>
              <w:rPr>
                <w:sz w:val="1"/>
                <w:szCs w:val="1"/>
                <w:color w:val="auto"/>
              </w:rPr>
            </w:pPr>
          </w:p>
        </w:tc>
      </w:tr>
      <w:tr>
        <w:trPr>
          <w:trHeight w:val="206"/>
        </w:trPr>
        <w:tc>
          <w:tcPr>
            <w:tcW w:w="7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TD Mutual Funds - TD Health Sciences Fund</w:t>
            </w:r>
          </w:p>
        </w:tc>
        <w:tc>
          <w:tcPr>
            <w:tcW w:w="166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17,089</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3,575,873.25</w:t>
            </w:r>
          </w:p>
        </w:tc>
        <w:tc>
          <w:tcPr>
            <w:tcW w:w="0" w:type="dxa"/>
            <w:vAlign w:val="bottom"/>
          </w:tcPr>
          <w:p>
            <w:pPr>
              <w:spacing w:after="0"/>
              <w:rPr>
                <w:sz w:val="1"/>
                <w:szCs w:val="1"/>
                <w:color w:val="auto"/>
              </w:rPr>
            </w:pPr>
          </w:p>
        </w:tc>
      </w:tr>
      <w:tr>
        <w:trPr>
          <w:trHeight w:val="206"/>
        </w:trPr>
        <w:tc>
          <w:tcPr>
            <w:tcW w:w="7620" w:type="dxa"/>
            <w:vAlign w:val="bottom"/>
            <w:gridSpan w:val="2"/>
          </w:tcPr>
          <w:p>
            <w:pPr>
              <w:spacing w:after="0"/>
              <w:rPr>
                <w:sz w:val="20"/>
                <w:szCs w:val="20"/>
                <w:color w:val="auto"/>
              </w:rPr>
            </w:pPr>
            <w:r>
              <w:rPr>
                <w:rFonts w:ascii="Arial" w:cs="Arial" w:eastAsia="Arial" w:hAnsi="Arial"/>
                <w:sz w:val="17"/>
                <w:szCs w:val="17"/>
                <w:color w:val="auto"/>
              </w:rPr>
              <w:t>VALIC Company I - Health Sciences Fund</w:t>
            </w:r>
          </w:p>
        </w:tc>
        <w:tc>
          <w:tcPr>
            <w:tcW w:w="1660" w:type="dxa"/>
            <w:vAlign w:val="bottom"/>
            <w:gridSpan w:val="2"/>
          </w:tcPr>
          <w:p>
            <w:pPr>
              <w:jc w:val="right"/>
              <w:ind w:right="540"/>
              <w:spacing w:after="0"/>
              <w:rPr>
                <w:sz w:val="20"/>
                <w:szCs w:val="20"/>
                <w:color w:val="auto"/>
              </w:rPr>
            </w:pPr>
            <w:r>
              <w:rPr>
                <w:rFonts w:ascii="Arial" w:cs="Arial" w:eastAsia="Arial" w:hAnsi="Arial"/>
                <w:sz w:val="17"/>
                <w:szCs w:val="17"/>
                <w:color w:val="auto"/>
              </w:rPr>
              <w:t>17,741</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3,712,304.25</w:t>
            </w:r>
          </w:p>
        </w:tc>
        <w:tc>
          <w:tcPr>
            <w:tcW w:w="0" w:type="dxa"/>
            <w:vAlign w:val="bottom"/>
          </w:tcPr>
          <w:p>
            <w:pPr>
              <w:spacing w:after="0"/>
              <w:rPr>
                <w:sz w:val="1"/>
                <w:szCs w:val="1"/>
                <w:color w:val="auto"/>
              </w:rPr>
            </w:pPr>
          </w:p>
        </w:tc>
      </w:tr>
      <w:tr>
        <w:trPr>
          <w:trHeight w:val="206"/>
        </w:trPr>
        <w:tc>
          <w:tcPr>
            <w:tcW w:w="7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 Rowe Price Health Sciences Portfolio</w:t>
            </w:r>
          </w:p>
        </w:tc>
        <w:tc>
          <w:tcPr>
            <w:tcW w:w="166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13,178</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2,757,496.50</w:t>
            </w:r>
          </w:p>
        </w:tc>
        <w:tc>
          <w:tcPr>
            <w:tcW w:w="0" w:type="dxa"/>
            <w:vAlign w:val="bottom"/>
          </w:tcPr>
          <w:p>
            <w:pPr>
              <w:spacing w:after="0"/>
              <w:rPr>
                <w:sz w:val="1"/>
                <w:szCs w:val="1"/>
                <w:color w:val="auto"/>
              </w:rPr>
            </w:pPr>
          </w:p>
        </w:tc>
      </w:tr>
      <w:tr>
        <w:trPr>
          <w:trHeight w:val="206"/>
        </w:trPr>
        <w:tc>
          <w:tcPr>
            <w:tcW w:w="7620" w:type="dxa"/>
            <w:vAlign w:val="bottom"/>
            <w:gridSpan w:val="2"/>
          </w:tcPr>
          <w:p>
            <w:pPr>
              <w:spacing w:after="0"/>
              <w:rPr>
                <w:sz w:val="20"/>
                <w:szCs w:val="20"/>
                <w:color w:val="auto"/>
              </w:rPr>
            </w:pPr>
            <w:r>
              <w:rPr>
                <w:rFonts w:ascii="Arial" w:cs="Arial" w:eastAsia="Arial" w:hAnsi="Arial"/>
                <w:sz w:val="17"/>
                <w:szCs w:val="17"/>
                <w:color w:val="auto"/>
              </w:rPr>
              <w:t>Seasons Series Trust - SA Multi-Managed Mid Cap Growth Portfolio</w:t>
            </w:r>
          </w:p>
        </w:tc>
        <w:tc>
          <w:tcPr>
            <w:tcW w:w="1660" w:type="dxa"/>
            <w:vAlign w:val="bottom"/>
            <w:gridSpan w:val="2"/>
          </w:tcPr>
          <w:p>
            <w:pPr>
              <w:jc w:val="right"/>
              <w:ind w:right="540"/>
              <w:spacing w:after="0"/>
              <w:rPr>
                <w:sz w:val="20"/>
                <w:szCs w:val="20"/>
                <w:color w:val="auto"/>
              </w:rPr>
            </w:pPr>
            <w:r>
              <w:rPr>
                <w:rFonts w:ascii="Arial" w:cs="Arial" w:eastAsia="Arial" w:hAnsi="Arial"/>
                <w:sz w:val="17"/>
                <w:szCs w:val="17"/>
                <w:color w:val="auto"/>
              </w:rPr>
              <w:t>298</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62,356.50</w:t>
            </w:r>
          </w:p>
        </w:tc>
        <w:tc>
          <w:tcPr>
            <w:tcW w:w="0" w:type="dxa"/>
            <w:vAlign w:val="bottom"/>
          </w:tcPr>
          <w:p>
            <w:pPr>
              <w:spacing w:after="0"/>
              <w:rPr>
                <w:sz w:val="1"/>
                <w:szCs w:val="1"/>
                <w:color w:val="auto"/>
              </w:rPr>
            </w:pPr>
          </w:p>
        </w:tc>
      </w:tr>
      <w:tr>
        <w:trPr>
          <w:trHeight w:val="206"/>
        </w:trPr>
        <w:tc>
          <w:tcPr>
            <w:tcW w:w="7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 Rowe Price Diversified Mid-Cap Growth Fund, Inc.</w:t>
            </w:r>
          </w:p>
        </w:tc>
        <w:tc>
          <w:tcPr>
            <w:tcW w:w="166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4,310</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901,867.50</w:t>
            </w:r>
          </w:p>
        </w:tc>
        <w:tc>
          <w:tcPr>
            <w:tcW w:w="0" w:type="dxa"/>
            <w:vAlign w:val="bottom"/>
          </w:tcPr>
          <w:p>
            <w:pPr>
              <w:spacing w:after="0"/>
              <w:rPr>
                <w:sz w:val="1"/>
                <w:szCs w:val="1"/>
                <w:color w:val="auto"/>
              </w:rPr>
            </w:pPr>
          </w:p>
        </w:tc>
      </w:tr>
      <w:tr>
        <w:trPr>
          <w:trHeight w:val="206"/>
        </w:trPr>
        <w:tc>
          <w:tcPr>
            <w:tcW w:w="7620" w:type="dxa"/>
            <w:vAlign w:val="bottom"/>
            <w:gridSpan w:val="2"/>
          </w:tcPr>
          <w:p>
            <w:pPr>
              <w:spacing w:after="0"/>
              <w:rPr>
                <w:sz w:val="20"/>
                <w:szCs w:val="20"/>
                <w:color w:val="auto"/>
              </w:rPr>
            </w:pPr>
            <w:r>
              <w:rPr>
                <w:rFonts w:ascii="Arial" w:cs="Arial" w:eastAsia="Arial" w:hAnsi="Arial"/>
                <w:sz w:val="17"/>
                <w:szCs w:val="17"/>
                <w:color w:val="auto"/>
              </w:rPr>
              <w:t>Lincoln Variable Insurance Products Trust - LVIP T. Rowe Price Structured Mid-Cap Growth Fund</w:t>
            </w:r>
          </w:p>
        </w:tc>
        <w:tc>
          <w:tcPr>
            <w:tcW w:w="1660" w:type="dxa"/>
            <w:vAlign w:val="bottom"/>
            <w:gridSpan w:val="2"/>
          </w:tcPr>
          <w:p>
            <w:pPr>
              <w:jc w:val="right"/>
              <w:ind w:right="540"/>
              <w:spacing w:after="0"/>
              <w:rPr>
                <w:sz w:val="20"/>
                <w:szCs w:val="20"/>
                <w:color w:val="auto"/>
              </w:rPr>
            </w:pPr>
            <w:r>
              <w:rPr>
                <w:rFonts w:ascii="Arial" w:cs="Arial" w:eastAsia="Arial" w:hAnsi="Arial"/>
                <w:sz w:val="17"/>
                <w:szCs w:val="17"/>
                <w:color w:val="auto"/>
              </w:rPr>
              <w:t>3,389</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709,148.25</w:t>
            </w:r>
          </w:p>
        </w:tc>
        <w:tc>
          <w:tcPr>
            <w:tcW w:w="0" w:type="dxa"/>
            <w:vAlign w:val="bottom"/>
          </w:tcPr>
          <w:p>
            <w:pPr>
              <w:spacing w:after="0"/>
              <w:rPr>
                <w:sz w:val="1"/>
                <w:szCs w:val="1"/>
                <w:color w:val="auto"/>
              </w:rPr>
            </w:pPr>
          </w:p>
        </w:tc>
      </w:tr>
      <w:tr>
        <w:trPr>
          <w:trHeight w:val="206"/>
        </w:trPr>
        <w:tc>
          <w:tcPr>
            <w:tcW w:w="7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Voya Partners, Inc. - VY T. Rowe Price Diversified Mid Cap Growth Portfolio</w:t>
            </w:r>
          </w:p>
        </w:tc>
        <w:tc>
          <w:tcPr>
            <w:tcW w:w="166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4,126</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863,365.50</w:t>
            </w:r>
          </w:p>
        </w:tc>
        <w:tc>
          <w:tcPr>
            <w:tcW w:w="0" w:type="dxa"/>
            <w:vAlign w:val="bottom"/>
          </w:tcPr>
          <w:p>
            <w:pPr>
              <w:spacing w:after="0"/>
              <w:rPr>
                <w:sz w:val="1"/>
                <w:szCs w:val="1"/>
                <w:color w:val="auto"/>
              </w:rPr>
            </w:pPr>
          </w:p>
        </w:tc>
      </w:tr>
      <w:tr>
        <w:trPr>
          <w:trHeight w:val="217"/>
        </w:trPr>
        <w:tc>
          <w:tcPr>
            <w:tcW w:w="7620" w:type="dxa"/>
            <w:vAlign w:val="bottom"/>
            <w:gridSpan w:val="2"/>
          </w:tcPr>
          <w:p>
            <w:pPr>
              <w:spacing w:after="0"/>
              <w:rPr>
                <w:sz w:val="20"/>
                <w:szCs w:val="20"/>
                <w:color w:val="auto"/>
              </w:rPr>
            </w:pPr>
            <w:r>
              <w:rPr>
                <w:rFonts w:ascii="Arial" w:cs="Arial" w:eastAsia="Arial" w:hAnsi="Arial"/>
                <w:sz w:val="17"/>
                <w:szCs w:val="17"/>
                <w:color w:val="auto"/>
              </w:rPr>
              <w:t>Lincoln Variable Insurance Products Trust – LVIP Blended Mid Cap Managed Volatility Fund</w:t>
            </w:r>
          </w:p>
        </w:tc>
        <w:tc>
          <w:tcPr>
            <w:tcW w:w="1660" w:type="dxa"/>
            <w:vAlign w:val="bottom"/>
            <w:gridSpan w:val="2"/>
          </w:tcPr>
          <w:p>
            <w:pPr>
              <w:jc w:val="right"/>
              <w:ind w:right="540"/>
              <w:spacing w:after="0"/>
              <w:rPr>
                <w:sz w:val="20"/>
                <w:szCs w:val="20"/>
                <w:color w:val="auto"/>
              </w:rPr>
            </w:pPr>
            <w:r>
              <w:rPr>
                <w:rFonts w:ascii="Arial" w:cs="Arial" w:eastAsia="Arial" w:hAnsi="Arial"/>
                <w:sz w:val="17"/>
                <w:szCs w:val="17"/>
                <w:color w:val="auto"/>
              </w:rPr>
              <w:t>1,279</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267,630.75</w:t>
            </w:r>
          </w:p>
        </w:tc>
        <w:tc>
          <w:tcPr>
            <w:tcW w:w="0" w:type="dxa"/>
            <w:vAlign w:val="bottom"/>
          </w:tcPr>
          <w:p>
            <w:pPr>
              <w:spacing w:after="0"/>
              <w:rPr>
                <w:sz w:val="1"/>
                <w:szCs w:val="1"/>
                <w:color w:val="auto"/>
              </w:rPr>
            </w:pPr>
          </w:p>
        </w:tc>
      </w:tr>
    </w:tbl>
    <w:p>
      <w:pPr>
        <w:sectPr>
          <w:pgSz w:w="11900" w:h="16838" w:orient="portrait"/>
          <w:cols w:equalWidth="0" w:num="1">
            <w:col w:w="10520"/>
          </w:cols>
          <w:pgMar w:left="700" w:top="263" w:right="679" w:bottom="1440" w:gutter="0" w:footer="0" w:header="0"/>
        </w:sectPr>
      </w:pPr>
    </w:p>
    <w:bookmarkStart w:id="47" w:name="page48"/>
    <w:bookmarkEnd w:id="47"/>
    <w:p>
      <w:pPr>
        <w:jc w:val="right"/>
        <w:spacing w:after="0"/>
        <w:rPr>
          <w:sz w:val="20"/>
          <w:szCs w:val="20"/>
          <w:color w:val="auto"/>
        </w:rPr>
      </w:pPr>
      <w:r>
        <w:rPr>
          <w:rFonts w:ascii="Arial" w:cs="Arial" w:eastAsia="Arial" w:hAnsi="Arial"/>
          <w:sz w:val="17"/>
          <w:szCs w:val="17"/>
          <w:b w:val="1"/>
          <w:bCs w:val="1"/>
          <w:color w:val="auto"/>
        </w:rPr>
        <w:t>Exhibit 4.3</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STOCK PURCHASE AND SALE AGREEMENT</w:t>
      </w:r>
    </w:p>
    <w:p>
      <w:pPr>
        <w:spacing w:after="0" w:line="223" w:lineRule="exact"/>
        <w:rPr>
          <w:sz w:val="20"/>
          <w:szCs w:val="20"/>
          <w:color w:val="auto"/>
        </w:rPr>
      </w:pPr>
    </w:p>
    <w:p>
      <w:pPr>
        <w:ind w:right="40" w:firstLine="421"/>
        <w:spacing w:after="0" w:line="290" w:lineRule="auto"/>
        <w:rPr>
          <w:sz w:val="20"/>
          <w:szCs w:val="20"/>
          <w:color w:val="auto"/>
        </w:rPr>
      </w:pPr>
      <w:r>
        <w:rPr>
          <w:rFonts w:ascii="Arial" w:cs="Arial" w:eastAsia="Arial" w:hAnsi="Arial"/>
          <w:sz w:val="16"/>
          <w:szCs w:val="16"/>
          <w:color w:val="auto"/>
        </w:rPr>
        <w:t>THIS STOCK PURCHASE AND SALE AGREEMENT (“</w:t>
      </w:r>
      <w:r>
        <w:rPr>
          <w:rFonts w:ascii="Arial" w:cs="Arial" w:eastAsia="Arial" w:hAnsi="Arial"/>
          <w:sz w:val="16"/>
          <w:szCs w:val="16"/>
          <w:u w:val="single" w:color="auto"/>
          <w:color w:val="auto"/>
        </w:rPr>
        <w:t>Agreement</w:t>
      </w:r>
      <w:r>
        <w:rPr>
          <w:rFonts w:ascii="Arial" w:cs="Arial" w:eastAsia="Arial" w:hAnsi="Arial"/>
          <w:sz w:val="16"/>
          <w:szCs w:val="16"/>
          <w:color w:val="auto"/>
        </w:rPr>
        <w:t xml:space="preserve">”) is made as of November 13, 2018, by and among the purchasers listed on </w:t>
      </w:r>
      <w:r>
        <w:rPr>
          <w:rFonts w:ascii="Arial" w:cs="Arial" w:eastAsia="Arial" w:hAnsi="Arial"/>
          <w:sz w:val="16"/>
          <w:szCs w:val="16"/>
          <w:b w:val="1"/>
          <w:bCs w:val="1"/>
          <w:i w:val="1"/>
          <w:iCs w:val="1"/>
          <w:color w:val="auto"/>
        </w:rPr>
        <w:t xml:space="preserve">Exhibit A and B </w:t>
      </w:r>
      <w:r>
        <w:rPr>
          <w:rFonts w:ascii="Arial" w:cs="Arial" w:eastAsia="Arial" w:hAnsi="Arial"/>
          <w:sz w:val="16"/>
          <w:szCs w:val="16"/>
          <w:color w:val="auto"/>
        </w:rPr>
        <w:t>attached hereto (each, a “</w:t>
      </w:r>
      <w:r>
        <w:rPr>
          <w:rFonts w:ascii="Arial" w:cs="Arial" w:eastAsia="Arial" w:hAnsi="Arial"/>
          <w:sz w:val="16"/>
          <w:szCs w:val="16"/>
          <w:u w:val="single" w:color="auto"/>
          <w:color w:val="auto"/>
        </w:rPr>
        <w:t>Buyer</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Buyers</w:t>
      </w:r>
      <w:r>
        <w:rPr>
          <w:rFonts w:ascii="Arial" w:cs="Arial" w:eastAsia="Arial" w:hAnsi="Arial"/>
          <w:sz w:val="16"/>
          <w:szCs w:val="16"/>
          <w:color w:val="auto"/>
        </w:rPr>
        <w:t>”), C.P. Pharmaceuticals International C.V., a</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commanditaire</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 xml:space="preserve">vennootschap </w:t>
      </w:r>
      <w:r>
        <w:rPr>
          <w:rFonts w:ascii="Arial" w:cs="Arial" w:eastAsia="Arial" w:hAnsi="Arial"/>
          <w:sz w:val="16"/>
          <w:szCs w:val="16"/>
          <w:color w:val="auto"/>
        </w:rPr>
        <w:t>organized under the laws of the Netherlands (“</w:t>
      </w:r>
      <w:r>
        <w:rPr>
          <w:rFonts w:ascii="Arial" w:cs="Arial" w:eastAsia="Arial" w:hAnsi="Arial"/>
          <w:sz w:val="16"/>
          <w:szCs w:val="16"/>
          <w:u w:val="single" w:color="auto"/>
          <w:color w:val="auto"/>
        </w:rPr>
        <w:t>Seller</w:t>
      </w:r>
      <w:r>
        <w:rPr>
          <w:rFonts w:ascii="Arial" w:cs="Arial" w:eastAsia="Arial" w:hAnsi="Arial"/>
          <w:sz w:val="16"/>
          <w:szCs w:val="16"/>
          <w:color w:val="auto"/>
        </w:rPr>
        <w:t>”), and ICU Medical,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w:t>
      </w:r>
    </w:p>
    <w:p>
      <w:pPr>
        <w:spacing w:after="0" w:line="158" w:lineRule="exact"/>
        <w:rPr>
          <w:sz w:val="20"/>
          <w:szCs w:val="20"/>
          <w:color w:val="auto"/>
        </w:rPr>
      </w:pPr>
    </w:p>
    <w:p>
      <w:pPr>
        <w:ind w:right="200" w:firstLine="421"/>
        <w:spacing w:after="0" w:line="266" w:lineRule="auto"/>
        <w:rPr>
          <w:sz w:val="20"/>
          <w:szCs w:val="20"/>
          <w:color w:val="auto"/>
        </w:rPr>
      </w:pPr>
      <w:r>
        <w:rPr>
          <w:rFonts w:ascii="Arial" w:cs="Arial" w:eastAsia="Arial" w:hAnsi="Arial"/>
          <w:sz w:val="17"/>
          <w:szCs w:val="17"/>
          <w:color w:val="auto"/>
        </w:rPr>
        <w:t>WHEREAS, subject to the terms hereof, Seller desires to sell an aggregate of 250,000 shares of common stock, $0.10 par value per share, of the Company (such shares are referred to collectively herein as the “</w:t>
      </w:r>
      <w:r>
        <w:rPr>
          <w:rFonts w:ascii="Arial" w:cs="Arial" w:eastAsia="Arial" w:hAnsi="Arial"/>
          <w:sz w:val="17"/>
          <w:szCs w:val="17"/>
          <w:u w:val="single" w:color="auto"/>
          <w:color w:val="auto"/>
        </w:rPr>
        <w:t>Shares</w:t>
      </w:r>
      <w:r>
        <w:rPr>
          <w:rFonts w:ascii="Arial" w:cs="Arial" w:eastAsia="Arial" w:hAnsi="Arial"/>
          <w:sz w:val="17"/>
          <w:szCs w:val="17"/>
          <w:color w:val="auto"/>
        </w:rPr>
        <w:t>”), to the Buyers, and the Buyers, severally and not jointly, desire to purchase from Seller, the Shares.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NOW, THEREFORE, in consideration of the mutual promises contained herein, the parties agree as follows: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1. SALE AND TRANSFER OF SHARES</w:t>
      </w:r>
    </w:p>
    <w:p>
      <w:pPr>
        <w:spacing w:after="0" w:line="223" w:lineRule="exact"/>
        <w:rPr>
          <w:sz w:val="20"/>
          <w:szCs w:val="20"/>
          <w:color w:val="auto"/>
        </w:rPr>
      </w:pPr>
    </w:p>
    <w:p>
      <w:pPr>
        <w:ind w:right="120" w:firstLine="421"/>
        <w:spacing w:after="0" w:line="262" w:lineRule="auto"/>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u w:val="single" w:color="auto"/>
          <w:color w:val="auto"/>
        </w:rPr>
        <w:t>Purchase and Sale of Stock</w:t>
      </w:r>
      <w:r>
        <w:rPr>
          <w:rFonts w:ascii="Arial" w:cs="Arial" w:eastAsia="Arial" w:hAnsi="Arial"/>
          <w:sz w:val="17"/>
          <w:szCs w:val="17"/>
          <w:color w:val="auto"/>
        </w:rPr>
        <w:t xml:space="preserve">. Subject to the terms and conditions of this Agreement, at the Closing (as defined in Section 7), Seller shall sell to each Buyer, and each Buyer shall purchase from Seller, that number of Shares set forth opposite such Buyer’s name on </w:t>
      </w:r>
      <w:r>
        <w:rPr>
          <w:rFonts w:ascii="Arial" w:cs="Arial" w:eastAsia="Arial" w:hAnsi="Arial"/>
          <w:sz w:val="17"/>
          <w:szCs w:val="17"/>
          <w:b w:val="1"/>
          <w:bCs w:val="1"/>
          <w:i w:val="1"/>
          <w:iCs w:val="1"/>
          <w:color w:val="auto"/>
        </w:rPr>
        <w:t>Exhibit A and B</w:t>
      </w:r>
      <w:r>
        <w:rPr>
          <w:rFonts w:ascii="Arial" w:cs="Arial" w:eastAsia="Arial" w:hAnsi="Arial"/>
          <w:sz w:val="17"/>
          <w:szCs w:val="17"/>
          <w:color w:val="auto"/>
        </w:rPr>
        <w:t xml:space="preserve"> to this Agreement (the “</w:t>
      </w:r>
      <w:r>
        <w:rPr>
          <w:rFonts w:ascii="Arial" w:cs="Arial" w:eastAsia="Arial" w:hAnsi="Arial"/>
          <w:sz w:val="17"/>
          <w:szCs w:val="17"/>
          <w:u w:val="single" w:color="auto"/>
          <w:color w:val="auto"/>
        </w:rPr>
        <w:t>Purchased Shares</w:t>
      </w:r>
      <w:r>
        <w:rPr>
          <w:rFonts w:ascii="Arial" w:cs="Arial" w:eastAsia="Arial" w:hAnsi="Arial"/>
          <w:sz w:val="17"/>
          <w:szCs w:val="17"/>
          <w:color w:val="auto"/>
        </w:rPr>
        <w:t>”) at a purchase price of $209.25 per share, for the aggregate purchase price set forth opposite such Buyer’s name on such exhibit (the “</w:t>
      </w:r>
      <w:r>
        <w:rPr>
          <w:rFonts w:ascii="Arial" w:cs="Arial" w:eastAsia="Arial" w:hAnsi="Arial"/>
          <w:sz w:val="17"/>
          <w:szCs w:val="17"/>
          <w:u w:val="single" w:color="auto"/>
          <w:color w:val="auto"/>
        </w:rPr>
        <w:t>Aggregate Purchase Price</w:t>
      </w:r>
      <w:r>
        <w:rPr>
          <w:rFonts w:ascii="Arial" w:cs="Arial" w:eastAsia="Arial" w:hAnsi="Arial"/>
          <w:sz w:val="17"/>
          <w:szCs w:val="17"/>
          <w:color w:val="auto"/>
        </w:rPr>
        <w:t>”).</w:t>
      </w:r>
    </w:p>
    <w:p>
      <w:pPr>
        <w:spacing w:after="0" w:line="378" w:lineRule="exact"/>
        <w:rPr>
          <w:sz w:val="20"/>
          <w:szCs w:val="20"/>
          <w:color w:val="auto"/>
        </w:rPr>
      </w:pPr>
    </w:p>
    <w:p>
      <w:pPr>
        <w:ind w:left="1840"/>
        <w:spacing w:after="0"/>
        <w:rPr>
          <w:sz w:val="20"/>
          <w:szCs w:val="20"/>
          <w:color w:val="auto"/>
        </w:rPr>
      </w:pPr>
      <w:r>
        <w:rPr>
          <w:rFonts w:ascii="Arial" w:cs="Arial" w:eastAsia="Arial" w:hAnsi="Arial"/>
          <w:sz w:val="17"/>
          <w:szCs w:val="17"/>
          <w:b w:val="1"/>
          <w:bCs w:val="1"/>
          <w:color w:val="auto"/>
        </w:rPr>
        <w:t>SECTION 2. REPRESENTATIONS AND WARRANTIES AND COVENANTS OF SELLER</w:t>
      </w:r>
    </w:p>
    <w:p>
      <w:pPr>
        <w:spacing w:after="0" w:line="22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Seller represents, warrants and covenants to each Buyer that:</w:t>
      </w:r>
    </w:p>
    <w:p>
      <w:pPr>
        <w:spacing w:after="0" w:line="217" w:lineRule="exact"/>
        <w:rPr>
          <w:sz w:val="20"/>
          <w:szCs w:val="20"/>
          <w:color w:val="auto"/>
        </w:rPr>
      </w:pPr>
    </w:p>
    <w:p>
      <w:pPr>
        <w:ind w:right="60" w:firstLine="421"/>
        <w:spacing w:after="0" w:line="277"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Title to Shares</w:t>
      </w:r>
      <w:r>
        <w:rPr>
          <w:rFonts w:ascii="Arial" w:cs="Arial" w:eastAsia="Arial" w:hAnsi="Arial"/>
          <w:sz w:val="16"/>
          <w:szCs w:val="16"/>
          <w:color w:val="auto"/>
        </w:rPr>
        <w:t>. Seller is the owner, beneficially and of record, of all the Shares to be sold by Seller under this Agreement and has good and marketable right, title and interest in and to all the Shares, free and clear of all liens, encumbrances, security agreements, claims, charges and restrictions, including, without limitation, any right of first refusal, preemptive, tag-along or other comparable obligations or restrictions. Upon payment for the Shares in accordance with this Agreement, Seller will convey the Shares to the Buyers, and the Buyers shall acquire good and marketable title to such Shares, free and clear of all liens, pledges, security interests, charges, contractual obligations, transfer restrictions, claims or encumbrances of any kind (other than any of the foregoing created by any Buyer or imposed by applicable securities laws).</w:t>
      </w:r>
    </w:p>
    <w:p>
      <w:pPr>
        <w:spacing w:after="0" w:line="170" w:lineRule="exact"/>
        <w:rPr>
          <w:sz w:val="20"/>
          <w:szCs w:val="20"/>
          <w:color w:val="auto"/>
        </w:rPr>
      </w:pPr>
    </w:p>
    <w:p>
      <w:pPr>
        <w:ind w:right="220" w:firstLine="421"/>
        <w:spacing w:after="0" w:line="279"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Authority and Consents</w:t>
      </w:r>
      <w:r>
        <w:rPr>
          <w:rFonts w:ascii="Arial" w:cs="Arial" w:eastAsia="Arial" w:hAnsi="Arial"/>
          <w:sz w:val="16"/>
          <w:szCs w:val="16"/>
          <w:color w:val="auto"/>
        </w:rPr>
        <w:t xml:space="preserve">. Seller has the right, power, legal capacity and authority to enter into and perform Seller’s obligations under this Agreement, and no approvals or consent of any governmental or regulatory authority or other persons is necessary in connection herewith. This Agreement constitutes the legal, valid and binding obligation of Seller, enforceable against Seller in accordance with its terms, </w:t>
      </w:r>
      <w:r>
        <w:rPr>
          <w:rFonts w:ascii="Arial" w:cs="Arial" w:eastAsia="Arial" w:hAnsi="Arial"/>
          <w:sz w:val="16"/>
          <w:szCs w:val="16"/>
          <w:u w:val="single" w:color="auto"/>
          <w:color w:val="auto"/>
        </w:rPr>
        <w:t>except</w:t>
      </w:r>
      <w:r>
        <w:rPr>
          <w:rFonts w:ascii="Arial" w:cs="Arial" w:eastAsia="Arial" w:hAnsi="Arial"/>
          <w:sz w:val="16"/>
          <w:szCs w:val="16"/>
          <w:color w:val="auto"/>
        </w:rPr>
        <w:t xml:space="preserve"> (a) as may be limited by applicable bankruptcy, insolvency, reorganization, or other laws of general application relating to or affecting the enforcement of creditors’ rights generally and (b) as may be limited by the effect of rules of law governing the availability of equitable remedies.</w:t>
      </w:r>
    </w:p>
    <w:p>
      <w:pPr>
        <w:spacing w:after="0" w:line="168" w:lineRule="exact"/>
        <w:rPr>
          <w:sz w:val="20"/>
          <w:szCs w:val="20"/>
          <w:color w:val="auto"/>
        </w:rPr>
      </w:pPr>
    </w:p>
    <w:p>
      <w:pPr>
        <w:ind w:right="80" w:firstLine="421"/>
        <w:spacing w:after="0" w:line="262"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No Conflict</w:t>
      </w:r>
      <w:r>
        <w:rPr>
          <w:rFonts w:ascii="Arial" w:cs="Arial" w:eastAsia="Arial" w:hAnsi="Arial"/>
          <w:sz w:val="17"/>
          <w:szCs w:val="17"/>
          <w:color w:val="auto"/>
        </w:rPr>
        <w:t>. The execution and delivery of this Agreement and the consummation of the transactions contemplated hereby will not result in a violation or breach by Seller of, or constitute a default by the Seller under, any applicable law, rule or regulation, any provision of its organizational documents or any agreement, instrument, decree, judgment or order to which Seller is a party or by which Seller may be bound. There is no action, suit, proceeding or investigation pending against Seller or, to</w:t>
      </w:r>
    </w:p>
    <w:p>
      <w:pPr>
        <w:sectPr>
          <w:pgSz w:w="11900" w:h="16838" w:orient="portrait"/>
          <w:cols w:equalWidth="0" w:num="1">
            <w:col w:w="10520"/>
          </w:cols>
          <w:pgMar w:left="700" w:top="121" w:right="679" w:bottom="1440" w:gutter="0" w:footer="0" w:header="0"/>
        </w:sectPr>
      </w:pPr>
    </w:p>
    <w:bookmarkStart w:id="48" w:name="page49"/>
    <w:bookmarkEnd w:id="48"/>
    <w:p>
      <w:pPr>
        <w:ind w:left="6" w:right="60"/>
        <w:spacing w:after="0" w:line="26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7294880" cy="37465"/>
                    </a:xfrm>
                    <a:prstGeom prst="rect">
                      <a:avLst/>
                    </a:prstGeom>
                    <a:noFill/>
                  </pic:spPr>
                </pic:pic>
              </a:graphicData>
            </a:graphic>
          </wp:anchor>
        </w:drawing>
        <w:t>Seller’s knowledge, currently threatened that questions the validity of this Agreement, or the right of Seller to enter into this Agreement or to consummate the transaction contemplated hereby or that may otherwise have an adverse effect on the ability of Seller to comply with or perform any of its obligations under this Agreement.</w:t>
      </w:r>
    </w:p>
    <w:p>
      <w:pPr>
        <w:spacing w:after="0" w:line="175" w:lineRule="exact"/>
        <w:rPr>
          <w:sz w:val="20"/>
          <w:szCs w:val="20"/>
          <w:color w:val="auto"/>
        </w:rPr>
      </w:pPr>
    </w:p>
    <w:p>
      <w:pPr>
        <w:ind w:left="6" w:right="20" w:firstLine="421"/>
        <w:spacing w:after="0" w:line="294" w:lineRule="auto"/>
        <w:rPr>
          <w:sz w:val="20"/>
          <w:szCs w:val="20"/>
          <w:color w:val="auto"/>
        </w:rPr>
      </w:pPr>
      <w:r>
        <w:rPr>
          <w:rFonts w:ascii="Arial" w:cs="Arial" w:eastAsia="Arial" w:hAnsi="Arial"/>
          <w:sz w:val="15"/>
          <w:szCs w:val="15"/>
          <w:color w:val="auto"/>
        </w:rPr>
        <w:t xml:space="preserve">2.4 </w:t>
      </w:r>
      <w:r>
        <w:rPr>
          <w:rFonts w:ascii="Arial" w:cs="Arial" w:eastAsia="Arial" w:hAnsi="Arial"/>
          <w:sz w:val="15"/>
          <w:szCs w:val="15"/>
          <w:u w:val="single" w:color="auto"/>
          <w:color w:val="auto"/>
        </w:rPr>
        <w:t>Sophisticated Seller</w:t>
      </w:r>
      <w:r>
        <w:rPr>
          <w:rFonts w:ascii="Arial" w:cs="Arial" w:eastAsia="Arial" w:hAnsi="Arial"/>
          <w:sz w:val="15"/>
          <w:szCs w:val="15"/>
          <w:color w:val="auto"/>
        </w:rPr>
        <w:t>. The Seller (a) is a sophisticated entity familiar with transactions similar to those contemplated by this Agreement, (b) has adequate information concerning the business and financial condition of the Company to make an informed decision regarding the sale of the Shares,</w:t>
      </w:r>
    </w:p>
    <w:p>
      <w:pPr>
        <w:spacing w:after="0" w:line="1" w:lineRule="exact"/>
        <w:rPr>
          <w:sz w:val="20"/>
          <w:szCs w:val="20"/>
          <w:color w:val="auto"/>
        </w:rPr>
      </w:pPr>
    </w:p>
    <w:p>
      <w:pPr>
        <w:ind w:left="6" w:right="40" w:hanging="6"/>
        <w:spacing w:after="0" w:line="287" w:lineRule="auto"/>
        <w:tabs>
          <w:tab w:leader="none" w:pos="239" w:val="left"/>
        </w:tabs>
        <w:numPr>
          <w:ilvl w:val="0"/>
          <w:numId w:val="20"/>
        </w:numPr>
        <w:rPr>
          <w:rFonts w:ascii="Arial" w:cs="Arial" w:eastAsia="Arial" w:hAnsi="Arial"/>
          <w:sz w:val="15"/>
          <w:szCs w:val="15"/>
          <w:color w:val="auto"/>
        </w:rPr>
      </w:pPr>
      <w:r>
        <w:rPr>
          <w:rFonts w:ascii="Arial" w:cs="Arial" w:eastAsia="Arial" w:hAnsi="Arial"/>
          <w:sz w:val="15"/>
          <w:szCs w:val="15"/>
          <w:color w:val="auto"/>
        </w:rPr>
        <w:t>has negotiated this Agreement on an arm’s-length basis and has had an opportunity to consult with its legal, tax and financial advisors concerning this Agreement and its subject matter and (d) has independently and without reliance upon the Buyers, and based on such information and the advice of such advisors as the Seller has deemed appropriate, made its own analysis and decision to enter into this Agreement. The Seller acknowledges that none of the Buyers or any of their respective affiliates is acting as a fiduciary or financial or investment adviser to the Seller, and none of such persons has given the Seller any investment advice, opinion or other information on whether the sale of the Shares is prudent. The Seller further acknowledges that</w:t>
      </w:r>
    </w:p>
    <w:p>
      <w:pPr>
        <w:ind w:left="6" w:hanging="6"/>
        <w:spacing w:after="0" w:line="272" w:lineRule="auto"/>
        <w:tabs>
          <w:tab w:leader="none" w:pos="211"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Buyers currently may have, and later may come into possession of, material non-public information with respect to the Company that is not known to the Seller and that may be material to a decision to sell the Shares (“</w:t>
      </w:r>
      <w:r>
        <w:rPr>
          <w:rFonts w:ascii="Arial" w:cs="Arial" w:eastAsia="Arial" w:hAnsi="Arial"/>
          <w:sz w:val="16"/>
          <w:szCs w:val="16"/>
          <w:b w:val="1"/>
          <w:bCs w:val="1"/>
          <w:i w:val="1"/>
          <w:iCs w:val="1"/>
          <w:color w:val="auto"/>
        </w:rPr>
        <w:t>Buyer Excluded Information</w:t>
      </w:r>
      <w:r>
        <w:rPr>
          <w:rFonts w:ascii="Arial" w:cs="Arial" w:eastAsia="Arial" w:hAnsi="Arial"/>
          <w:sz w:val="16"/>
          <w:szCs w:val="16"/>
          <w:color w:val="auto"/>
        </w:rPr>
        <w:t>”), (ii) the Seller has determined to sell the Shares notwithstanding its lack of knowledge of the Buyer Excluded Information, (iii) the price for the Shares may significantly appreciate or depreciate over time and by agreeing to sell the Shares to the Buyers pursuant to this Agreement, the Seller is giving up the opportunity to sell the Shares at a higher price in the future and (iv) the Buyers shall have no liability to the Seller, and the Seller to the fullest extent of the law waives and releases any claims, whether known or unknown, that it might have against any Buyer (or its respective affiliates or agents), whether under applicable securities laws or otherwise, with respect to the nondisclosure of the Buyer Excluded Information in connection with the sale of the Shares and the transactions contemplated by this Agreement. The Seller understands that the Buyers will rely on the accuracy and truth of the foregoing representations, and the Seller hereby consents to such reliance.</w:t>
      </w:r>
    </w:p>
    <w:p>
      <w:pPr>
        <w:spacing w:after="0" w:line="175" w:lineRule="exact"/>
        <w:rPr>
          <w:sz w:val="20"/>
          <w:szCs w:val="20"/>
          <w:color w:val="auto"/>
        </w:rPr>
      </w:pPr>
    </w:p>
    <w:p>
      <w:pPr>
        <w:ind w:left="6" w:right="220" w:firstLine="421"/>
        <w:spacing w:after="0" w:line="312"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Taxes</w:t>
      </w:r>
      <w:r>
        <w:rPr>
          <w:rFonts w:ascii="Arial" w:cs="Arial" w:eastAsia="Arial" w:hAnsi="Arial"/>
          <w:sz w:val="16"/>
          <w:szCs w:val="16"/>
          <w:color w:val="auto"/>
        </w:rPr>
        <w:t>. Seller agrees and understands that Seller alone shall be responsible for the payment of all U.S. local, state and/or federal income and transfer taxes on the consideration received by Seller pursuant to this Agreement and any penalties or assessments thereon.</w:t>
      </w:r>
    </w:p>
    <w:p>
      <w:pPr>
        <w:spacing w:after="0" w:line="341" w:lineRule="exact"/>
        <w:rPr>
          <w:sz w:val="20"/>
          <w:szCs w:val="20"/>
          <w:color w:val="auto"/>
        </w:rPr>
      </w:pPr>
    </w:p>
    <w:p>
      <w:pPr>
        <w:ind w:left="2026"/>
        <w:spacing w:after="0"/>
        <w:rPr>
          <w:sz w:val="20"/>
          <w:szCs w:val="20"/>
          <w:color w:val="auto"/>
        </w:rPr>
      </w:pPr>
      <w:r>
        <w:rPr>
          <w:rFonts w:ascii="Arial" w:cs="Arial" w:eastAsia="Arial" w:hAnsi="Arial"/>
          <w:sz w:val="17"/>
          <w:szCs w:val="17"/>
          <w:b w:val="1"/>
          <w:bCs w:val="1"/>
          <w:color w:val="auto"/>
        </w:rPr>
        <w:t>SECTION 3. REPRESENTATIONS, WARRANTIES AND COVENANTS OF BUYERS</w:t>
      </w:r>
    </w:p>
    <w:p>
      <w:pPr>
        <w:spacing w:after="0" w:line="223" w:lineRule="exact"/>
        <w:rPr>
          <w:sz w:val="20"/>
          <w:szCs w:val="20"/>
          <w:color w:val="auto"/>
        </w:rPr>
      </w:pPr>
    </w:p>
    <w:p>
      <w:pPr>
        <w:ind w:left="426"/>
        <w:spacing w:after="0"/>
        <w:rPr>
          <w:sz w:val="20"/>
          <w:szCs w:val="20"/>
          <w:color w:val="auto"/>
        </w:rPr>
      </w:pPr>
      <w:r>
        <w:rPr>
          <w:rFonts w:ascii="Arial" w:cs="Arial" w:eastAsia="Arial" w:hAnsi="Arial"/>
          <w:sz w:val="17"/>
          <w:szCs w:val="17"/>
          <w:color w:val="auto"/>
        </w:rPr>
        <w:t>Each Buyer, severally and not jointly, represents, warrants and covenants to the Seller that:</w:t>
      </w:r>
    </w:p>
    <w:p>
      <w:pPr>
        <w:spacing w:after="0" w:line="217" w:lineRule="exact"/>
        <w:rPr>
          <w:sz w:val="20"/>
          <w:szCs w:val="20"/>
          <w:color w:val="auto"/>
        </w:rPr>
      </w:pPr>
    </w:p>
    <w:p>
      <w:pPr>
        <w:ind w:left="6" w:right="200" w:firstLine="421"/>
        <w:spacing w:after="0" w:line="292" w:lineRule="auto"/>
        <w:rPr>
          <w:sz w:val="20"/>
          <w:szCs w:val="20"/>
          <w:color w:val="auto"/>
        </w:rPr>
      </w:pPr>
      <w:r>
        <w:rPr>
          <w:rFonts w:ascii="Arial" w:cs="Arial" w:eastAsia="Arial" w:hAnsi="Arial"/>
          <w:sz w:val="15"/>
          <w:szCs w:val="15"/>
          <w:color w:val="auto"/>
        </w:rPr>
        <w:t xml:space="preserve">3.1 </w:t>
      </w:r>
      <w:r>
        <w:rPr>
          <w:rFonts w:ascii="Arial" w:cs="Arial" w:eastAsia="Arial" w:hAnsi="Arial"/>
          <w:sz w:val="15"/>
          <w:szCs w:val="15"/>
          <w:u w:val="single" w:color="auto"/>
          <w:color w:val="auto"/>
        </w:rPr>
        <w:t>Authority and Consents</w:t>
      </w:r>
      <w:r>
        <w:rPr>
          <w:rFonts w:ascii="Arial" w:cs="Arial" w:eastAsia="Arial" w:hAnsi="Arial"/>
          <w:sz w:val="15"/>
          <w:szCs w:val="15"/>
          <w:color w:val="auto"/>
        </w:rPr>
        <w:t xml:space="preserve">. Such Buyer has the right, power, legal capacity and authority to enter into and perform such Buyer’s obligations under this Agreement, and no approvals or consent of any governmental or regulatory authority or other persons is necessary in connection herewith. This Agreement constitutes the legal, valid and binding obligation of such Buyer, enforceable against such Buyer in accordance with its terms, </w:t>
      </w:r>
      <w:r>
        <w:rPr>
          <w:rFonts w:ascii="Arial" w:cs="Arial" w:eastAsia="Arial" w:hAnsi="Arial"/>
          <w:sz w:val="15"/>
          <w:szCs w:val="15"/>
          <w:u w:val="single" w:color="auto"/>
          <w:color w:val="auto"/>
        </w:rPr>
        <w:t>except</w:t>
      </w:r>
    </w:p>
    <w:p>
      <w:pPr>
        <w:ind w:left="6" w:right="120" w:hanging="6"/>
        <w:spacing w:after="0" w:line="298" w:lineRule="auto"/>
        <w:tabs>
          <w:tab w:leader="none" w:pos="239" w:val="left"/>
        </w:tabs>
        <w:numPr>
          <w:ilvl w:val="0"/>
          <w:numId w:val="22"/>
        </w:numPr>
        <w:rPr>
          <w:rFonts w:ascii="Arial" w:cs="Arial" w:eastAsia="Arial" w:hAnsi="Arial"/>
          <w:sz w:val="16"/>
          <w:szCs w:val="16"/>
          <w:color w:val="auto"/>
        </w:rPr>
      </w:pPr>
      <w:r>
        <w:rPr>
          <w:rFonts w:ascii="Arial" w:cs="Arial" w:eastAsia="Arial" w:hAnsi="Arial"/>
          <w:sz w:val="16"/>
          <w:szCs w:val="16"/>
          <w:color w:val="auto"/>
        </w:rPr>
        <w:t>as may be limited by applicable bankruptcy, insolvency, reorganization, or other laws of general application relating to or affecting the enforcement of creditors’ rights generally and (b) as may be limited by the effect of rules of law governing the availability of equitable remedies.</w:t>
      </w:r>
    </w:p>
    <w:p>
      <w:pPr>
        <w:spacing w:after="0" w:line="151" w:lineRule="exact"/>
        <w:rPr>
          <w:sz w:val="20"/>
          <w:szCs w:val="20"/>
          <w:color w:val="auto"/>
        </w:rPr>
      </w:pPr>
    </w:p>
    <w:p>
      <w:pPr>
        <w:ind w:left="6" w:right="80" w:firstLine="421"/>
        <w:spacing w:after="0" w:line="259"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No Conflict</w:t>
      </w:r>
      <w:r>
        <w:rPr>
          <w:rFonts w:ascii="Arial" w:cs="Arial" w:eastAsia="Arial" w:hAnsi="Arial"/>
          <w:sz w:val="17"/>
          <w:szCs w:val="17"/>
          <w:color w:val="auto"/>
        </w:rPr>
        <w:t>. The execution and delivery of this Agreement and the consummation of the transactions contemplated hereby will not result in a violation or breach by such Buyer of, or constitute a default by such Buyer under, any applicable law, rule or regulation, any provision of its organizational documents or any agreement, instrument, decree, judgment or order to which such Buyer is a party or by which such Buyer may be bound. There is no action, suit, proceeding or investigation pending against such Buyer or, to such Buyer’s knowledge, currently threatened that questions the validity of this</w:t>
      </w:r>
    </w:p>
    <w:p>
      <w:pPr>
        <w:spacing w:after="0" w:line="118" w:lineRule="exact"/>
        <w:rPr>
          <w:sz w:val="20"/>
          <w:szCs w:val="20"/>
          <w:color w:val="auto"/>
        </w:rPr>
      </w:pPr>
    </w:p>
    <w:p>
      <w:pPr>
        <w:jc w:val="center"/>
        <w:ind w:right="-25"/>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486"/>
          </w:cols>
          <w:pgMar w:left="694" w:top="269" w:right="719" w:bottom="1440" w:gutter="0" w:footer="0" w:header="0"/>
        </w:sectPr>
      </w:pPr>
    </w:p>
    <w:bookmarkStart w:id="49" w:name="page50"/>
    <w:bookmarkEnd w:id="49"/>
    <w:p>
      <w:pPr>
        <w:ind w:left="6"/>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7294880" cy="37465"/>
                    </a:xfrm>
                    <a:prstGeom prst="rect">
                      <a:avLst/>
                    </a:prstGeom>
                    <a:noFill/>
                  </pic:spPr>
                </pic:pic>
              </a:graphicData>
            </a:graphic>
          </wp:anchor>
        </w:drawing>
        <w:t>Agreement, or the right of such Buyer to enter into this Agreement or to consummate the transaction contemplated hereby or that may otherwise have an adverse effect on the ability of such Buyer to comply with or perform any of its obligations under this Agreement.</w:t>
      </w:r>
    </w:p>
    <w:p>
      <w:pPr>
        <w:spacing w:after="0" w:line="164" w:lineRule="exact"/>
        <w:rPr>
          <w:sz w:val="20"/>
          <w:szCs w:val="20"/>
          <w:color w:val="auto"/>
        </w:rPr>
      </w:pPr>
    </w:p>
    <w:p>
      <w:pPr>
        <w:ind w:left="6" w:right="140" w:firstLine="421"/>
        <w:spacing w:after="0" w:line="259"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Purchase Entirely for Own Account</w:t>
      </w:r>
      <w:r>
        <w:rPr>
          <w:rFonts w:ascii="Arial" w:cs="Arial" w:eastAsia="Arial" w:hAnsi="Arial"/>
          <w:sz w:val="17"/>
          <w:szCs w:val="17"/>
          <w:color w:val="auto"/>
        </w:rPr>
        <w:t>. The Shares to be acquired by such Buyer will be acquired for investment for such Buyer’s own account and not with a view to the resale or distribution of any part thereof, and such Buyer has no present intention of selling, granting any participation in, or otherwise distributing the same. By executing this Agreement, such Buyer further represents that such Buyer does not presently have any contract, undertaking, agreement or arrangement with any person to sell, transfer or grant participation to such person or to any third person, with respect to any of the Shares.</w:t>
      </w:r>
    </w:p>
    <w:p>
      <w:pPr>
        <w:spacing w:after="0" w:line="183" w:lineRule="exact"/>
        <w:rPr>
          <w:sz w:val="20"/>
          <w:szCs w:val="20"/>
          <w:color w:val="auto"/>
        </w:rPr>
      </w:pPr>
    </w:p>
    <w:p>
      <w:pPr>
        <w:ind w:left="6" w:right="20" w:firstLine="421"/>
        <w:spacing w:after="0" w:line="258"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Restricted Securities</w:t>
      </w:r>
      <w:r>
        <w:rPr>
          <w:rFonts w:ascii="Arial" w:cs="Arial" w:eastAsia="Arial" w:hAnsi="Arial"/>
          <w:sz w:val="17"/>
          <w:szCs w:val="17"/>
          <w:color w:val="auto"/>
        </w:rPr>
        <w:t>. Such Buyer understands that the Shares will be “restricted securities” under applicable U.S. federal and state laws (and may bear a legend to that effect) and that, pursuant to these laws, such Buyer must hold the Shares indefinitely unless they are registered with the Securities and Exchange Commission (the “</w:t>
      </w:r>
      <w:r>
        <w:rPr>
          <w:rFonts w:ascii="Arial" w:cs="Arial" w:eastAsia="Arial" w:hAnsi="Arial"/>
          <w:sz w:val="17"/>
          <w:szCs w:val="17"/>
          <w:u w:val="single" w:color="auto"/>
          <w:color w:val="auto"/>
        </w:rPr>
        <w:t>SEC</w:t>
      </w:r>
      <w:r>
        <w:rPr>
          <w:rFonts w:ascii="Arial" w:cs="Arial" w:eastAsia="Arial" w:hAnsi="Arial"/>
          <w:sz w:val="17"/>
          <w:szCs w:val="17"/>
          <w:color w:val="auto"/>
        </w:rPr>
        <w:t>”) and qualified by state authorities, or an exemption from such registration and qualification requirements is available. Such Buyer further acknowledges that if an exemption from registration or qualification is available, it may be conditioned on various requirements including, but not limited to, the holding period for the Shares and requirements relating to the Company which are outside of such Buyer’s control.</w:t>
      </w:r>
    </w:p>
    <w:p>
      <w:pPr>
        <w:spacing w:after="0" w:line="183" w:lineRule="exact"/>
        <w:rPr>
          <w:sz w:val="20"/>
          <w:szCs w:val="20"/>
          <w:color w:val="auto"/>
        </w:rPr>
      </w:pPr>
    </w:p>
    <w:p>
      <w:pPr>
        <w:ind w:left="6" w:right="20" w:firstLine="421"/>
        <w:spacing w:after="0" w:line="279" w:lineRule="auto"/>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u w:val="single" w:color="auto"/>
          <w:color w:val="auto"/>
        </w:rPr>
        <w:t>Accredited Investor</w:t>
      </w:r>
      <w:r>
        <w:rPr>
          <w:rFonts w:ascii="Arial" w:cs="Arial" w:eastAsia="Arial" w:hAnsi="Arial"/>
          <w:sz w:val="17"/>
          <w:szCs w:val="17"/>
          <w:color w:val="auto"/>
        </w:rPr>
        <w:t>. Such Buyer is an accredited investor as defined in Rule 501(a) of Regulation D of the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w:t>
      </w:r>
    </w:p>
    <w:p>
      <w:pPr>
        <w:spacing w:after="0" w:line="164" w:lineRule="exact"/>
        <w:rPr>
          <w:sz w:val="20"/>
          <w:szCs w:val="20"/>
          <w:color w:val="auto"/>
        </w:rPr>
      </w:pPr>
    </w:p>
    <w:p>
      <w:pPr>
        <w:jc w:val="center"/>
        <w:ind w:right="14"/>
        <w:spacing w:after="0"/>
        <w:rPr>
          <w:sz w:val="20"/>
          <w:szCs w:val="20"/>
          <w:color w:val="auto"/>
        </w:rPr>
      </w:pPr>
      <w:r>
        <w:rPr>
          <w:rFonts w:ascii="Arial" w:cs="Arial" w:eastAsia="Arial" w:hAnsi="Arial"/>
          <w:sz w:val="17"/>
          <w:szCs w:val="17"/>
          <w:color w:val="auto"/>
        </w:rPr>
        <w:t xml:space="preserve">3.6 </w:t>
      </w:r>
      <w:r>
        <w:rPr>
          <w:rFonts w:ascii="Arial" w:cs="Arial" w:eastAsia="Arial" w:hAnsi="Arial"/>
          <w:sz w:val="17"/>
          <w:szCs w:val="17"/>
          <w:u w:val="single" w:color="auto"/>
          <w:color w:val="auto"/>
        </w:rPr>
        <w:t>Sophisticated Buyer</w:t>
      </w:r>
      <w:r>
        <w:rPr>
          <w:rFonts w:ascii="Arial" w:cs="Arial" w:eastAsia="Arial" w:hAnsi="Arial"/>
          <w:sz w:val="17"/>
          <w:szCs w:val="17"/>
          <w:color w:val="auto"/>
        </w:rPr>
        <w:t>. Such Buyer (a) is a sophisticated entity familiar with transactions similar to those contemplated by this Agreement,</w:t>
      </w:r>
    </w:p>
    <w:p>
      <w:pPr>
        <w:spacing w:after="0" w:line="22" w:lineRule="exact"/>
        <w:rPr>
          <w:sz w:val="20"/>
          <w:szCs w:val="20"/>
          <w:color w:val="auto"/>
        </w:rPr>
      </w:pPr>
    </w:p>
    <w:p>
      <w:pPr>
        <w:ind w:left="6" w:hanging="6"/>
        <w:spacing w:after="0" w:line="271" w:lineRule="auto"/>
        <w:tabs>
          <w:tab w:leader="none" w:pos="249" w:val="left"/>
        </w:tabs>
        <w:numPr>
          <w:ilvl w:val="0"/>
          <w:numId w:val="23"/>
        </w:numPr>
        <w:rPr>
          <w:rFonts w:ascii="Arial" w:cs="Arial" w:eastAsia="Arial" w:hAnsi="Arial"/>
          <w:sz w:val="16"/>
          <w:szCs w:val="16"/>
          <w:color w:val="auto"/>
        </w:rPr>
      </w:pPr>
      <w:r>
        <w:rPr>
          <w:rFonts w:ascii="Arial" w:cs="Arial" w:eastAsia="Arial" w:hAnsi="Arial"/>
          <w:sz w:val="16"/>
          <w:szCs w:val="16"/>
          <w:color w:val="auto"/>
        </w:rPr>
        <w:t>has adequate information concerning the business and financial condition of the Company to make an informed decision regarding the purchase of the Shares, (c) has negotiated this Agreement on an arm’s-length basis and has had an opportunity to consult with its legal, tax and financial advisors concerning this Agreement and its subject matter and (d) has independently and without reliance upon the Seller, and based on such information and the advice of such advisors as such Buyer has deemed appropriate, made its own analysis and decision to enter into this Agreement. Such Buyer acknowledges that neither the Seller nor any of its affiliates is acting as a fiduciary or financial or investment adviser to such Buyer, and none of such persons has given such Buyer any investment advice, opinion or other information on whether the purchase of the Shares is prudent. Such Buyer further acknowledges that (i) the Seller currently may have, and later may come into possession of, material non-public information with respect to the Company that is not known to such Buyer and that may be material to a decision to buy the Shares (“</w:t>
      </w:r>
      <w:r>
        <w:rPr>
          <w:rFonts w:ascii="Arial" w:cs="Arial" w:eastAsia="Arial" w:hAnsi="Arial"/>
          <w:sz w:val="16"/>
          <w:szCs w:val="16"/>
          <w:b w:val="1"/>
          <w:bCs w:val="1"/>
          <w:i w:val="1"/>
          <w:iCs w:val="1"/>
          <w:color w:val="auto"/>
        </w:rPr>
        <w:t>Seller Excluded Information</w:t>
      </w:r>
      <w:r>
        <w:rPr>
          <w:rFonts w:ascii="Arial" w:cs="Arial" w:eastAsia="Arial" w:hAnsi="Arial"/>
          <w:sz w:val="16"/>
          <w:szCs w:val="16"/>
          <w:color w:val="auto"/>
        </w:rPr>
        <w:t>”), (ii) such Buyer has determined to buy the Shares notwithstanding its lack of knowledge of the Seller Excluded Information, (iii) the price for the Shares may significantly appreciate or depreciate over time and by agreeing to buy the Shares from the Seller pursuant to this Agreement, such Buyer is giving up the opportunity to buy the Shares at a lower price in the future and (iv) the Seller shall have no liability to such Buyer, and such Buyer to the fullest extent of the law waives and releases any claims, whether known or unknown, that it might have against the Seller (or its respective affiliates or agents), whether under applicable securities laws or otherwise, with respect to the nondisclosure of the Seller Excluded Information in connection with the purchase of the Shares and the transactions contemplated by this Agreement. Such Buyer understands that the Seller will rely on the accuracy and truth of the foregoing representations, and such Buyer hereby consents to such reliance.</w:t>
      </w:r>
    </w:p>
    <w:p>
      <w:pPr>
        <w:spacing w:after="0" w:line="109"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506"/>
          </w:cols>
          <w:pgMar w:left="694" w:top="269" w:right="699" w:bottom="1440" w:gutter="0" w:footer="0" w:header="0"/>
        </w:sectPr>
      </w:pPr>
    </w:p>
    <w:bookmarkStart w:id="50" w:name="page51"/>
    <w:bookmarkEnd w:id="50"/>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7294880" cy="37465"/>
                    </a:xfrm>
                    <a:prstGeom prst="rect">
                      <a:avLst/>
                    </a:prstGeom>
                    <a:noFill/>
                  </pic:spPr>
                </pic:pic>
              </a:graphicData>
            </a:graphic>
          </wp:anchor>
        </w:drawing>
        <w:t>SECTION 4. COVENANTS OF THE COMPANY</w:t>
      </w:r>
    </w:p>
    <w:p>
      <w:pPr>
        <w:spacing w:after="0" w:line="22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Company covenants that:</w:t>
      </w:r>
    </w:p>
    <w:p>
      <w:pPr>
        <w:spacing w:after="0" w:line="217" w:lineRule="exact"/>
        <w:rPr>
          <w:sz w:val="20"/>
          <w:szCs w:val="20"/>
          <w:color w:val="auto"/>
        </w:rPr>
      </w:pPr>
    </w:p>
    <w:p>
      <w:pPr>
        <w:ind w:firstLine="421"/>
        <w:spacing w:after="0" w:line="299" w:lineRule="auto"/>
        <w:rPr>
          <w:sz w:val="20"/>
          <w:szCs w:val="20"/>
          <w:color w:val="auto"/>
        </w:rPr>
      </w:pPr>
      <w:r>
        <w:rPr>
          <w:rFonts w:ascii="Arial" w:cs="Arial" w:eastAsia="Arial" w:hAnsi="Arial"/>
          <w:sz w:val="15"/>
          <w:szCs w:val="15"/>
          <w:color w:val="auto"/>
        </w:rPr>
        <w:t xml:space="preserve">4.1 </w:t>
      </w:r>
      <w:r>
        <w:rPr>
          <w:rFonts w:ascii="Arial" w:cs="Arial" w:eastAsia="Arial" w:hAnsi="Arial"/>
          <w:sz w:val="15"/>
          <w:szCs w:val="15"/>
          <w:u w:val="single" w:color="auto"/>
          <w:color w:val="auto"/>
        </w:rPr>
        <w:t>Registration</w:t>
      </w:r>
      <w:r>
        <w:rPr>
          <w:rFonts w:ascii="Arial" w:cs="Arial" w:eastAsia="Arial" w:hAnsi="Arial"/>
          <w:sz w:val="15"/>
          <w:szCs w:val="15"/>
          <w:color w:val="auto"/>
        </w:rPr>
        <w:t>. The Company agrees to file the Registration Statement (as defined below) on the Closing Date (as defined below). The Company shall use its reasonable best efforts and take all actions required or reasonably requested by a Buyer to maintain the effectiveness of the Registration Statement in accordance with the requirements of the Securities Act and the rules and regulations of the SEC thereunder until the earlier of (a) the date on which the Buyers have notified the Company that the Shares have been sold and (b) such time as all Shares are eligible for immediate sale in a single transaction pursuant to Rule 144 (or any successor provision) with no volume or other restrictions or limitations under Rule 144 (or any such successor provision) (and without the requirement for the Company to be in compliance with the current public information required under Rule 144(c)(1)).</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SECTION 5. CONDITIONS PRECEDENT TO BUYERS’ PERFORMANCE</w:t>
      </w:r>
    </w:p>
    <w:p>
      <w:pPr>
        <w:spacing w:after="0" w:line="223" w:lineRule="exact"/>
        <w:rPr>
          <w:sz w:val="20"/>
          <w:szCs w:val="20"/>
          <w:color w:val="auto"/>
        </w:rPr>
      </w:pPr>
    </w:p>
    <w:p>
      <w:pPr>
        <w:ind w:right="20" w:firstLine="421"/>
        <w:spacing w:after="0" w:line="262" w:lineRule="auto"/>
        <w:rPr>
          <w:sz w:val="20"/>
          <w:szCs w:val="20"/>
          <w:color w:val="auto"/>
        </w:rPr>
      </w:pPr>
      <w:r>
        <w:rPr>
          <w:rFonts w:ascii="Arial" w:cs="Arial" w:eastAsia="Arial" w:hAnsi="Arial"/>
          <w:sz w:val="17"/>
          <w:szCs w:val="17"/>
          <w:color w:val="auto"/>
        </w:rPr>
        <w:t>The obligations of each Buyer under this Agreement are subject to the satisfaction, at or before the Closing, of all the conditions set forth below in this Section 5. Each Buyer may severally, on its own behalf, waive any or all of these conditions in whole or in part without prior notice; provided, however, that no such waiver of a condition shall constitute a waiver by such Buyer of any of its other rights or remedies, at law or in equity, if Seller shall be in default of any of its representations, warranties or covenants under this Agreement.</w:t>
      </w:r>
    </w:p>
    <w:p>
      <w:pPr>
        <w:spacing w:after="0" w:line="178" w:lineRule="exact"/>
        <w:rPr>
          <w:sz w:val="20"/>
          <w:szCs w:val="20"/>
          <w:color w:val="auto"/>
        </w:rPr>
      </w:pPr>
    </w:p>
    <w:p>
      <w:pPr>
        <w:ind w:right="20" w:firstLine="421"/>
        <w:spacing w:after="0" w:line="279"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Accuracy of Seller’s Representations and Warranties</w:t>
      </w:r>
      <w:r>
        <w:rPr>
          <w:rFonts w:ascii="Arial" w:cs="Arial" w:eastAsia="Arial" w:hAnsi="Arial"/>
          <w:sz w:val="17"/>
          <w:szCs w:val="17"/>
          <w:color w:val="auto"/>
        </w:rPr>
        <w:t>. All representations and warranties of the Seller contained in this Agreement shall be true and correct on and as of the Closing Date as though made on and as of that date.</w:t>
      </w:r>
    </w:p>
    <w:p>
      <w:pPr>
        <w:spacing w:after="0" w:line="164" w:lineRule="exact"/>
        <w:rPr>
          <w:sz w:val="20"/>
          <w:szCs w:val="20"/>
          <w:color w:val="auto"/>
        </w:rPr>
      </w:pPr>
    </w:p>
    <w:p>
      <w:pPr>
        <w:ind w:right="40" w:firstLine="421"/>
        <w:spacing w:after="0" w:line="279"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Performance by Seller</w:t>
      </w:r>
      <w:r>
        <w:rPr>
          <w:rFonts w:ascii="Arial" w:cs="Arial" w:eastAsia="Arial" w:hAnsi="Arial"/>
          <w:sz w:val="17"/>
          <w:szCs w:val="17"/>
          <w:color w:val="auto"/>
        </w:rPr>
        <w:t>. The Seller shall have performed, satisfied and complied with all covenants, agreements and conditions required by this Agreement to be performed or complied with by Seller, as applicable, on or before the Closing Date.</w:t>
      </w:r>
    </w:p>
    <w:p>
      <w:pPr>
        <w:spacing w:after="0" w:line="164" w:lineRule="exact"/>
        <w:rPr>
          <w:sz w:val="20"/>
          <w:szCs w:val="20"/>
          <w:color w:val="auto"/>
        </w:rPr>
      </w:pPr>
    </w:p>
    <w:p>
      <w:pPr>
        <w:jc w:val="both"/>
        <w:ind w:right="60" w:firstLine="421"/>
        <w:spacing w:after="0" w:line="266"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Registration</w:t>
      </w:r>
      <w:r>
        <w:rPr>
          <w:rFonts w:ascii="Arial" w:cs="Arial" w:eastAsia="Arial" w:hAnsi="Arial"/>
          <w:sz w:val="17"/>
          <w:szCs w:val="17"/>
          <w:color w:val="auto"/>
        </w:rPr>
        <w:t>. The Company shall have filed with the SEC, under the Securities Act, a registration statement on Form S-3 pursuant to General Instruction I.D. thereto that shall have become effective upon filing with the SEC pursuant to Rule 462(e) under the Securities Act, relating to the resale by the Buyers of the Shares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SECTION 6. CONDITIONS PRECEDENT TO SELLER’S PERFORMANCE</w:t>
      </w:r>
    </w:p>
    <w:p>
      <w:pPr>
        <w:spacing w:after="0" w:line="223" w:lineRule="exact"/>
        <w:rPr>
          <w:sz w:val="20"/>
          <w:szCs w:val="20"/>
          <w:color w:val="auto"/>
        </w:rPr>
      </w:pPr>
    </w:p>
    <w:p>
      <w:pPr>
        <w:ind w:right="100" w:firstLine="421"/>
        <w:spacing w:after="0" w:line="262" w:lineRule="auto"/>
        <w:rPr>
          <w:sz w:val="20"/>
          <w:szCs w:val="20"/>
          <w:color w:val="auto"/>
        </w:rPr>
      </w:pPr>
      <w:r>
        <w:rPr>
          <w:rFonts w:ascii="Arial" w:cs="Arial" w:eastAsia="Arial" w:hAnsi="Arial"/>
          <w:sz w:val="17"/>
          <w:szCs w:val="17"/>
          <w:color w:val="auto"/>
        </w:rPr>
        <w:t>The obligations of Seller under this Agreement to a Buyer are subject to the satisfaction, at or before the Closing, of all the conditions set forth below in this Section 6. Seller may waive any or all of these conditions in whole or in part without prior notice; provided, however, that no such waiver of a condition shall constitute a waiver by Seller of any of its other rights or remedies, at law or in equity, if such Buyer shall be in default of any of its representations, warranties or covenants under this Agreement.</w:t>
      </w:r>
    </w:p>
    <w:p>
      <w:pPr>
        <w:spacing w:after="0" w:line="178" w:lineRule="exact"/>
        <w:rPr>
          <w:sz w:val="20"/>
          <w:szCs w:val="20"/>
          <w:color w:val="auto"/>
        </w:rPr>
      </w:pPr>
    </w:p>
    <w:p>
      <w:pPr>
        <w:ind w:right="200" w:firstLine="421"/>
        <w:spacing w:after="0" w:line="279"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Accuracy of Buyer’s Representations and Warranties</w:t>
      </w:r>
      <w:r>
        <w:rPr>
          <w:rFonts w:ascii="Arial" w:cs="Arial" w:eastAsia="Arial" w:hAnsi="Arial"/>
          <w:sz w:val="17"/>
          <w:szCs w:val="17"/>
          <w:color w:val="auto"/>
        </w:rPr>
        <w:t>. All representations and warranties of such Buyer contained in this Agreement shall be true and correct on and as of the Closing Date as though made on and as of that date.</w:t>
      </w:r>
    </w:p>
    <w:p>
      <w:pPr>
        <w:spacing w:after="0" w:line="164" w:lineRule="exact"/>
        <w:rPr>
          <w:sz w:val="20"/>
          <w:szCs w:val="20"/>
          <w:color w:val="auto"/>
        </w:rPr>
      </w:pPr>
    </w:p>
    <w:p>
      <w:pPr>
        <w:ind w:right="220" w:firstLine="421"/>
        <w:spacing w:after="0" w:line="279"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Performance by Buyer</w:t>
      </w:r>
      <w:r>
        <w:rPr>
          <w:rFonts w:ascii="Arial" w:cs="Arial" w:eastAsia="Arial" w:hAnsi="Arial"/>
          <w:sz w:val="17"/>
          <w:szCs w:val="17"/>
          <w:color w:val="auto"/>
        </w:rPr>
        <w:t>. Such Buyer shall have performed, satisfied and complied with all covenants, agreements and conditions required by this Agreement to be performed, or complied with by such Buyer, on or before the Closing Date.</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500"/>
          </w:cols>
          <w:pgMar w:left="700" w:top="263" w:right="699" w:bottom="1440" w:gutter="0" w:footer="0" w:header="0"/>
        </w:sectPr>
      </w:pPr>
    </w:p>
    <w:bookmarkStart w:id="51" w:name="page52"/>
    <w:bookmarkEnd w:id="5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7294880" cy="37465"/>
                    </a:xfrm>
                    <a:prstGeom prst="rect">
                      <a:avLst/>
                    </a:prstGeom>
                    <a:noFill/>
                  </pic:spPr>
                </pic:pic>
              </a:graphicData>
            </a:graphic>
          </wp:anchor>
        </w:drawing>
        <w:t>SECTION 7. CLOSING</w:t>
      </w:r>
    </w:p>
    <w:p>
      <w:pPr>
        <w:spacing w:after="0" w:line="223" w:lineRule="exact"/>
        <w:rPr>
          <w:sz w:val="20"/>
          <w:szCs w:val="20"/>
          <w:color w:val="auto"/>
        </w:rPr>
      </w:pPr>
    </w:p>
    <w:p>
      <w:pPr>
        <w:jc w:val="both"/>
        <w:ind w:right="320" w:firstLine="421"/>
        <w:spacing w:after="0" w:line="266" w:lineRule="auto"/>
        <w:rPr>
          <w:sz w:val="20"/>
          <w:szCs w:val="20"/>
          <w:color w:val="auto"/>
        </w:rPr>
      </w:pPr>
      <w:r>
        <w:rPr>
          <w:rFonts w:ascii="Arial" w:cs="Arial" w:eastAsia="Arial" w:hAnsi="Arial"/>
          <w:sz w:val="17"/>
          <w:szCs w:val="17"/>
          <w:color w:val="auto"/>
        </w:rPr>
        <w:t>The closing of the transactions contemplated by this Agreement (the “</w:t>
      </w:r>
      <w:r>
        <w:rPr>
          <w:rFonts w:ascii="Arial" w:cs="Arial" w:eastAsia="Arial" w:hAnsi="Arial"/>
          <w:sz w:val="17"/>
          <w:szCs w:val="17"/>
          <w:u w:val="single" w:color="auto"/>
          <w:color w:val="auto"/>
        </w:rPr>
        <w:t>Closing</w:t>
      </w:r>
      <w:r>
        <w:rPr>
          <w:rFonts w:ascii="Arial" w:cs="Arial" w:eastAsia="Arial" w:hAnsi="Arial"/>
          <w:sz w:val="17"/>
          <w:szCs w:val="17"/>
          <w:color w:val="auto"/>
        </w:rPr>
        <w:t>”) shall take place remotely via the exchange of documents and signatures on November 15, 2018, or at such other time and place as the parties may agree to in writing. That date of the Closing is herein called the “</w:t>
      </w:r>
      <w:r>
        <w:rPr>
          <w:rFonts w:ascii="Arial" w:cs="Arial" w:eastAsia="Arial" w:hAnsi="Arial"/>
          <w:sz w:val="17"/>
          <w:szCs w:val="17"/>
          <w:u w:val="single" w:color="auto"/>
          <w:color w:val="auto"/>
        </w:rPr>
        <w:t>Closing Date</w:t>
      </w:r>
      <w:r>
        <w:rPr>
          <w:rFonts w:ascii="Arial" w:cs="Arial" w:eastAsia="Arial" w:hAnsi="Arial"/>
          <w:sz w:val="17"/>
          <w:szCs w:val="17"/>
          <w:color w:val="auto"/>
        </w:rPr>
        <w:t>.”</w:t>
      </w:r>
    </w:p>
    <w:p>
      <w:pPr>
        <w:spacing w:after="0" w:line="175" w:lineRule="exact"/>
        <w:rPr>
          <w:sz w:val="20"/>
          <w:szCs w:val="20"/>
          <w:color w:val="auto"/>
        </w:rPr>
      </w:pPr>
    </w:p>
    <w:p>
      <w:pPr>
        <w:ind w:right="680" w:firstLine="421"/>
        <w:spacing w:after="0" w:line="279"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Obligations of Buyers</w:t>
      </w:r>
      <w:r>
        <w:rPr>
          <w:rFonts w:ascii="Arial" w:cs="Arial" w:eastAsia="Arial" w:hAnsi="Arial"/>
          <w:sz w:val="17"/>
          <w:szCs w:val="17"/>
          <w:color w:val="auto"/>
        </w:rPr>
        <w:t>. At the Closing, each Buyer shall deliver to Seller a wire transfer of immediately available funds to an account designated by Seller, in the amount of such Buyer’s Aggregate Purchase Price.</w:t>
      </w:r>
    </w:p>
    <w:p>
      <w:pPr>
        <w:spacing w:after="0" w:line="164" w:lineRule="exact"/>
        <w:rPr>
          <w:sz w:val="20"/>
          <w:szCs w:val="20"/>
          <w:color w:val="auto"/>
        </w:rPr>
      </w:pPr>
    </w:p>
    <w:p>
      <w:pPr>
        <w:ind w:right="460" w:firstLine="421"/>
        <w:spacing w:after="0" w:line="262"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u w:val="single" w:color="auto"/>
          <w:color w:val="auto"/>
        </w:rPr>
        <w:t>Obligations of Seller</w:t>
      </w:r>
      <w:r>
        <w:rPr>
          <w:rFonts w:ascii="Arial" w:cs="Arial" w:eastAsia="Arial" w:hAnsi="Arial"/>
          <w:sz w:val="17"/>
          <w:szCs w:val="17"/>
          <w:color w:val="auto"/>
        </w:rPr>
        <w:t>. Upon confirmation of receipt of each Buyer’s Aggregate Purchase Price, the Seller shall immediately instruct the Company’s transfer agent (i) to cause such Buyer’s Purchased Shares to be delivered by crediting such Buyer’s Purchased Shares to the accounts designated by such Buyer and (ii) within one business day, to provide a transaction notice to such Buyer reflecting such Buyer’s Purchased Shares credited in the Direct Registration System (DRS).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8. INDEMNIFICATION</w:t>
      </w:r>
    </w:p>
    <w:p>
      <w:pPr>
        <w:spacing w:after="0" w:line="223" w:lineRule="exact"/>
        <w:rPr>
          <w:sz w:val="20"/>
          <w:szCs w:val="20"/>
          <w:color w:val="auto"/>
        </w:rPr>
      </w:pPr>
    </w:p>
    <w:p>
      <w:pPr>
        <w:ind w:firstLine="421"/>
        <w:spacing w:after="0" w:line="291" w:lineRule="auto"/>
        <w:rPr>
          <w:sz w:val="20"/>
          <w:szCs w:val="20"/>
          <w:color w:val="auto"/>
        </w:rPr>
      </w:pPr>
      <w:r>
        <w:rPr>
          <w:rFonts w:ascii="Arial" w:cs="Arial" w:eastAsia="Arial" w:hAnsi="Arial"/>
          <w:sz w:val="15"/>
          <w:szCs w:val="15"/>
          <w:color w:val="auto"/>
        </w:rPr>
        <w:t>8.1 The Company shall, notwithstanding any termination of this Agreement, indemnify, defend and hold harmless each Buyer (to the extent a seller under the Registration Statement), the officers, directors, agents, partners, members, managers, stockholders, affiliates, employees and investment advisers of each of them, each person who controls such Buyer (within the meaning of Section 15 of the Securities Act or Section 20 of the Securities Exchange Act of 1934, as amended (the “</w:t>
      </w:r>
      <w:r>
        <w:rPr>
          <w:rFonts w:ascii="Arial" w:cs="Arial" w:eastAsia="Arial" w:hAnsi="Arial"/>
          <w:sz w:val="15"/>
          <w:szCs w:val="15"/>
          <w:u w:val="single" w:color="auto"/>
          <w:color w:val="auto"/>
        </w:rPr>
        <w:t>Exchange Act</w:t>
      </w:r>
      <w:r>
        <w:rPr>
          <w:rFonts w:ascii="Arial" w:cs="Arial" w:eastAsia="Arial" w:hAnsi="Arial"/>
          <w:sz w:val="15"/>
          <w:szCs w:val="15"/>
          <w:color w:val="auto"/>
        </w:rPr>
        <w:t>”)) and the officers, directors, partners, members, managers, stockholders, agents, affiliates, employees and investment advisers of each such controlling person, to the fullest extent permitted by applicable law, from and against any and all losses, claims, damages, liabilities, costs (including, without limitation, reasonable attorneys’ fees) and expenses (collectively, “</w:t>
      </w:r>
      <w:r>
        <w:rPr>
          <w:rFonts w:ascii="Arial" w:cs="Arial" w:eastAsia="Arial" w:hAnsi="Arial"/>
          <w:sz w:val="15"/>
          <w:szCs w:val="15"/>
          <w:u w:val="single" w:color="auto"/>
          <w:color w:val="auto"/>
        </w:rPr>
        <w:t>Losses</w:t>
      </w:r>
      <w:r>
        <w:rPr>
          <w:rFonts w:ascii="Arial" w:cs="Arial" w:eastAsia="Arial" w:hAnsi="Arial"/>
          <w:sz w:val="15"/>
          <w:szCs w:val="15"/>
          <w:color w:val="auto"/>
        </w:rPr>
        <w:t>”), as incurred, that arise out of or are based upon (i) any untrue or alleged untrue statement of a material fact contained in the Registration Statement, any prospectus included in the Registration Statement or any form of prospectus or in any amendment or supplement thereto or in any preliminary prospectus, or arising out of or relating to any omission or alleged omission to state a material fact required to be stated therein or necessary to make the statements therein (in the case of any prospectus or form of prospectus or supplement thereto, in light of the circumstances under which they were made) not misleading, or (ii) any violation or alleged violation by the Company of the Securities Act, Exchange Act or any state securities law or any rule or regulation thereunder, in connection with the performance of its obligations with respect to the Registration Statement, except to the extent, but only to the extent, that such untrue statements, alleged untrue statements, omissions or alleged omissions are based solely upon information regarding such Buyer furnished in writing to the Company by such Buyer expressly for use therein. The Company shall notify such Buyer promptly of the institution, threat or assertion of any proceeding arising from or in connection with the Registration Statement. Such indemnity shall remain in full force and effect regardless of any investigation made by or on behalf of an indemnified party and shall survive the transfer of the Shares by such Buyer.</w:t>
      </w:r>
    </w:p>
    <w:p>
      <w:pPr>
        <w:spacing w:after="0" w:line="160" w:lineRule="exact"/>
        <w:rPr>
          <w:sz w:val="20"/>
          <w:szCs w:val="20"/>
          <w:color w:val="auto"/>
        </w:rPr>
      </w:pPr>
    </w:p>
    <w:p>
      <w:pPr>
        <w:ind w:right="140" w:firstLine="421"/>
        <w:spacing w:after="0" w:line="257" w:lineRule="auto"/>
        <w:rPr>
          <w:sz w:val="20"/>
          <w:szCs w:val="20"/>
          <w:color w:val="auto"/>
        </w:rPr>
      </w:pPr>
      <w:r>
        <w:rPr>
          <w:rFonts w:ascii="Arial" w:cs="Arial" w:eastAsia="Arial" w:hAnsi="Arial"/>
          <w:sz w:val="17"/>
          <w:szCs w:val="17"/>
          <w:color w:val="auto"/>
        </w:rPr>
        <w:t>8.2 Each Buyer (to the extent a seller under the Registration Statement) shall, severally and not jointly with any other Buyer, indemnify and hold harmless the Company, its directors, officers, agents and employees, each person who controls the Company (within the meaning of Section 15 of the Securities Act and Section 20 of the Exchange Act), and the directors, officers, agents or employees of such controlling persons, to the fullest extent permitted by applicable law, from and against all Losses, as incurred, arising out of or are based upon any untrue or alleged untrue statement of a material fact contained in any Registration Statement, any prospectus included in the Registration Statement, or any form of prospectus, or in any amendment or supplement thereto or in any preliminary prospectus, or arising out of or relating to any omission or alleged omission of a material fact required to be stated</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500"/>
          </w:cols>
          <w:pgMar w:left="700" w:top="263" w:right="699" w:bottom="1440" w:gutter="0" w:footer="0" w:header="0"/>
        </w:sectPr>
      </w:pPr>
    </w:p>
    <w:bookmarkStart w:id="52" w:name="page53"/>
    <w:bookmarkEnd w:id="52"/>
    <w:p>
      <w:pPr>
        <w:ind w:right="140"/>
        <w:spacing w:after="0" w:line="25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7294880" cy="37465"/>
                    </a:xfrm>
                    <a:prstGeom prst="rect">
                      <a:avLst/>
                    </a:prstGeom>
                    <a:noFill/>
                  </pic:spPr>
                </pic:pic>
              </a:graphicData>
            </a:graphic>
          </wp:anchor>
        </w:drawing>
        <w:t>therein or necessary to make the statements therein (in the case of any prospectus or form of prospectus or supplement thereto, in light of the circumstances under which they were made) not misleading to the extent, but only to the extent, that such untrue statements or omissions are based solely upon information regarding such Buyer furnished in writing to the Company by such Buyer expressly for use therein. In no event shall the liability of any Buyer be greater in amount than the dollar amount of the net proceeds received by such Buyer upon the sale of the Shares giving rise to such indemnification obligation.</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 MISCELLANEOUS</w:t>
      </w:r>
    </w:p>
    <w:p>
      <w:pPr>
        <w:spacing w:after="0" w:line="223" w:lineRule="exact"/>
        <w:rPr>
          <w:sz w:val="20"/>
          <w:szCs w:val="20"/>
          <w:color w:val="auto"/>
        </w:rPr>
      </w:pPr>
    </w:p>
    <w:p>
      <w:pPr>
        <w:ind w:firstLine="421"/>
        <w:spacing w:after="0" w:line="259" w:lineRule="auto"/>
        <w:rPr>
          <w:sz w:val="20"/>
          <w:szCs w:val="20"/>
          <w:color w:val="auto"/>
        </w:rPr>
      </w:pPr>
      <w:r>
        <w:rPr>
          <w:rFonts w:ascii="Arial" w:cs="Arial" w:eastAsia="Arial" w:hAnsi="Arial"/>
          <w:sz w:val="17"/>
          <w:szCs w:val="17"/>
          <w:color w:val="auto"/>
        </w:rPr>
        <w:t xml:space="preserve">9.1 </w:t>
      </w:r>
      <w:r>
        <w:rPr>
          <w:rFonts w:ascii="Arial" w:cs="Arial" w:eastAsia="Arial" w:hAnsi="Arial"/>
          <w:sz w:val="17"/>
          <w:szCs w:val="17"/>
          <w:u w:val="single" w:color="auto"/>
          <w:color w:val="auto"/>
        </w:rPr>
        <w:t>Finder’s or Broker’s Fees</w:t>
      </w:r>
      <w:r>
        <w:rPr>
          <w:rFonts w:ascii="Arial" w:cs="Arial" w:eastAsia="Arial" w:hAnsi="Arial"/>
          <w:sz w:val="17"/>
          <w:szCs w:val="17"/>
          <w:color w:val="auto"/>
        </w:rPr>
        <w:t>. Each party represents and warrants that it has dealt with no broker or finder in connection with any transaction contemplated by this Agreement and, as far as it knows, no broker or other person is entitled to any commission or finder’s fee in connection with any of these transactions. Each party agrees to indemnify and hold harmless the other parties from and against any loss, liability, damage, cost, claim or expense incurred by reason of any brokerage, commission or finder’s fee alleged to be payable because of any act, omission or statement of the indemnifying party.</w:t>
      </w:r>
    </w:p>
    <w:p>
      <w:pPr>
        <w:spacing w:after="0" w:line="183" w:lineRule="exact"/>
        <w:rPr>
          <w:sz w:val="20"/>
          <w:szCs w:val="20"/>
          <w:color w:val="auto"/>
        </w:rPr>
      </w:pPr>
    </w:p>
    <w:p>
      <w:pPr>
        <w:ind w:right="700" w:firstLine="421"/>
        <w:spacing w:after="0" w:line="279" w:lineRule="auto"/>
        <w:rPr>
          <w:sz w:val="20"/>
          <w:szCs w:val="20"/>
          <w:color w:val="auto"/>
        </w:rPr>
      </w:pPr>
      <w:r>
        <w:rPr>
          <w:rFonts w:ascii="Arial" w:cs="Arial" w:eastAsia="Arial" w:hAnsi="Arial"/>
          <w:sz w:val="17"/>
          <w:szCs w:val="17"/>
          <w:color w:val="auto"/>
        </w:rPr>
        <w:t xml:space="preserve">9.2 </w:t>
      </w:r>
      <w:r>
        <w:rPr>
          <w:rFonts w:ascii="Arial" w:cs="Arial" w:eastAsia="Arial" w:hAnsi="Arial"/>
          <w:sz w:val="17"/>
          <w:szCs w:val="17"/>
          <w:u w:val="single" w:color="auto"/>
          <w:color w:val="auto"/>
        </w:rPr>
        <w:t>Effect of Headings</w:t>
      </w:r>
      <w:r>
        <w:rPr>
          <w:rFonts w:ascii="Arial" w:cs="Arial" w:eastAsia="Arial" w:hAnsi="Arial"/>
          <w:sz w:val="17"/>
          <w:szCs w:val="17"/>
          <w:color w:val="auto"/>
        </w:rPr>
        <w:t>. The subject headings of the sections of this Agreement are included for convenience only and shall not affect the construction or interpretation of any of its provisions.</w:t>
      </w:r>
    </w:p>
    <w:p>
      <w:pPr>
        <w:spacing w:after="0" w:line="164" w:lineRule="exact"/>
        <w:rPr>
          <w:sz w:val="20"/>
          <w:szCs w:val="20"/>
          <w:color w:val="auto"/>
        </w:rPr>
      </w:pPr>
    </w:p>
    <w:p>
      <w:pPr>
        <w:ind w:right="80" w:firstLine="421"/>
        <w:spacing w:after="0" w:line="277" w:lineRule="auto"/>
        <w:rPr>
          <w:sz w:val="20"/>
          <w:szCs w:val="20"/>
          <w:color w:val="auto"/>
        </w:rPr>
      </w:pPr>
      <w:r>
        <w:rPr>
          <w:rFonts w:ascii="Arial" w:cs="Arial" w:eastAsia="Arial" w:hAnsi="Arial"/>
          <w:sz w:val="16"/>
          <w:szCs w:val="16"/>
          <w:color w:val="auto"/>
        </w:rPr>
        <w:t xml:space="preserve">9.3 </w:t>
      </w:r>
      <w:r>
        <w:rPr>
          <w:rFonts w:ascii="Arial" w:cs="Arial" w:eastAsia="Arial" w:hAnsi="Arial"/>
          <w:sz w:val="16"/>
          <w:szCs w:val="16"/>
          <w:u w:val="single" w:color="auto"/>
          <w:color w:val="auto"/>
        </w:rPr>
        <w:t>Entire Agreement; Modification; Waiver</w:t>
      </w:r>
      <w:r>
        <w:rPr>
          <w:rFonts w:ascii="Arial" w:cs="Arial" w:eastAsia="Arial" w:hAnsi="Arial"/>
          <w:sz w:val="16"/>
          <w:szCs w:val="16"/>
          <w:color w:val="auto"/>
        </w:rPr>
        <w:t>. This Agreement, together with all Exhibits hereto which are made a part hereof, constitutes the entire agreement between the parties pertaining to its subject matter, and supersedes, merges and voids all prior and contemporaneous agreements, representations and understandings of the parties with respect thereto, whether written or oral. No supplement, modification or amendment of this Agreement shall be binding unless executed in writing by all the parties. No waiver of any of the provisions of this Agreement shall be deemed, or shall constitute, a waiver of any other provision, whether or not similar, nor shall any waiver constitute a continuing waiver unless it expressly provides such by its terms. No waiver shall be binding unless executed in writing by the party making the waiver.</w:t>
      </w:r>
    </w:p>
    <w:p>
      <w:pPr>
        <w:spacing w:after="0" w:line="170" w:lineRule="exact"/>
        <w:rPr>
          <w:sz w:val="20"/>
          <w:szCs w:val="20"/>
          <w:color w:val="auto"/>
        </w:rPr>
      </w:pPr>
    </w:p>
    <w:p>
      <w:pPr>
        <w:ind w:right="120" w:firstLine="421"/>
        <w:spacing w:after="0" w:line="259" w:lineRule="auto"/>
        <w:rPr>
          <w:sz w:val="20"/>
          <w:szCs w:val="20"/>
          <w:color w:val="auto"/>
        </w:rPr>
      </w:pPr>
      <w:r>
        <w:rPr>
          <w:rFonts w:ascii="Arial" w:cs="Arial" w:eastAsia="Arial" w:hAnsi="Arial"/>
          <w:sz w:val="17"/>
          <w:szCs w:val="17"/>
          <w:color w:val="auto"/>
        </w:rPr>
        <w:t xml:space="preserve">9.4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any number of multiple counterparts, each of which shall be deemed to be an original (including signatures delivered via facsimile or PDF) and all of which taken together shall constitute one agreement and the same instrument shall become effective when counterparts have been signed by each party and delivered to the other party, it being understood that both parties need not sign the same counterpart. The parties may deliver this Agreement by facsimile or PDF and each party shall be permitted to rely on the signatures so transmitted to the same extent and effect as if they were original signatures.</w:t>
      </w:r>
    </w:p>
    <w:p>
      <w:pPr>
        <w:spacing w:after="0" w:line="183" w:lineRule="exact"/>
        <w:rPr>
          <w:sz w:val="20"/>
          <w:szCs w:val="20"/>
          <w:color w:val="auto"/>
        </w:rPr>
      </w:pPr>
    </w:p>
    <w:p>
      <w:pPr>
        <w:ind w:right="60" w:firstLine="421"/>
        <w:spacing w:after="0" w:line="259" w:lineRule="auto"/>
        <w:rPr>
          <w:sz w:val="20"/>
          <w:szCs w:val="20"/>
          <w:color w:val="auto"/>
        </w:rPr>
      </w:pPr>
      <w:r>
        <w:rPr>
          <w:rFonts w:ascii="Arial" w:cs="Arial" w:eastAsia="Arial" w:hAnsi="Arial"/>
          <w:sz w:val="17"/>
          <w:szCs w:val="17"/>
          <w:color w:val="auto"/>
        </w:rPr>
        <w:t xml:space="preserve">9.5 </w:t>
      </w:r>
      <w:r>
        <w:rPr>
          <w:rFonts w:ascii="Arial" w:cs="Arial" w:eastAsia="Arial" w:hAnsi="Arial"/>
          <w:sz w:val="17"/>
          <w:szCs w:val="17"/>
          <w:u w:val="single" w:color="auto"/>
          <w:color w:val="auto"/>
        </w:rPr>
        <w:t>Binding Effect</w:t>
      </w:r>
      <w:r>
        <w:rPr>
          <w:rFonts w:ascii="Arial" w:cs="Arial" w:eastAsia="Arial" w:hAnsi="Arial"/>
          <w:sz w:val="17"/>
          <w:szCs w:val="17"/>
          <w:color w:val="auto"/>
        </w:rPr>
        <w:t>. Except as otherwise expressly provided herein, this Agreement shall be binding on and inure to the benefit of the parties, their heirs, executors, administrators, successors and all other persons hereafter that become a party hereto. No rights or obligations hereunder may be assigned by any party without the written consent of the Seller (in the case a Buyer is the assigning party) or the relevant Buyer (in the case the Seller is the assigning party). Any attempted transfer or assignment by any party of its rights and obligations under this Agreement, without the consent of the other party, shall be null and void.</w:t>
      </w:r>
    </w:p>
    <w:p>
      <w:pPr>
        <w:spacing w:after="0" w:line="183" w:lineRule="exact"/>
        <w:rPr>
          <w:sz w:val="20"/>
          <w:szCs w:val="20"/>
          <w:color w:val="auto"/>
        </w:rPr>
      </w:pPr>
    </w:p>
    <w:p>
      <w:pPr>
        <w:ind w:right="40" w:firstLine="421"/>
        <w:spacing w:after="0" w:line="262" w:lineRule="auto"/>
        <w:rPr>
          <w:sz w:val="20"/>
          <w:szCs w:val="20"/>
          <w:color w:val="auto"/>
        </w:rPr>
      </w:pPr>
      <w:r>
        <w:rPr>
          <w:rFonts w:ascii="Arial" w:cs="Arial" w:eastAsia="Arial" w:hAnsi="Arial"/>
          <w:sz w:val="17"/>
          <w:szCs w:val="17"/>
          <w:color w:val="auto"/>
        </w:rPr>
        <w:t xml:space="preserve">9.6 </w:t>
      </w:r>
      <w:r>
        <w:rPr>
          <w:rFonts w:ascii="Arial" w:cs="Arial" w:eastAsia="Arial" w:hAnsi="Arial"/>
          <w:sz w:val="17"/>
          <w:szCs w:val="17"/>
          <w:u w:val="single" w:color="auto"/>
          <w:color w:val="auto"/>
        </w:rPr>
        <w:t>Notices</w:t>
      </w:r>
      <w:r>
        <w:rPr>
          <w:rFonts w:ascii="Arial" w:cs="Arial" w:eastAsia="Arial" w:hAnsi="Arial"/>
          <w:sz w:val="17"/>
          <w:szCs w:val="17"/>
          <w:color w:val="auto"/>
        </w:rPr>
        <w:t>. Any notice, consent, payment, demand, or communication required or permitted to be given by any provision of this Agreement shall be in writing and shall be (a) delivered personally to the party or to an officer of the party to whom the same is directed, or (b) sent by facsimile or other electronic or digital transmission method (including e-mail), or registered or certified mail, return receipt requested, postage prepaid, addressed as follows: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500"/>
          </w:cols>
          <w:pgMar w:left="700" w:top="269" w:right="699" w:bottom="1440" w:gutter="0" w:footer="0" w:header="0"/>
        </w:sectPr>
      </w:pPr>
    </w:p>
    <w:bookmarkStart w:id="53" w:name="page54"/>
    <w:bookmarkEnd w:id="53"/>
    <w:p>
      <w:pPr>
        <w:ind w:left="8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7294880" cy="37465"/>
                    </a:xfrm>
                    <a:prstGeom prst="rect">
                      <a:avLst/>
                    </a:prstGeom>
                    <a:noFill/>
                  </pic:spPr>
                </pic:pic>
              </a:graphicData>
            </a:graphic>
          </wp:anchor>
        </w:drawing>
        <w:t>If to the Seller:</w:t>
      </w:r>
    </w:p>
    <w:p>
      <w:pPr>
        <w:spacing w:after="0" w:line="114" w:lineRule="exact"/>
        <w:rPr>
          <w:sz w:val="20"/>
          <w:szCs w:val="20"/>
          <w:color w:val="auto"/>
        </w:rPr>
      </w:pPr>
    </w:p>
    <w:p>
      <w:pPr>
        <w:ind w:left="840"/>
        <w:spacing w:after="0"/>
        <w:rPr>
          <w:sz w:val="20"/>
          <w:szCs w:val="20"/>
          <w:color w:val="auto"/>
        </w:rPr>
      </w:pPr>
      <w:r>
        <w:rPr>
          <w:rFonts w:ascii="Arial" w:cs="Arial" w:eastAsia="Arial" w:hAnsi="Arial"/>
          <w:sz w:val="17"/>
          <w:szCs w:val="17"/>
          <w:color w:val="auto"/>
        </w:rPr>
        <w:t>C.P. Pharmaceuticals International C.V.</w:t>
      </w:r>
    </w:p>
    <w:p>
      <w:pPr>
        <w:spacing w:after="0" w:line="22" w:lineRule="exact"/>
        <w:rPr>
          <w:sz w:val="20"/>
          <w:szCs w:val="20"/>
          <w:color w:val="auto"/>
        </w:rPr>
      </w:pPr>
    </w:p>
    <w:p>
      <w:pPr>
        <w:ind w:left="840"/>
        <w:spacing w:after="0"/>
        <w:rPr>
          <w:sz w:val="20"/>
          <w:szCs w:val="20"/>
          <w:color w:val="auto"/>
        </w:rPr>
      </w:pPr>
      <w:r>
        <w:rPr>
          <w:rFonts w:ascii="Arial" w:cs="Arial" w:eastAsia="Arial" w:hAnsi="Arial"/>
          <w:sz w:val="17"/>
          <w:szCs w:val="17"/>
          <w:color w:val="auto"/>
        </w:rPr>
        <w:t>c/o Pfizer Inc.</w:t>
      </w:r>
    </w:p>
    <w:p>
      <w:pPr>
        <w:spacing w:after="0" w:line="11" w:lineRule="exact"/>
        <w:rPr>
          <w:sz w:val="20"/>
          <w:szCs w:val="20"/>
          <w:color w:val="auto"/>
        </w:rPr>
      </w:pPr>
    </w:p>
    <w:p>
      <w:pPr>
        <w:ind w:left="840"/>
        <w:spacing w:after="0"/>
        <w:rPr>
          <w:sz w:val="20"/>
          <w:szCs w:val="20"/>
          <w:color w:val="auto"/>
        </w:rPr>
      </w:pPr>
      <w:r>
        <w:rPr>
          <w:rFonts w:ascii="Arial" w:cs="Arial" w:eastAsia="Arial" w:hAnsi="Arial"/>
          <w:sz w:val="17"/>
          <w:szCs w:val="17"/>
          <w:color w:val="auto"/>
        </w:rPr>
        <w:t>235 East 42nd Street</w:t>
      </w:r>
    </w:p>
    <w:p>
      <w:pPr>
        <w:spacing w:after="0" w:line="11" w:lineRule="exact"/>
        <w:rPr>
          <w:sz w:val="20"/>
          <w:szCs w:val="20"/>
          <w:color w:val="auto"/>
        </w:rPr>
      </w:pPr>
    </w:p>
    <w:p>
      <w:pPr>
        <w:ind w:left="840"/>
        <w:spacing w:after="0"/>
        <w:rPr>
          <w:sz w:val="20"/>
          <w:szCs w:val="20"/>
          <w:color w:val="auto"/>
        </w:rPr>
      </w:pPr>
      <w:r>
        <w:rPr>
          <w:rFonts w:ascii="Arial" w:cs="Arial" w:eastAsia="Arial" w:hAnsi="Arial"/>
          <w:sz w:val="17"/>
          <w:szCs w:val="17"/>
          <w:color w:val="auto"/>
        </w:rPr>
        <w:t>New York, NY 10017</w:t>
      </w:r>
    </w:p>
    <w:p>
      <w:pPr>
        <w:spacing w:after="0" w:line="11" w:lineRule="exact"/>
        <w:rPr>
          <w:sz w:val="20"/>
          <w:szCs w:val="20"/>
          <w:color w:val="auto"/>
        </w:rPr>
      </w:pPr>
    </w:p>
    <w:p>
      <w:pPr>
        <w:ind w:left="840"/>
        <w:spacing w:after="0"/>
        <w:rPr>
          <w:sz w:val="20"/>
          <w:szCs w:val="20"/>
          <w:color w:val="auto"/>
        </w:rPr>
      </w:pPr>
      <w:r>
        <w:rPr>
          <w:rFonts w:ascii="Arial" w:cs="Arial" w:eastAsia="Arial" w:hAnsi="Arial"/>
          <w:sz w:val="17"/>
          <w:szCs w:val="17"/>
          <w:color w:val="auto"/>
        </w:rPr>
        <w:t>Attention: Brian McMahon, Vice President and Assistant Treasurer</w:t>
      </w:r>
    </w:p>
    <w:p>
      <w:pPr>
        <w:spacing w:after="0" w:line="11" w:lineRule="exact"/>
        <w:rPr>
          <w:sz w:val="20"/>
          <w:szCs w:val="20"/>
          <w:color w:val="auto"/>
        </w:rPr>
      </w:pPr>
    </w:p>
    <w:p>
      <w:pPr>
        <w:ind w:left="840"/>
        <w:spacing w:after="0"/>
        <w:rPr>
          <w:sz w:val="20"/>
          <w:szCs w:val="20"/>
          <w:color w:val="auto"/>
        </w:rPr>
      </w:pPr>
      <w:r>
        <w:rPr>
          <w:rFonts w:ascii="Arial" w:cs="Arial" w:eastAsia="Arial" w:hAnsi="Arial"/>
          <w:sz w:val="17"/>
          <w:szCs w:val="17"/>
          <w:color w:val="auto"/>
        </w:rPr>
        <w:t>Facsimile: 212-716-5452</w:t>
      </w:r>
    </w:p>
    <w:p>
      <w:pPr>
        <w:spacing w:after="0" w:line="11" w:lineRule="exact"/>
        <w:rPr>
          <w:sz w:val="20"/>
          <w:szCs w:val="20"/>
          <w:color w:val="auto"/>
        </w:rPr>
      </w:pPr>
    </w:p>
    <w:p>
      <w:pPr>
        <w:ind w:left="840"/>
        <w:spacing w:after="0"/>
        <w:rPr>
          <w:sz w:val="20"/>
          <w:szCs w:val="20"/>
          <w:color w:val="auto"/>
        </w:rPr>
      </w:pPr>
      <w:r>
        <w:rPr>
          <w:rFonts w:ascii="Arial" w:cs="Arial" w:eastAsia="Arial" w:hAnsi="Arial"/>
          <w:sz w:val="17"/>
          <w:szCs w:val="17"/>
          <w:color w:val="auto"/>
        </w:rPr>
        <w:t>E-mail: Brian.McMahon@Pfizer.com</w:t>
      </w:r>
    </w:p>
    <w:p>
      <w:pPr>
        <w:spacing w:after="0" w:line="206" w:lineRule="exact"/>
        <w:rPr>
          <w:sz w:val="20"/>
          <w:szCs w:val="20"/>
          <w:color w:val="auto"/>
        </w:rPr>
      </w:pPr>
    </w:p>
    <w:p>
      <w:pPr>
        <w:ind w:left="840"/>
        <w:spacing w:after="0"/>
        <w:rPr>
          <w:sz w:val="20"/>
          <w:szCs w:val="20"/>
          <w:color w:val="auto"/>
        </w:rPr>
      </w:pPr>
      <w:r>
        <w:rPr>
          <w:rFonts w:ascii="Arial" w:cs="Arial" w:eastAsia="Arial" w:hAnsi="Arial"/>
          <w:sz w:val="17"/>
          <w:szCs w:val="17"/>
          <w:color w:val="auto"/>
        </w:rPr>
        <w:t>If to any Buyer:</w:t>
      </w:r>
    </w:p>
    <w:p>
      <w:pPr>
        <w:spacing w:after="0" w:line="114" w:lineRule="exact"/>
        <w:rPr>
          <w:sz w:val="20"/>
          <w:szCs w:val="20"/>
          <w:color w:val="auto"/>
        </w:rPr>
      </w:pPr>
    </w:p>
    <w:p>
      <w:pPr>
        <w:ind w:left="840"/>
        <w:spacing w:after="0"/>
        <w:rPr>
          <w:sz w:val="20"/>
          <w:szCs w:val="20"/>
          <w:color w:val="auto"/>
        </w:rPr>
      </w:pPr>
      <w:r>
        <w:rPr>
          <w:rFonts w:ascii="Arial" w:cs="Arial" w:eastAsia="Arial" w:hAnsi="Arial"/>
          <w:sz w:val="17"/>
          <w:szCs w:val="17"/>
          <w:color w:val="auto"/>
        </w:rPr>
        <w:t>Putnam Investments</w:t>
      </w:r>
    </w:p>
    <w:p>
      <w:pPr>
        <w:spacing w:after="0" w:line="22" w:lineRule="exact"/>
        <w:rPr>
          <w:sz w:val="20"/>
          <w:szCs w:val="20"/>
          <w:color w:val="auto"/>
        </w:rPr>
      </w:pPr>
    </w:p>
    <w:p>
      <w:pPr>
        <w:ind w:left="840"/>
        <w:spacing w:after="0"/>
        <w:rPr>
          <w:sz w:val="20"/>
          <w:szCs w:val="20"/>
          <w:color w:val="auto"/>
        </w:rPr>
      </w:pPr>
      <w:r>
        <w:rPr>
          <w:rFonts w:ascii="Arial" w:cs="Arial" w:eastAsia="Arial" w:hAnsi="Arial"/>
          <w:sz w:val="17"/>
          <w:szCs w:val="17"/>
          <w:color w:val="auto"/>
        </w:rPr>
        <w:t>100 Federal Street</w:t>
      </w:r>
    </w:p>
    <w:p>
      <w:pPr>
        <w:spacing w:after="0" w:line="11" w:lineRule="exact"/>
        <w:rPr>
          <w:sz w:val="20"/>
          <w:szCs w:val="20"/>
          <w:color w:val="auto"/>
        </w:rPr>
      </w:pPr>
    </w:p>
    <w:p>
      <w:pPr>
        <w:ind w:left="840"/>
        <w:spacing w:after="0"/>
        <w:rPr>
          <w:sz w:val="20"/>
          <w:szCs w:val="20"/>
          <w:color w:val="auto"/>
        </w:rPr>
      </w:pPr>
      <w:r>
        <w:rPr>
          <w:rFonts w:ascii="Arial" w:cs="Arial" w:eastAsia="Arial" w:hAnsi="Arial"/>
          <w:sz w:val="17"/>
          <w:szCs w:val="17"/>
          <w:color w:val="auto"/>
        </w:rPr>
        <w:t>Mail Stop: M26A</w:t>
      </w:r>
    </w:p>
    <w:p>
      <w:pPr>
        <w:spacing w:after="0" w:line="11" w:lineRule="exact"/>
        <w:rPr>
          <w:sz w:val="20"/>
          <w:szCs w:val="20"/>
          <w:color w:val="auto"/>
        </w:rPr>
      </w:pPr>
    </w:p>
    <w:p>
      <w:pPr>
        <w:ind w:left="840"/>
        <w:spacing w:after="0"/>
        <w:rPr>
          <w:sz w:val="20"/>
          <w:szCs w:val="20"/>
          <w:color w:val="auto"/>
        </w:rPr>
      </w:pPr>
      <w:r>
        <w:rPr>
          <w:rFonts w:ascii="Arial" w:cs="Arial" w:eastAsia="Arial" w:hAnsi="Arial"/>
          <w:sz w:val="17"/>
          <w:szCs w:val="17"/>
          <w:color w:val="auto"/>
        </w:rPr>
        <w:t>Boston, MA 02110</w:t>
      </w:r>
    </w:p>
    <w:p>
      <w:pPr>
        <w:spacing w:after="0" w:line="11" w:lineRule="exact"/>
        <w:rPr>
          <w:sz w:val="20"/>
          <w:szCs w:val="20"/>
          <w:color w:val="auto"/>
        </w:rPr>
      </w:pPr>
    </w:p>
    <w:p>
      <w:pPr>
        <w:ind w:left="840"/>
        <w:spacing w:after="0"/>
        <w:rPr>
          <w:sz w:val="20"/>
          <w:szCs w:val="20"/>
          <w:color w:val="auto"/>
        </w:rPr>
      </w:pPr>
      <w:r>
        <w:rPr>
          <w:rFonts w:ascii="Arial" w:cs="Arial" w:eastAsia="Arial" w:hAnsi="Arial"/>
          <w:sz w:val="17"/>
          <w:szCs w:val="17"/>
          <w:color w:val="auto"/>
        </w:rPr>
        <w:t>Attention: Stephen M. Gianelli</w:t>
      </w:r>
    </w:p>
    <w:p>
      <w:pPr>
        <w:spacing w:after="0" w:line="11" w:lineRule="exact"/>
        <w:rPr>
          <w:sz w:val="20"/>
          <w:szCs w:val="20"/>
          <w:color w:val="auto"/>
        </w:rPr>
      </w:pPr>
    </w:p>
    <w:p>
      <w:pPr>
        <w:ind w:left="840"/>
        <w:spacing w:after="0"/>
        <w:rPr>
          <w:sz w:val="20"/>
          <w:szCs w:val="20"/>
          <w:color w:val="auto"/>
        </w:rPr>
      </w:pPr>
      <w:r>
        <w:rPr>
          <w:rFonts w:ascii="Arial" w:cs="Arial" w:eastAsia="Arial" w:hAnsi="Arial"/>
          <w:sz w:val="17"/>
          <w:szCs w:val="17"/>
          <w:color w:val="auto"/>
        </w:rPr>
        <w:t>Facsimile: (617) 255-9051</w:t>
      </w:r>
    </w:p>
    <w:p>
      <w:pPr>
        <w:spacing w:after="0" w:line="11" w:lineRule="exact"/>
        <w:rPr>
          <w:sz w:val="20"/>
          <w:szCs w:val="20"/>
          <w:color w:val="auto"/>
        </w:rPr>
      </w:pPr>
    </w:p>
    <w:p>
      <w:pPr>
        <w:ind w:left="840"/>
        <w:spacing w:after="0"/>
        <w:rPr>
          <w:sz w:val="20"/>
          <w:szCs w:val="20"/>
          <w:color w:val="auto"/>
        </w:rPr>
      </w:pPr>
      <w:r>
        <w:rPr>
          <w:rFonts w:ascii="Arial" w:cs="Arial" w:eastAsia="Arial" w:hAnsi="Arial"/>
          <w:sz w:val="17"/>
          <w:szCs w:val="17"/>
          <w:color w:val="auto"/>
        </w:rPr>
        <w:t>E-mail: stephen_gianelli@putnam.com</w:t>
      </w:r>
    </w:p>
    <w:p>
      <w:pPr>
        <w:spacing w:after="0" w:line="206" w:lineRule="exact"/>
        <w:rPr>
          <w:sz w:val="20"/>
          <w:szCs w:val="20"/>
          <w:color w:val="auto"/>
        </w:rPr>
      </w:pPr>
    </w:p>
    <w:p>
      <w:pPr>
        <w:ind w:right="140" w:firstLine="421"/>
        <w:spacing w:after="0" w:line="262" w:lineRule="auto"/>
        <w:rPr>
          <w:sz w:val="20"/>
          <w:szCs w:val="20"/>
          <w:color w:val="auto"/>
        </w:rPr>
      </w:pPr>
      <w:r>
        <w:rPr>
          <w:rFonts w:ascii="Arial" w:cs="Arial" w:eastAsia="Arial" w:hAnsi="Arial"/>
          <w:sz w:val="17"/>
          <w:szCs w:val="17"/>
          <w:color w:val="auto"/>
        </w:rPr>
        <w:t>or to such other address as such party may from time to time specify in writing to the other parties hereto. Any such notice shall be deemed to be delivered, given and received for all purposes as of: (i) the date so delivered, if delivered personally, (ii) upon receipt, if sent by facsimile or other electronic or digital transmission method (including e-mail), or (iii) on the date of receipt or refusal indicated on the return receipt, if sent by registered or certified mail, return receipt requested, postage and charges prepaid and properly addressed.</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9.7 </w:t>
      </w: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shall be governed by and construed in accordance with the laws of the State of New York.</w:t>
      </w:r>
    </w:p>
    <w:p>
      <w:pPr>
        <w:spacing w:after="0" w:line="217" w:lineRule="exact"/>
        <w:rPr>
          <w:sz w:val="20"/>
          <w:szCs w:val="20"/>
          <w:color w:val="auto"/>
        </w:rPr>
      </w:pPr>
    </w:p>
    <w:p>
      <w:pPr>
        <w:ind w:right="80" w:firstLine="421"/>
        <w:spacing w:after="0" w:line="279" w:lineRule="auto"/>
        <w:rPr>
          <w:sz w:val="20"/>
          <w:szCs w:val="20"/>
          <w:color w:val="auto"/>
        </w:rPr>
      </w:pPr>
      <w:r>
        <w:rPr>
          <w:rFonts w:ascii="Arial" w:cs="Arial" w:eastAsia="Arial" w:hAnsi="Arial"/>
          <w:sz w:val="17"/>
          <w:szCs w:val="17"/>
          <w:color w:val="auto"/>
        </w:rPr>
        <w:t xml:space="preserve">9.8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of this Agreement is held invalid or unenforceable by any court of final jurisdiction, it is the intent of the parties that all other provisions of this Agreement be construed to remain fully valid, enforceable and binding on the parties.</w:t>
      </w:r>
    </w:p>
    <w:p>
      <w:pPr>
        <w:spacing w:after="0" w:line="164" w:lineRule="exact"/>
        <w:rPr>
          <w:sz w:val="20"/>
          <w:szCs w:val="20"/>
          <w:color w:val="auto"/>
        </w:rPr>
      </w:pPr>
    </w:p>
    <w:p>
      <w:pPr>
        <w:ind w:right="180" w:firstLine="421"/>
        <w:spacing w:after="0" w:line="279" w:lineRule="auto"/>
        <w:rPr>
          <w:sz w:val="20"/>
          <w:szCs w:val="20"/>
          <w:color w:val="auto"/>
        </w:rPr>
      </w:pPr>
      <w:r>
        <w:rPr>
          <w:rFonts w:ascii="Arial" w:cs="Arial" w:eastAsia="Arial" w:hAnsi="Arial"/>
          <w:sz w:val="17"/>
          <w:szCs w:val="17"/>
          <w:color w:val="auto"/>
        </w:rPr>
        <w:t xml:space="preserve">9.9 </w:t>
      </w:r>
      <w:r>
        <w:rPr>
          <w:rFonts w:ascii="Arial" w:cs="Arial" w:eastAsia="Arial" w:hAnsi="Arial"/>
          <w:sz w:val="17"/>
          <w:szCs w:val="17"/>
          <w:u w:val="single" w:color="auto"/>
          <w:color w:val="auto"/>
        </w:rPr>
        <w:t>Survival of Representations and Warranties</w:t>
      </w:r>
      <w:r>
        <w:rPr>
          <w:rFonts w:ascii="Arial" w:cs="Arial" w:eastAsia="Arial" w:hAnsi="Arial"/>
          <w:sz w:val="17"/>
          <w:szCs w:val="17"/>
          <w:color w:val="auto"/>
        </w:rPr>
        <w:t>. The representations and warranties made by Seller and each of the Buyers contained in or made pursuant to this Agreement shall survive the execution and delivery of this Agreement and the Closing.</w:t>
      </w:r>
    </w:p>
    <w:p>
      <w:pPr>
        <w:spacing w:after="0" w:line="164" w:lineRule="exact"/>
        <w:rPr>
          <w:sz w:val="20"/>
          <w:szCs w:val="20"/>
          <w:color w:val="auto"/>
        </w:rPr>
      </w:pPr>
    </w:p>
    <w:p>
      <w:pPr>
        <w:ind w:right="280" w:firstLine="421"/>
        <w:spacing w:after="0" w:line="266" w:lineRule="auto"/>
        <w:rPr>
          <w:sz w:val="20"/>
          <w:szCs w:val="20"/>
          <w:color w:val="auto"/>
        </w:rPr>
      </w:pPr>
      <w:r>
        <w:rPr>
          <w:rFonts w:ascii="Arial" w:cs="Arial" w:eastAsia="Arial" w:hAnsi="Arial"/>
          <w:sz w:val="17"/>
          <w:szCs w:val="17"/>
          <w:color w:val="auto"/>
        </w:rPr>
        <w:t xml:space="preserve">9.10 </w:t>
      </w:r>
      <w:r>
        <w:rPr>
          <w:rFonts w:ascii="Arial" w:cs="Arial" w:eastAsia="Arial" w:hAnsi="Arial"/>
          <w:sz w:val="17"/>
          <w:szCs w:val="17"/>
          <w:u w:val="single" w:color="auto"/>
          <w:color w:val="auto"/>
        </w:rPr>
        <w:t>Expenses</w:t>
      </w:r>
      <w:r>
        <w:rPr>
          <w:rFonts w:ascii="Arial" w:cs="Arial" w:eastAsia="Arial" w:hAnsi="Arial"/>
          <w:sz w:val="17"/>
          <w:szCs w:val="17"/>
          <w:color w:val="auto"/>
        </w:rPr>
        <w:t>. Each party shall pay the expenses and costs incurred by it incidental to the preparation of this Agreement, the performance and compliance with all agreements contained in this Agreement to be performed or complied with by them and the consummation of the transactions contemplated hereby.</w:t>
      </w:r>
    </w:p>
    <w:p>
      <w:pPr>
        <w:spacing w:after="0" w:line="175" w:lineRule="exact"/>
        <w:rPr>
          <w:sz w:val="20"/>
          <w:szCs w:val="20"/>
          <w:color w:val="auto"/>
        </w:rPr>
      </w:pPr>
    </w:p>
    <w:p>
      <w:pPr>
        <w:ind w:firstLine="421"/>
        <w:spacing w:after="0" w:line="307" w:lineRule="auto"/>
        <w:rPr>
          <w:sz w:val="20"/>
          <w:szCs w:val="20"/>
          <w:color w:val="auto"/>
        </w:rPr>
      </w:pPr>
      <w:r>
        <w:rPr>
          <w:rFonts w:ascii="Arial" w:cs="Arial" w:eastAsia="Arial" w:hAnsi="Arial"/>
          <w:sz w:val="15"/>
          <w:szCs w:val="15"/>
          <w:color w:val="auto"/>
        </w:rPr>
        <w:t xml:space="preserve">9.11 </w:t>
      </w:r>
      <w:r>
        <w:rPr>
          <w:rFonts w:ascii="Arial" w:cs="Arial" w:eastAsia="Arial" w:hAnsi="Arial"/>
          <w:sz w:val="15"/>
          <w:szCs w:val="15"/>
          <w:u w:val="single" w:color="auto"/>
          <w:color w:val="auto"/>
        </w:rPr>
        <w:t>Specific Enforcement</w:t>
      </w:r>
      <w:r>
        <w:rPr>
          <w:rFonts w:ascii="Arial" w:cs="Arial" w:eastAsia="Arial" w:hAnsi="Arial"/>
          <w:sz w:val="15"/>
          <w:szCs w:val="15"/>
          <w:color w:val="auto"/>
        </w:rPr>
        <w:t>. Notwithstanding anything to the contrary set forth herein, it is agreed and understood that monetary damages would not adequately compensate an injured party hereto for the breach of this Agreement by any other party hereto, that this Agreement shall be specifically enforceable, and that any breach or threatened breach of this Agreement shall be the proper subject of a temporary or permanent injunction or restraining order. Further, each party waives any claim or defense that there is an adequate remedy at law for such breach or threatened breach.</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[Signature Page Follows]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500"/>
          </w:cols>
          <w:pgMar w:left="700" w:top="269" w:right="699" w:bottom="1440" w:gutter="0" w:footer="0" w:header="0"/>
        </w:sectPr>
      </w:pPr>
    </w:p>
    <w:bookmarkStart w:id="54" w:name="page55"/>
    <w:bookmarkEnd w:id="54"/>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7294880" cy="37465"/>
                    </a:xfrm>
                    <a:prstGeom prst="rect">
                      <a:avLst/>
                    </a:prstGeom>
                    <a:noFill/>
                  </pic:spPr>
                </pic:pic>
              </a:graphicData>
            </a:graphic>
          </wp:anchor>
        </w:drawing>
        <w:t>IN WITNESS WHEREOF, the parties to this Agreement have duly executed it as of the day and year first above written.</w:t>
      </w:r>
    </w:p>
    <w:p>
      <w:pPr>
        <w:spacing w:after="0" w:line="243"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SELLER:</w:t>
      </w:r>
    </w:p>
    <w:p>
      <w:pPr>
        <w:spacing w:after="0" w:line="217"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For and on behalf of C. P. Pharmaceuticals International</w:t>
      </w:r>
    </w:p>
    <w:p>
      <w:pPr>
        <w:spacing w:after="0" w:line="33"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C.V., by its General Partners</w:t>
      </w:r>
    </w:p>
    <w:p>
      <w:pPr>
        <w:spacing w:after="0" w:line="206"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Pfizer Production LLC</w:t>
      </w:r>
    </w:p>
    <w:p>
      <w:pPr>
        <w:spacing w:after="0" w:line="22"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As general partner for and on behalf of</w:t>
      </w:r>
    </w:p>
    <w:p>
      <w:pPr>
        <w:spacing w:after="0" w:line="11"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C. P. Pharmaceuticals International C.V.</w:t>
      </w:r>
    </w:p>
    <w:p>
      <w:pPr>
        <w:spacing w:after="0" w:line="206" w:lineRule="exact"/>
        <w:rPr>
          <w:sz w:val="20"/>
          <w:szCs w:val="20"/>
          <w:color w:val="auto"/>
        </w:rPr>
      </w:pPr>
    </w:p>
    <w:tbl>
      <w:tblPr>
        <w:tblLayout w:type="fixed"/>
        <w:tblInd w:w="5900" w:type="dxa"/>
        <w:tblCellMar>
          <w:top w:w="0" w:type="dxa"/>
          <w:left w:w="0" w:type="dxa"/>
          <w:bottom w:w="0" w:type="dxa"/>
          <w:right w:w="0" w:type="dxa"/>
        </w:tblCellMar>
      </w:tblPr>
      <w:tr>
        <w:trPr>
          <w:trHeight w:val="219"/>
        </w:trPr>
        <w:tc>
          <w:tcPr>
            <w:tcW w:w="540" w:type="dxa"/>
            <w:vAlign w:val="bottom"/>
          </w:tcPr>
          <w:p>
            <w:pPr>
              <w:spacing w:after="0"/>
              <w:rPr>
                <w:sz w:val="20"/>
                <w:szCs w:val="20"/>
                <w:color w:val="auto"/>
              </w:rPr>
            </w:pPr>
            <w:r>
              <w:rPr>
                <w:rFonts w:ascii="Arial" w:cs="Arial" w:eastAsia="Arial" w:hAnsi="Arial"/>
                <w:sz w:val="17"/>
                <w:szCs w:val="17"/>
                <w:color w:val="auto"/>
              </w:rPr>
              <w:t>By:</w:t>
            </w:r>
          </w:p>
        </w:tc>
        <w:tc>
          <w:tcPr>
            <w:tcW w:w="36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Brian McMahon</w:t>
            </w:r>
          </w:p>
        </w:tc>
      </w:tr>
      <w:tr>
        <w:trPr>
          <w:trHeight w:val="200"/>
        </w:trPr>
        <w:tc>
          <w:tcPr>
            <w:tcW w:w="540" w:type="dxa"/>
            <w:vAlign w:val="bottom"/>
          </w:tcPr>
          <w:p>
            <w:pPr>
              <w:spacing w:after="0"/>
              <w:rPr>
                <w:sz w:val="20"/>
                <w:szCs w:val="20"/>
                <w:color w:val="auto"/>
              </w:rPr>
            </w:pPr>
            <w:r>
              <w:rPr>
                <w:rFonts w:ascii="Arial" w:cs="Arial" w:eastAsia="Arial" w:hAnsi="Arial"/>
                <w:sz w:val="17"/>
                <w:szCs w:val="17"/>
                <w:color w:val="auto"/>
              </w:rPr>
              <w:t>Name:</w:t>
            </w:r>
          </w:p>
        </w:tc>
        <w:tc>
          <w:tcPr>
            <w:tcW w:w="3660" w:type="dxa"/>
            <w:vAlign w:val="bottom"/>
          </w:tcPr>
          <w:p>
            <w:pPr>
              <w:spacing w:after="0"/>
              <w:rPr>
                <w:sz w:val="20"/>
                <w:szCs w:val="20"/>
                <w:color w:val="auto"/>
              </w:rPr>
            </w:pPr>
            <w:r>
              <w:rPr>
                <w:rFonts w:ascii="Arial" w:cs="Arial" w:eastAsia="Arial" w:hAnsi="Arial"/>
                <w:sz w:val="17"/>
                <w:szCs w:val="17"/>
                <w:color w:val="auto"/>
              </w:rPr>
              <w:t>Brian McMahon</w:t>
            </w:r>
          </w:p>
        </w:tc>
      </w:tr>
      <w:tr>
        <w:trPr>
          <w:trHeight w:val="217"/>
        </w:trPr>
        <w:tc>
          <w:tcPr>
            <w:tcW w:w="540" w:type="dxa"/>
            <w:vAlign w:val="bottom"/>
          </w:tcPr>
          <w:p>
            <w:pPr>
              <w:spacing w:after="0"/>
              <w:rPr>
                <w:sz w:val="20"/>
                <w:szCs w:val="20"/>
                <w:color w:val="auto"/>
              </w:rPr>
            </w:pPr>
            <w:r>
              <w:rPr>
                <w:rFonts w:ascii="Arial" w:cs="Arial" w:eastAsia="Arial" w:hAnsi="Arial"/>
                <w:sz w:val="17"/>
                <w:szCs w:val="17"/>
                <w:color w:val="auto"/>
              </w:rPr>
              <w:t>Title:</w:t>
            </w:r>
          </w:p>
        </w:tc>
        <w:tc>
          <w:tcPr>
            <w:tcW w:w="3660" w:type="dxa"/>
            <w:vAlign w:val="bottom"/>
          </w:tcPr>
          <w:p>
            <w:pPr>
              <w:spacing w:after="0"/>
              <w:rPr>
                <w:sz w:val="20"/>
                <w:szCs w:val="20"/>
                <w:color w:val="auto"/>
              </w:rPr>
            </w:pPr>
            <w:r>
              <w:rPr>
                <w:rFonts w:ascii="Arial" w:cs="Arial" w:eastAsia="Arial" w:hAnsi="Arial"/>
                <w:sz w:val="17"/>
                <w:szCs w:val="17"/>
                <w:color w:val="auto"/>
              </w:rPr>
              <w:t>Senior Vice President</w:t>
            </w:r>
          </w:p>
        </w:tc>
      </w:tr>
    </w:tbl>
    <w:p>
      <w:pPr>
        <w:spacing w:after="0" w:line="195"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Pfizer Manufacturing LLC</w:t>
      </w:r>
    </w:p>
    <w:p>
      <w:pPr>
        <w:spacing w:after="0" w:line="22"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As general partner for and on behalf of</w:t>
      </w:r>
    </w:p>
    <w:p>
      <w:pPr>
        <w:spacing w:after="0" w:line="11"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C. P. Pharmaceuticals International C.V.</w:t>
      </w:r>
    </w:p>
    <w:p>
      <w:pPr>
        <w:spacing w:after="0" w:line="206" w:lineRule="exact"/>
        <w:rPr>
          <w:sz w:val="20"/>
          <w:szCs w:val="20"/>
          <w:color w:val="auto"/>
        </w:rPr>
      </w:pPr>
    </w:p>
    <w:tbl>
      <w:tblPr>
        <w:tblLayout w:type="fixed"/>
        <w:tblInd w:w="5900" w:type="dxa"/>
        <w:tblCellMar>
          <w:top w:w="0" w:type="dxa"/>
          <w:left w:w="0" w:type="dxa"/>
          <w:bottom w:w="0" w:type="dxa"/>
          <w:right w:w="0" w:type="dxa"/>
        </w:tblCellMar>
      </w:tblPr>
      <w:tr>
        <w:trPr>
          <w:trHeight w:val="219"/>
        </w:trPr>
        <w:tc>
          <w:tcPr>
            <w:tcW w:w="540" w:type="dxa"/>
            <w:vAlign w:val="bottom"/>
          </w:tcPr>
          <w:p>
            <w:pPr>
              <w:spacing w:after="0"/>
              <w:rPr>
                <w:sz w:val="20"/>
                <w:szCs w:val="20"/>
                <w:color w:val="auto"/>
              </w:rPr>
            </w:pPr>
            <w:r>
              <w:rPr>
                <w:rFonts w:ascii="Arial" w:cs="Arial" w:eastAsia="Arial" w:hAnsi="Arial"/>
                <w:sz w:val="17"/>
                <w:szCs w:val="17"/>
                <w:color w:val="auto"/>
              </w:rPr>
              <w:t>By:</w:t>
            </w:r>
          </w:p>
        </w:tc>
        <w:tc>
          <w:tcPr>
            <w:tcW w:w="36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Brian Byala</w:t>
            </w:r>
          </w:p>
        </w:tc>
      </w:tr>
      <w:tr>
        <w:trPr>
          <w:trHeight w:val="200"/>
        </w:trPr>
        <w:tc>
          <w:tcPr>
            <w:tcW w:w="540" w:type="dxa"/>
            <w:vAlign w:val="bottom"/>
          </w:tcPr>
          <w:p>
            <w:pPr>
              <w:spacing w:after="0"/>
              <w:rPr>
                <w:sz w:val="20"/>
                <w:szCs w:val="20"/>
                <w:color w:val="auto"/>
              </w:rPr>
            </w:pPr>
            <w:r>
              <w:rPr>
                <w:rFonts w:ascii="Arial" w:cs="Arial" w:eastAsia="Arial" w:hAnsi="Arial"/>
                <w:sz w:val="17"/>
                <w:szCs w:val="17"/>
                <w:color w:val="auto"/>
              </w:rPr>
              <w:t>Name:</w:t>
            </w:r>
          </w:p>
        </w:tc>
        <w:tc>
          <w:tcPr>
            <w:tcW w:w="3660" w:type="dxa"/>
            <w:vAlign w:val="bottom"/>
          </w:tcPr>
          <w:p>
            <w:pPr>
              <w:spacing w:after="0"/>
              <w:rPr>
                <w:sz w:val="20"/>
                <w:szCs w:val="20"/>
                <w:color w:val="auto"/>
              </w:rPr>
            </w:pPr>
            <w:r>
              <w:rPr>
                <w:rFonts w:ascii="Arial" w:cs="Arial" w:eastAsia="Arial" w:hAnsi="Arial"/>
                <w:sz w:val="17"/>
                <w:szCs w:val="17"/>
                <w:color w:val="auto"/>
              </w:rPr>
              <w:t>Brian Byala</w:t>
            </w:r>
          </w:p>
        </w:tc>
      </w:tr>
      <w:tr>
        <w:trPr>
          <w:trHeight w:val="217"/>
        </w:trPr>
        <w:tc>
          <w:tcPr>
            <w:tcW w:w="540" w:type="dxa"/>
            <w:vAlign w:val="bottom"/>
          </w:tcPr>
          <w:p>
            <w:pPr>
              <w:spacing w:after="0"/>
              <w:rPr>
                <w:sz w:val="20"/>
                <w:szCs w:val="20"/>
                <w:color w:val="auto"/>
              </w:rPr>
            </w:pPr>
            <w:r>
              <w:rPr>
                <w:rFonts w:ascii="Arial" w:cs="Arial" w:eastAsia="Arial" w:hAnsi="Arial"/>
                <w:sz w:val="17"/>
                <w:szCs w:val="17"/>
                <w:color w:val="auto"/>
              </w:rPr>
              <w:t>Title:</w:t>
            </w:r>
          </w:p>
        </w:tc>
        <w:tc>
          <w:tcPr>
            <w:tcW w:w="3660" w:type="dxa"/>
            <w:vAlign w:val="bottom"/>
          </w:tcPr>
          <w:p>
            <w:pPr>
              <w:spacing w:after="0"/>
              <w:rPr>
                <w:sz w:val="20"/>
                <w:szCs w:val="20"/>
                <w:color w:val="auto"/>
              </w:rPr>
            </w:pPr>
            <w:r>
              <w:rPr>
                <w:rFonts w:ascii="Arial" w:cs="Arial" w:eastAsia="Arial" w:hAnsi="Arial"/>
                <w:sz w:val="17"/>
                <w:szCs w:val="17"/>
                <w:color w:val="auto"/>
              </w:rPr>
              <w:t>Senior Vice President</w:t>
            </w:r>
          </w:p>
        </w:tc>
      </w:tr>
    </w:tbl>
    <w:p>
      <w:pPr>
        <w:sectPr>
          <w:pgSz w:w="11900" w:h="16838" w:orient="portrait"/>
          <w:cols w:equalWidth="0" w:num="1">
            <w:col w:w="10100"/>
          </w:cols>
          <w:pgMar w:left="1120" w:top="269" w:right="679" w:bottom="1440" w:gutter="0" w:footer="0" w:header="0"/>
        </w:sectPr>
      </w:pPr>
    </w:p>
    <w:bookmarkStart w:id="55" w:name="page56"/>
    <w:bookmarkEnd w:id="55"/>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7294880" cy="37465"/>
                    </a:xfrm>
                    <a:prstGeom prst="rect">
                      <a:avLst/>
                    </a:prstGeom>
                    <a:noFill/>
                  </pic:spPr>
                </pic:pic>
              </a:graphicData>
            </a:graphic>
          </wp:anchor>
        </w:drawing>
        <w:t>IN WITNESS WHEREOF, the parties to this Agreement have duly executed it as of the day and year first above written.</w:t>
      </w:r>
    </w:p>
    <w:p>
      <w:pPr>
        <w:spacing w:after="0" w:line="243"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BUYERS:</w:t>
      </w:r>
    </w:p>
    <w:p>
      <w:pPr>
        <w:spacing w:after="0" w:line="217"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EACH ENTITY LISTED ON EXHIBIT A HERETO</w:t>
      </w:r>
    </w:p>
    <w:p>
      <w:pPr>
        <w:spacing w:after="0" w:line="217"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By: Putnam Investment Management, LLC, as Investment</w:t>
      </w:r>
    </w:p>
    <w:p>
      <w:pPr>
        <w:spacing w:after="0" w:line="33"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Manager</w:t>
      </w:r>
    </w:p>
    <w:p>
      <w:pPr>
        <w:spacing w:after="0" w:line="206" w:lineRule="exact"/>
        <w:rPr>
          <w:sz w:val="20"/>
          <w:szCs w:val="20"/>
          <w:color w:val="auto"/>
        </w:rPr>
      </w:pPr>
    </w:p>
    <w:tbl>
      <w:tblPr>
        <w:tblLayout w:type="fixed"/>
        <w:tblInd w:w="5900" w:type="dxa"/>
        <w:tblCellMar>
          <w:top w:w="0" w:type="dxa"/>
          <w:left w:w="0" w:type="dxa"/>
          <w:bottom w:w="0" w:type="dxa"/>
          <w:right w:w="0" w:type="dxa"/>
        </w:tblCellMar>
      </w:tblPr>
      <w:tr>
        <w:trPr>
          <w:trHeight w:val="219"/>
        </w:trPr>
        <w:tc>
          <w:tcPr>
            <w:tcW w:w="540" w:type="dxa"/>
            <w:vAlign w:val="bottom"/>
          </w:tcPr>
          <w:p>
            <w:pPr>
              <w:spacing w:after="0"/>
              <w:rPr>
                <w:sz w:val="20"/>
                <w:szCs w:val="20"/>
                <w:color w:val="auto"/>
              </w:rPr>
            </w:pPr>
            <w:r>
              <w:rPr>
                <w:rFonts w:ascii="Arial" w:cs="Arial" w:eastAsia="Arial" w:hAnsi="Arial"/>
                <w:sz w:val="17"/>
                <w:szCs w:val="17"/>
                <w:color w:val="auto"/>
              </w:rPr>
              <w:t>By:</w:t>
            </w:r>
          </w:p>
        </w:tc>
        <w:tc>
          <w:tcPr>
            <w:tcW w:w="36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Stephen M. Gianelli</w:t>
            </w:r>
          </w:p>
        </w:tc>
      </w:tr>
      <w:tr>
        <w:trPr>
          <w:trHeight w:val="200"/>
        </w:trPr>
        <w:tc>
          <w:tcPr>
            <w:tcW w:w="540" w:type="dxa"/>
            <w:vAlign w:val="bottom"/>
          </w:tcPr>
          <w:p>
            <w:pPr>
              <w:spacing w:after="0"/>
              <w:rPr>
                <w:sz w:val="20"/>
                <w:szCs w:val="20"/>
                <w:color w:val="auto"/>
              </w:rPr>
            </w:pPr>
            <w:r>
              <w:rPr>
                <w:rFonts w:ascii="Arial" w:cs="Arial" w:eastAsia="Arial" w:hAnsi="Arial"/>
                <w:sz w:val="17"/>
                <w:szCs w:val="17"/>
                <w:color w:val="auto"/>
              </w:rPr>
              <w:t>Name:</w:t>
            </w:r>
          </w:p>
        </w:tc>
        <w:tc>
          <w:tcPr>
            <w:tcW w:w="3660" w:type="dxa"/>
            <w:vAlign w:val="bottom"/>
          </w:tcPr>
          <w:p>
            <w:pPr>
              <w:spacing w:after="0"/>
              <w:rPr>
                <w:sz w:val="20"/>
                <w:szCs w:val="20"/>
                <w:color w:val="auto"/>
              </w:rPr>
            </w:pPr>
            <w:r>
              <w:rPr>
                <w:rFonts w:ascii="Arial" w:cs="Arial" w:eastAsia="Arial" w:hAnsi="Arial"/>
                <w:sz w:val="17"/>
                <w:szCs w:val="17"/>
                <w:color w:val="auto"/>
              </w:rPr>
              <w:t>Stephen M. Gianelli</w:t>
            </w:r>
          </w:p>
        </w:tc>
      </w:tr>
      <w:tr>
        <w:trPr>
          <w:trHeight w:val="217"/>
        </w:trPr>
        <w:tc>
          <w:tcPr>
            <w:tcW w:w="540" w:type="dxa"/>
            <w:vAlign w:val="bottom"/>
          </w:tcPr>
          <w:p>
            <w:pPr>
              <w:spacing w:after="0"/>
              <w:rPr>
                <w:sz w:val="20"/>
                <w:szCs w:val="20"/>
                <w:color w:val="auto"/>
              </w:rPr>
            </w:pPr>
            <w:r>
              <w:rPr>
                <w:rFonts w:ascii="Arial" w:cs="Arial" w:eastAsia="Arial" w:hAnsi="Arial"/>
                <w:sz w:val="17"/>
                <w:szCs w:val="17"/>
                <w:color w:val="auto"/>
              </w:rPr>
              <w:t>TItle:</w:t>
            </w:r>
          </w:p>
        </w:tc>
        <w:tc>
          <w:tcPr>
            <w:tcW w:w="3660" w:type="dxa"/>
            <w:vAlign w:val="bottom"/>
          </w:tcPr>
          <w:p>
            <w:pPr>
              <w:spacing w:after="0"/>
              <w:rPr>
                <w:sz w:val="20"/>
                <w:szCs w:val="20"/>
                <w:color w:val="auto"/>
              </w:rPr>
            </w:pPr>
            <w:r>
              <w:rPr>
                <w:rFonts w:ascii="Arial" w:cs="Arial" w:eastAsia="Arial" w:hAnsi="Arial"/>
                <w:sz w:val="17"/>
                <w:szCs w:val="17"/>
                <w:color w:val="auto"/>
              </w:rPr>
              <w:t>Associate General Counsel</w:t>
            </w:r>
          </w:p>
        </w:tc>
      </w:tr>
    </w:tbl>
    <w:p>
      <w:pPr>
        <w:spacing w:after="0" w:line="195"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EACH ENTITY LISTED ON EXHIBIT B HERETO</w:t>
      </w:r>
    </w:p>
    <w:p>
      <w:pPr>
        <w:spacing w:after="0" w:line="217"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By: The Putnam Advisory Company, LLC, as Investment</w:t>
      </w:r>
    </w:p>
    <w:p>
      <w:pPr>
        <w:spacing w:after="0" w:line="33"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Manager</w:t>
      </w:r>
    </w:p>
    <w:p>
      <w:pPr>
        <w:spacing w:after="0" w:line="206" w:lineRule="exact"/>
        <w:rPr>
          <w:sz w:val="20"/>
          <w:szCs w:val="20"/>
          <w:color w:val="auto"/>
        </w:rPr>
      </w:pPr>
    </w:p>
    <w:tbl>
      <w:tblPr>
        <w:tblLayout w:type="fixed"/>
        <w:tblInd w:w="5900" w:type="dxa"/>
        <w:tblCellMar>
          <w:top w:w="0" w:type="dxa"/>
          <w:left w:w="0" w:type="dxa"/>
          <w:bottom w:w="0" w:type="dxa"/>
          <w:right w:w="0" w:type="dxa"/>
        </w:tblCellMar>
      </w:tblPr>
      <w:tr>
        <w:trPr>
          <w:trHeight w:val="219"/>
        </w:trPr>
        <w:tc>
          <w:tcPr>
            <w:tcW w:w="540" w:type="dxa"/>
            <w:vAlign w:val="bottom"/>
          </w:tcPr>
          <w:p>
            <w:pPr>
              <w:spacing w:after="0"/>
              <w:rPr>
                <w:sz w:val="20"/>
                <w:szCs w:val="20"/>
                <w:color w:val="auto"/>
              </w:rPr>
            </w:pPr>
            <w:r>
              <w:rPr>
                <w:rFonts w:ascii="Arial" w:cs="Arial" w:eastAsia="Arial" w:hAnsi="Arial"/>
                <w:sz w:val="17"/>
                <w:szCs w:val="17"/>
                <w:color w:val="auto"/>
              </w:rPr>
              <w:t>By:</w:t>
            </w:r>
          </w:p>
        </w:tc>
        <w:tc>
          <w:tcPr>
            <w:tcW w:w="36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Stephen M. Gianelli</w:t>
            </w:r>
          </w:p>
        </w:tc>
      </w:tr>
      <w:tr>
        <w:trPr>
          <w:trHeight w:val="200"/>
        </w:trPr>
        <w:tc>
          <w:tcPr>
            <w:tcW w:w="540" w:type="dxa"/>
            <w:vAlign w:val="bottom"/>
          </w:tcPr>
          <w:p>
            <w:pPr>
              <w:spacing w:after="0"/>
              <w:rPr>
                <w:sz w:val="20"/>
                <w:szCs w:val="20"/>
                <w:color w:val="auto"/>
              </w:rPr>
            </w:pPr>
            <w:r>
              <w:rPr>
                <w:rFonts w:ascii="Arial" w:cs="Arial" w:eastAsia="Arial" w:hAnsi="Arial"/>
                <w:sz w:val="17"/>
                <w:szCs w:val="17"/>
                <w:color w:val="auto"/>
              </w:rPr>
              <w:t>Name:</w:t>
            </w:r>
          </w:p>
        </w:tc>
        <w:tc>
          <w:tcPr>
            <w:tcW w:w="3660" w:type="dxa"/>
            <w:vAlign w:val="bottom"/>
          </w:tcPr>
          <w:p>
            <w:pPr>
              <w:spacing w:after="0"/>
              <w:rPr>
                <w:sz w:val="20"/>
                <w:szCs w:val="20"/>
                <w:color w:val="auto"/>
              </w:rPr>
            </w:pPr>
            <w:r>
              <w:rPr>
                <w:rFonts w:ascii="Arial" w:cs="Arial" w:eastAsia="Arial" w:hAnsi="Arial"/>
                <w:sz w:val="17"/>
                <w:szCs w:val="17"/>
                <w:color w:val="auto"/>
              </w:rPr>
              <w:t>Stephen M. Gianelli</w:t>
            </w:r>
          </w:p>
        </w:tc>
      </w:tr>
      <w:tr>
        <w:trPr>
          <w:trHeight w:val="217"/>
        </w:trPr>
        <w:tc>
          <w:tcPr>
            <w:tcW w:w="540" w:type="dxa"/>
            <w:vAlign w:val="bottom"/>
          </w:tcPr>
          <w:p>
            <w:pPr>
              <w:spacing w:after="0"/>
              <w:rPr>
                <w:sz w:val="20"/>
                <w:szCs w:val="20"/>
                <w:color w:val="auto"/>
              </w:rPr>
            </w:pPr>
            <w:r>
              <w:rPr>
                <w:rFonts w:ascii="Arial" w:cs="Arial" w:eastAsia="Arial" w:hAnsi="Arial"/>
                <w:sz w:val="17"/>
                <w:szCs w:val="17"/>
                <w:color w:val="auto"/>
              </w:rPr>
              <w:t>TItle:</w:t>
            </w:r>
          </w:p>
        </w:tc>
        <w:tc>
          <w:tcPr>
            <w:tcW w:w="3660" w:type="dxa"/>
            <w:vAlign w:val="bottom"/>
          </w:tcPr>
          <w:p>
            <w:pPr>
              <w:spacing w:after="0"/>
              <w:rPr>
                <w:sz w:val="20"/>
                <w:szCs w:val="20"/>
                <w:color w:val="auto"/>
              </w:rPr>
            </w:pPr>
            <w:r>
              <w:rPr>
                <w:rFonts w:ascii="Arial" w:cs="Arial" w:eastAsia="Arial" w:hAnsi="Arial"/>
                <w:sz w:val="17"/>
                <w:szCs w:val="17"/>
                <w:color w:val="auto"/>
              </w:rPr>
              <w:t>Associate General Counsel</w:t>
            </w:r>
          </w:p>
        </w:tc>
      </w:tr>
    </w:tbl>
    <w:p>
      <w:pPr>
        <w:sectPr>
          <w:pgSz w:w="11900" w:h="16838" w:orient="portrait"/>
          <w:cols w:equalWidth="0" w:num="1">
            <w:col w:w="10100"/>
          </w:cols>
          <w:pgMar w:left="1120" w:top="269" w:right="679" w:bottom="1440" w:gutter="0" w:footer="0" w:header="0"/>
        </w:sectPr>
      </w:pPr>
    </w:p>
    <w:bookmarkStart w:id="56" w:name="page57"/>
    <w:bookmarkEnd w:id="56"/>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7294880" cy="37465"/>
                    </a:xfrm>
                    <a:prstGeom prst="rect">
                      <a:avLst/>
                    </a:prstGeom>
                    <a:noFill/>
                  </pic:spPr>
                </pic:pic>
              </a:graphicData>
            </a:graphic>
          </wp:anchor>
        </w:drawing>
        <w:t>IN WITNESS WHEREOF, the parties to this Agreement have duly executed it as of the day and year first above written.</w:t>
      </w:r>
    </w:p>
    <w:p>
      <w:pPr>
        <w:spacing w:after="0" w:line="243"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COMPANY:</w:t>
      </w:r>
    </w:p>
    <w:p>
      <w:pPr>
        <w:spacing w:after="0" w:line="217"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ICU MEDICAL, INC.</w:t>
      </w:r>
    </w:p>
    <w:p>
      <w:pPr>
        <w:spacing w:after="0" w:line="217" w:lineRule="exact"/>
        <w:rPr>
          <w:sz w:val="20"/>
          <w:szCs w:val="20"/>
          <w:color w:val="auto"/>
        </w:rPr>
      </w:pPr>
    </w:p>
    <w:tbl>
      <w:tblPr>
        <w:tblLayout w:type="fixed"/>
        <w:tblInd w:w="5900" w:type="dxa"/>
        <w:tblCellMar>
          <w:top w:w="0" w:type="dxa"/>
          <w:left w:w="0" w:type="dxa"/>
          <w:bottom w:w="0" w:type="dxa"/>
          <w:right w:w="0" w:type="dxa"/>
        </w:tblCellMar>
      </w:tblPr>
      <w:tr>
        <w:trPr>
          <w:trHeight w:val="219"/>
        </w:trPr>
        <w:tc>
          <w:tcPr>
            <w:tcW w:w="540" w:type="dxa"/>
            <w:vAlign w:val="bottom"/>
          </w:tcPr>
          <w:p>
            <w:pPr>
              <w:spacing w:after="0"/>
              <w:rPr>
                <w:sz w:val="20"/>
                <w:szCs w:val="20"/>
                <w:color w:val="auto"/>
              </w:rPr>
            </w:pPr>
            <w:r>
              <w:rPr>
                <w:rFonts w:ascii="Arial" w:cs="Arial" w:eastAsia="Arial" w:hAnsi="Arial"/>
                <w:sz w:val="17"/>
                <w:szCs w:val="17"/>
                <w:color w:val="auto"/>
              </w:rPr>
              <w:t>By:</w:t>
            </w:r>
          </w:p>
        </w:tc>
        <w:tc>
          <w:tcPr>
            <w:tcW w:w="36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Scott Lamb</w:t>
            </w:r>
          </w:p>
        </w:tc>
      </w:tr>
      <w:tr>
        <w:trPr>
          <w:trHeight w:val="200"/>
        </w:trPr>
        <w:tc>
          <w:tcPr>
            <w:tcW w:w="540" w:type="dxa"/>
            <w:vAlign w:val="bottom"/>
          </w:tcPr>
          <w:p>
            <w:pPr>
              <w:spacing w:after="0"/>
              <w:rPr>
                <w:sz w:val="20"/>
                <w:szCs w:val="20"/>
                <w:color w:val="auto"/>
              </w:rPr>
            </w:pPr>
            <w:r>
              <w:rPr>
                <w:rFonts w:ascii="Arial" w:cs="Arial" w:eastAsia="Arial" w:hAnsi="Arial"/>
                <w:sz w:val="17"/>
                <w:szCs w:val="17"/>
                <w:color w:val="auto"/>
              </w:rPr>
              <w:t>Name:</w:t>
            </w:r>
          </w:p>
        </w:tc>
        <w:tc>
          <w:tcPr>
            <w:tcW w:w="3660" w:type="dxa"/>
            <w:vAlign w:val="bottom"/>
          </w:tcPr>
          <w:p>
            <w:pPr>
              <w:spacing w:after="0"/>
              <w:rPr>
                <w:sz w:val="20"/>
                <w:szCs w:val="20"/>
                <w:color w:val="auto"/>
              </w:rPr>
            </w:pPr>
            <w:r>
              <w:rPr>
                <w:rFonts w:ascii="Arial" w:cs="Arial" w:eastAsia="Arial" w:hAnsi="Arial"/>
                <w:sz w:val="17"/>
                <w:szCs w:val="17"/>
                <w:color w:val="auto"/>
              </w:rPr>
              <w:t>Scott Lamb</w:t>
            </w:r>
          </w:p>
        </w:tc>
      </w:tr>
      <w:tr>
        <w:trPr>
          <w:trHeight w:val="217"/>
        </w:trPr>
        <w:tc>
          <w:tcPr>
            <w:tcW w:w="540" w:type="dxa"/>
            <w:vAlign w:val="bottom"/>
          </w:tcPr>
          <w:p>
            <w:pPr>
              <w:spacing w:after="0"/>
              <w:rPr>
                <w:sz w:val="20"/>
                <w:szCs w:val="20"/>
                <w:color w:val="auto"/>
              </w:rPr>
            </w:pPr>
            <w:r>
              <w:rPr>
                <w:rFonts w:ascii="Arial" w:cs="Arial" w:eastAsia="Arial" w:hAnsi="Arial"/>
                <w:sz w:val="17"/>
                <w:szCs w:val="17"/>
                <w:color w:val="auto"/>
              </w:rPr>
              <w:t>Title:</w:t>
            </w:r>
          </w:p>
        </w:tc>
        <w:tc>
          <w:tcPr>
            <w:tcW w:w="3660" w:type="dxa"/>
            <w:vAlign w:val="bottom"/>
          </w:tcPr>
          <w:p>
            <w:pPr>
              <w:spacing w:after="0"/>
              <w:rPr>
                <w:sz w:val="20"/>
                <w:szCs w:val="20"/>
                <w:color w:val="auto"/>
              </w:rPr>
            </w:pPr>
            <w:r>
              <w:rPr>
                <w:rFonts w:ascii="Arial" w:cs="Arial" w:eastAsia="Arial" w:hAnsi="Arial"/>
                <w:sz w:val="17"/>
                <w:szCs w:val="17"/>
                <w:color w:val="auto"/>
              </w:rPr>
              <w:t>CFO</w:t>
            </w:r>
          </w:p>
        </w:tc>
      </w:tr>
    </w:tbl>
    <w:p>
      <w:pPr>
        <w:sectPr>
          <w:pgSz w:w="11900" w:h="16838" w:orient="portrait"/>
          <w:cols w:equalWidth="0" w:num="1">
            <w:col w:w="10100"/>
          </w:cols>
          <w:pgMar w:left="1120" w:top="269" w:right="679" w:bottom="1440" w:gutter="0" w:footer="0" w:header="0"/>
        </w:sectPr>
      </w:pPr>
    </w:p>
    <w:bookmarkStart w:id="57" w:name="page58"/>
    <w:bookmarkEnd w:id="57"/>
    <w:p>
      <w:pPr>
        <w:jc w:val="center"/>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7294880" cy="37465"/>
                    </a:xfrm>
                    <a:prstGeom prst="rect">
                      <a:avLst/>
                    </a:prstGeom>
                    <a:noFill/>
                  </pic:spPr>
                </pic:pic>
              </a:graphicData>
            </a:graphic>
          </wp:anchor>
        </w:drawing>
        <w:t>Exhibit A</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Buyers and Shares Purchased</w:t>
      </w:r>
    </w:p>
    <w:p>
      <w:pPr>
        <w:spacing w:after="0" w:line="220" w:lineRule="exact"/>
        <w:rPr>
          <w:sz w:val="20"/>
          <w:szCs w:val="20"/>
          <w:color w:val="auto"/>
        </w:rPr>
      </w:pPr>
    </w:p>
    <w:tbl>
      <w:tblPr>
        <w:tblLayout w:type="fixed"/>
        <w:tblInd w:w="126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7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9"/>
              </w:rPr>
              <w:t>Total Number of</w:t>
            </w:r>
          </w:p>
        </w:tc>
        <w:tc>
          <w:tcPr>
            <w:tcW w:w="110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2"/>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5"/>
              </w:rPr>
              <w:t>Buyer</w:t>
            </w:r>
          </w:p>
        </w:tc>
        <w:tc>
          <w:tcPr>
            <w:tcW w:w="4800" w:type="dxa"/>
            <w:vAlign w:val="bottom"/>
            <w:vMerge w:val="restart"/>
          </w:tcPr>
          <w:p>
            <w:pPr>
              <w:spacing w:after="0"/>
              <w:rPr>
                <w:sz w:val="12"/>
                <w:szCs w:val="12"/>
                <w:color w:val="auto"/>
              </w:rPr>
            </w:pPr>
          </w:p>
        </w:tc>
        <w:tc>
          <w:tcPr>
            <w:tcW w:w="1740" w:type="dxa"/>
            <w:vAlign w:val="bottom"/>
            <w:gridSpan w:val="2"/>
          </w:tcPr>
          <w:p>
            <w:pPr>
              <w:jc w:val="center"/>
              <w:ind w:right="620"/>
              <w:spacing w:after="0" w:line="142" w:lineRule="exact"/>
              <w:rPr>
                <w:sz w:val="20"/>
                <w:szCs w:val="20"/>
                <w:color w:val="auto"/>
              </w:rPr>
            </w:pPr>
            <w:r>
              <w:rPr>
                <w:rFonts w:ascii="Arial" w:cs="Arial" w:eastAsia="Arial" w:hAnsi="Arial"/>
                <w:sz w:val="14"/>
                <w:szCs w:val="14"/>
                <w:b w:val="1"/>
                <w:bCs w:val="1"/>
                <w:color w:val="auto"/>
                <w:w w:val="87"/>
              </w:rPr>
              <w:t>Shares of Common</w:t>
            </w: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60" w:type="dxa"/>
            <w:vAlign w:val="bottom"/>
            <w:tcBorders>
              <w:bottom w:val="single" w:sz="8" w:color="auto"/>
            </w:tcBorders>
            <w:vMerge w:val="continue"/>
          </w:tcPr>
          <w:p>
            <w:pPr>
              <w:spacing w:after="0"/>
              <w:rPr>
                <w:sz w:val="14"/>
                <w:szCs w:val="14"/>
                <w:color w:val="auto"/>
              </w:rPr>
            </w:pPr>
          </w:p>
        </w:tc>
        <w:tc>
          <w:tcPr>
            <w:tcW w:w="4800" w:type="dxa"/>
            <w:vAlign w:val="bottom"/>
            <w:vMerge w:val="continue"/>
          </w:tcPr>
          <w:p>
            <w:pPr>
              <w:spacing w:after="0"/>
              <w:rPr>
                <w:sz w:val="14"/>
                <w:szCs w:val="14"/>
                <w:color w:val="auto"/>
              </w:rPr>
            </w:pPr>
          </w:p>
        </w:tc>
        <w:tc>
          <w:tcPr>
            <w:tcW w:w="1740" w:type="dxa"/>
            <w:vAlign w:val="bottom"/>
            <w:gridSpan w:val="2"/>
          </w:tcPr>
          <w:p>
            <w:pPr>
              <w:jc w:val="center"/>
              <w:ind w:right="640"/>
              <w:spacing w:after="0" w:line="151" w:lineRule="exact"/>
              <w:rPr>
                <w:sz w:val="20"/>
                <w:szCs w:val="20"/>
                <w:color w:val="auto"/>
              </w:rPr>
            </w:pPr>
            <w:r>
              <w:rPr>
                <w:rFonts w:ascii="Arial" w:cs="Arial" w:eastAsia="Arial" w:hAnsi="Arial"/>
                <w:sz w:val="14"/>
                <w:szCs w:val="14"/>
                <w:b w:val="1"/>
                <w:bCs w:val="1"/>
                <w:color w:val="auto"/>
                <w:w w:val="86"/>
              </w:rPr>
              <w:t>Stock Purchased</w:t>
            </w:r>
          </w:p>
        </w:tc>
        <w:tc>
          <w:tcPr>
            <w:tcW w:w="1100" w:type="dxa"/>
            <w:vAlign w:val="bottom"/>
            <w:gridSpan w:val="2"/>
          </w:tcPr>
          <w:p>
            <w:pPr>
              <w:jc w:val="center"/>
              <w:ind w:right="60"/>
              <w:spacing w:after="0" w:line="151" w:lineRule="exact"/>
              <w:rPr>
                <w:sz w:val="20"/>
                <w:szCs w:val="20"/>
                <w:color w:val="auto"/>
              </w:rPr>
            </w:pPr>
            <w:r>
              <w:rPr>
                <w:rFonts w:ascii="Arial" w:cs="Arial" w:eastAsia="Arial" w:hAnsi="Arial"/>
                <w:sz w:val="14"/>
                <w:szCs w:val="14"/>
                <w:b w:val="1"/>
                <w:bCs w:val="1"/>
                <w:color w:val="auto"/>
                <w:w w:val="86"/>
              </w:rPr>
              <w:t>Purchase Price</w:t>
            </w:r>
          </w:p>
        </w:tc>
        <w:tc>
          <w:tcPr>
            <w:tcW w:w="0" w:type="dxa"/>
            <w:vAlign w:val="bottom"/>
          </w:tcPr>
          <w:p>
            <w:pPr>
              <w:spacing w:after="0"/>
              <w:rPr>
                <w:sz w:val="1"/>
                <w:szCs w:val="1"/>
                <w:color w:val="auto"/>
              </w:rPr>
            </w:pPr>
          </w:p>
        </w:tc>
      </w:tr>
      <w:tr>
        <w:trPr>
          <w:trHeight w:val="192"/>
        </w:trPr>
        <w:tc>
          <w:tcPr>
            <w:tcW w:w="5160" w:type="dxa"/>
            <w:vAlign w:val="bottom"/>
            <w:tcBorders>
              <w:top w:val="single" w:sz="8" w:color="CCEEFF"/>
            </w:tcBorders>
            <w:gridSpan w:val="2"/>
            <w:shd w:val="clear" w:color="auto" w:fill="CCEEFF"/>
          </w:tcPr>
          <w:p>
            <w:pPr>
              <w:spacing w:after="0" w:line="192" w:lineRule="exact"/>
              <w:rPr>
                <w:sz w:val="20"/>
                <w:szCs w:val="20"/>
                <w:color w:val="auto"/>
              </w:rPr>
            </w:pPr>
            <w:r>
              <w:rPr>
                <w:rFonts w:ascii="Arial" w:cs="Arial" w:eastAsia="Arial" w:hAnsi="Arial"/>
                <w:sz w:val="17"/>
                <w:szCs w:val="17"/>
                <w:color w:val="auto"/>
              </w:rPr>
              <w:t>George Putnam Balanced Fund</w:t>
            </w:r>
          </w:p>
        </w:tc>
        <w:tc>
          <w:tcPr>
            <w:tcW w:w="112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6,150</w:t>
            </w:r>
          </w:p>
        </w:tc>
        <w:tc>
          <w:tcPr>
            <w:tcW w:w="62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1,286,887.50</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160" w:type="dxa"/>
            <w:vAlign w:val="bottom"/>
            <w:gridSpan w:val="2"/>
          </w:tcPr>
          <w:p>
            <w:pPr>
              <w:spacing w:after="0"/>
              <w:rPr>
                <w:sz w:val="20"/>
                <w:szCs w:val="20"/>
                <w:color w:val="auto"/>
              </w:rPr>
            </w:pPr>
            <w:r>
              <w:rPr>
                <w:rFonts w:ascii="Arial" w:cs="Arial" w:eastAsia="Arial" w:hAnsi="Arial"/>
                <w:sz w:val="17"/>
                <w:szCs w:val="17"/>
                <w:color w:val="auto"/>
              </w:rPr>
              <w:t>Putnam Global Equity Fund</w:t>
            </w:r>
          </w:p>
        </w:tc>
        <w:tc>
          <w:tcPr>
            <w:tcW w:w="1740" w:type="dxa"/>
            <w:vAlign w:val="bottom"/>
            <w:gridSpan w:val="2"/>
          </w:tcPr>
          <w:p>
            <w:pPr>
              <w:jc w:val="right"/>
              <w:ind w:right="620"/>
              <w:spacing w:after="0"/>
              <w:rPr>
                <w:sz w:val="20"/>
                <w:szCs w:val="20"/>
                <w:color w:val="auto"/>
              </w:rPr>
            </w:pPr>
            <w:r>
              <w:rPr>
                <w:rFonts w:ascii="Arial" w:cs="Arial" w:eastAsia="Arial" w:hAnsi="Arial"/>
                <w:sz w:val="17"/>
                <w:szCs w:val="17"/>
                <w:color w:val="auto"/>
              </w:rPr>
              <w:t>10,028</w:t>
            </w:r>
          </w:p>
        </w:tc>
        <w:tc>
          <w:tcPr>
            <w:tcW w:w="1100" w:type="dxa"/>
            <w:vAlign w:val="bottom"/>
            <w:gridSpan w:val="2"/>
          </w:tcPr>
          <w:p>
            <w:pPr>
              <w:jc w:val="right"/>
              <w:ind w:right="60"/>
              <w:spacing w:after="0"/>
              <w:rPr>
                <w:sz w:val="20"/>
                <w:szCs w:val="20"/>
                <w:color w:val="auto"/>
              </w:rPr>
            </w:pPr>
            <w:r>
              <w:rPr>
                <w:rFonts w:ascii="Arial" w:cs="Arial" w:eastAsia="Arial" w:hAnsi="Arial"/>
                <w:sz w:val="17"/>
                <w:szCs w:val="17"/>
                <w:color w:val="auto"/>
              </w:rPr>
              <w:t>2,098,359.00</w:t>
            </w:r>
          </w:p>
        </w:tc>
        <w:tc>
          <w:tcPr>
            <w:tcW w:w="0" w:type="dxa"/>
            <w:vAlign w:val="bottom"/>
          </w:tcPr>
          <w:p>
            <w:pPr>
              <w:spacing w:after="0"/>
              <w:rPr>
                <w:sz w:val="1"/>
                <w:szCs w:val="1"/>
                <w:color w:val="auto"/>
              </w:rPr>
            </w:pPr>
          </w:p>
        </w:tc>
      </w:tr>
      <w:tr>
        <w:trPr>
          <w:trHeight w:val="206"/>
        </w:trPr>
        <w:tc>
          <w:tcPr>
            <w:tcW w:w="5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Putnam Variable Trust - Putnam VT Global Equity Fund</w:t>
            </w:r>
          </w:p>
        </w:tc>
        <w:tc>
          <w:tcPr>
            <w:tcW w:w="174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1,962</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410,548.50</w:t>
            </w:r>
          </w:p>
        </w:tc>
        <w:tc>
          <w:tcPr>
            <w:tcW w:w="0" w:type="dxa"/>
            <w:vAlign w:val="bottom"/>
          </w:tcPr>
          <w:p>
            <w:pPr>
              <w:spacing w:after="0"/>
              <w:rPr>
                <w:sz w:val="1"/>
                <w:szCs w:val="1"/>
                <w:color w:val="auto"/>
              </w:rPr>
            </w:pPr>
          </w:p>
        </w:tc>
      </w:tr>
      <w:tr>
        <w:trPr>
          <w:trHeight w:val="206"/>
        </w:trPr>
        <w:tc>
          <w:tcPr>
            <w:tcW w:w="5160" w:type="dxa"/>
            <w:vAlign w:val="bottom"/>
            <w:gridSpan w:val="2"/>
          </w:tcPr>
          <w:p>
            <w:pPr>
              <w:spacing w:after="0"/>
              <w:rPr>
                <w:sz w:val="20"/>
                <w:szCs w:val="20"/>
                <w:color w:val="auto"/>
              </w:rPr>
            </w:pPr>
            <w:r>
              <w:rPr>
                <w:rFonts w:ascii="Arial" w:cs="Arial" w:eastAsia="Arial" w:hAnsi="Arial"/>
                <w:sz w:val="17"/>
                <w:szCs w:val="17"/>
                <w:color w:val="auto"/>
              </w:rPr>
              <w:t>Putnam Global Health Care Fund</w:t>
            </w:r>
          </w:p>
        </w:tc>
        <w:tc>
          <w:tcPr>
            <w:tcW w:w="1740" w:type="dxa"/>
            <w:vAlign w:val="bottom"/>
            <w:gridSpan w:val="2"/>
          </w:tcPr>
          <w:p>
            <w:pPr>
              <w:jc w:val="right"/>
              <w:ind w:right="620"/>
              <w:spacing w:after="0"/>
              <w:rPr>
                <w:sz w:val="20"/>
                <w:szCs w:val="20"/>
                <w:color w:val="auto"/>
              </w:rPr>
            </w:pPr>
            <w:r>
              <w:rPr>
                <w:rFonts w:ascii="Arial" w:cs="Arial" w:eastAsia="Arial" w:hAnsi="Arial"/>
                <w:sz w:val="17"/>
                <w:szCs w:val="17"/>
                <w:color w:val="auto"/>
              </w:rPr>
              <w:t>24,700</w:t>
            </w:r>
          </w:p>
        </w:tc>
        <w:tc>
          <w:tcPr>
            <w:tcW w:w="1100" w:type="dxa"/>
            <w:vAlign w:val="bottom"/>
            <w:gridSpan w:val="2"/>
          </w:tcPr>
          <w:p>
            <w:pPr>
              <w:jc w:val="right"/>
              <w:ind w:right="60"/>
              <w:spacing w:after="0"/>
              <w:rPr>
                <w:sz w:val="20"/>
                <w:szCs w:val="20"/>
                <w:color w:val="auto"/>
              </w:rPr>
            </w:pPr>
            <w:r>
              <w:rPr>
                <w:rFonts w:ascii="Arial" w:cs="Arial" w:eastAsia="Arial" w:hAnsi="Arial"/>
                <w:sz w:val="17"/>
                <w:szCs w:val="17"/>
                <w:color w:val="auto"/>
              </w:rPr>
              <w:t>5,168,475.00</w:t>
            </w:r>
          </w:p>
        </w:tc>
        <w:tc>
          <w:tcPr>
            <w:tcW w:w="0" w:type="dxa"/>
            <w:vAlign w:val="bottom"/>
          </w:tcPr>
          <w:p>
            <w:pPr>
              <w:spacing w:after="0"/>
              <w:rPr>
                <w:sz w:val="1"/>
                <w:szCs w:val="1"/>
                <w:color w:val="auto"/>
              </w:rPr>
            </w:pPr>
          </w:p>
        </w:tc>
      </w:tr>
      <w:tr>
        <w:trPr>
          <w:trHeight w:val="206"/>
        </w:trPr>
        <w:tc>
          <w:tcPr>
            <w:tcW w:w="5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Putnam Variable Trust - Putnam VT Sustainable Leaders Fund</w:t>
            </w:r>
          </w:p>
        </w:tc>
        <w:tc>
          <w:tcPr>
            <w:tcW w:w="174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9,447</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1,976,784.75</w:t>
            </w:r>
          </w:p>
        </w:tc>
        <w:tc>
          <w:tcPr>
            <w:tcW w:w="0" w:type="dxa"/>
            <w:vAlign w:val="bottom"/>
          </w:tcPr>
          <w:p>
            <w:pPr>
              <w:spacing w:after="0"/>
              <w:rPr>
                <w:sz w:val="1"/>
                <w:szCs w:val="1"/>
                <w:color w:val="auto"/>
              </w:rPr>
            </w:pPr>
          </w:p>
        </w:tc>
      </w:tr>
      <w:tr>
        <w:trPr>
          <w:trHeight w:val="206"/>
        </w:trPr>
        <w:tc>
          <w:tcPr>
            <w:tcW w:w="5160" w:type="dxa"/>
            <w:vAlign w:val="bottom"/>
            <w:gridSpan w:val="2"/>
          </w:tcPr>
          <w:p>
            <w:pPr>
              <w:spacing w:after="0"/>
              <w:rPr>
                <w:sz w:val="20"/>
                <w:szCs w:val="20"/>
                <w:color w:val="auto"/>
              </w:rPr>
            </w:pPr>
            <w:r>
              <w:rPr>
                <w:rFonts w:ascii="Arial" w:cs="Arial" w:eastAsia="Arial" w:hAnsi="Arial"/>
                <w:sz w:val="17"/>
                <w:szCs w:val="17"/>
                <w:color w:val="auto"/>
              </w:rPr>
              <w:t>Putnam Sustainable Leaders Fund</w:t>
            </w:r>
          </w:p>
        </w:tc>
        <w:tc>
          <w:tcPr>
            <w:tcW w:w="1740" w:type="dxa"/>
            <w:vAlign w:val="bottom"/>
            <w:gridSpan w:val="2"/>
          </w:tcPr>
          <w:p>
            <w:pPr>
              <w:jc w:val="right"/>
              <w:ind w:right="620"/>
              <w:spacing w:after="0"/>
              <w:rPr>
                <w:sz w:val="20"/>
                <w:szCs w:val="20"/>
                <w:color w:val="auto"/>
              </w:rPr>
            </w:pPr>
            <w:r>
              <w:rPr>
                <w:rFonts w:ascii="Arial" w:cs="Arial" w:eastAsia="Arial" w:hAnsi="Arial"/>
                <w:sz w:val="17"/>
                <w:szCs w:val="17"/>
                <w:color w:val="auto"/>
              </w:rPr>
              <w:t>56,043</w:t>
            </w:r>
          </w:p>
        </w:tc>
        <w:tc>
          <w:tcPr>
            <w:tcW w:w="1100" w:type="dxa"/>
            <w:vAlign w:val="bottom"/>
            <w:gridSpan w:val="2"/>
          </w:tcPr>
          <w:p>
            <w:pPr>
              <w:jc w:val="right"/>
              <w:ind w:right="60"/>
              <w:spacing w:after="0"/>
              <w:rPr>
                <w:sz w:val="20"/>
                <w:szCs w:val="20"/>
                <w:color w:val="auto"/>
              </w:rPr>
            </w:pPr>
            <w:r>
              <w:rPr>
                <w:rFonts w:ascii="Arial" w:cs="Arial" w:eastAsia="Arial" w:hAnsi="Arial"/>
                <w:sz w:val="17"/>
                <w:szCs w:val="17"/>
                <w:color w:val="auto"/>
                <w:w w:val="93"/>
              </w:rPr>
              <w:t>11,726,997.75</w:t>
            </w:r>
          </w:p>
        </w:tc>
        <w:tc>
          <w:tcPr>
            <w:tcW w:w="0" w:type="dxa"/>
            <w:vAlign w:val="bottom"/>
          </w:tcPr>
          <w:p>
            <w:pPr>
              <w:spacing w:after="0"/>
              <w:rPr>
                <w:sz w:val="1"/>
                <w:szCs w:val="1"/>
                <w:color w:val="auto"/>
              </w:rPr>
            </w:pPr>
          </w:p>
        </w:tc>
      </w:tr>
      <w:tr>
        <w:trPr>
          <w:trHeight w:val="206"/>
        </w:trPr>
        <w:tc>
          <w:tcPr>
            <w:tcW w:w="5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Putnam Investment Funds - Putnam Growth Opportunities Fund</w:t>
            </w:r>
          </w:p>
        </w:tc>
        <w:tc>
          <w:tcPr>
            <w:tcW w:w="174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65,210</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3"/>
              </w:rPr>
              <w:t>13,645,192.50</w:t>
            </w:r>
          </w:p>
        </w:tc>
        <w:tc>
          <w:tcPr>
            <w:tcW w:w="0" w:type="dxa"/>
            <w:vAlign w:val="bottom"/>
          </w:tcPr>
          <w:p>
            <w:pPr>
              <w:spacing w:after="0"/>
              <w:rPr>
                <w:sz w:val="1"/>
                <w:szCs w:val="1"/>
                <w:color w:val="auto"/>
              </w:rPr>
            </w:pPr>
          </w:p>
        </w:tc>
      </w:tr>
      <w:tr>
        <w:trPr>
          <w:trHeight w:val="206"/>
        </w:trPr>
        <w:tc>
          <w:tcPr>
            <w:tcW w:w="5160" w:type="dxa"/>
            <w:vAlign w:val="bottom"/>
            <w:gridSpan w:val="2"/>
          </w:tcPr>
          <w:p>
            <w:pPr>
              <w:spacing w:after="0"/>
              <w:rPr>
                <w:sz w:val="20"/>
                <w:szCs w:val="20"/>
                <w:color w:val="auto"/>
              </w:rPr>
            </w:pPr>
            <w:r>
              <w:rPr>
                <w:rFonts w:ascii="Arial" w:cs="Arial" w:eastAsia="Arial" w:hAnsi="Arial"/>
                <w:sz w:val="17"/>
                <w:szCs w:val="17"/>
                <w:color w:val="auto"/>
              </w:rPr>
              <w:t>Putnam Investment Funds - Putnam Research Fund</w:t>
            </w:r>
          </w:p>
        </w:tc>
        <w:tc>
          <w:tcPr>
            <w:tcW w:w="1740" w:type="dxa"/>
            <w:vAlign w:val="bottom"/>
            <w:gridSpan w:val="2"/>
          </w:tcPr>
          <w:p>
            <w:pPr>
              <w:jc w:val="right"/>
              <w:ind w:right="620"/>
              <w:spacing w:after="0"/>
              <w:rPr>
                <w:sz w:val="20"/>
                <w:szCs w:val="20"/>
                <w:color w:val="auto"/>
              </w:rPr>
            </w:pPr>
            <w:r>
              <w:rPr>
                <w:rFonts w:ascii="Arial" w:cs="Arial" w:eastAsia="Arial" w:hAnsi="Arial"/>
                <w:sz w:val="17"/>
                <w:szCs w:val="17"/>
                <w:color w:val="auto"/>
              </w:rPr>
              <w:t>2,575</w:t>
            </w:r>
          </w:p>
        </w:tc>
        <w:tc>
          <w:tcPr>
            <w:tcW w:w="1100" w:type="dxa"/>
            <w:vAlign w:val="bottom"/>
            <w:gridSpan w:val="2"/>
          </w:tcPr>
          <w:p>
            <w:pPr>
              <w:jc w:val="right"/>
              <w:ind w:right="60"/>
              <w:spacing w:after="0"/>
              <w:rPr>
                <w:sz w:val="20"/>
                <w:szCs w:val="20"/>
                <w:color w:val="auto"/>
              </w:rPr>
            </w:pPr>
            <w:r>
              <w:rPr>
                <w:rFonts w:ascii="Arial" w:cs="Arial" w:eastAsia="Arial" w:hAnsi="Arial"/>
                <w:sz w:val="17"/>
                <w:szCs w:val="17"/>
                <w:color w:val="auto"/>
              </w:rPr>
              <w:t>538,818.75</w:t>
            </w:r>
          </w:p>
        </w:tc>
        <w:tc>
          <w:tcPr>
            <w:tcW w:w="0" w:type="dxa"/>
            <w:vAlign w:val="bottom"/>
          </w:tcPr>
          <w:p>
            <w:pPr>
              <w:spacing w:after="0"/>
              <w:rPr>
                <w:sz w:val="1"/>
                <w:szCs w:val="1"/>
                <w:color w:val="auto"/>
              </w:rPr>
            </w:pPr>
          </w:p>
        </w:tc>
      </w:tr>
      <w:tr>
        <w:trPr>
          <w:trHeight w:val="206"/>
        </w:trPr>
        <w:tc>
          <w:tcPr>
            <w:tcW w:w="5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Putnam Variable Trust - Putnam VT Multi-Cap Core Fund</w:t>
            </w:r>
          </w:p>
        </w:tc>
        <w:tc>
          <w:tcPr>
            <w:tcW w:w="174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2,053</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429,590.25</w:t>
            </w:r>
          </w:p>
        </w:tc>
        <w:tc>
          <w:tcPr>
            <w:tcW w:w="0" w:type="dxa"/>
            <w:vAlign w:val="bottom"/>
          </w:tcPr>
          <w:p>
            <w:pPr>
              <w:spacing w:after="0"/>
              <w:rPr>
                <w:sz w:val="1"/>
                <w:szCs w:val="1"/>
                <w:color w:val="auto"/>
              </w:rPr>
            </w:pPr>
          </w:p>
        </w:tc>
      </w:tr>
      <w:tr>
        <w:trPr>
          <w:trHeight w:val="194"/>
        </w:trPr>
        <w:tc>
          <w:tcPr>
            <w:tcW w:w="5160" w:type="dxa"/>
            <w:vAlign w:val="bottom"/>
            <w:gridSpan w:val="2"/>
          </w:tcPr>
          <w:p>
            <w:pPr>
              <w:spacing w:after="0" w:line="194" w:lineRule="exact"/>
              <w:rPr>
                <w:sz w:val="20"/>
                <w:szCs w:val="20"/>
                <w:color w:val="auto"/>
              </w:rPr>
            </w:pPr>
            <w:r>
              <w:rPr>
                <w:rFonts w:ascii="Arial" w:cs="Arial" w:eastAsia="Arial" w:hAnsi="Arial"/>
                <w:sz w:val="17"/>
                <w:szCs w:val="17"/>
                <w:color w:val="auto"/>
              </w:rPr>
              <w:t>Putnam Variable Trust - Putnam VT George Putnam Balanced</w:t>
            </w:r>
          </w:p>
        </w:tc>
        <w:tc>
          <w:tcPr>
            <w:tcW w:w="1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160" w:type="dxa"/>
            <w:vAlign w:val="bottom"/>
            <w:gridSpan w:val="2"/>
          </w:tcPr>
          <w:p>
            <w:pPr>
              <w:ind w:left="160"/>
              <w:spacing w:after="0"/>
              <w:rPr>
                <w:sz w:val="20"/>
                <w:szCs w:val="20"/>
                <w:color w:val="auto"/>
              </w:rPr>
            </w:pPr>
            <w:r>
              <w:rPr>
                <w:rFonts w:ascii="Arial" w:cs="Arial" w:eastAsia="Arial" w:hAnsi="Arial"/>
                <w:sz w:val="17"/>
                <w:szCs w:val="17"/>
                <w:color w:val="auto"/>
              </w:rPr>
              <w:t>Fund</w:t>
            </w:r>
          </w:p>
        </w:tc>
        <w:tc>
          <w:tcPr>
            <w:tcW w:w="1740" w:type="dxa"/>
            <w:vAlign w:val="bottom"/>
            <w:gridSpan w:val="2"/>
          </w:tcPr>
          <w:p>
            <w:pPr>
              <w:jc w:val="right"/>
              <w:ind w:right="620"/>
              <w:spacing w:after="0"/>
              <w:rPr>
                <w:sz w:val="20"/>
                <w:szCs w:val="20"/>
                <w:color w:val="auto"/>
              </w:rPr>
            </w:pPr>
            <w:r>
              <w:rPr>
                <w:rFonts w:ascii="Arial" w:cs="Arial" w:eastAsia="Arial" w:hAnsi="Arial"/>
                <w:sz w:val="17"/>
                <w:szCs w:val="17"/>
                <w:color w:val="auto"/>
              </w:rPr>
              <w:t>730</w:t>
            </w:r>
          </w:p>
        </w:tc>
        <w:tc>
          <w:tcPr>
            <w:tcW w:w="1100" w:type="dxa"/>
            <w:vAlign w:val="bottom"/>
            <w:gridSpan w:val="2"/>
          </w:tcPr>
          <w:p>
            <w:pPr>
              <w:jc w:val="right"/>
              <w:ind w:right="60"/>
              <w:spacing w:after="0"/>
              <w:rPr>
                <w:sz w:val="20"/>
                <w:szCs w:val="20"/>
                <w:color w:val="auto"/>
              </w:rPr>
            </w:pPr>
            <w:r>
              <w:rPr>
                <w:rFonts w:ascii="Arial" w:cs="Arial" w:eastAsia="Arial" w:hAnsi="Arial"/>
                <w:sz w:val="17"/>
                <w:szCs w:val="17"/>
                <w:color w:val="auto"/>
              </w:rPr>
              <w:t>152,752.50</w:t>
            </w:r>
          </w:p>
        </w:tc>
        <w:tc>
          <w:tcPr>
            <w:tcW w:w="0" w:type="dxa"/>
            <w:vAlign w:val="bottom"/>
          </w:tcPr>
          <w:p>
            <w:pPr>
              <w:spacing w:after="0"/>
              <w:rPr>
                <w:sz w:val="1"/>
                <w:szCs w:val="1"/>
                <w:color w:val="auto"/>
              </w:rPr>
            </w:pPr>
          </w:p>
        </w:tc>
      </w:tr>
      <w:tr>
        <w:trPr>
          <w:trHeight w:val="208"/>
        </w:trPr>
        <w:tc>
          <w:tcPr>
            <w:tcW w:w="5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Putnam Variable Trust - Putnam VT Global Health Care Fund</w:t>
            </w:r>
          </w:p>
        </w:tc>
        <w:tc>
          <w:tcPr>
            <w:tcW w:w="174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2,600</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544,050.00</w:t>
            </w:r>
          </w:p>
        </w:tc>
        <w:tc>
          <w:tcPr>
            <w:tcW w:w="0" w:type="dxa"/>
            <w:vAlign w:val="bottom"/>
          </w:tcPr>
          <w:p>
            <w:pPr>
              <w:spacing w:after="0"/>
              <w:rPr>
                <w:sz w:val="1"/>
                <w:szCs w:val="1"/>
                <w:color w:val="auto"/>
              </w:rPr>
            </w:pPr>
          </w:p>
        </w:tc>
      </w:tr>
      <w:tr>
        <w:trPr>
          <w:trHeight w:val="206"/>
        </w:trPr>
        <w:tc>
          <w:tcPr>
            <w:tcW w:w="5160" w:type="dxa"/>
            <w:vAlign w:val="bottom"/>
            <w:gridSpan w:val="2"/>
          </w:tcPr>
          <w:p>
            <w:pPr>
              <w:spacing w:after="0"/>
              <w:rPr>
                <w:sz w:val="20"/>
                <w:szCs w:val="20"/>
                <w:color w:val="auto"/>
              </w:rPr>
            </w:pPr>
            <w:r>
              <w:rPr>
                <w:rFonts w:ascii="Arial" w:cs="Arial" w:eastAsia="Arial" w:hAnsi="Arial"/>
                <w:sz w:val="17"/>
                <w:szCs w:val="17"/>
                <w:color w:val="auto"/>
              </w:rPr>
              <w:t>Putnam Variable Trust - Putnam VT Research Fund</w:t>
            </w:r>
          </w:p>
        </w:tc>
        <w:tc>
          <w:tcPr>
            <w:tcW w:w="1740" w:type="dxa"/>
            <w:vAlign w:val="bottom"/>
            <w:gridSpan w:val="2"/>
          </w:tcPr>
          <w:p>
            <w:pPr>
              <w:jc w:val="right"/>
              <w:ind w:right="620"/>
              <w:spacing w:after="0"/>
              <w:rPr>
                <w:sz w:val="20"/>
                <w:szCs w:val="20"/>
                <w:color w:val="auto"/>
              </w:rPr>
            </w:pPr>
            <w:r>
              <w:rPr>
                <w:rFonts w:ascii="Arial" w:cs="Arial" w:eastAsia="Arial" w:hAnsi="Arial"/>
                <w:sz w:val="17"/>
                <w:szCs w:val="17"/>
                <w:color w:val="auto"/>
              </w:rPr>
              <w:t>379</w:t>
            </w:r>
          </w:p>
        </w:tc>
        <w:tc>
          <w:tcPr>
            <w:tcW w:w="1100" w:type="dxa"/>
            <w:vAlign w:val="bottom"/>
            <w:gridSpan w:val="2"/>
          </w:tcPr>
          <w:p>
            <w:pPr>
              <w:jc w:val="right"/>
              <w:ind w:right="60"/>
              <w:spacing w:after="0"/>
              <w:rPr>
                <w:sz w:val="20"/>
                <w:szCs w:val="20"/>
                <w:color w:val="auto"/>
              </w:rPr>
            </w:pPr>
            <w:r>
              <w:rPr>
                <w:rFonts w:ascii="Arial" w:cs="Arial" w:eastAsia="Arial" w:hAnsi="Arial"/>
                <w:sz w:val="17"/>
                <w:szCs w:val="17"/>
                <w:color w:val="auto"/>
              </w:rPr>
              <w:t>79,305.75</w:t>
            </w:r>
          </w:p>
        </w:tc>
        <w:tc>
          <w:tcPr>
            <w:tcW w:w="0" w:type="dxa"/>
            <w:vAlign w:val="bottom"/>
          </w:tcPr>
          <w:p>
            <w:pPr>
              <w:spacing w:after="0"/>
              <w:rPr>
                <w:sz w:val="1"/>
                <w:szCs w:val="1"/>
                <w:color w:val="auto"/>
              </w:rPr>
            </w:pPr>
          </w:p>
        </w:tc>
      </w:tr>
      <w:tr>
        <w:trPr>
          <w:trHeight w:val="206"/>
        </w:trPr>
        <w:tc>
          <w:tcPr>
            <w:tcW w:w="5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Putnam Variable Trust - Putnam VT Growth Opportunities Fund</w:t>
            </w:r>
          </w:p>
        </w:tc>
        <w:tc>
          <w:tcPr>
            <w:tcW w:w="174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10,480</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2,192,940.00</w:t>
            </w:r>
          </w:p>
        </w:tc>
        <w:tc>
          <w:tcPr>
            <w:tcW w:w="0" w:type="dxa"/>
            <w:vAlign w:val="bottom"/>
          </w:tcPr>
          <w:p>
            <w:pPr>
              <w:spacing w:after="0"/>
              <w:rPr>
                <w:sz w:val="1"/>
                <w:szCs w:val="1"/>
                <w:color w:val="auto"/>
              </w:rPr>
            </w:pPr>
          </w:p>
        </w:tc>
      </w:tr>
      <w:tr>
        <w:trPr>
          <w:trHeight w:val="206"/>
        </w:trPr>
        <w:tc>
          <w:tcPr>
            <w:tcW w:w="5160" w:type="dxa"/>
            <w:vAlign w:val="bottom"/>
            <w:gridSpan w:val="2"/>
          </w:tcPr>
          <w:p>
            <w:pPr>
              <w:spacing w:after="0"/>
              <w:rPr>
                <w:sz w:val="20"/>
                <w:szCs w:val="20"/>
                <w:color w:val="auto"/>
              </w:rPr>
            </w:pPr>
            <w:r>
              <w:rPr>
                <w:rFonts w:ascii="Arial" w:cs="Arial" w:eastAsia="Arial" w:hAnsi="Arial"/>
                <w:sz w:val="17"/>
                <w:szCs w:val="17"/>
                <w:color w:val="auto"/>
              </w:rPr>
              <w:t>Putnam Funds Trust - Putnam Multi-Cap Core Fund</w:t>
            </w:r>
          </w:p>
        </w:tc>
        <w:tc>
          <w:tcPr>
            <w:tcW w:w="1740" w:type="dxa"/>
            <w:vAlign w:val="bottom"/>
            <w:gridSpan w:val="2"/>
          </w:tcPr>
          <w:p>
            <w:pPr>
              <w:jc w:val="right"/>
              <w:ind w:right="620"/>
              <w:spacing w:after="0"/>
              <w:rPr>
                <w:sz w:val="20"/>
                <w:szCs w:val="20"/>
                <w:color w:val="auto"/>
              </w:rPr>
            </w:pPr>
            <w:r>
              <w:rPr>
                <w:rFonts w:ascii="Arial" w:cs="Arial" w:eastAsia="Arial" w:hAnsi="Arial"/>
                <w:sz w:val="17"/>
                <w:szCs w:val="17"/>
                <w:color w:val="auto"/>
              </w:rPr>
              <w:t>21,049</w:t>
            </w:r>
          </w:p>
        </w:tc>
        <w:tc>
          <w:tcPr>
            <w:tcW w:w="1100" w:type="dxa"/>
            <w:vAlign w:val="bottom"/>
            <w:gridSpan w:val="2"/>
          </w:tcPr>
          <w:p>
            <w:pPr>
              <w:jc w:val="right"/>
              <w:ind w:right="60"/>
              <w:spacing w:after="0"/>
              <w:rPr>
                <w:sz w:val="20"/>
                <w:szCs w:val="20"/>
                <w:color w:val="auto"/>
              </w:rPr>
            </w:pPr>
            <w:r>
              <w:rPr>
                <w:rFonts w:ascii="Arial" w:cs="Arial" w:eastAsia="Arial" w:hAnsi="Arial"/>
                <w:sz w:val="17"/>
                <w:szCs w:val="17"/>
                <w:color w:val="auto"/>
              </w:rPr>
              <w:t>4,404,503.25</w:t>
            </w:r>
          </w:p>
        </w:tc>
        <w:tc>
          <w:tcPr>
            <w:tcW w:w="0" w:type="dxa"/>
            <w:vAlign w:val="bottom"/>
          </w:tcPr>
          <w:p>
            <w:pPr>
              <w:spacing w:after="0"/>
              <w:rPr>
                <w:sz w:val="1"/>
                <w:szCs w:val="1"/>
                <w:color w:val="auto"/>
              </w:rPr>
            </w:pPr>
          </w:p>
        </w:tc>
      </w:tr>
      <w:tr>
        <w:trPr>
          <w:trHeight w:val="206"/>
        </w:trPr>
        <w:tc>
          <w:tcPr>
            <w:tcW w:w="5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Guardian Diversified Research VIP Fund</w:t>
            </w:r>
          </w:p>
        </w:tc>
        <w:tc>
          <w:tcPr>
            <w:tcW w:w="174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1,373</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287,300.25</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A copy of the Agreement and Declaration of Trust of each above Buyer is on file with the Secretary of The Commonwealth of Massachusetts, and notice is hereby given that this Agreement is executed on behalf of the trustees of Buyer as trustees and not individually and that any obligations of or arising out of this Agreement are not binding on any of the trustees, officers or shareholders individually of Buyer, but are binding only upon the trust property of Buyer.</w:t>
      </w:r>
    </w:p>
    <w:p>
      <w:pPr>
        <w:sectPr>
          <w:pgSz w:w="11900" w:h="16838" w:orient="portrait"/>
          <w:cols w:equalWidth="0" w:num="1">
            <w:col w:w="10520"/>
          </w:cols>
          <w:pgMar w:left="700" w:top="263" w:right="679" w:bottom="1440" w:gutter="0" w:footer="0" w:header="0"/>
        </w:sectPr>
      </w:pPr>
    </w:p>
    <w:bookmarkStart w:id="58" w:name="page59"/>
    <w:bookmarkEnd w:id="58"/>
    <w:p>
      <w:pPr>
        <w:jc w:val="center"/>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7294880" cy="37465"/>
                    </a:xfrm>
                    <a:prstGeom prst="rect">
                      <a:avLst/>
                    </a:prstGeom>
                    <a:noFill/>
                  </pic:spPr>
                </pic:pic>
              </a:graphicData>
            </a:graphic>
          </wp:anchor>
        </w:drawing>
        <w:t>Exhibit B</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Buyers and Shares Purchased</w:t>
      </w:r>
    </w:p>
    <w:p>
      <w:pPr>
        <w:spacing w:after="0" w:line="220"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7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1"/>
              </w:rPr>
              <w:t>Total Number of</w:t>
            </w:r>
          </w:p>
        </w:tc>
        <w:tc>
          <w:tcPr>
            <w:tcW w:w="10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2"/>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5"/>
              </w:rPr>
              <w:t>Buyer</w:t>
            </w:r>
          </w:p>
        </w:tc>
        <w:tc>
          <w:tcPr>
            <w:tcW w:w="4880" w:type="dxa"/>
            <w:vAlign w:val="bottom"/>
            <w:vMerge w:val="restart"/>
          </w:tcPr>
          <w:p>
            <w:pPr>
              <w:spacing w:after="0"/>
              <w:rPr>
                <w:sz w:val="12"/>
                <w:szCs w:val="12"/>
                <w:color w:val="auto"/>
              </w:rPr>
            </w:pPr>
          </w:p>
        </w:tc>
        <w:tc>
          <w:tcPr>
            <w:tcW w:w="1740" w:type="dxa"/>
            <w:vAlign w:val="bottom"/>
            <w:gridSpan w:val="2"/>
          </w:tcPr>
          <w:p>
            <w:pPr>
              <w:jc w:val="center"/>
              <w:ind w:right="620"/>
              <w:spacing w:after="0" w:line="142" w:lineRule="exact"/>
              <w:rPr>
                <w:sz w:val="20"/>
                <w:szCs w:val="20"/>
                <w:color w:val="auto"/>
              </w:rPr>
            </w:pPr>
            <w:r>
              <w:rPr>
                <w:rFonts w:ascii="Arial" w:cs="Arial" w:eastAsia="Arial" w:hAnsi="Arial"/>
                <w:sz w:val="14"/>
                <w:szCs w:val="14"/>
                <w:b w:val="1"/>
                <w:bCs w:val="1"/>
                <w:color w:val="auto"/>
                <w:w w:val="87"/>
              </w:rPr>
              <w:t>Shares of Common</w:t>
            </w: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60" w:type="dxa"/>
            <w:vAlign w:val="bottom"/>
            <w:tcBorders>
              <w:bottom w:val="single" w:sz="8" w:color="auto"/>
            </w:tcBorders>
            <w:vMerge w:val="continue"/>
          </w:tcPr>
          <w:p>
            <w:pPr>
              <w:spacing w:after="0"/>
              <w:rPr>
                <w:sz w:val="14"/>
                <w:szCs w:val="14"/>
                <w:color w:val="auto"/>
              </w:rPr>
            </w:pPr>
          </w:p>
        </w:tc>
        <w:tc>
          <w:tcPr>
            <w:tcW w:w="4880" w:type="dxa"/>
            <w:vAlign w:val="bottom"/>
            <w:vMerge w:val="continue"/>
          </w:tcPr>
          <w:p>
            <w:pPr>
              <w:spacing w:after="0"/>
              <w:rPr>
                <w:sz w:val="14"/>
                <w:szCs w:val="14"/>
                <w:color w:val="auto"/>
              </w:rPr>
            </w:pPr>
          </w:p>
        </w:tc>
        <w:tc>
          <w:tcPr>
            <w:tcW w:w="1740" w:type="dxa"/>
            <w:vAlign w:val="bottom"/>
            <w:gridSpan w:val="2"/>
          </w:tcPr>
          <w:p>
            <w:pPr>
              <w:jc w:val="center"/>
              <w:ind w:right="600"/>
              <w:spacing w:after="0" w:line="151" w:lineRule="exact"/>
              <w:rPr>
                <w:sz w:val="20"/>
                <w:szCs w:val="20"/>
                <w:color w:val="auto"/>
              </w:rPr>
            </w:pPr>
            <w:r>
              <w:rPr>
                <w:rFonts w:ascii="Arial" w:cs="Arial" w:eastAsia="Arial" w:hAnsi="Arial"/>
                <w:sz w:val="14"/>
                <w:szCs w:val="14"/>
                <w:b w:val="1"/>
                <w:bCs w:val="1"/>
                <w:color w:val="auto"/>
                <w:w w:val="86"/>
              </w:rPr>
              <w:t>Stock Purchased</w:t>
            </w:r>
          </w:p>
        </w:tc>
        <w:tc>
          <w:tcPr>
            <w:tcW w:w="1020" w:type="dxa"/>
            <w:vAlign w:val="bottom"/>
            <w:gridSpan w:val="2"/>
          </w:tcPr>
          <w:p>
            <w:pPr>
              <w:jc w:val="center"/>
              <w:ind w:right="60"/>
              <w:spacing w:after="0" w:line="151" w:lineRule="exact"/>
              <w:rPr>
                <w:sz w:val="20"/>
                <w:szCs w:val="20"/>
                <w:color w:val="auto"/>
              </w:rPr>
            </w:pPr>
            <w:r>
              <w:rPr>
                <w:rFonts w:ascii="Arial" w:cs="Arial" w:eastAsia="Arial" w:hAnsi="Arial"/>
                <w:sz w:val="14"/>
                <w:szCs w:val="14"/>
                <w:b w:val="1"/>
                <w:bCs w:val="1"/>
                <w:color w:val="auto"/>
                <w:w w:val="86"/>
              </w:rPr>
              <w:t>Purchase Price</w:t>
            </w:r>
          </w:p>
        </w:tc>
        <w:tc>
          <w:tcPr>
            <w:tcW w:w="0" w:type="dxa"/>
            <w:vAlign w:val="bottom"/>
          </w:tcPr>
          <w:p>
            <w:pPr>
              <w:spacing w:after="0"/>
              <w:rPr>
                <w:sz w:val="1"/>
                <w:szCs w:val="1"/>
                <w:color w:val="auto"/>
              </w:rPr>
            </w:pPr>
          </w:p>
        </w:tc>
      </w:tr>
      <w:tr>
        <w:trPr>
          <w:trHeight w:val="192"/>
        </w:trPr>
        <w:tc>
          <w:tcPr>
            <w:tcW w:w="5240" w:type="dxa"/>
            <w:vAlign w:val="bottom"/>
            <w:tcBorders>
              <w:top w:val="single" w:sz="8" w:color="CCEEFF"/>
            </w:tcBorders>
            <w:gridSpan w:val="2"/>
            <w:shd w:val="clear" w:color="auto" w:fill="CCEEFF"/>
          </w:tcPr>
          <w:p>
            <w:pPr>
              <w:spacing w:after="0" w:line="192" w:lineRule="exact"/>
              <w:rPr>
                <w:sz w:val="20"/>
                <w:szCs w:val="20"/>
                <w:color w:val="auto"/>
              </w:rPr>
            </w:pPr>
            <w:r>
              <w:rPr>
                <w:rFonts w:ascii="Arial" w:cs="Arial" w:eastAsia="Arial" w:hAnsi="Arial"/>
                <w:sz w:val="17"/>
                <w:szCs w:val="17"/>
                <w:color w:val="auto"/>
              </w:rPr>
              <w:t>Nissay/Putnam Global Core Equity Fund</w:t>
            </w:r>
          </w:p>
        </w:tc>
        <w:tc>
          <w:tcPr>
            <w:tcW w:w="112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3,551</w:t>
            </w:r>
          </w:p>
        </w:tc>
        <w:tc>
          <w:tcPr>
            <w:tcW w:w="62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743,046.75</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240" w:type="dxa"/>
            <w:vAlign w:val="bottom"/>
            <w:gridSpan w:val="2"/>
          </w:tcPr>
          <w:p>
            <w:pPr>
              <w:spacing w:after="0"/>
              <w:rPr>
                <w:sz w:val="20"/>
                <w:szCs w:val="20"/>
                <w:color w:val="auto"/>
              </w:rPr>
            </w:pPr>
            <w:r>
              <w:rPr>
                <w:rFonts w:ascii="Arial" w:cs="Arial" w:eastAsia="Arial" w:hAnsi="Arial"/>
                <w:sz w:val="17"/>
                <w:szCs w:val="17"/>
                <w:color w:val="auto"/>
              </w:rPr>
              <w:t>Putnam World Trust - Putnam Global Core Equity Fund</w:t>
            </w:r>
          </w:p>
        </w:tc>
        <w:tc>
          <w:tcPr>
            <w:tcW w:w="1120" w:type="dxa"/>
            <w:vAlign w:val="bottom"/>
          </w:tcPr>
          <w:p>
            <w:pPr>
              <w:jc w:val="right"/>
              <w:spacing w:after="0"/>
              <w:rPr>
                <w:sz w:val="20"/>
                <w:szCs w:val="20"/>
                <w:color w:val="auto"/>
              </w:rPr>
            </w:pPr>
            <w:r>
              <w:rPr>
                <w:rFonts w:ascii="Arial" w:cs="Arial" w:eastAsia="Arial" w:hAnsi="Arial"/>
                <w:sz w:val="17"/>
                <w:szCs w:val="17"/>
                <w:color w:val="auto"/>
              </w:rPr>
              <w:t>73</w:t>
            </w:r>
          </w:p>
        </w:tc>
        <w:tc>
          <w:tcPr>
            <w:tcW w:w="62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7"/>
                <w:szCs w:val="17"/>
                <w:color w:val="auto"/>
              </w:rPr>
              <w:t>15,275.25</w:t>
            </w:r>
          </w:p>
        </w:tc>
        <w:tc>
          <w:tcPr>
            <w:tcW w:w="0" w:type="dxa"/>
            <w:vAlign w:val="bottom"/>
          </w:tcPr>
          <w:p>
            <w:pPr>
              <w:spacing w:after="0"/>
              <w:rPr>
                <w:sz w:val="1"/>
                <w:szCs w:val="1"/>
                <w:color w:val="auto"/>
              </w:rPr>
            </w:pPr>
          </w:p>
        </w:tc>
      </w:tr>
      <w:tr>
        <w:trPr>
          <w:trHeight w:val="206"/>
        </w:trPr>
        <w:tc>
          <w:tcPr>
            <w:tcW w:w="5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IG Putnam U.S. Growth Fund</w:t>
            </w:r>
          </w:p>
        </w:tc>
        <w:tc>
          <w:tcPr>
            <w:tcW w:w="174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16,223</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4"/>
              </w:rPr>
              <w:t>3,394,662.75</w:t>
            </w:r>
          </w:p>
        </w:tc>
        <w:tc>
          <w:tcPr>
            <w:tcW w:w="0" w:type="dxa"/>
            <w:vAlign w:val="bottom"/>
          </w:tcPr>
          <w:p>
            <w:pPr>
              <w:spacing w:after="0"/>
              <w:rPr>
                <w:sz w:val="1"/>
                <w:szCs w:val="1"/>
                <w:color w:val="auto"/>
              </w:rPr>
            </w:pPr>
          </w:p>
        </w:tc>
      </w:tr>
      <w:tr>
        <w:trPr>
          <w:trHeight w:val="206"/>
        </w:trPr>
        <w:tc>
          <w:tcPr>
            <w:tcW w:w="5240" w:type="dxa"/>
            <w:vAlign w:val="bottom"/>
            <w:gridSpan w:val="2"/>
          </w:tcPr>
          <w:p>
            <w:pPr>
              <w:spacing w:after="0"/>
              <w:rPr>
                <w:sz w:val="20"/>
                <w:szCs w:val="20"/>
                <w:color w:val="auto"/>
              </w:rPr>
            </w:pPr>
            <w:r>
              <w:rPr>
                <w:rFonts w:ascii="Arial" w:cs="Arial" w:eastAsia="Arial" w:hAnsi="Arial"/>
                <w:sz w:val="17"/>
                <w:szCs w:val="17"/>
                <w:color w:val="auto"/>
              </w:rPr>
              <w:t>Putnam World Trust - Putnam U.S. Large Cap Growth Fund</w:t>
            </w:r>
          </w:p>
        </w:tc>
        <w:tc>
          <w:tcPr>
            <w:tcW w:w="1740" w:type="dxa"/>
            <w:vAlign w:val="bottom"/>
            <w:gridSpan w:val="2"/>
          </w:tcPr>
          <w:p>
            <w:pPr>
              <w:jc w:val="right"/>
              <w:ind w:right="620"/>
              <w:spacing w:after="0"/>
              <w:rPr>
                <w:sz w:val="20"/>
                <w:szCs w:val="20"/>
                <w:color w:val="auto"/>
              </w:rPr>
            </w:pPr>
            <w:r>
              <w:rPr>
                <w:rFonts w:ascii="Arial" w:cs="Arial" w:eastAsia="Arial" w:hAnsi="Arial"/>
                <w:sz w:val="17"/>
                <w:szCs w:val="17"/>
                <w:color w:val="auto"/>
              </w:rPr>
              <w:t>987</w:t>
            </w:r>
          </w:p>
        </w:tc>
        <w:tc>
          <w:tcPr>
            <w:tcW w:w="1020" w:type="dxa"/>
            <w:vAlign w:val="bottom"/>
            <w:gridSpan w:val="2"/>
          </w:tcPr>
          <w:p>
            <w:pPr>
              <w:jc w:val="right"/>
              <w:ind w:right="60"/>
              <w:spacing w:after="0"/>
              <w:rPr>
                <w:sz w:val="20"/>
                <w:szCs w:val="20"/>
                <w:color w:val="auto"/>
              </w:rPr>
            </w:pPr>
            <w:r>
              <w:rPr>
                <w:rFonts w:ascii="Arial" w:cs="Arial" w:eastAsia="Arial" w:hAnsi="Arial"/>
                <w:sz w:val="17"/>
                <w:szCs w:val="17"/>
                <w:color w:val="auto"/>
              </w:rPr>
              <w:t>206,529.75</w:t>
            </w:r>
          </w:p>
        </w:tc>
        <w:tc>
          <w:tcPr>
            <w:tcW w:w="0" w:type="dxa"/>
            <w:vAlign w:val="bottom"/>
          </w:tcPr>
          <w:p>
            <w:pPr>
              <w:spacing w:after="0"/>
              <w:rPr>
                <w:sz w:val="1"/>
                <w:szCs w:val="1"/>
                <w:color w:val="auto"/>
              </w:rPr>
            </w:pPr>
          </w:p>
        </w:tc>
      </w:tr>
      <w:tr>
        <w:trPr>
          <w:trHeight w:val="206"/>
        </w:trPr>
        <w:tc>
          <w:tcPr>
            <w:tcW w:w="5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iProfile U.S. Equity Pool - Large Cap Growth Mandate</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4,676</w:t>
            </w:r>
          </w:p>
        </w:tc>
        <w:tc>
          <w:tcPr>
            <w:tcW w:w="6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978,453.00</w:t>
            </w:r>
          </w:p>
        </w:tc>
        <w:tc>
          <w:tcPr>
            <w:tcW w:w="0" w:type="dxa"/>
            <w:vAlign w:val="bottom"/>
          </w:tcPr>
          <w:p>
            <w:pPr>
              <w:spacing w:after="0"/>
              <w:rPr>
                <w:sz w:val="1"/>
                <w:szCs w:val="1"/>
                <w:color w:val="auto"/>
              </w:rPr>
            </w:pPr>
          </w:p>
        </w:tc>
      </w:tr>
      <w:tr>
        <w:trPr>
          <w:trHeight w:val="206"/>
        </w:trPr>
        <w:tc>
          <w:tcPr>
            <w:tcW w:w="5240" w:type="dxa"/>
            <w:vAlign w:val="bottom"/>
            <w:gridSpan w:val="2"/>
          </w:tcPr>
          <w:p>
            <w:pPr>
              <w:spacing w:after="0"/>
              <w:rPr>
                <w:sz w:val="20"/>
                <w:szCs w:val="20"/>
                <w:color w:val="auto"/>
              </w:rPr>
            </w:pPr>
            <w:r>
              <w:rPr>
                <w:rFonts w:ascii="Arial" w:cs="Arial" w:eastAsia="Arial" w:hAnsi="Arial"/>
                <w:sz w:val="17"/>
                <w:szCs w:val="17"/>
                <w:color w:val="auto"/>
              </w:rPr>
              <w:t>London Life Global Equity Fund 2.05L</w:t>
            </w:r>
          </w:p>
        </w:tc>
        <w:tc>
          <w:tcPr>
            <w:tcW w:w="1120" w:type="dxa"/>
            <w:vAlign w:val="bottom"/>
          </w:tcPr>
          <w:p>
            <w:pPr>
              <w:jc w:val="right"/>
              <w:spacing w:after="0"/>
              <w:rPr>
                <w:sz w:val="20"/>
                <w:szCs w:val="20"/>
                <w:color w:val="auto"/>
              </w:rPr>
            </w:pPr>
            <w:r>
              <w:rPr>
                <w:rFonts w:ascii="Arial" w:cs="Arial" w:eastAsia="Arial" w:hAnsi="Arial"/>
                <w:sz w:val="17"/>
                <w:szCs w:val="17"/>
                <w:color w:val="auto"/>
              </w:rPr>
              <w:t>3,200</w:t>
            </w:r>
          </w:p>
        </w:tc>
        <w:tc>
          <w:tcPr>
            <w:tcW w:w="62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7"/>
                <w:szCs w:val="17"/>
                <w:color w:val="auto"/>
              </w:rPr>
              <w:t>669,600.00</w:t>
            </w:r>
          </w:p>
        </w:tc>
        <w:tc>
          <w:tcPr>
            <w:tcW w:w="0" w:type="dxa"/>
            <w:vAlign w:val="bottom"/>
          </w:tcPr>
          <w:p>
            <w:pPr>
              <w:spacing w:after="0"/>
              <w:rPr>
                <w:sz w:val="1"/>
                <w:szCs w:val="1"/>
                <w:color w:val="auto"/>
              </w:rPr>
            </w:pPr>
          </w:p>
        </w:tc>
      </w:tr>
      <w:tr>
        <w:trPr>
          <w:trHeight w:val="206"/>
        </w:trPr>
        <w:tc>
          <w:tcPr>
            <w:tcW w:w="5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Mackenzie US All Cap Growth Fund</w:t>
            </w:r>
          </w:p>
        </w:tc>
        <w:tc>
          <w:tcPr>
            <w:tcW w:w="174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6,511</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4"/>
              </w:rPr>
              <w:t>1,362,426.75</w:t>
            </w:r>
          </w:p>
        </w:tc>
        <w:tc>
          <w:tcPr>
            <w:tcW w:w="0" w:type="dxa"/>
            <w:vAlign w:val="bottom"/>
          </w:tcPr>
          <w:p>
            <w:pPr>
              <w:spacing w:after="0"/>
              <w:rPr>
                <w:sz w:val="1"/>
                <w:szCs w:val="1"/>
                <w:color w:val="auto"/>
              </w:rPr>
            </w:pPr>
          </w:p>
        </w:tc>
      </w:tr>
    </w:tbl>
    <w:p>
      <w:pPr>
        <w:sectPr>
          <w:pgSz w:w="11900" w:h="16838" w:orient="portrait"/>
          <w:cols w:equalWidth="0" w:num="1">
            <w:col w:w="9019"/>
          </w:cols>
          <w:pgMar w:left="1440" w:top="263" w:right="1440" w:bottom="1440" w:gutter="0" w:footer="0" w:header="0"/>
        </w:sectPr>
      </w:pPr>
    </w:p>
    <w:bookmarkStart w:id="59" w:name="page60"/>
    <w:bookmarkEnd w:id="5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440690</wp:posOffset>
            </wp:positionH>
            <wp:positionV relativeFrom="page">
              <wp:posOffset>964565</wp:posOffset>
            </wp:positionV>
            <wp:extent cx="1939925" cy="1308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clrChange>
                        <a:clrFrom>
                          <a:srgbClr val="FFFFFF"/>
                        </a:clrFrom>
                        <a:clrTo>
                          <a:srgbClr val="FFFFFF">
                            <a:alpha val="0"/>
                          </a:srgbClr>
                        </a:clrTo>
                      </a:clrChange>
                      <a:extLst>
                        <a:ext uri="{28A0092B-C50C-407E-A947-70E740481C1C}"/>
                      </a:extLst>
                    </a:blip>
                    <a:srcRect/>
                    <a:stretch>
                      <a:fillRect/>
                    </a:stretch>
                  </pic:blipFill>
                  <pic:spPr bwMode="auto">
                    <a:xfrm>
                      <a:off x="0" y="0"/>
                      <a:ext cx="1939925" cy="130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color w:val="auto"/>
        </w:rPr>
        <w:t>November 15,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color w:val="auto"/>
        </w:rPr>
        <w:t>ICU Medical, Inc.</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951 Calle Amanecer</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San Clemente, California 92673</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7"/>
          <w:szCs w:val="17"/>
          <w:b w:val="1"/>
          <w:bCs w:val="1"/>
          <w:color w:val="auto"/>
        </w:rPr>
        <w:t>Exhibit 5.1</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650 Town Center Drive, 20th Floor</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Costa Mesa, California 92626-1925</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Tel: +1.714.540.1235 Fax: +1.714.755.8290</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www.lw.com</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FIRM / AFFILIATE OFFICES</w:t>
      </w:r>
    </w:p>
    <w:p>
      <w:pPr>
        <w:spacing w:after="0" w:line="22" w:lineRule="exact"/>
        <w:rPr>
          <w:sz w:val="20"/>
          <w:szCs w:val="20"/>
          <w:color w:val="auto"/>
        </w:rPr>
      </w:pPr>
    </w:p>
    <w:p>
      <w:pPr>
        <w:spacing w:after="0"/>
        <w:tabs>
          <w:tab w:leader="none" w:pos="1440" w:val="left"/>
        </w:tabs>
        <w:rPr>
          <w:sz w:val="20"/>
          <w:szCs w:val="20"/>
          <w:color w:val="auto"/>
        </w:rPr>
      </w:pPr>
      <w:r>
        <w:rPr>
          <w:rFonts w:ascii="Arial" w:cs="Arial" w:eastAsia="Arial" w:hAnsi="Arial"/>
          <w:sz w:val="17"/>
          <w:szCs w:val="17"/>
          <w:color w:val="auto"/>
        </w:rPr>
        <w:t>Beijing</w:t>
      </w:r>
      <w:r>
        <w:rPr>
          <w:sz w:val="20"/>
          <w:szCs w:val="20"/>
          <w:color w:val="auto"/>
        </w:rPr>
        <w:tab/>
      </w:r>
      <w:r>
        <w:rPr>
          <w:rFonts w:ascii="Arial" w:cs="Arial" w:eastAsia="Arial" w:hAnsi="Arial"/>
          <w:sz w:val="17"/>
          <w:szCs w:val="17"/>
          <w:color w:val="auto"/>
        </w:rPr>
        <w:t>Moscow</w:t>
      </w:r>
    </w:p>
    <w:p>
      <w:pPr>
        <w:spacing w:after="0" w:line="11" w:lineRule="exact"/>
        <w:rPr>
          <w:sz w:val="20"/>
          <w:szCs w:val="20"/>
          <w:color w:val="auto"/>
        </w:rPr>
      </w:pPr>
    </w:p>
    <w:p>
      <w:pPr>
        <w:spacing w:after="0"/>
        <w:tabs>
          <w:tab w:leader="none" w:pos="1440" w:val="left"/>
        </w:tabs>
        <w:rPr>
          <w:sz w:val="20"/>
          <w:szCs w:val="20"/>
          <w:color w:val="auto"/>
        </w:rPr>
      </w:pPr>
      <w:r>
        <w:rPr>
          <w:rFonts w:ascii="Arial" w:cs="Arial" w:eastAsia="Arial" w:hAnsi="Arial"/>
          <w:sz w:val="17"/>
          <w:szCs w:val="17"/>
          <w:color w:val="auto"/>
        </w:rPr>
        <w:t>Boston</w:t>
      </w:r>
      <w:r>
        <w:rPr>
          <w:sz w:val="20"/>
          <w:szCs w:val="20"/>
          <w:color w:val="auto"/>
        </w:rPr>
        <w:tab/>
      </w:r>
      <w:r>
        <w:rPr>
          <w:rFonts w:ascii="Arial" w:cs="Arial" w:eastAsia="Arial" w:hAnsi="Arial"/>
          <w:sz w:val="17"/>
          <w:szCs w:val="17"/>
          <w:color w:val="auto"/>
        </w:rPr>
        <w:t>Munich</w:t>
      </w:r>
    </w:p>
    <w:p>
      <w:pPr>
        <w:spacing w:after="0" w:line="11" w:lineRule="exact"/>
        <w:rPr>
          <w:sz w:val="20"/>
          <w:szCs w:val="20"/>
          <w:color w:val="auto"/>
        </w:rPr>
      </w:pPr>
    </w:p>
    <w:p>
      <w:pPr>
        <w:spacing w:after="0"/>
        <w:tabs>
          <w:tab w:leader="none" w:pos="1440" w:val="left"/>
        </w:tabs>
        <w:rPr>
          <w:sz w:val="20"/>
          <w:szCs w:val="20"/>
          <w:color w:val="auto"/>
        </w:rPr>
      </w:pPr>
      <w:r>
        <w:rPr>
          <w:rFonts w:ascii="Arial" w:cs="Arial" w:eastAsia="Arial" w:hAnsi="Arial"/>
          <w:sz w:val="17"/>
          <w:szCs w:val="17"/>
          <w:color w:val="auto"/>
        </w:rPr>
        <w:t>Brussels</w:t>
      </w:r>
      <w:r>
        <w:rPr>
          <w:sz w:val="20"/>
          <w:szCs w:val="20"/>
          <w:color w:val="auto"/>
        </w:rPr>
        <w:tab/>
      </w:r>
      <w:r>
        <w:rPr>
          <w:rFonts w:ascii="Arial" w:cs="Arial" w:eastAsia="Arial" w:hAnsi="Arial"/>
          <w:sz w:val="17"/>
          <w:szCs w:val="17"/>
          <w:color w:val="auto"/>
        </w:rPr>
        <w:t>New York</w:t>
      </w:r>
    </w:p>
    <w:p>
      <w:pPr>
        <w:spacing w:after="0" w:line="11" w:lineRule="exact"/>
        <w:rPr>
          <w:sz w:val="20"/>
          <w:szCs w:val="20"/>
          <w:color w:val="auto"/>
        </w:rPr>
      </w:pPr>
    </w:p>
    <w:p>
      <w:pPr>
        <w:spacing w:after="0"/>
        <w:tabs>
          <w:tab w:leader="none" w:pos="1440" w:val="left"/>
        </w:tabs>
        <w:rPr>
          <w:sz w:val="20"/>
          <w:szCs w:val="20"/>
          <w:color w:val="auto"/>
        </w:rPr>
      </w:pPr>
      <w:r>
        <w:rPr>
          <w:rFonts w:ascii="Arial" w:cs="Arial" w:eastAsia="Arial" w:hAnsi="Arial"/>
          <w:sz w:val="17"/>
          <w:szCs w:val="17"/>
          <w:color w:val="auto"/>
        </w:rPr>
        <w:t>Century City</w:t>
      </w:r>
      <w:r>
        <w:rPr>
          <w:sz w:val="20"/>
          <w:szCs w:val="20"/>
          <w:color w:val="auto"/>
        </w:rPr>
        <w:tab/>
      </w:r>
      <w:r>
        <w:rPr>
          <w:rFonts w:ascii="Arial" w:cs="Arial" w:eastAsia="Arial" w:hAnsi="Arial"/>
          <w:sz w:val="15"/>
          <w:szCs w:val="15"/>
          <w:color w:val="auto"/>
        </w:rPr>
        <w:t>Orange County</w:t>
      </w:r>
    </w:p>
    <w:p>
      <w:pPr>
        <w:spacing w:after="0" w:line="11" w:lineRule="exact"/>
        <w:rPr>
          <w:sz w:val="20"/>
          <w:szCs w:val="20"/>
          <w:color w:val="auto"/>
        </w:rPr>
      </w:pPr>
    </w:p>
    <w:p>
      <w:pPr>
        <w:spacing w:after="0"/>
        <w:tabs>
          <w:tab w:leader="none" w:pos="1440" w:val="left"/>
        </w:tabs>
        <w:rPr>
          <w:sz w:val="20"/>
          <w:szCs w:val="20"/>
          <w:color w:val="auto"/>
        </w:rPr>
      </w:pPr>
      <w:r>
        <w:rPr>
          <w:rFonts w:ascii="Arial" w:cs="Arial" w:eastAsia="Arial" w:hAnsi="Arial"/>
          <w:sz w:val="17"/>
          <w:szCs w:val="17"/>
          <w:color w:val="auto"/>
        </w:rPr>
        <w:t>Chicago</w:t>
      </w:r>
      <w:r>
        <w:rPr>
          <w:sz w:val="20"/>
          <w:szCs w:val="20"/>
          <w:color w:val="auto"/>
        </w:rPr>
        <w:tab/>
      </w:r>
      <w:r>
        <w:rPr>
          <w:rFonts w:ascii="Arial" w:cs="Arial" w:eastAsia="Arial" w:hAnsi="Arial"/>
          <w:sz w:val="17"/>
          <w:szCs w:val="17"/>
          <w:color w:val="auto"/>
        </w:rPr>
        <w:t>Paris</w:t>
      </w:r>
    </w:p>
    <w:p>
      <w:pPr>
        <w:spacing w:after="0" w:line="11" w:lineRule="exact"/>
        <w:rPr>
          <w:sz w:val="20"/>
          <w:szCs w:val="20"/>
          <w:color w:val="auto"/>
        </w:rPr>
      </w:pPr>
    </w:p>
    <w:p>
      <w:pPr>
        <w:spacing w:after="0"/>
        <w:tabs>
          <w:tab w:leader="none" w:pos="1440" w:val="left"/>
        </w:tabs>
        <w:rPr>
          <w:sz w:val="20"/>
          <w:szCs w:val="20"/>
          <w:color w:val="auto"/>
        </w:rPr>
      </w:pPr>
      <w:r>
        <w:rPr>
          <w:rFonts w:ascii="Arial" w:cs="Arial" w:eastAsia="Arial" w:hAnsi="Arial"/>
          <w:sz w:val="17"/>
          <w:szCs w:val="17"/>
          <w:color w:val="auto"/>
        </w:rPr>
        <w:t>Dubai</w:t>
      </w:r>
      <w:r>
        <w:rPr>
          <w:sz w:val="20"/>
          <w:szCs w:val="20"/>
          <w:color w:val="auto"/>
        </w:rPr>
        <w:tab/>
      </w:r>
      <w:r>
        <w:rPr>
          <w:rFonts w:ascii="Arial" w:cs="Arial" w:eastAsia="Arial" w:hAnsi="Arial"/>
          <w:sz w:val="17"/>
          <w:szCs w:val="17"/>
          <w:color w:val="auto"/>
        </w:rPr>
        <w:t>Riyadh</w:t>
      </w:r>
    </w:p>
    <w:p>
      <w:pPr>
        <w:spacing w:after="0" w:line="11" w:lineRule="exact"/>
        <w:rPr>
          <w:sz w:val="20"/>
          <w:szCs w:val="20"/>
          <w:color w:val="auto"/>
        </w:rPr>
      </w:pPr>
    </w:p>
    <w:p>
      <w:pPr>
        <w:spacing w:after="0"/>
        <w:tabs>
          <w:tab w:leader="none" w:pos="1440" w:val="left"/>
        </w:tabs>
        <w:rPr>
          <w:sz w:val="20"/>
          <w:szCs w:val="20"/>
          <w:color w:val="auto"/>
        </w:rPr>
      </w:pPr>
      <w:r>
        <w:rPr>
          <w:rFonts w:ascii="Arial" w:cs="Arial" w:eastAsia="Arial" w:hAnsi="Arial"/>
          <w:sz w:val="17"/>
          <w:szCs w:val="17"/>
          <w:color w:val="auto"/>
        </w:rPr>
        <w:t>Düsseldorf</w:t>
      </w:r>
      <w:r>
        <w:rPr>
          <w:sz w:val="20"/>
          <w:szCs w:val="20"/>
          <w:color w:val="auto"/>
        </w:rPr>
        <w:tab/>
      </w:r>
      <w:r>
        <w:rPr>
          <w:rFonts w:ascii="Arial" w:cs="Arial" w:eastAsia="Arial" w:hAnsi="Arial"/>
          <w:sz w:val="17"/>
          <w:szCs w:val="17"/>
          <w:color w:val="auto"/>
        </w:rPr>
        <w:t>Rome</w:t>
      </w:r>
    </w:p>
    <w:p>
      <w:pPr>
        <w:spacing w:after="0" w:line="11" w:lineRule="exact"/>
        <w:rPr>
          <w:sz w:val="20"/>
          <w:szCs w:val="20"/>
          <w:color w:val="auto"/>
        </w:rPr>
      </w:pPr>
    </w:p>
    <w:p>
      <w:pPr>
        <w:spacing w:after="0"/>
        <w:tabs>
          <w:tab w:leader="none" w:pos="1440" w:val="left"/>
        </w:tabs>
        <w:rPr>
          <w:sz w:val="20"/>
          <w:szCs w:val="20"/>
          <w:color w:val="auto"/>
        </w:rPr>
      </w:pPr>
      <w:r>
        <w:rPr>
          <w:rFonts w:ascii="Arial" w:cs="Arial" w:eastAsia="Arial" w:hAnsi="Arial"/>
          <w:sz w:val="17"/>
          <w:szCs w:val="17"/>
          <w:color w:val="auto"/>
        </w:rPr>
        <w:t>Frankfurt</w:t>
      </w:r>
      <w:r>
        <w:rPr>
          <w:sz w:val="20"/>
          <w:szCs w:val="20"/>
          <w:color w:val="auto"/>
        </w:rPr>
        <w:tab/>
      </w:r>
      <w:r>
        <w:rPr>
          <w:rFonts w:ascii="Arial" w:cs="Arial" w:eastAsia="Arial" w:hAnsi="Arial"/>
          <w:sz w:val="17"/>
          <w:szCs w:val="17"/>
          <w:color w:val="auto"/>
        </w:rPr>
        <w:t>San Diego</w:t>
      </w:r>
    </w:p>
    <w:p>
      <w:pPr>
        <w:spacing w:after="0" w:line="11" w:lineRule="exact"/>
        <w:rPr>
          <w:sz w:val="20"/>
          <w:szCs w:val="20"/>
          <w:color w:val="auto"/>
        </w:rPr>
      </w:pPr>
    </w:p>
    <w:p>
      <w:pPr>
        <w:spacing w:after="0"/>
        <w:tabs>
          <w:tab w:leader="none" w:pos="1440" w:val="left"/>
        </w:tabs>
        <w:rPr>
          <w:sz w:val="20"/>
          <w:szCs w:val="20"/>
          <w:color w:val="auto"/>
        </w:rPr>
      </w:pPr>
      <w:r>
        <w:rPr>
          <w:rFonts w:ascii="Arial" w:cs="Arial" w:eastAsia="Arial" w:hAnsi="Arial"/>
          <w:sz w:val="17"/>
          <w:szCs w:val="17"/>
          <w:color w:val="auto"/>
        </w:rPr>
        <w:t>Hamburg</w:t>
      </w:r>
      <w:r>
        <w:rPr>
          <w:sz w:val="20"/>
          <w:szCs w:val="20"/>
          <w:color w:val="auto"/>
        </w:rPr>
        <w:tab/>
      </w:r>
      <w:r>
        <w:rPr>
          <w:rFonts w:ascii="Arial" w:cs="Arial" w:eastAsia="Arial" w:hAnsi="Arial"/>
          <w:sz w:val="17"/>
          <w:szCs w:val="17"/>
          <w:color w:val="auto"/>
        </w:rPr>
        <w:t>San Francisco</w:t>
      </w:r>
    </w:p>
    <w:p>
      <w:pPr>
        <w:spacing w:after="0" w:line="11" w:lineRule="exact"/>
        <w:rPr>
          <w:sz w:val="20"/>
          <w:szCs w:val="20"/>
          <w:color w:val="auto"/>
        </w:rPr>
      </w:pPr>
    </w:p>
    <w:p>
      <w:pPr>
        <w:spacing w:after="0"/>
        <w:tabs>
          <w:tab w:leader="none" w:pos="1440" w:val="left"/>
        </w:tabs>
        <w:rPr>
          <w:sz w:val="20"/>
          <w:szCs w:val="20"/>
          <w:color w:val="auto"/>
        </w:rPr>
      </w:pPr>
      <w:r>
        <w:rPr>
          <w:rFonts w:ascii="Arial" w:cs="Arial" w:eastAsia="Arial" w:hAnsi="Arial"/>
          <w:sz w:val="17"/>
          <w:szCs w:val="17"/>
          <w:color w:val="auto"/>
        </w:rPr>
        <w:t>Hong Kong</w:t>
      </w:r>
      <w:r>
        <w:rPr>
          <w:sz w:val="20"/>
          <w:szCs w:val="20"/>
          <w:color w:val="auto"/>
        </w:rPr>
        <w:tab/>
      </w:r>
      <w:r>
        <w:rPr>
          <w:rFonts w:ascii="Arial" w:cs="Arial" w:eastAsia="Arial" w:hAnsi="Arial"/>
          <w:sz w:val="15"/>
          <w:szCs w:val="15"/>
          <w:color w:val="auto"/>
        </w:rPr>
        <w:t>Seoul</w:t>
      </w:r>
    </w:p>
    <w:p>
      <w:pPr>
        <w:spacing w:after="0" w:line="11" w:lineRule="exact"/>
        <w:rPr>
          <w:sz w:val="20"/>
          <w:szCs w:val="20"/>
          <w:color w:val="auto"/>
        </w:rPr>
      </w:pPr>
    </w:p>
    <w:p>
      <w:pPr>
        <w:spacing w:after="0"/>
        <w:tabs>
          <w:tab w:leader="none" w:pos="1440" w:val="left"/>
        </w:tabs>
        <w:rPr>
          <w:sz w:val="20"/>
          <w:szCs w:val="20"/>
          <w:color w:val="auto"/>
        </w:rPr>
      </w:pPr>
      <w:r>
        <w:rPr>
          <w:rFonts w:ascii="Arial" w:cs="Arial" w:eastAsia="Arial" w:hAnsi="Arial"/>
          <w:sz w:val="17"/>
          <w:szCs w:val="17"/>
          <w:color w:val="auto"/>
        </w:rPr>
        <w:t>Houston</w:t>
      </w:r>
      <w:r>
        <w:rPr>
          <w:sz w:val="20"/>
          <w:szCs w:val="20"/>
          <w:color w:val="auto"/>
        </w:rPr>
        <w:tab/>
      </w:r>
      <w:r>
        <w:rPr>
          <w:rFonts w:ascii="Arial" w:cs="Arial" w:eastAsia="Arial" w:hAnsi="Arial"/>
          <w:sz w:val="17"/>
          <w:szCs w:val="17"/>
          <w:color w:val="auto"/>
        </w:rPr>
        <w:t>Shanghai</w:t>
      </w:r>
    </w:p>
    <w:p>
      <w:pPr>
        <w:spacing w:after="0" w:line="11" w:lineRule="exact"/>
        <w:rPr>
          <w:sz w:val="20"/>
          <w:szCs w:val="20"/>
          <w:color w:val="auto"/>
        </w:rPr>
      </w:pPr>
    </w:p>
    <w:p>
      <w:pPr>
        <w:spacing w:after="0"/>
        <w:tabs>
          <w:tab w:leader="none" w:pos="1440" w:val="left"/>
        </w:tabs>
        <w:rPr>
          <w:sz w:val="20"/>
          <w:szCs w:val="20"/>
          <w:color w:val="auto"/>
        </w:rPr>
      </w:pPr>
      <w:r>
        <w:rPr>
          <w:rFonts w:ascii="Arial" w:cs="Arial" w:eastAsia="Arial" w:hAnsi="Arial"/>
          <w:sz w:val="17"/>
          <w:szCs w:val="17"/>
          <w:color w:val="auto"/>
        </w:rPr>
        <w:t>London</w:t>
      </w:r>
      <w:r>
        <w:rPr>
          <w:sz w:val="20"/>
          <w:szCs w:val="20"/>
          <w:color w:val="auto"/>
        </w:rPr>
        <w:tab/>
      </w:r>
      <w:r>
        <w:rPr>
          <w:rFonts w:ascii="Arial" w:cs="Arial" w:eastAsia="Arial" w:hAnsi="Arial"/>
          <w:sz w:val="17"/>
          <w:szCs w:val="17"/>
          <w:color w:val="auto"/>
        </w:rPr>
        <w:t>Silicon Valley</w:t>
      </w:r>
    </w:p>
    <w:p>
      <w:pPr>
        <w:spacing w:after="0" w:line="11" w:lineRule="exact"/>
        <w:rPr>
          <w:sz w:val="20"/>
          <w:szCs w:val="20"/>
          <w:color w:val="auto"/>
        </w:rPr>
      </w:pPr>
    </w:p>
    <w:p>
      <w:pPr>
        <w:spacing w:after="0"/>
        <w:tabs>
          <w:tab w:leader="none" w:pos="1440" w:val="left"/>
        </w:tabs>
        <w:rPr>
          <w:sz w:val="20"/>
          <w:szCs w:val="20"/>
          <w:color w:val="auto"/>
        </w:rPr>
      </w:pPr>
      <w:r>
        <w:rPr>
          <w:rFonts w:ascii="Arial" w:cs="Arial" w:eastAsia="Arial" w:hAnsi="Arial"/>
          <w:sz w:val="17"/>
          <w:szCs w:val="17"/>
          <w:color w:val="auto"/>
        </w:rPr>
        <w:t>Los Angeles</w:t>
      </w:r>
      <w:r>
        <w:rPr>
          <w:sz w:val="20"/>
          <w:szCs w:val="20"/>
          <w:color w:val="auto"/>
        </w:rPr>
        <w:tab/>
      </w:r>
      <w:r>
        <w:rPr>
          <w:rFonts w:ascii="Arial" w:cs="Arial" w:eastAsia="Arial" w:hAnsi="Arial"/>
          <w:sz w:val="15"/>
          <w:szCs w:val="15"/>
          <w:color w:val="auto"/>
        </w:rPr>
        <w:t>Singapore</w:t>
      </w:r>
    </w:p>
    <w:p>
      <w:pPr>
        <w:spacing w:after="0" w:line="11" w:lineRule="exact"/>
        <w:rPr>
          <w:sz w:val="20"/>
          <w:szCs w:val="20"/>
          <w:color w:val="auto"/>
        </w:rPr>
      </w:pPr>
    </w:p>
    <w:p>
      <w:pPr>
        <w:spacing w:after="0"/>
        <w:tabs>
          <w:tab w:leader="none" w:pos="1440" w:val="left"/>
        </w:tabs>
        <w:rPr>
          <w:sz w:val="20"/>
          <w:szCs w:val="20"/>
          <w:color w:val="auto"/>
        </w:rPr>
      </w:pPr>
      <w:r>
        <w:rPr>
          <w:rFonts w:ascii="Arial" w:cs="Arial" w:eastAsia="Arial" w:hAnsi="Arial"/>
          <w:sz w:val="17"/>
          <w:szCs w:val="17"/>
          <w:color w:val="auto"/>
        </w:rPr>
        <w:t>Madrid</w:t>
      </w:r>
      <w:r>
        <w:rPr>
          <w:sz w:val="20"/>
          <w:szCs w:val="20"/>
          <w:color w:val="auto"/>
        </w:rPr>
        <w:tab/>
      </w:r>
      <w:r>
        <w:rPr>
          <w:rFonts w:ascii="Arial" w:cs="Arial" w:eastAsia="Arial" w:hAnsi="Arial"/>
          <w:sz w:val="17"/>
          <w:szCs w:val="17"/>
          <w:color w:val="auto"/>
        </w:rPr>
        <w:t>Tokyo</w:t>
      </w:r>
    </w:p>
    <w:p>
      <w:pPr>
        <w:spacing w:after="0" w:line="11" w:lineRule="exact"/>
        <w:rPr>
          <w:sz w:val="20"/>
          <w:szCs w:val="20"/>
          <w:color w:val="auto"/>
        </w:rPr>
      </w:pPr>
    </w:p>
    <w:p>
      <w:pPr>
        <w:spacing w:after="0"/>
        <w:tabs>
          <w:tab w:leader="none" w:pos="1440" w:val="left"/>
        </w:tabs>
        <w:rPr>
          <w:sz w:val="20"/>
          <w:szCs w:val="20"/>
          <w:color w:val="auto"/>
        </w:rPr>
      </w:pPr>
      <w:r>
        <w:rPr>
          <w:rFonts w:ascii="Arial" w:cs="Arial" w:eastAsia="Arial" w:hAnsi="Arial"/>
          <w:sz w:val="17"/>
          <w:szCs w:val="17"/>
          <w:color w:val="auto"/>
        </w:rPr>
        <w:t>Milan</w:t>
      </w:r>
      <w:r>
        <w:rPr>
          <w:sz w:val="20"/>
          <w:szCs w:val="20"/>
          <w:color w:val="auto"/>
        </w:rPr>
        <w:tab/>
      </w:r>
      <w:r>
        <w:rPr>
          <w:rFonts w:ascii="Arial" w:cs="Arial" w:eastAsia="Arial" w:hAnsi="Arial"/>
          <w:sz w:val="17"/>
          <w:szCs w:val="17"/>
          <w:color w:val="auto"/>
        </w:rPr>
        <w:t>Washington, D.C.</w:t>
      </w:r>
    </w:p>
    <w:p>
      <w:pPr>
        <w:spacing w:after="0" w:line="976" w:lineRule="exact"/>
        <w:rPr>
          <w:sz w:val="20"/>
          <w:szCs w:val="20"/>
          <w:color w:val="auto"/>
        </w:rPr>
      </w:pPr>
    </w:p>
    <w:p>
      <w:pPr>
        <w:sectPr>
          <w:pgSz w:w="11900" w:h="16838" w:orient="portrait"/>
          <w:cols w:equalWidth="0" w:num="2">
            <w:col w:w="6240" w:space="720"/>
            <w:col w:w="3560"/>
          </w:cols>
          <w:pgMar w:left="700" w:top="121" w:right="679" w:bottom="1440" w:gutter="0" w:footer="0" w:header="0"/>
        </w:sectPr>
      </w:pPr>
    </w:p>
    <w:p>
      <w:pPr>
        <w:spacing w:after="0" w:line="68" w:lineRule="exact"/>
        <w:rPr>
          <w:sz w:val="20"/>
          <w:szCs w:val="20"/>
          <w:color w:val="auto"/>
        </w:rPr>
      </w:pPr>
    </w:p>
    <w:p>
      <w:pPr>
        <w:ind w:left="520"/>
        <w:spacing w:after="0"/>
        <w:tabs>
          <w:tab w:leader="none" w:pos="1000" w:val="left"/>
        </w:tabs>
        <w:rPr>
          <w:sz w:val="20"/>
          <w:szCs w:val="20"/>
          <w:color w:val="auto"/>
        </w:rPr>
      </w:pPr>
      <w:r>
        <w:rPr>
          <w:rFonts w:ascii="Arial" w:cs="Arial" w:eastAsia="Arial" w:hAnsi="Arial"/>
          <w:sz w:val="17"/>
          <w:szCs w:val="17"/>
          <w:color w:val="auto"/>
        </w:rPr>
        <w:t>Re:</w:t>
      </w:r>
      <w:r>
        <w:rPr>
          <w:sz w:val="20"/>
          <w:szCs w:val="20"/>
          <w:color w:val="auto"/>
        </w:rPr>
        <w:tab/>
      </w:r>
      <w:r>
        <w:rPr>
          <w:rFonts w:ascii="Arial" w:cs="Arial" w:eastAsia="Arial" w:hAnsi="Arial"/>
          <w:sz w:val="17"/>
          <w:szCs w:val="17"/>
          <w:u w:val="single" w:color="auto"/>
          <w:color w:val="auto"/>
        </w:rPr>
        <w:t>Registration Statement on Form S-3; 2,500,000 shares of common stock, par value $0.10 per share</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Ladies and Gentlemen:</w:t>
      </w:r>
    </w:p>
    <w:p>
      <w:pPr>
        <w:spacing w:after="0" w:line="114" w:lineRule="exact"/>
        <w:rPr>
          <w:sz w:val="20"/>
          <w:szCs w:val="20"/>
          <w:color w:val="auto"/>
        </w:rPr>
      </w:pPr>
    </w:p>
    <w:p>
      <w:pPr>
        <w:ind w:right="180" w:firstLine="421"/>
        <w:spacing w:after="0" w:line="257" w:lineRule="auto"/>
        <w:rPr>
          <w:sz w:val="20"/>
          <w:szCs w:val="20"/>
          <w:color w:val="auto"/>
        </w:rPr>
      </w:pPr>
      <w:r>
        <w:rPr>
          <w:rFonts w:ascii="Arial" w:cs="Arial" w:eastAsia="Arial" w:hAnsi="Arial"/>
          <w:sz w:val="17"/>
          <w:szCs w:val="17"/>
          <w:color w:val="auto"/>
        </w:rPr>
        <w:t>We have acted as special counsel to ICU Medical, Inc., a Delaware corporation (the “</w:t>
      </w:r>
      <w:r>
        <w:rPr>
          <w:rFonts w:ascii="Arial" w:cs="Arial" w:eastAsia="Arial" w:hAnsi="Arial"/>
          <w:sz w:val="17"/>
          <w:szCs w:val="17"/>
          <w:i w:val="1"/>
          <w:iCs w:val="1"/>
          <w:color w:val="auto"/>
        </w:rPr>
        <w:t>Company</w:t>
      </w:r>
      <w:r>
        <w:rPr>
          <w:rFonts w:ascii="Arial" w:cs="Arial" w:eastAsia="Arial" w:hAnsi="Arial"/>
          <w:sz w:val="17"/>
          <w:szCs w:val="17"/>
          <w:color w:val="auto"/>
        </w:rPr>
        <w:t>”), in connection with the proposed offer and sale of up to 2,500,000 shares (the “</w:t>
      </w:r>
      <w:r>
        <w:rPr>
          <w:rFonts w:ascii="Arial" w:cs="Arial" w:eastAsia="Arial" w:hAnsi="Arial"/>
          <w:sz w:val="17"/>
          <w:szCs w:val="17"/>
          <w:i w:val="1"/>
          <w:iCs w:val="1"/>
          <w:color w:val="auto"/>
        </w:rPr>
        <w:t>Shares</w:t>
      </w:r>
      <w:r>
        <w:rPr>
          <w:rFonts w:ascii="Arial" w:cs="Arial" w:eastAsia="Arial" w:hAnsi="Arial"/>
          <w:sz w:val="17"/>
          <w:szCs w:val="17"/>
          <w:color w:val="auto"/>
        </w:rPr>
        <w:t>”) of the Company’s common stock, par value $0.10 per share, by the selling stockholders named in the Registration Statement (as defined below). The Shares are included in a registration statement on Form S-3 under the Securities Act of 1933, as amended (the “</w:t>
      </w:r>
      <w:r>
        <w:rPr>
          <w:rFonts w:ascii="Arial" w:cs="Arial" w:eastAsia="Arial" w:hAnsi="Arial"/>
          <w:sz w:val="17"/>
          <w:szCs w:val="17"/>
          <w:i w:val="1"/>
          <w:iCs w:val="1"/>
          <w:color w:val="auto"/>
        </w:rPr>
        <w:t>Act</w:t>
      </w:r>
      <w:r>
        <w:rPr>
          <w:rFonts w:ascii="Arial" w:cs="Arial" w:eastAsia="Arial" w:hAnsi="Arial"/>
          <w:sz w:val="17"/>
          <w:szCs w:val="17"/>
          <w:color w:val="auto"/>
        </w:rPr>
        <w:t>”), filed with the Securities and Exchange Commission (the “</w:t>
      </w:r>
      <w:r>
        <w:rPr>
          <w:rFonts w:ascii="Arial" w:cs="Arial" w:eastAsia="Arial" w:hAnsi="Arial"/>
          <w:sz w:val="17"/>
          <w:szCs w:val="17"/>
          <w:i w:val="1"/>
          <w:iCs w:val="1"/>
          <w:color w:val="auto"/>
        </w:rPr>
        <w:t>Commission</w:t>
      </w:r>
      <w:r>
        <w:rPr>
          <w:rFonts w:ascii="Arial" w:cs="Arial" w:eastAsia="Arial" w:hAnsi="Arial"/>
          <w:sz w:val="17"/>
          <w:szCs w:val="17"/>
          <w:color w:val="auto"/>
        </w:rPr>
        <w:t>”) on November 15, 2018 (the “</w:t>
      </w:r>
      <w:r>
        <w:rPr>
          <w:rFonts w:ascii="Arial" w:cs="Arial" w:eastAsia="Arial" w:hAnsi="Arial"/>
          <w:sz w:val="17"/>
          <w:szCs w:val="17"/>
          <w:i w:val="1"/>
          <w:iCs w:val="1"/>
          <w:color w:val="auto"/>
        </w:rPr>
        <w:t>Registration Statement</w:t>
      </w:r>
      <w:r>
        <w:rPr>
          <w:rFonts w:ascii="Arial" w:cs="Arial" w:eastAsia="Arial" w:hAnsi="Arial"/>
          <w:sz w:val="17"/>
          <w:szCs w:val="17"/>
          <w:color w:val="auto"/>
        </w:rPr>
        <w:t>”). This opinion is being furnished in connection with the requirements of Item 601(b)(5) of Regulation S-K under the Act, and no opinion is expressed herein as to any matter pertaining to the contents of the Registration Statement or related applicable Prospectus, other than as expressly stated herein with respect to the issue of the Shares.</w:t>
      </w:r>
    </w:p>
    <w:p>
      <w:pPr>
        <w:spacing w:after="0" w:line="185" w:lineRule="exact"/>
        <w:rPr>
          <w:sz w:val="20"/>
          <w:szCs w:val="20"/>
          <w:color w:val="auto"/>
        </w:rPr>
      </w:pPr>
    </w:p>
    <w:p>
      <w:pPr>
        <w:ind w:right="180" w:firstLine="421"/>
        <w:spacing w:after="0" w:line="262" w:lineRule="auto"/>
        <w:rPr>
          <w:sz w:val="20"/>
          <w:szCs w:val="20"/>
          <w:color w:val="auto"/>
        </w:rPr>
      </w:pPr>
      <w:r>
        <w:rPr>
          <w:rFonts w:ascii="Arial" w:cs="Arial" w:eastAsia="Arial" w:hAnsi="Arial"/>
          <w:sz w:val="17"/>
          <w:szCs w:val="17"/>
          <w:color w:val="auto"/>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General Corporation Law of the State of Delaware, and we express no opinion with respect to any other laws.</w:t>
      </w:r>
    </w:p>
    <w:p>
      <w:pPr>
        <w:spacing w:after="0" w:line="75" w:lineRule="exact"/>
        <w:rPr>
          <w:sz w:val="20"/>
          <w:szCs w:val="20"/>
          <w:color w:val="auto"/>
        </w:rPr>
      </w:pPr>
    </w:p>
    <w:p>
      <w:pPr>
        <w:ind w:right="20" w:firstLine="421"/>
        <w:spacing w:after="0" w:line="262" w:lineRule="auto"/>
        <w:rPr>
          <w:sz w:val="20"/>
          <w:szCs w:val="20"/>
          <w:color w:val="auto"/>
        </w:rPr>
      </w:pPr>
      <w:r>
        <w:rPr>
          <w:rFonts w:ascii="Arial" w:cs="Arial" w:eastAsia="Arial" w:hAnsi="Arial"/>
          <w:sz w:val="17"/>
          <w:szCs w:val="17"/>
          <w:color w:val="auto"/>
        </w:rPr>
        <w:t>Subject to the foregoing and the other matters set forth herein, it is our opinion that, as of the date hereof: the Shares have been duly authorized by all necessary corporate action of the Company, are validly issued, fully paid and non-assessable. In rendering the foregoing opinion, we have assumed that the Company complied with all applicable notice requirements regarding uncertificated shares provided in the General Corporation Law of the State of Delaware.</w:t>
      </w:r>
    </w:p>
    <w:p>
      <w:pPr>
        <w:spacing w:after="0" w:line="178" w:lineRule="exact"/>
        <w:rPr>
          <w:sz w:val="20"/>
          <w:szCs w:val="20"/>
          <w:color w:val="auto"/>
        </w:rPr>
      </w:pPr>
    </w:p>
    <w:p>
      <w:pPr>
        <w:ind w:right="80" w:firstLine="421"/>
        <w:spacing w:after="0" w:line="279" w:lineRule="auto"/>
        <w:rPr>
          <w:sz w:val="20"/>
          <w:szCs w:val="20"/>
          <w:color w:val="auto"/>
        </w:rPr>
      </w:pPr>
      <w:r>
        <w:rPr>
          <w:rFonts w:ascii="Arial" w:cs="Arial" w:eastAsia="Arial" w:hAnsi="Arial"/>
          <w:sz w:val="17"/>
          <w:szCs w:val="17"/>
          <w:color w:val="auto"/>
        </w:rPr>
        <w:t>This opinion is for your benefit in connection with the Registration Statement and may be relied upon by you and by persons entitled to rely upon it pursuant to the applicable provisions of</w:t>
      </w:r>
    </w:p>
    <w:p>
      <w:pPr>
        <w:sectPr>
          <w:pgSz w:w="11900" w:h="16838" w:orient="portrait"/>
          <w:cols w:equalWidth="0" w:num="1">
            <w:col w:w="10520"/>
          </w:cols>
          <w:pgMar w:left="700" w:top="121" w:right="679" w:bottom="1440" w:gutter="0" w:footer="0" w:header="0"/>
          <w:type w:val="continuous"/>
        </w:sectPr>
      </w:pPr>
    </w:p>
    <w:bookmarkStart w:id="60" w:name="page61"/>
    <w:bookmarkEnd w:id="60"/>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7294880" cy="37465"/>
                    </a:xfrm>
                    <a:prstGeom prst="rect">
                      <a:avLst/>
                    </a:prstGeom>
                    <a:noFill/>
                  </pic:spPr>
                </pic:pic>
              </a:graphicData>
            </a:graphic>
          </wp:anchor>
        </w:drawing>
        <w:t>November 15, 2018</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154940</wp:posOffset>
            </wp:positionV>
            <wp:extent cx="1325880" cy="9017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1325880" cy="90170"/>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the Act. We consent to your filing this opinion as an exhibit to the Registration Statement and to the reference to our firm in the Prospectus under the heading “Legal Matters.” In giving such consent, we do not thereby admit that we are in the category of persons whose consent is required under Section 7 of the Act or the rules and regulations of the Commission thereunder.</w:t>
      </w:r>
    </w:p>
    <w:p>
      <w:pPr>
        <w:spacing w:after="0" w:line="175"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Very truly yours,</w:t>
      </w:r>
    </w:p>
    <w:p>
      <w:pPr>
        <w:spacing w:after="0" w:line="211"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 xml:space="preserve">/s/ </w:t>
      </w:r>
      <w:r>
        <w:rPr>
          <w:rFonts w:ascii="Arial" w:cs="Arial" w:eastAsia="Arial" w:hAnsi="Arial"/>
          <w:sz w:val="17"/>
          <w:szCs w:val="17"/>
          <w:b w:val="1"/>
          <w:bCs w:val="1"/>
          <w:color w:val="auto"/>
        </w:rPr>
        <w:t>Latham &amp; Watkins LLP</w:t>
      </w:r>
    </w:p>
    <w:p>
      <w:pPr>
        <w:sectPr>
          <w:pgSz w:w="11900" w:h="16838" w:orient="portrait"/>
          <w:cols w:equalWidth="0" w:num="1">
            <w:col w:w="10220"/>
          </w:cols>
          <w:pgMar w:left="700" w:top="263" w:right="979" w:bottom="1440" w:gutter="0" w:footer="0" w:header="0"/>
        </w:sectPr>
      </w:pPr>
    </w:p>
    <w:bookmarkStart w:id="61" w:name="page62"/>
    <w:bookmarkEnd w:id="61"/>
    <w:p>
      <w:pPr>
        <w:jc w:val="right"/>
        <w:spacing w:after="0"/>
        <w:rPr>
          <w:sz w:val="20"/>
          <w:szCs w:val="20"/>
          <w:color w:val="auto"/>
        </w:rPr>
      </w:pPr>
      <w:r>
        <w:rPr>
          <w:rFonts w:ascii="Arial" w:cs="Arial" w:eastAsia="Arial" w:hAnsi="Arial"/>
          <w:sz w:val="17"/>
          <w:szCs w:val="17"/>
          <w:b w:val="1"/>
          <w:bCs w:val="1"/>
          <w:color w:val="auto"/>
        </w:rPr>
        <w:t>Exhibit 23.2</w:t>
      </w: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120" w:lineRule="exact"/>
        <w:rPr>
          <w:sz w:val="20"/>
          <w:szCs w:val="20"/>
          <w:color w:val="auto"/>
        </w:rPr>
      </w:pPr>
    </w:p>
    <w:p>
      <w:pPr>
        <w:ind w:right="240"/>
        <w:spacing w:after="0" w:line="262" w:lineRule="auto"/>
        <w:rPr>
          <w:sz w:val="20"/>
          <w:szCs w:val="20"/>
          <w:color w:val="auto"/>
        </w:rPr>
      </w:pPr>
      <w:r>
        <w:rPr>
          <w:rFonts w:ascii="Arial" w:cs="Arial" w:eastAsia="Arial" w:hAnsi="Arial"/>
          <w:sz w:val="17"/>
          <w:szCs w:val="17"/>
          <w:color w:val="auto"/>
        </w:rPr>
        <w:t>We consent to the incorporation by reference in this Registration Statement on Form S-3 of our reports dated March 16, 2018, relating to the financial statements and financial statement schedule of ICU Medical, Inc. (“the Company”), and the effectiveness of the Company’s internal control over financial reporting, appearing in the Annual Report on Form 10-K of the Company for the year ended December 31, 2017, and to the reference to us under the heading “Experts” in the Prospectus, which is part of this Registration Statement.</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/s/ DELOITTE &amp; TOUCHE LLP</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Costa Mesa, CA</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November 15, 2018</w:t>
      </w:r>
    </w:p>
    <w:p>
      <w:pPr>
        <w:sectPr>
          <w:pgSz w:w="11900" w:h="16838" w:orient="portrait"/>
          <w:cols w:equalWidth="0" w:num="1">
            <w:col w:w="10520"/>
          </w:cols>
          <w:pgMar w:left="700" w:top="121" w:right="679" w:bottom="1440" w:gutter="0" w:footer="0" w:header="0"/>
        </w:sectPr>
      </w:pPr>
    </w:p>
    <w:bookmarkStart w:id="62" w:name="page63"/>
    <w:bookmarkEnd w:id="62"/>
    <w:p>
      <w:pPr>
        <w:jc w:val="right"/>
        <w:spacing w:after="0"/>
        <w:rPr>
          <w:sz w:val="20"/>
          <w:szCs w:val="20"/>
          <w:color w:val="auto"/>
        </w:rPr>
      </w:pPr>
      <w:r>
        <w:rPr>
          <w:rFonts w:ascii="Arial" w:cs="Arial" w:eastAsia="Arial" w:hAnsi="Arial"/>
          <w:sz w:val="17"/>
          <w:szCs w:val="17"/>
          <w:b w:val="1"/>
          <w:bCs w:val="1"/>
          <w:color w:val="auto"/>
        </w:rPr>
        <w:t>Exhibit 23.3</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23" w:lineRule="exact"/>
        <w:rPr>
          <w:sz w:val="20"/>
          <w:szCs w:val="20"/>
          <w:color w:val="auto"/>
        </w:rPr>
      </w:pPr>
    </w:p>
    <w:p>
      <w:pPr>
        <w:ind w:right="100"/>
        <w:spacing w:after="0" w:line="318" w:lineRule="auto"/>
        <w:rPr>
          <w:sz w:val="20"/>
          <w:szCs w:val="20"/>
          <w:color w:val="auto"/>
        </w:rPr>
      </w:pPr>
      <w:r>
        <w:rPr>
          <w:rFonts w:ascii="Arial" w:cs="Arial" w:eastAsia="Arial" w:hAnsi="Arial"/>
          <w:sz w:val="15"/>
          <w:szCs w:val="15"/>
          <w:color w:val="auto"/>
        </w:rPr>
        <w:t>We consent to the use of our report dated January 30, 2018, with respect to the combined statements of income (loss) and comprehensive income (loss), business unit equity, and cash flows of Pfizer Infusion Systems for the years ended December 31, 2016 and 2015, and the related notes, incorporated herein by reference in the Registration Statement on Form S-3 and to the reference to our firm under the heading “Experts” in the prospectus.</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color w:val="auto"/>
        </w:rPr>
        <w:t>/s/ KPMG LLP</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November 15, 2018</w:t>
      </w:r>
    </w:p>
    <w:sectPr>
      <w:pgSz w:w="11900" w:h="16838" w:orient="portrait"/>
      <w:cols w:equalWidth="0" w:num="1">
        <w:col w:w="10520"/>
      </w:cols>
      <w:pgMar w:left="700" w:top="121"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1)"/>
      <w:numFmt w:val="decimal"/>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1)"/>
      <w:numFmt w:val="decimal"/>
      <w:start w:val="3"/>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1)"/>
      <w:numFmt w:val="decimal"/>
      <w:start w:val="1"/>
    </w:lvl>
  </w:abstractNum>
  <w:abstractNum w:abstractNumId="9">
    <w:nsid w:val="4E6AFB66"/>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0">
    <w:nsid w:val="25E45D32"/>
    <w:multiLevelType w:val="hybridMultilevel"/>
    <w:lvl w:ilvl="0">
      <w:lvlJc w:val="left"/>
      <w:lvlText w:val="(%1)"/>
      <w:numFmt w:val="decimal"/>
      <w:start w:val="2"/>
    </w:lvl>
    <w:lvl w:ilvl="1">
      <w:lvlJc w:val="left"/>
      <w:lvlText w:val="(%2)"/>
      <w:numFmt w:val="upperLetter"/>
      <w:start w:val="1"/>
    </w:lvl>
  </w:abstractNum>
  <w:abstractNum w:abstractNumId="11">
    <w:nsid w:val="519B500D"/>
    <w:multiLevelType w:val="hybridMultilevel"/>
    <w:lvl w:ilvl="0">
      <w:lvlJc w:val="left"/>
      <w:lvlText w:val="(%1)"/>
      <w:numFmt w:val="decimal"/>
      <w:start w:val="5"/>
    </w:lvl>
  </w:abstractNum>
  <w:abstractNum w:abstractNumId="12">
    <w:nsid w:val="431BD7B7"/>
    <w:multiLevelType w:val="hybridMultilevel"/>
    <w:lvl w:ilvl="0">
      <w:lvlJc w:val="left"/>
      <w:lvlText w:val="%1"/>
      <w:numFmt w:val="decimal"/>
      <w:start w:val="1"/>
    </w:lvl>
    <w:lvl w:ilvl="1">
      <w:lvlJc w:val="left"/>
      <w:lvlText w:val="(%2)"/>
      <w:numFmt w:val="lowerRoman"/>
      <w:start w:val="1"/>
    </w:lvl>
  </w:abstractNum>
  <w:abstractNum w:abstractNumId="13">
    <w:nsid w:val="3F2DBA31"/>
    <w:multiLevelType w:val="hybridMultilevel"/>
    <w:lvl w:ilvl="0">
      <w:lvlJc w:val="left"/>
      <w:lvlText w:val="(%1)"/>
      <w:numFmt w:val="decimal"/>
      <w:start w:val="6"/>
    </w:lvl>
    <w:lvl w:ilvl="1">
      <w:lvlJc w:val="left"/>
      <w:lvlText w:val="%2"/>
      <w:numFmt w:val="lowerRoman"/>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1)"/>
      <w:numFmt w:val="lowerLetter"/>
      <w:start w:val="3"/>
    </w:lvl>
  </w:abstractNum>
  <w:abstractNum w:abstractNumId="16">
    <w:nsid w:val="62BBD95A"/>
    <w:multiLevelType w:val="hybridMultilevel"/>
    <w:lvl w:ilvl="0">
      <w:lvlJc w:val="left"/>
      <w:lvlText w:val="(%1)"/>
      <w:numFmt w:val="lowerLetter"/>
      <w:start w:val="9"/>
    </w:lvl>
  </w:abstractNum>
  <w:abstractNum w:abstractNumId="17">
    <w:nsid w:val="436C6125"/>
    <w:multiLevelType w:val="hybridMultilevel"/>
    <w:lvl w:ilvl="0">
      <w:lvlJc w:val="left"/>
      <w:lvlText w:val="(%1)"/>
      <w:numFmt w:val="lowerLetter"/>
      <w:start w:val="1"/>
    </w:lvl>
  </w:abstractNum>
  <w:abstractNum w:abstractNumId="18">
    <w:nsid w:val="628C895D"/>
    <w:multiLevelType w:val="hybridMultilevel"/>
    <w:lvl w:ilvl="0">
      <w:lvlJc w:val="left"/>
      <w:lvlText w:val="(%1)"/>
      <w:numFmt w:val="lowerLetter"/>
      <w:start w:val="2"/>
    </w:lvl>
  </w:abstractNum>
  <w:abstractNum w:abstractNumId="19">
    <w:nsid w:val="333AB105"/>
    <w:multiLevelType w:val="hybridMultilevel"/>
    <w:lvl w:ilvl="0">
      <w:lvlJc w:val="left"/>
      <w:lvlText w:val="(%1)"/>
      <w:numFmt w:val="lowerLetter"/>
      <w:start w:val="3"/>
    </w:lvl>
  </w:abstractNum>
  <w:abstractNum w:abstractNumId="20">
    <w:nsid w:val="721DA317"/>
    <w:multiLevelType w:val="hybridMultilevel"/>
    <w:lvl w:ilvl="0">
      <w:lvlJc w:val="left"/>
      <w:lvlText w:val="(%1)"/>
      <w:numFmt w:val="lowerLetter"/>
      <w:start w:val="9"/>
    </w:lvl>
  </w:abstractNum>
  <w:abstractNum w:abstractNumId="21">
    <w:nsid w:val="2443A858"/>
    <w:multiLevelType w:val="hybridMultilevel"/>
    <w:lvl w:ilvl="0">
      <w:lvlJc w:val="left"/>
      <w:lvlText w:val="(%1)"/>
      <w:numFmt w:val="lowerLetter"/>
      <w:start w:val="1"/>
    </w:lvl>
  </w:abstractNum>
  <w:abstractNum w:abstractNumId="22">
    <w:nsid w:val="2D1D5AE9"/>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jpe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jpeg"/><Relationship Id="rId89" Type="http://schemas.openxmlformats.org/officeDocument/2006/relationships/image" Target="media/image80.png"/><Relationship Id="rId90" Type="http://schemas.openxmlformats.org/officeDocument/2006/relationships/image" Target="media/image81.jpeg"/><Relationship Id="rId53" Type="http://schemas.openxmlformats.org/officeDocument/2006/relationships/hyperlink" Target="http://www.sec.gov/Archives/edgar/data/883984/000088398414000046/exhibitamendedandrestatedc.htm" TargetMode="External"/><Relationship Id="rId54" Type="http://schemas.openxmlformats.org/officeDocument/2006/relationships/hyperlink" Target="http://www.sec.gov/Archives/edgar/data/883984/000088398416000073/exhibit31amendedandrestat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2019-12-05T22:55:17Z</dcterms:created>
  <dcterms:modified xsi:type="dcterms:W3CDTF">2019-12-05T22:55:17Z</dcterms:modified>
</cp:coreProperties>
</file>