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10-Q</w:t>
      </w:r>
    </w:p>
    <w:p>
      <w:pPr>
        <w:spacing w:after="0" w:line="152"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12"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5" w:lineRule="exact"/>
        <w:rPr>
          <w:sz w:val="24"/>
          <w:szCs w:val="24"/>
          <w:color w:val="auto"/>
        </w:rPr>
      </w:pPr>
    </w:p>
    <w:p>
      <w:pPr>
        <w:ind w:left="5580"/>
        <w:spacing w:after="0"/>
        <w:rPr>
          <w:sz w:val="20"/>
          <w:szCs w:val="20"/>
          <w:color w:val="auto"/>
        </w:rPr>
      </w:pPr>
      <w:r>
        <w:rPr>
          <w:rFonts w:ascii="Arial" w:cs="Arial" w:eastAsia="Arial" w:hAnsi="Arial"/>
          <w:sz w:val="16"/>
          <w:szCs w:val="16"/>
          <w:b w:val="1"/>
          <w:bCs w:val="1"/>
          <w:color w:val="auto"/>
        </w:rPr>
        <w:t>or</w:t>
      </w:r>
    </w:p>
    <w:p>
      <w:pPr>
        <w:spacing w:after="0" w:line="108"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93" w:lineRule="exact"/>
        <w:rPr>
          <w:sz w:val="24"/>
          <w:szCs w:val="24"/>
          <w:color w:val="auto"/>
        </w:rPr>
      </w:pPr>
    </w:p>
    <w:p>
      <w:pPr>
        <w:ind w:left="4260"/>
        <w:spacing w:after="0"/>
        <w:tabs>
          <w:tab w:leader="none" w:pos="68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8" w:lineRule="exact"/>
        <w:rPr>
          <w:sz w:val="24"/>
          <w:szCs w:val="24"/>
          <w:color w:val="auto"/>
        </w:rPr>
      </w:pPr>
    </w:p>
    <w:p>
      <w:pPr>
        <w:ind w:left="4560"/>
        <w:spacing w:after="0"/>
        <w:rPr>
          <w:sz w:val="20"/>
          <w:szCs w:val="20"/>
          <w:color w:val="auto"/>
        </w:rPr>
      </w:pPr>
      <w:r>
        <w:rPr>
          <w:rFonts w:ascii="Arial" w:cs="Arial" w:eastAsia="Arial" w:hAnsi="Arial"/>
          <w:sz w:val="16"/>
          <w:szCs w:val="16"/>
          <w:b w:val="1"/>
          <w:bCs w:val="1"/>
          <w:color w:val="auto"/>
        </w:rPr>
        <w:t>Commission File No.: 001-34634</w:t>
      </w:r>
    </w:p>
    <w:p>
      <w:pPr>
        <w:spacing w:after="0" w:line="100" w:lineRule="exact"/>
        <w:rPr>
          <w:sz w:val="24"/>
          <w:szCs w:val="24"/>
          <w:color w:val="auto"/>
        </w:rPr>
      </w:pPr>
    </w:p>
    <w:p>
      <w:pPr>
        <w:ind w:left="4900"/>
        <w:spacing w:after="0"/>
        <w:rPr>
          <w:sz w:val="20"/>
          <w:szCs w:val="20"/>
          <w:color w:val="auto"/>
        </w:rPr>
      </w:pPr>
      <w:r>
        <w:rPr>
          <w:rFonts w:ascii="Arial" w:cs="Arial" w:eastAsia="Arial" w:hAnsi="Arial"/>
          <w:sz w:val="16"/>
          <w:szCs w:val="16"/>
          <w:b w:val="1"/>
          <w:bCs w:val="1"/>
          <w:color w:val="auto"/>
        </w:rPr>
        <w:t>ICU MEDICAL, INC.</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849" w:right="339" w:bottom="1440" w:gutter="0" w:footer="0" w:header="0"/>
        </w:sectPr>
      </w:pPr>
    </w:p>
    <w:p>
      <w:pPr>
        <w:spacing w:after="0" w:line="200" w:lineRule="exact"/>
        <w:rPr>
          <w:sz w:val="24"/>
          <w:szCs w:val="24"/>
          <w:color w:val="auto"/>
        </w:rPr>
      </w:pPr>
    </w:p>
    <w:p>
      <w:pPr>
        <w:spacing w:after="0" w:line="205"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33-0022692</w:t>
      </w:r>
    </w:p>
    <w:p>
      <w:pPr>
        <w:spacing w:after="0" w:line="63" w:lineRule="exact"/>
        <w:rPr>
          <w:sz w:val="24"/>
          <w:szCs w:val="24"/>
          <w:color w:val="auto"/>
        </w:rPr>
      </w:pPr>
    </w:p>
    <w:p>
      <w:pPr>
        <w:sectPr>
          <w:pgSz w:w="11900" w:h="16838" w:orient="portrait"/>
          <w:cols w:equalWidth="0" w:num="2">
            <w:col w:w="7360" w:space="720"/>
            <w:col w:w="3160"/>
          </w:cols>
          <w:pgMar w:left="320" w:top="849" w:right="339" w:bottom="1440" w:gutter="0" w:footer="0" w:header="0"/>
          <w:type w:val="continuous"/>
        </w:sectPr>
      </w:pPr>
    </w:p>
    <w:p>
      <w:pPr>
        <w:ind w:left="1900"/>
        <w:spacing w:after="0"/>
        <w:rPr>
          <w:sz w:val="20"/>
          <w:szCs w:val="20"/>
          <w:color w:val="auto"/>
        </w:rPr>
      </w:pPr>
      <w:r>
        <w:rPr>
          <w:rFonts w:ascii="Arial" w:cs="Arial" w:eastAsia="Arial" w:hAnsi="Arial"/>
          <w:sz w:val="14"/>
          <w:szCs w:val="14"/>
          <w:color w:val="auto"/>
        </w:rPr>
        <w:t>(State or other jurisdiction of</w:t>
      </w:r>
    </w:p>
    <w:p>
      <w:pPr>
        <w:spacing w:after="0" w:line="46"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200" w:lineRule="exact"/>
        <w:rPr>
          <w:sz w:val="24"/>
          <w:szCs w:val="24"/>
          <w:color w:val="auto"/>
        </w:rPr>
      </w:pPr>
    </w:p>
    <w:p>
      <w:pPr>
        <w:sectPr>
          <w:pgSz w:w="11900" w:h="16838" w:orient="portrait"/>
          <w:cols w:equalWidth="0" w:num="2">
            <w:col w:w="7160" w:space="720"/>
            <w:col w:w="3360"/>
          </w:cols>
          <w:pgMar w:left="320" w:top="849" w:right="339" w:bottom="1440" w:gutter="0" w:footer="0" w:header="0"/>
          <w:type w:val="continuous"/>
        </w:sectPr>
      </w:pPr>
    </w:p>
    <w:p>
      <w:pPr>
        <w:spacing w:after="0" w:line="59"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951 Calle Amanecer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San Clemente</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California</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92673</w:t>
      </w:r>
    </w:p>
    <w:p>
      <w:pPr>
        <w:spacing w:after="0" w:line="52" w:lineRule="exact"/>
        <w:rPr>
          <w:sz w:val="24"/>
          <w:szCs w:val="24"/>
          <w:color w:val="auto"/>
        </w:rPr>
      </w:pPr>
    </w:p>
    <w:p>
      <w:pPr>
        <w:sectPr>
          <w:pgSz w:w="11900" w:h="16838" w:orient="portrait"/>
          <w:cols w:equalWidth="0" w:num="6">
            <w:col w:w="2680" w:space="360"/>
            <w:col w:w="40" w:space="240"/>
            <w:col w:w="900" w:space="220"/>
            <w:col w:w="40" w:space="380"/>
            <w:col w:w="2400" w:space="720"/>
            <w:col w:w="3260"/>
          </w:cols>
          <w:pgMar w:left="320" w:top="849" w:right="339" w:bottom="1440" w:gutter="0" w:footer="0" w:header="0"/>
          <w:type w:val="continuous"/>
        </w:sectPr>
      </w:pPr>
    </w:p>
    <w:p>
      <w:pPr>
        <w:ind w:left="222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04" w:lineRule="exact"/>
        <w:rPr>
          <w:sz w:val="24"/>
          <w:szCs w:val="24"/>
          <w:color w:val="auto"/>
        </w:rPr>
      </w:pPr>
    </w:p>
    <w:p>
      <w:pPr>
        <w:sectPr>
          <w:pgSz w:w="11900" w:h="16838" w:orient="portrait"/>
          <w:cols w:equalWidth="0" w:num="2">
            <w:col w:w="7120" w:space="720"/>
            <w:col w:w="3400"/>
          </w:cols>
          <w:pgMar w:left="320" w:top="849" w:right="33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(949) 366-2183</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849" w:right="339" w:bottom="1440" w:gutter="0" w:footer="0" w:header="0"/>
          <w:type w:val="continuous"/>
        </w:sectPr>
      </w:pPr>
    </w:p>
    <w:p>
      <w:pPr>
        <w:spacing w:after="0" w:line="200" w:lineRule="exact"/>
        <w:rPr>
          <w:sz w:val="24"/>
          <w:szCs w:val="24"/>
          <w:color w:val="auto"/>
        </w:rPr>
      </w:pPr>
    </w:p>
    <w:p>
      <w:pPr>
        <w:ind w:right="180" w:firstLine="310"/>
        <w:spacing w:after="0" w:line="32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1" w:lineRule="exact"/>
        <w:rPr>
          <w:sz w:val="24"/>
          <w:szCs w:val="24"/>
          <w:color w:val="auto"/>
        </w:rPr>
      </w:pPr>
    </w:p>
    <w:p>
      <w:pPr>
        <w:ind w:right="560" w:firstLine="310"/>
        <w:spacing w:after="0" w:line="32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11" w:lineRule="exact"/>
        <w:rPr>
          <w:sz w:val="24"/>
          <w:szCs w:val="24"/>
          <w:color w:val="auto"/>
        </w:rPr>
      </w:pPr>
    </w:p>
    <w:p>
      <w:pPr>
        <w:ind w:right="320" w:firstLine="310"/>
        <w:spacing w:after="0" w:line="32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49" w:right="339" w:bottom="1440" w:gutter="0" w:footer="0" w:header="0"/>
          <w:type w:val="continuous"/>
        </w:sectPr>
      </w:pPr>
    </w:p>
    <w:p>
      <w:pPr>
        <w:spacing w:after="0" w:line="240" w:lineRule="exact"/>
        <w:rPr>
          <w:sz w:val="24"/>
          <w:szCs w:val="24"/>
          <w:color w:val="auto"/>
        </w:rPr>
      </w:pPr>
    </w:p>
    <w:p>
      <w:pPr>
        <w:ind w:left="8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60" w:lineRule="exact"/>
        <w:rPr>
          <w:sz w:val="24"/>
          <w:szCs w:val="24"/>
          <w:color w:val="auto"/>
        </w:rPr>
      </w:pPr>
    </w:p>
    <w:p>
      <w:pPr>
        <w:sectPr>
          <w:pgSz w:w="11900" w:h="16838" w:orient="portrait"/>
          <w:cols w:equalWidth="0" w:num="3">
            <w:col w:w="2800" w:space="720"/>
            <w:col w:w="3800" w:space="720"/>
            <w:col w:w="3200"/>
          </w:cols>
          <w:pgMar w:left="320" w:top="849" w:right="339" w:bottom="1440" w:gutter="0" w:footer="0" w:header="0"/>
          <w:type w:val="continuous"/>
        </w:sectPr>
      </w:pPr>
    </w:p>
    <w:p>
      <w:pPr>
        <w:spacing w:after="0" w:line="50"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3">
            <w:col w:w="6820" w:space="720"/>
            <w:col w:w="2440" w:space="720"/>
            <w:col w:w="540"/>
          </w:cols>
          <w:pgMar w:left="320" w:top="849" w:right="339" w:bottom="1440" w:gutter="0" w:footer="0" w:header="0"/>
          <w:type w:val="continuous"/>
        </w:sectPr>
      </w:pPr>
    </w:p>
    <w:p>
      <w:pPr>
        <w:spacing w:after="0" w:line="49" w:lineRule="exact"/>
        <w:rPr>
          <w:sz w:val="24"/>
          <w:szCs w:val="24"/>
          <w:color w:val="auto"/>
        </w:rPr>
      </w:pPr>
    </w:p>
    <w:p>
      <w:pPr>
        <w:ind w:left="75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73" w:lineRule="exact"/>
        <w:rPr>
          <w:sz w:val="24"/>
          <w:szCs w:val="24"/>
          <w:color w:val="auto"/>
        </w:rPr>
      </w:pPr>
    </w:p>
    <w:p>
      <w:pPr>
        <w:sectPr>
          <w:pgSz w:w="11900" w:h="16838" w:orient="portrait"/>
          <w:cols w:equalWidth="0" w:num="2">
            <w:col w:w="9980" w:space="720"/>
            <w:col w:w="540"/>
          </w:cols>
          <w:pgMar w:left="320" w:top="849" w:right="339" w:bottom="1440" w:gutter="0" w:footer="0" w:header="0"/>
          <w:type w:val="continuous"/>
        </w:sectPr>
      </w:pPr>
    </w:p>
    <w:p>
      <w:pPr>
        <w:ind w:right="120" w:firstLine="349"/>
        <w:spacing w:after="0" w:line="25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3"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x</w:t>
      </w:r>
    </w:p>
    <w:p>
      <w:pPr>
        <w:spacing w:after="0" w:line="281" w:lineRule="exact"/>
        <w:rPr>
          <w:sz w:val="24"/>
          <w:szCs w:val="24"/>
          <w:color w:val="auto"/>
        </w:rPr>
      </w:pPr>
    </w:p>
    <w:tbl>
      <w:tblPr>
        <w:tblLayout w:type="fixed"/>
        <w:tblInd w:w="320" w:type="dxa"/>
        <w:tblCellMar>
          <w:top w:w="0" w:type="dxa"/>
          <w:left w:w="0" w:type="dxa"/>
          <w:bottom w:w="0" w:type="dxa"/>
          <w:right w:w="0" w:type="dxa"/>
        </w:tblCellMar>
      </w:tblPr>
      <w:tr>
        <w:trPr>
          <w:trHeight w:val="196"/>
        </w:trPr>
        <w:tc>
          <w:tcPr>
            <w:tcW w:w="3820" w:type="dxa"/>
            <w:vAlign w:val="bottom"/>
            <w:gridSpan w:val="2"/>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1640" w:type="dxa"/>
            <w:vAlign w:val="bottom"/>
          </w:tcPr>
          <w:p>
            <w:pPr>
              <w:spacing w:after="0"/>
              <w:rPr>
                <w:sz w:val="17"/>
                <w:szCs w:val="17"/>
                <w:color w:val="auto"/>
              </w:rPr>
            </w:pPr>
          </w:p>
        </w:tc>
        <w:tc>
          <w:tcPr>
            <w:tcW w:w="5440" w:type="dxa"/>
            <w:vAlign w:val="bottom"/>
          </w:tcPr>
          <w:p>
            <w:pPr>
              <w:spacing w:after="0"/>
              <w:rPr>
                <w:sz w:val="17"/>
                <w:szCs w:val="17"/>
                <w:color w:val="auto"/>
              </w:rPr>
            </w:pPr>
          </w:p>
        </w:tc>
      </w:tr>
      <w:tr>
        <w:trPr>
          <w:trHeight w:val="300"/>
        </w:trPr>
        <w:tc>
          <w:tcPr>
            <w:tcW w:w="40" w:type="dxa"/>
            <w:vAlign w:val="bottom"/>
          </w:tcPr>
          <w:p>
            <w:pPr>
              <w:spacing w:after="0"/>
              <w:rPr>
                <w:sz w:val="24"/>
                <w:szCs w:val="24"/>
                <w:color w:val="auto"/>
              </w:rPr>
            </w:pPr>
          </w:p>
        </w:tc>
        <w:tc>
          <w:tcPr>
            <w:tcW w:w="378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4"/>
              </w:rPr>
              <w:t>Title of each class</w:t>
            </w:r>
          </w:p>
        </w:tc>
        <w:tc>
          <w:tcPr>
            <w:tcW w:w="164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89"/>
              </w:rPr>
              <w:t>Trading Symbol</w:t>
            </w:r>
          </w:p>
        </w:tc>
        <w:tc>
          <w:tcPr>
            <w:tcW w:w="5440" w:type="dxa"/>
            <w:vAlign w:val="bottom"/>
            <w:tcBorders>
              <w:bottom w:val="single" w:sz="8" w:color="auto"/>
            </w:tcBorders>
          </w:tcPr>
          <w:p>
            <w:pPr>
              <w:jc w:val="center"/>
              <w:ind w:left="202"/>
              <w:spacing w:after="0"/>
              <w:rPr>
                <w:sz w:val="20"/>
                <w:szCs w:val="20"/>
                <w:color w:val="auto"/>
              </w:rPr>
            </w:pPr>
            <w:r>
              <w:rPr>
                <w:rFonts w:ascii="Arial" w:cs="Arial" w:eastAsia="Arial" w:hAnsi="Arial"/>
                <w:sz w:val="16"/>
                <w:szCs w:val="16"/>
                <w:b w:val="1"/>
                <w:bCs w:val="1"/>
                <w:color w:val="auto"/>
                <w:w w:val="85"/>
              </w:rPr>
              <w:t>Name of each exchange on which registered</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44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w w:val="88"/>
              </w:rPr>
              <w:t>The Nasdaq Stock Market LLC</w:t>
            </w:r>
          </w:p>
        </w:tc>
      </w:tr>
      <w:tr>
        <w:trPr>
          <w:trHeight w:val="223"/>
        </w:trPr>
        <w:tc>
          <w:tcPr>
            <w:tcW w:w="40" w:type="dxa"/>
            <w:vAlign w:val="bottom"/>
          </w:tcPr>
          <w:p>
            <w:pPr>
              <w:spacing w:after="0"/>
              <w:rPr>
                <w:sz w:val="19"/>
                <w:szCs w:val="19"/>
                <w:color w:val="auto"/>
              </w:rPr>
            </w:pPr>
          </w:p>
        </w:tc>
        <w:tc>
          <w:tcPr>
            <w:tcW w:w="3780" w:type="dxa"/>
            <w:vAlign w:val="bottom"/>
          </w:tcPr>
          <w:p>
            <w:pPr>
              <w:jc w:val="center"/>
              <w:ind w:right="2"/>
              <w:spacing w:after="0"/>
              <w:rPr>
                <w:sz w:val="20"/>
                <w:szCs w:val="20"/>
                <w:color w:val="auto"/>
              </w:rPr>
            </w:pPr>
            <w:r>
              <w:rPr>
                <w:rFonts w:ascii="Arial" w:cs="Arial" w:eastAsia="Arial" w:hAnsi="Arial"/>
                <w:sz w:val="16"/>
                <w:szCs w:val="16"/>
                <w:color w:val="auto"/>
                <w:w w:val="86"/>
              </w:rPr>
              <w:t>Common stock, par value $0.10 per share</w:t>
            </w:r>
          </w:p>
        </w:tc>
        <w:tc>
          <w:tcPr>
            <w:tcW w:w="1640" w:type="dxa"/>
            <w:vAlign w:val="bottom"/>
          </w:tcPr>
          <w:p>
            <w:pPr>
              <w:jc w:val="center"/>
              <w:ind w:right="2"/>
              <w:spacing w:after="0"/>
              <w:rPr>
                <w:sz w:val="20"/>
                <w:szCs w:val="20"/>
                <w:color w:val="auto"/>
              </w:rPr>
            </w:pPr>
            <w:r>
              <w:rPr>
                <w:rFonts w:ascii="Arial" w:cs="Arial" w:eastAsia="Arial" w:hAnsi="Arial"/>
                <w:sz w:val="16"/>
                <w:szCs w:val="16"/>
                <w:color w:val="auto"/>
                <w:w w:val="99"/>
              </w:rPr>
              <w:t>ICUI</w:t>
            </w:r>
          </w:p>
        </w:tc>
        <w:tc>
          <w:tcPr>
            <w:tcW w:w="5440" w:type="dxa"/>
            <w:vAlign w:val="bottom"/>
          </w:tcPr>
          <w:p>
            <w:pPr>
              <w:ind w:left="3980"/>
              <w:spacing w:after="0"/>
              <w:rPr>
                <w:sz w:val="20"/>
                <w:szCs w:val="20"/>
                <w:color w:val="auto"/>
              </w:rPr>
            </w:pPr>
            <w:r>
              <w:rPr>
                <w:rFonts w:ascii="Arial" w:cs="Arial" w:eastAsia="Arial" w:hAnsi="Arial"/>
                <w:sz w:val="16"/>
                <w:szCs w:val="16"/>
                <w:color w:val="auto"/>
                <w:w w:val="90"/>
              </w:rPr>
              <w:t>(Global Select Market)</w:t>
            </w:r>
          </w:p>
        </w:tc>
      </w:tr>
    </w:tbl>
    <w:p>
      <w:pPr>
        <w:spacing w:after="0" w:line="88" w:lineRule="exact"/>
        <w:rPr>
          <w:sz w:val="24"/>
          <w:szCs w:val="24"/>
          <w:color w:val="auto"/>
        </w:rPr>
      </w:pPr>
    </w:p>
    <w:p>
      <w:pPr>
        <w:ind w:left="3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353"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8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Class</w:t>
            </w:r>
          </w:p>
        </w:tc>
        <w:tc>
          <w:tcPr>
            <w:tcW w:w="42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Outstanding at April 30, 2021</w:t>
            </w:r>
          </w:p>
        </w:tc>
        <w:tc>
          <w:tcPr>
            <w:tcW w:w="160" w:type="dxa"/>
            <w:vAlign w:val="bottom"/>
          </w:tcPr>
          <w:p>
            <w:pPr>
              <w:spacing w:after="0"/>
              <w:rPr>
                <w:sz w:val="17"/>
                <w:szCs w:val="17"/>
                <w:color w:val="auto"/>
              </w:rPr>
            </w:pPr>
          </w:p>
        </w:tc>
      </w:tr>
      <w:tr>
        <w:trPr>
          <w:trHeight w:val="197"/>
        </w:trPr>
        <w:tc>
          <w:tcPr>
            <w:tcW w:w="180" w:type="dxa"/>
            <w:vAlign w:val="bottom"/>
          </w:tcPr>
          <w:p>
            <w:pPr>
              <w:spacing w:after="0"/>
              <w:rPr>
                <w:sz w:val="17"/>
                <w:szCs w:val="17"/>
                <w:color w:val="auto"/>
              </w:rPr>
            </w:pPr>
          </w:p>
        </w:tc>
        <w:tc>
          <w:tcPr>
            <w:tcW w:w="5660" w:type="dxa"/>
            <w:vAlign w:val="bottom"/>
            <w:gridSpan w:val="2"/>
          </w:tcPr>
          <w:p>
            <w:pPr>
              <w:jc w:val="center"/>
              <w:ind w:right="440"/>
              <w:spacing w:after="0"/>
              <w:rPr>
                <w:sz w:val="20"/>
                <w:szCs w:val="20"/>
                <w:color w:val="auto"/>
              </w:rPr>
            </w:pPr>
            <w:r>
              <w:rPr>
                <w:rFonts w:ascii="Arial" w:cs="Arial" w:eastAsia="Arial" w:hAnsi="Arial"/>
                <w:sz w:val="16"/>
                <w:szCs w:val="16"/>
                <w:color w:val="auto"/>
                <w:w w:val="89"/>
              </w:rPr>
              <w:t>Common</w:t>
            </w:r>
          </w:p>
        </w:tc>
        <w:tc>
          <w:tcPr>
            <w:tcW w:w="5240" w:type="dxa"/>
            <w:vAlign w:val="bottom"/>
          </w:tcPr>
          <w:p>
            <w:pPr>
              <w:jc w:val="right"/>
              <w:ind w:right="2202"/>
              <w:spacing w:after="0"/>
              <w:rPr>
                <w:sz w:val="20"/>
                <w:szCs w:val="20"/>
                <w:color w:val="auto"/>
              </w:rPr>
            </w:pPr>
            <w:r>
              <w:rPr>
                <w:rFonts w:ascii="Arial" w:cs="Arial" w:eastAsia="Arial" w:hAnsi="Arial"/>
                <w:sz w:val="16"/>
                <w:szCs w:val="16"/>
                <w:color w:val="auto"/>
              </w:rPr>
              <w:t>21,218,759</w:t>
            </w:r>
          </w:p>
        </w:tc>
        <w:tc>
          <w:tcPr>
            <w:tcW w:w="160" w:type="dxa"/>
            <w:vAlign w:val="bottom"/>
          </w:tcPr>
          <w:p>
            <w:pPr>
              <w:spacing w:after="0"/>
              <w:rPr>
                <w:sz w:val="17"/>
                <w:szCs w:val="17"/>
                <w:color w:val="auto"/>
              </w:rPr>
            </w:pPr>
          </w:p>
        </w:tc>
      </w:tr>
      <w:tr>
        <w:trPr>
          <w:trHeight w:val="864"/>
        </w:trPr>
        <w:tc>
          <w:tcPr>
            <w:tcW w:w="1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March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360" w:type="dxa"/>
            <w:vAlign w:val="bottom"/>
          </w:tcPr>
          <w:p>
            <w:pPr>
              <w:ind w:left="1500"/>
              <w:spacing w:after="0"/>
              <w:rPr>
                <w:sz w:val="20"/>
                <w:szCs w:val="20"/>
                <w:color w:val="auto"/>
              </w:rPr>
            </w:pPr>
            <w:r>
              <w:rPr>
                <w:rFonts w:ascii="Arial" w:cs="Arial" w:eastAsia="Arial" w:hAnsi="Arial"/>
                <w:sz w:val="17"/>
                <w:szCs w:val="17"/>
                <w:b w:val="1"/>
                <w:bCs w:val="1"/>
                <w:color w:val="auto"/>
              </w:rPr>
              <w:t>Table of Contents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7"/>
                <w:szCs w:val="17"/>
                <w:b w:val="1"/>
                <w:bCs w:val="1"/>
                <w:color w:val="auto"/>
                <w:w w:val="95"/>
              </w:rPr>
              <w:t>PART I.</w:t>
            </w:r>
          </w:p>
        </w:tc>
        <w:tc>
          <w:tcPr>
            <w:tcW w:w="1220" w:type="dxa"/>
            <w:vAlign w:val="bottom"/>
            <w:gridSpan w:val="2"/>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7"/>
                <w:szCs w:val="17"/>
                <w:b w:val="1"/>
                <w:bCs w:val="1"/>
                <w:color w:val="auto"/>
              </w:rPr>
              <w:t>Financial Information</w:t>
            </w:r>
          </w:p>
        </w:tc>
        <w:tc>
          <w:tcPr>
            <w:tcW w:w="1400" w:type="dxa"/>
            <w:vAlign w:val="bottom"/>
          </w:tcPr>
          <w:p>
            <w:pPr>
              <w:jc w:val="right"/>
              <w:ind w:right="215"/>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auto"/>
              </w:rPr>
              <w:t>Item 1.</w:t>
            </w:r>
          </w:p>
        </w:tc>
        <w:tc>
          <w:tcPr>
            <w:tcW w:w="1220" w:type="dxa"/>
            <w:vAlign w:val="bottom"/>
            <w:gridSpan w:val="2"/>
            <w:vMerge w:val="restart"/>
          </w:tcPr>
          <w:p>
            <w:pPr>
              <w:spacing w:after="0" w:line="20" w:lineRule="exact"/>
              <w:rPr>
                <w:sz w:val="1"/>
                <w:szCs w:val="1"/>
                <w:color w:val="auto"/>
              </w:rPr>
            </w:pPr>
          </w:p>
        </w:tc>
        <w:tc>
          <w:tcPr>
            <w:tcW w:w="7980" w:type="dxa"/>
            <w:vAlign w:val="bottom"/>
            <w:gridSpan w:val="3"/>
            <w:vMerge w:val="restart"/>
          </w:tcPr>
          <w:p>
            <w:pPr>
              <w:spacing w:after="0"/>
              <w:rPr>
                <w:sz w:val="20"/>
                <w:szCs w:val="20"/>
                <w:color w:val="auto"/>
              </w:rPr>
            </w:pPr>
            <w:r>
              <w:rPr>
                <w:rFonts w:ascii="Arial" w:cs="Arial" w:eastAsia="Arial" w:hAnsi="Arial"/>
                <w:sz w:val="17"/>
                <w:szCs w:val="17"/>
                <w:color w:val="auto"/>
              </w:rPr>
              <w:t>Financial Statements (Unaudited)</w:t>
            </w: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798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Condensed Consolidated Balance Sheets, at March 31, 2021 and December 31, 2020</w:t>
            </w:r>
          </w:p>
        </w:tc>
        <w:tc>
          <w:tcPr>
            <w:tcW w:w="1400" w:type="dxa"/>
            <w:vAlign w:val="bottom"/>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w w:val="99"/>
              </w:rPr>
              <w:t>Condensed Consolidated Statements of Operations for the Three Months Ended March 31, 2021 and 2020</w:t>
            </w:r>
          </w:p>
        </w:tc>
        <w:tc>
          <w:tcPr>
            <w:tcW w:w="1400" w:type="dxa"/>
            <w:vAlign w:val="bottom"/>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38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w w:val="96"/>
              </w:rPr>
              <w:t>Condensed Consolidated Statements of Comprehensive Income for the Three Months Ended March 31, 2021</w:t>
            </w:r>
          </w:p>
        </w:tc>
        <w:tc>
          <w:tcPr>
            <w:tcW w:w="1400" w:type="dxa"/>
            <w:vAlign w:val="bottom"/>
            <w:vMerge w:val="restart"/>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and 2020</w:t>
            </w: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w w:val="95"/>
              </w:rPr>
              <w:t>Condensed Consolidated Statements of Stockholders' Equity for the Three Months Ended March 31, 2021 and</w:t>
            </w:r>
          </w:p>
        </w:tc>
        <w:tc>
          <w:tcPr>
            <w:tcW w:w="1400" w:type="dxa"/>
            <w:vAlign w:val="bottom"/>
            <w:vMerge w:val="restart"/>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2020</w:t>
            </w:r>
          </w:p>
        </w:tc>
        <w:tc>
          <w:tcPr>
            <w:tcW w:w="2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w w:val="98"/>
              </w:rPr>
              <w:t>Condensed Consolidated Statements of Cash Flows for the Three Months Ended March 31, 2021 and 2020</w:t>
            </w:r>
          </w:p>
        </w:tc>
        <w:tc>
          <w:tcPr>
            <w:tcW w:w="140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Notes to Condensed Consolidated Financial Statements</w:t>
              </w:r>
            </w:hyperlink>
          </w:p>
        </w:tc>
        <w:tc>
          <w:tcPr>
            <w:tcW w:w="1400" w:type="dxa"/>
            <w:vAlign w:val="bottom"/>
          </w:tcPr>
          <w:p>
            <w:pPr>
              <w:jc w:val="right"/>
              <w:spacing w:after="0"/>
              <w:rPr>
                <w:rFonts w:ascii="Arial" w:cs="Arial" w:eastAsia="Arial" w:hAnsi="Arial"/>
                <w:sz w:val="17"/>
                <w:szCs w:val="17"/>
                <w:color w:val="0000FF"/>
              </w:rPr>
            </w:pPr>
            <w:hyperlink w:anchor="page8">
              <w:r>
                <w:rPr>
                  <w:rFonts w:ascii="Arial" w:cs="Arial" w:eastAsia="Arial" w:hAnsi="Arial"/>
                  <w:sz w:val="17"/>
                  <w:szCs w:val="17"/>
                  <w:color w:val="0000FF"/>
                </w:rPr>
                <w:t>9</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2.</w:t>
            </w:r>
          </w:p>
        </w:tc>
        <w:tc>
          <w:tcPr>
            <w:tcW w:w="7980" w:type="dxa"/>
            <w:vAlign w:val="bottom"/>
            <w:gridSpan w:val="3"/>
          </w:tcPr>
          <w:p>
            <w:pPr>
              <w:spacing w:after="0"/>
              <w:rPr>
                <w:rFonts w:ascii="Arial" w:cs="Arial" w:eastAsia="Arial" w:hAnsi="Arial"/>
                <w:sz w:val="17"/>
                <w:szCs w:val="17"/>
                <w:color w:val="0000FF"/>
              </w:rPr>
            </w:pPr>
            <w:hyperlink w:anchor="page24">
              <w:r>
                <w:rPr>
                  <w:rFonts w:ascii="Arial" w:cs="Arial" w:eastAsia="Arial" w:hAnsi="Arial"/>
                  <w:sz w:val="17"/>
                  <w:szCs w:val="17"/>
                  <w:color w:val="0000FF"/>
                </w:rPr>
                <w:t>Management’s Discussion and Analysis of Financial Condition and Results of Operations</w:t>
              </w:r>
            </w:hyperlink>
          </w:p>
        </w:tc>
        <w:tc>
          <w:tcPr>
            <w:tcW w:w="1400" w:type="dxa"/>
            <w:vAlign w:val="bottom"/>
          </w:tcPr>
          <w:p>
            <w:pPr>
              <w:jc w:val="right"/>
              <w:spacing w:after="0"/>
              <w:rPr>
                <w:rFonts w:ascii="Arial" w:cs="Arial" w:eastAsia="Arial" w:hAnsi="Arial"/>
                <w:sz w:val="17"/>
                <w:szCs w:val="17"/>
                <w:color w:val="0000FF"/>
              </w:rPr>
            </w:pPr>
            <w:hyperlink w:anchor="page24">
              <w:r>
                <w:rPr>
                  <w:rFonts w:ascii="Arial" w:cs="Arial" w:eastAsia="Arial" w:hAnsi="Arial"/>
                  <w:sz w:val="17"/>
                  <w:szCs w:val="17"/>
                  <w:color w:val="0000FF"/>
                </w:rPr>
                <w:t>24</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3.</w:t>
            </w:r>
          </w:p>
        </w:tc>
        <w:tc>
          <w:tcPr>
            <w:tcW w:w="7980" w:type="dxa"/>
            <w:vAlign w:val="bottom"/>
            <w:gridSpan w:val="3"/>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Quantitative and Qualitative Disclosures About Market Risk</w:t>
              </w:r>
            </w:hyperlink>
          </w:p>
        </w:tc>
        <w:tc>
          <w:tcPr>
            <w:tcW w:w="1400" w:type="dxa"/>
            <w:vAlign w:val="bottom"/>
          </w:tcPr>
          <w:p>
            <w:pPr>
              <w:jc w:val="right"/>
              <w:spacing w:after="0"/>
              <w:rPr>
                <w:rFonts w:ascii="Arial" w:cs="Arial" w:eastAsia="Arial" w:hAnsi="Arial"/>
                <w:sz w:val="17"/>
                <w:szCs w:val="17"/>
                <w:color w:val="0000FF"/>
              </w:rPr>
            </w:pPr>
            <w:hyperlink w:anchor="page36">
              <w:r>
                <w:rPr>
                  <w:rFonts w:ascii="Arial" w:cs="Arial" w:eastAsia="Arial" w:hAnsi="Arial"/>
                  <w:sz w:val="17"/>
                  <w:szCs w:val="17"/>
                  <w:color w:val="0000FF"/>
                </w:rPr>
                <w:t>36</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4.</w:t>
            </w:r>
          </w:p>
        </w:tc>
        <w:tc>
          <w:tcPr>
            <w:tcW w:w="7980" w:type="dxa"/>
            <w:vAlign w:val="bottom"/>
            <w:gridSpan w:val="3"/>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Controls and Procedures</w:t>
              </w:r>
            </w:hyperlink>
          </w:p>
        </w:tc>
        <w:tc>
          <w:tcPr>
            <w:tcW w:w="1400" w:type="dxa"/>
            <w:vAlign w:val="bottom"/>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37</w:t>
              </w:r>
            </w:hyperlink>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b w:val="1"/>
                <w:bCs w:val="1"/>
                <w:color w:val="auto"/>
              </w:rPr>
              <w:t>PART II.</w:t>
            </w:r>
          </w:p>
        </w:tc>
        <w:tc>
          <w:tcPr>
            <w:tcW w:w="7980" w:type="dxa"/>
            <w:vAlign w:val="bottom"/>
            <w:gridSpan w:val="3"/>
          </w:tcPr>
          <w:p>
            <w:pPr>
              <w:spacing w:after="0"/>
              <w:rPr>
                <w:rFonts w:ascii="Arial" w:cs="Arial" w:eastAsia="Arial" w:hAnsi="Arial"/>
                <w:sz w:val="17"/>
                <w:szCs w:val="17"/>
                <w:b w:val="1"/>
                <w:bCs w:val="1"/>
                <w:color w:val="0000FF"/>
              </w:rPr>
            </w:pPr>
            <w:hyperlink w:anchor="page37">
              <w:r>
                <w:rPr>
                  <w:rFonts w:ascii="Arial" w:cs="Arial" w:eastAsia="Arial" w:hAnsi="Arial"/>
                  <w:sz w:val="17"/>
                  <w:szCs w:val="17"/>
                  <w:b w:val="1"/>
                  <w:bCs w:val="1"/>
                  <w:color w:val="0000FF"/>
                </w:rPr>
                <w:t>Other Information</w:t>
              </w:r>
            </w:hyperlink>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Item 1.</w:t>
            </w:r>
          </w:p>
        </w:tc>
        <w:tc>
          <w:tcPr>
            <w:tcW w:w="1160" w:type="dxa"/>
            <w:vAlign w:val="bottom"/>
          </w:tcPr>
          <w:p>
            <w:pPr>
              <w:spacing w:after="0"/>
              <w:rPr>
                <w:sz w:val="20"/>
                <w:szCs w:val="20"/>
                <w:color w:val="auto"/>
              </w:rPr>
            </w:pPr>
          </w:p>
        </w:tc>
        <w:tc>
          <w:tcPr>
            <w:tcW w:w="1380" w:type="dxa"/>
            <w:vAlign w:val="bottom"/>
            <w:tcBorders>
              <w:top w:val="single" w:sz="8" w:color="0000FF"/>
            </w:tcBorders>
          </w:tcPr>
          <w:p>
            <w:pPr>
              <w:spacing w:after="0"/>
              <w:rPr>
                <w:rFonts w:ascii="Arial" w:cs="Arial" w:eastAsia="Arial" w:hAnsi="Arial"/>
                <w:sz w:val="17"/>
                <w:szCs w:val="17"/>
                <w:color w:val="0000FF"/>
                <w:w w:val="96"/>
              </w:rPr>
            </w:pPr>
            <w:hyperlink w:anchor="page37">
              <w:r>
                <w:rPr>
                  <w:rFonts w:ascii="Arial" w:cs="Arial" w:eastAsia="Arial" w:hAnsi="Arial"/>
                  <w:sz w:val="17"/>
                  <w:szCs w:val="17"/>
                  <w:color w:val="0000FF"/>
                  <w:w w:val="96"/>
                </w:rPr>
                <w:t>Legal Proceedings</w:t>
              </w:r>
            </w:hyperlink>
          </w:p>
        </w:tc>
        <w:tc>
          <w:tcPr>
            <w:tcW w:w="6600" w:type="dxa"/>
            <w:vAlign w:val="bottom"/>
            <w:gridSpan w:val="2"/>
          </w:tcPr>
          <w:p>
            <w:pPr>
              <w:spacing w:after="0"/>
              <w:rPr>
                <w:sz w:val="20"/>
                <w:szCs w:val="20"/>
                <w:color w:val="auto"/>
              </w:rPr>
            </w:pPr>
          </w:p>
        </w:tc>
        <w:tc>
          <w:tcPr>
            <w:tcW w:w="1400" w:type="dxa"/>
            <w:vAlign w:val="bottom"/>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37</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Item1A.</w:t>
            </w:r>
          </w:p>
        </w:tc>
        <w:tc>
          <w:tcPr>
            <w:tcW w:w="7980" w:type="dxa"/>
            <w:vAlign w:val="bottom"/>
            <w:gridSpan w:val="3"/>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Risk Factors</w:t>
              </w:r>
            </w:hyperlink>
          </w:p>
        </w:tc>
        <w:tc>
          <w:tcPr>
            <w:tcW w:w="1400" w:type="dxa"/>
            <w:vAlign w:val="bottom"/>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37</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2.</w:t>
            </w:r>
          </w:p>
        </w:tc>
        <w:tc>
          <w:tcPr>
            <w:tcW w:w="7980" w:type="dxa"/>
            <w:vAlign w:val="bottom"/>
            <w:gridSpan w:val="3"/>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Unregistered Sales of Equity Securities and Use of Proceeds</w:t>
              </w:r>
            </w:hyperlink>
          </w:p>
        </w:tc>
        <w:tc>
          <w:tcPr>
            <w:tcW w:w="1400" w:type="dxa"/>
            <w:vAlign w:val="bottom"/>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37</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7"/>
                <w:szCs w:val="17"/>
                <w:color w:val="auto"/>
              </w:rPr>
              <w:t>Item 6.</w:t>
            </w:r>
          </w:p>
        </w:tc>
        <w:tc>
          <w:tcPr>
            <w:tcW w:w="7980" w:type="dxa"/>
            <w:vAlign w:val="bottom"/>
            <w:gridSpan w:val="3"/>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Exhibits</w:t>
              </w:r>
            </w:hyperlink>
          </w:p>
        </w:tc>
        <w:tc>
          <w:tcPr>
            <w:tcW w:w="140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38</w:t>
              </w:r>
            </w:hyperlink>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Signature</w:t>
              </w:r>
            </w:hyperlink>
          </w:p>
        </w:tc>
        <w:tc>
          <w:tcPr>
            <w:tcW w:w="1400" w:type="dxa"/>
            <w:vAlign w:val="bottom"/>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39</w:t>
              </w:r>
            </w:hyperlink>
          </w:p>
        </w:tc>
        <w:tc>
          <w:tcPr>
            <w:tcW w:w="0" w:type="dxa"/>
            <w:vAlign w:val="bottom"/>
          </w:tcPr>
          <w:p>
            <w:pPr>
              <w:spacing w:after="0"/>
              <w:rPr>
                <w:sz w:val="1"/>
                <w:szCs w:val="1"/>
                <w:color w:val="auto"/>
              </w:rPr>
            </w:pPr>
          </w:p>
        </w:tc>
      </w:tr>
      <w:tr>
        <w:trPr>
          <w:trHeight w:val="814"/>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80" w:type="dxa"/>
            <w:vAlign w:val="bottom"/>
            <w:gridSpan w:val="3"/>
          </w:tcPr>
          <w:p>
            <w:pPr>
              <w:ind w:left="3720"/>
              <w:spacing w:after="0"/>
              <w:rPr>
                <w:sz w:val="20"/>
                <w:szCs w:val="20"/>
                <w:color w:val="auto"/>
              </w:rPr>
            </w:pPr>
            <w:r>
              <w:rPr>
                <w:rFonts w:ascii="Arial" w:cs="Arial" w:eastAsia="Arial" w:hAnsi="Arial"/>
                <w:sz w:val="17"/>
                <w:szCs w:val="17"/>
                <w:color w:val="auto"/>
              </w:rPr>
              <w:t>2</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3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3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u w:val="single" w:color="auto"/>
          <w:color w:val="auto"/>
        </w:rPr>
        <w:t>Item1.</w:t>
      </w:r>
      <w:r>
        <w:rPr>
          <w:sz w:val="20"/>
          <w:szCs w:val="20"/>
          <w:color w:val="auto"/>
        </w:rPr>
        <w:tab/>
      </w:r>
      <w:r>
        <w:rPr>
          <w:rFonts w:ascii="Arial" w:cs="Arial" w:eastAsia="Arial" w:hAnsi="Arial"/>
          <w:sz w:val="15"/>
          <w:szCs w:val="15"/>
          <w:b w:val="1"/>
          <w:bCs w:val="1"/>
          <w:u w:val="single" w:color="auto"/>
          <w:color w:val="auto"/>
        </w:rPr>
        <w:t>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ICU MEDICAL,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jc w:val="center"/>
        <w:ind w:right="40"/>
        <w:spacing w:after="0"/>
        <w:rPr>
          <w:sz w:val="20"/>
          <w:szCs w:val="20"/>
          <w:color w:val="auto"/>
        </w:rPr>
      </w:pPr>
      <w:r>
        <w:rPr>
          <w:rFonts w:ascii="Arial" w:cs="Arial" w:eastAsia="Arial" w:hAnsi="Arial"/>
          <w:sz w:val="16"/>
          <w:szCs w:val="16"/>
          <w:color w:val="auto"/>
        </w:rPr>
        <w:t>(In thousands, except par value data)</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4"/>
                <w:szCs w:val="14"/>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0"/>
        </w:trPr>
        <w:tc>
          <w:tcPr>
            <w:tcW w:w="8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51"/>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571"/>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2"/>
        </w:trPr>
        <w:tc>
          <w:tcPr>
            <w:tcW w:w="8240" w:type="dxa"/>
            <w:vAlign w:val="bottom"/>
            <w:shd w:val="clear" w:color="auto" w:fill="CCEEFF"/>
          </w:tcPr>
          <w:p>
            <w:pPr>
              <w:ind w:left="386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424,249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396,097</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Short-term investment securities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14,687</w:t>
            </w:r>
          </w:p>
        </w:tc>
        <w:tc>
          <w:tcPr>
            <w:tcW w:w="0" w:type="dxa"/>
            <w:vAlign w:val="bottom"/>
          </w:tcPr>
          <w:p>
            <w:pPr>
              <w:spacing w:after="0"/>
              <w:rPr>
                <w:sz w:val="1"/>
                <w:szCs w:val="1"/>
                <w:color w:val="auto"/>
              </w:rPr>
            </w:pPr>
          </w:p>
        </w:tc>
      </w:tr>
      <w:tr>
        <w:trPr>
          <w:trHeight w:val="177"/>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CASH, CASH EQUIVALENTS AND INVESTMENT SECURITIES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435,942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410,784</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Accounts receivable, net of allowance for doubtful accounts of $21,782 at March 31, 2021 and $21,490 at December 31, 2020</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120,365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124,093</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300,086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314,928</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Prepaid income tax</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31,480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29,480</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40,309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41,492</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928,182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920,777</w:t>
            </w:r>
          </w:p>
        </w:tc>
        <w:tc>
          <w:tcPr>
            <w:tcW w:w="0" w:type="dxa"/>
            <w:vAlign w:val="bottom"/>
          </w:tcPr>
          <w:p>
            <w:pPr>
              <w:spacing w:after="0"/>
              <w:rPr>
                <w:sz w:val="1"/>
                <w:szCs w:val="1"/>
                <w:color w:val="auto"/>
              </w:rPr>
            </w:pPr>
          </w:p>
        </w:tc>
      </w:tr>
      <w:tr>
        <w:trPr>
          <w:trHeight w:val="138"/>
        </w:trPr>
        <w:tc>
          <w:tcPr>
            <w:tcW w:w="8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459,072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466,628</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46,571</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LONG-TERM INVESTMENT SECURITIES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18,834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12,974</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33,001</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193,074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197,231</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31,034</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58,742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55,475</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1,765,230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1,763,691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700"/>
              <w:spacing w:after="0"/>
              <w:rPr>
                <w:sz w:val="20"/>
                <w:szCs w:val="20"/>
                <w:color w:val="auto"/>
              </w:rPr>
            </w:pPr>
            <w:r>
              <w:rPr>
                <w:rFonts w:ascii="Arial" w:cs="Arial" w:eastAsia="Arial" w:hAnsi="Arial"/>
                <w:sz w:val="14"/>
                <w:szCs w:val="14"/>
                <w:color w:val="auto"/>
              </w:rPr>
              <w:t>LIABILITIES AND STOCKHOLDERS’ EQUITY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71,864</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79,056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97,021</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liability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78"/>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Contingent earn-out liability</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26,300</w:t>
            </w: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179,862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195,488</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47,835</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1,663</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LIABILITY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16,440</w:t>
            </w:r>
          </w:p>
        </w:tc>
        <w:tc>
          <w:tcPr>
            <w:tcW w:w="0" w:type="dxa"/>
            <w:vAlign w:val="bottom"/>
          </w:tcPr>
          <w:p>
            <w:pPr>
              <w:spacing w:after="0"/>
              <w:rPr>
                <w:sz w:val="1"/>
                <w:szCs w:val="1"/>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COMMITMENTS AND CONTINGENCIES (Note 18)</w:t>
            </w:r>
          </w:p>
        </w:tc>
        <w:tc>
          <w:tcPr>
            <w:tcW w:w="2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Convertible preferred stock, $1.00 par value Authorized—500 shares; Issued and outstanding — none</w:t>
            </w:r>
          </w:p>
        </w:tc>
        <w:tc>
          <w:tcPr>
            <w:tcW w:w="2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8240" w:type="dxa"/>
            <w:vAlign w:val="bottom"/>
            <w:shd w:val="clear" w:color="auto" w:fill="CCEEFF"/>
          </w:tcPr>
          <w:p>
            <w:pPr>
              <w:ind w:left="120"/>
              <w:spacing w:after="0" w:line="133" w:lineRule="exact"/>
              <w:rPr>
                <w:sz w:val="20"/>
                <w:szCs w:val="20"/>
                <w:color w:val="auto"/>
              </w:rPr>
            </w:pPr>
            <w:r>
              <w:rPr>
                <w:rFonts w:ascii="Arial" w:cs="Arial" w:eastAsia="Arial" w:hAnsi="Arial"/>
                <w:sz w:val="14"/>
                <w:szCs w:val="14"/>
                <w:color w:val="auto"/>
                <w:w w:val="91"/>
              </w:rPr>
              <w:t>Common stock, $0.10 par value — Authorized, 80,000 shares; Issued — 21,219 shares at March 31, 2021 and 21,058 shares at December 31,</w:t>
            </w:r>
          </w:p>
        </w:tc>
        <w:tc>
          <w:tcPr>
            <w:tcW w:w="22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2020 and outstanding — 21,192 shares at March 31, 2021 and 21,058 shares at December 31, 2020</w:t>
            </w:r>
          </w:p>
        </w:tc>
        <w:tc>
          <w:tcPr>
            <w:tcW w:w="2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701,586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693,068</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Treasury stock, at cost ( 26,785 and 209 shares, respectively)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832,383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808,652</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1,520,768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1,502,265</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1,765,230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1,763,691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 December 31, 2020 balances were derived from audited consolidated financial statements.</w:t>
      </w:r>
    </w:p>
    <w:p>
      <w:pPr>
        <w:spacing w:after="0" w:line="85" w:lineRule="exact"/>
        <w:rPr>
          <w:sz w:val="20"/>
          <w:szCs w:val="20"/>
          <w:color w:val="auto"/>
        </w:rPr>
      </w:pPr>
    </w:p>
    <w:p>
      <w:pPr>
        <w:ind w:left="29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737"/>
        </w:trPr>
        <w:tc>
          <w:tcPr>
            <w:tcW w:w="122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5000" w:type="dxa"/>
            <w:vAlign w:val="bottom"/>
            <w:gridSpan w:val="2"/>
          </w:tcPr>
          <w:p>
            <w:pPr>
              <w:jc w:val="center"/>
              <w:ind w:right="1360"/>
              <w:spacing w:after="0"/>
              <w:rPr>
                <w:sz w:val="20"/>
                <w:szCs w:val="20"/>
                <w:color w:val="auto"/>
              </w:rPr>
            </w:pPr>
            <w:r>
              <w:rPr>
                <w:rFonts w:ascii="Arial" w:cs="Arial" w:eastAsia="Arial" w:hAnsi="Arial"/>
                <w:sz w:val="17"/>
                <w:szCs w:val="17"/>
                <w:b w:val="1"/>
                <w:bCs w:val="1"/>
                <w:color w:val="auto"/>
              </w:rPr>
              <w:t>ICU MEDICAL, INC. AND SUBSIDIARIES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3"/>
        </w:trPr>
        <w:tc>
          <w:tcPr>
            <w:tcW w:w="1220" w:type="dxa"/>
            <w:vAlign w:val="bottom"/>
          </w:tcPr>
          <w:p>
            <w:pPr>
              <w:spacing w:after="0"/>
              <w:rPr>
                <w:sz w:val="18"/>
                <w:szCs w:val="18"/>
                <w:color w:val="auto"/>
              </w:rPr>
            </w:pPr>
          </w:p>
        </w:tc>
        <w:tc>
          <w:tcPr>
            <w:tcW w:w="7580" w:type="dxa"/>
            <w:vAlign w:val="bottom"/>
            <w:gridSpan w:val="3"/>
          </w:tcPr>
          <w:p>
            <w:pPr>
              <w:jc w:val="center"/>
              <w:ind w:left="1134"/>
              <w:spacing w:after="0"/>
              <w:rPr>
                <w:sz w:val="20"/>
                <w:szCs w:val="20"/>
                <w:color w:val="auto"/>
              </w:rPr>
            </w:pPr>
            <w:r>
              <w:rPr>
                <w:rFonts w:ascii="Arial" w:cs="Arial" w:eastAsia="Arial" w:hAnsi="Arial"/>
                <w:sz w:val="17"/>
                <w:szCs w:val="17"/>
                <w:b w:val="1"/>
                <w:bCs w:val="1"/>
                <w:color w:val="auto"/>
                <w:w w:val="99"/>
              </w:rPr>
              <w:t>CONDENSED CONSOLIDATED STATEMENTS OF OPERATIONS (Unaudited)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000" w:type="dxa"/>
            <w:vAlign w:val="bottom"/>
            <w:gridSpan w:val="2"/>
          </w:tcPr>
          <w:p>
            <w:pPr>
              <w:jc w:val="center"/>
              <w:ind w:right="1360"/>
              <w:spacing w:after="0"/>
              <w:rPr>
                <w:sz w:val="20"/>
                <w:szCs w:val="20"/>
                <w:color w:val="auto"/>
              </w:rPr>
            </w:pPr>
            <w:r>
              <w:rPr>
                <w:rFonts w:ascii="Arial" w:cs="Arial" w:eastAsia="Arial" w:hAnsi="Arial"/>
                <w:sz w:val="17"/>
                <w:szCs w:val="17"/>
                <w:color w:val="auto"/>
                <w:w w:val="89"/>
              </w:rPr>
              <w:t>(In thousands, except per share data)</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91"/>
        </w:trPr>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r>
      <w:tr>
        <w:trPr>
          <w:trHeight w:val="220"/>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r>
      <w:tr>
        <w:trPr>
          <w:trHeight w:val="21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5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318,046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328,607</w:t>
            </w:r>
          </w:p>
        </w:tc>
      </w:tr>
      <w:tr>
        <w:trPr>
          <w:trHeight w:val="220"/>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GOODS SOLD</w:t>
            </w:r>
          </w:p>
        </w:tc>
        <w:tc>
          <w:tcPr>
            <w:tcW w:w="46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205,366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207,192</w:t>
            </w:r>
          </w:p>
        </w:tc>
      </w:tr>
      <w:tr>
        <w:trPr>
          <w:trHeight w:val="213"/>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GROSS PROFIT</w:t>
            </w:r>
          </w:p>
        </w:tc>
        <w:tc>
          <w:tcPr>
            <w:tcW w:w="46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112,680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121,415</w:t>
            </w:r>
          </w:p>
        </w:tc>
      </w:tr>
      <w:tr>
        <w:trPr>
          <w:trHeight w:val="200"/>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4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4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72,305</w:t>
            </w:r>
          </w:p>
        </w:tc>
      </w:tr>
      <w:tr>
        <w:trPr>
          <w:trHeight w:val="220"/>
        </w:trPr>
        <w:tc>
          <w:tcPr>
            <w:tcW w:w="380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w:t>
            </w:r>
          </w:p>
        </w:tc>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10,709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10,746</w:t>
            </w: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5"/>
              </w:rPr>
              <w:t>Restructuring, strategic transaction and integration</w:t>
            </w:r>
          </w:p>
        </w:tc>
        <w:tc>
          <w:tcPr>
            <w:tcW w:w="4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12,307</w:t>
            </w:r>
          </w:p>
        </w:tc>
      </w:tr>
      <w:tr>
        <w:trPr>
          <w:trHeight w:val="220"/>
        </w:trPr>
        <w:tc>
          <w:tcPr>
            <w:tcW w:w="3800" w:type="dxa"/>
            <w:vAlign w:val="bottom"/>
            <w:gridSpan w:val="2"/>
          </w:tcPr>
          <w:p>
            <w:pPr>
              <w:ind w:left="140"/>
              <w:spacing w:after="0"/>
              <w:rPr>
                <w:sz w:val="20"/>
                <w:szCs w:val="20"/>
                <w:color w:val="auto"/>
              </w:rPr>
            </w:pPr>
            <w:r>
              <w:rPr>
                <w:rFonts w:ascii="Arial" w:cs="Arial" w:eastAsia="Arial" w:hAnsi="Arial"/>
                <w:sz w:val="17"/>
                <w:szCs w:val="17"/>
                <w:color w:val="auto"/>
              </w:rPr>
              <w:t>Change in fair value of contingent earn-out</w:t>
            </w:r>
          </w:p>
        </w:tc>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Contract settlement</w:t>
            </w:r>
          </w:p>
        </w:tc>
        <w:tc>
          <w:tcPr>
            <w:tcW w:w="46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OPERATING EXPENSES</w:t>
            </w:r>
          </w:p>
        </w:tc>
        <w:tc>
          <w:tcPr>
            <w:tcW w:w="46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86,110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95,358</w:t>
            </w:r>
          </w:p>
        </w:tc>
      </w:tr>
      <w:tr>
        <w:trPr>
          <w:trHeight w:val="21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4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26,057</w:t>
            </w:r>
          </w:p>
        </w:tc>
      </w:tr>
      <w:tr>
        <w:trPr>
          <w:trHeight w:val="220"/>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INTEREST EXPENSE</w:t>
            </w:r>
          </w:p>
        </w:tc>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46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(5,480)</w:t>
            </w: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4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27,092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20,381</w:t>
            </w: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46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(3,547)</w:t>
            </w: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5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23,731</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16,834</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380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7"/>
                <w:szCs w:val="17"/>
                <w:color w:val="auto"/>
              </w:rPr>
              <w:t>NET INCOME PER SHARE</w:t>
            </w:r>
          </w:p>
        </w:tc>
        <w:tc>
          <w:tcPr>
            <w:tcW w:w="4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0"/>
        </w:trPr>
        <w:tc>
          <w:tcPr>
            <w:tcW w:w="380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50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0.81</w:t>
            </w:r>
          </w:p>
        </w:tc>
      </w:tr>
      <w:tr>
        <w:trPr>
          <w:trHeight w:val="220"/>
        </w:trPr>
        <w:tc>
          <w:tcPr>
            <w:tcW w:w="3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5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0.78</w:t>
            </w:r>
          </w:p>
        </w:tc>
      </w:tr>
      <w:tr>
        <w:trPr>
          <w:trHeight w:val="220"/>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WEIGHTED AVERAGE NUMBER OF SHARES</w:t>
            </w:r>
          </w:p>
        </w:tc>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3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4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20,780</w:t>
            </w:r>
          </w:p>
        </w:tc>
      </w:tr>
      <w:tr>
        <w:trPr>
          <w:trHeight w:val="220"/>
        </w:trPr>
        <w:tc>
          <w:tcPr>
            <w:tcW w:w="3800" w:type="dxa"/>
            <w:vAlign w:val="bottom"/>
            <w:gridSpan w:val="2"/>
          </w:tcPr>
          <w:p>
            <w:pPr>
              <w:ind w:left="340"/>
              <w:spacing w:after="0"/>
              <w:rPr>
                <w:sz w:val="20"/>
                <w:szCs w:val="20"/>
                <w:color w:val="auto"/>
              </w:rPr>
            </w:pPr>
            <w:r>
              <w:rPr>
                <w:rFonts w:ascii="Arial" w:cs="Arial" w:eastAsia="Arial" w:hAnsi="Arial"/>
                <w:sz w:val="17"/>
                <w:szCs w:val="17"/>
                <w:color w:val="auto"/>
              </w:rPr>
              <w:t>Diluted</w:t>
            </w:r>
          </w:p>
        </w:tc>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21,695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21,507</w:t>
            </w: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322"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Three months ended</w:t>
      </w:r>
    </w:p>
    <w:p>
      <w:pPr>
        <w:ind w:left="9500"/>
        <w:spacing w:after="0"/>
        <w:rPr>
          <w:sz w:val="20"/>
          <w:szCs w:val="20"/>
          <w:color w:val="auto"/>
        </w:rPr>
      </w:pPr>
      <w:r>
        <w:rPr>
          <w:rFonts w:ascii="Arial" w:cs="Arial" w:eastAsia="Arial" w:hAnsi="Arial"/>
          <w:sz w:val="16"/>
          <w:szCs w:val="16"/>
          <w:b w:val="1"/>
          <w:bCs w:val="1"/>
          <w:color w:val="auto"/>
        </w:rPr>
        <w:t>March 31,</w:t>
      </w:r>
    </w:p>
    <w:tbl>
      <w:tblPr>
        <w:tblLayout w:type="fixed"/>
        <w:tblInd w:w="0" w:type="dxa"/>
        <w:tblCellMar>
          <w:top w:w="0" w:type="dxa"/>
          <w:left w:w="0" w:type="dxa"/>
          <w:bottom w:w="0" w:type="dxa"/>
          <w:right w:w="0" w:type="dxa"/>
        </w:tblCellMar>
      </w:tblPr>
      <w:tr>
        <w:trPr>
          <w:trHeight w:val="204"/>
        </w:trPr>
        <w:tc>
          <w:tcPr>
            <w:tcW w:w="84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2020</w:t>
            </w:r>
          </w:p>
        </w:tc>
      </w:tr>
      <w:tr>
        <w:trPr>
          <w:trHeight w:val="201"/>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5"/>
              </w:rPr>
              <w:t>23,731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16,834</w:t>
            </w:r>
          </w:p>
        </w:tc>
      </w:tr>
      <w:tr>
        <w:trPr>
          <w:trHeight w:val="220"/>
        </w:trPr>
        <w:tc>
          <w:tcPr>
            <w:tcW w:w="842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68"/>
        </w:trPr>
        <w:tc>
          <w:tcPr>
            <w:tcW w:w="842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w w:val="95"/>
              </w:rPr>
              <w:t>Cash flow hedge adjustments, net of taxes of $298 and $932 for the three months ended March 31, 2021 and 2020,</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respectively</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r>
      <w:tr>
        <w:trPr>
          <w:trHeight w:val="220"/>
        </w:trPr>
        <w:tc>
          <w:tcPr>
            <w:tcW w:w="8420" w:type="dxa"/>
            <w:vAlign w:val="bottom"/>
          </w:tcPr>
          <w:p>
            <w:pPr>
              <w:ind w:left="140"/>
              <w:spacing w:after="0"/>
              <w:rPr>
                <w:sz w:val="20"/>
                <w:szCs w:val="20"/>
                <w:color w:val="auto"/>
              </w:rPr>
            </w:pPr>
            <w:r>
              <w:rPr>
                <w:rFonts w:ascii="Arial" w:cs="Arial" w:eastAsia="Arial" w:hAnsi="Arial"/>
                <w:sz w:val="17"/>
                <w:szCs w:val="17"/>
                <w:color w:val="auto"/>
              </w:rPr>
              <w:t>Foreign currency translation adjustment, net of taxes of $— for all periods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(7,458)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(10,477)</w:t>
            </w:r>
          </w:p>
        </w:tc>
      </w:tr>
      <w:tr>
        <w:trPr>
          <w:trHeight w:val="220"/>
        </w:trPr>
        <w:tc>
          <w:tcPr>
            <w:tcW w:w="8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adjustments, net of taxes of $— for all periods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0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net of taxes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(8,391)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(13,510)</w:t>
            </w:r>
          </w:p>
        </w:tc>
      </w:tr>
      <w:tr>
        <w:trPr>
          <w:trHeight w:val="225"/>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COMPREHENSIVE INCOME</w:t>
            </w:r>
          </w:p>
        </w:tc>
        <w:tc>
          <w:tcPr>
            <w:tcW w:w="84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5"/>
              </w:rPr>
              <w:t>15,340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CONDENSED CONSOLIDATED STATEMENTS OF STOCKHOLDERS’ EQUITY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1740" w:type="dxa"/>
            <w:vAlign w:val="bottom"/>
            <w:gridSpan w:val="7"/>
          </w:tcPr>
          <w:p>
            <w:pPr>
              <w:ind w:lef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420" w:type="dxa"/>
            <w:vAlign w:val="bottom"/>
          </w:tcPr>
          <w:p>
            <w:pPr>
              <w:spacing w:after="0"/>
              <w:rPr>
                <w:sz w:val="12"/>
                <w:szCs w:val="12"/>
                <w:color w:val="auto"/>
              </w:rPr>
            </w:pPr>
          </w:p>
        </w:tc>
        <w:tc>
          <w:tcPr>
            <w:tcW w:w="10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960" w:type="dxa"/>
            <w:vAlign w:val="bottom"/>
            <w:gridSpan w:val="4"/>
          </w:tcPr>
          <w:p>
            <w:pPr>
              <w:jc w:val="center"/>
              <w:ind w:right="220"/>
              <w:spacing w:after="0" w:line="141"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1" w:lineRule="exact"/>
              <w:rPr>
                <w:sz w:val="20"/>
                <w:szCs w:val="20"/>
                <w:color w:val="auto"/>
              </w:rPr>
            </w:pPr>
            <w:r>
              <w:rPr>
                <w:rFonts w:ascii="Arial" w:cs="Arial" w:eastAsia="Arial" w:hAnsi="Arial"/>
                <w:sz w:val="14"/>
                <w:szCs w:val="14"/>
                <w:b w:val="1"/>
                <w:bCs w:val="1"/>
                <w:color w:val="auto"/>
                <w:w w:val="97"/>
              </w:rPr>
              <w:t>Treasury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7"/>
              </w:rPr>
              <w:t>Comprehensive</w:t>
            </w:r>
          </w:p>
        </w:tc>
        <w:tc>
          <w:tcPr>
            <w:tcW w:w="160" w:type="dxa"/>
            <w:vAlign w:val="bottom"/>
          </w:tcPr>
          <w:p>
            <w:pPr>
              <w:spacing w:after="0"/>
              <w:rPr>
                <w:sz w:val="12"/>
                <w:szCs w:val="12"/>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21,058</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2,106</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693,068</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(39)</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808,652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1,502,265</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2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2,496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2,352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4,864</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(7,723)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(7,723)</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6,022</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(8,391)</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23,731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23,731</w:t>
            </w:r>
          </w:p>
        </w:tc>
        <w:tc>
          <w:tcPr>
            <w:tcW w:w="0" w:type="dxa"/>
            <w:vAlign w:val="bottom"/>
          </w:tcPr>
          <w:p>
            <w:pPr>
              <w:spacing w:after="0"/>
              <w:rPr>
                <w:sz w:val="1"/>
                <w:szCs w:val="1"/>
                <w:color w:val="auto"/>
              </w:rPr>
            </w:pPr>
          </w:p>
        </w:tc>
      </w:tr>
      <w:tr>
        <w:trPr>
          <w:trHeight w:val="177"/>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March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21,219</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2,122</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701,586</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(5,410)</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832,383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(9,913)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1,520,768</w:t>
            </w:r>
          </w:p>
        </w:tc>
        <w:tc>
          <w:tcPr>
            <w:tcW w:w="0" w:type="dxa"/>
            <w:vAlign w:val="bottom"/>
          </w:tcPr>
          <w:p>
            <w:pPr>
              <w:spacing w:after="0"/>
              <w:rPr>
                <w:sz w:val="1"/>
                <w:szCs w:val="1"/>
                <w:color w:val="auto"/>
              </w:rPr>
            </w:pPr>
          </w:p>
        </w:tc>
      </w:tr>
      <w:tr>
        <w:trPr>
          <w:trHeight w:val="523"/>
        </w:trPr>
        <w:tc>
          <w:tcPr>
            <w:tcW w:w="4420" w:type="dxa"/>
            <w:vAlign w:val="bottom"/>
          </w:tcPr>
          <w:p>
            <w:pPr>
              <w:spacing w:after="0"/>
              <w:rPr>
                <w:sz w:val="24"/>
                <w:szCs w:val="24"/>
                <w:color w:val="auto"/>
              </w:rPr>
            </w:pPr>
          </w:p>
        </w:tc>
        <w:tc>
          <w:tcPr>
            <w:tcW w:w="1740" w:type="dxa"/>
            <w:vAlign w:val="bottom"/>
            <w:gridSpan w:val="7"/>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420" w:type="dxa"/>
            <w:vAlign w:val="bottom"/>
          </w:tcPr>
          <w:p>
            <w:pPr>
              <w:spacing w:after="0"/>
              <w:rPr>
                <w:sz w:val="12"/>
                <w:szCs w:val="12"/>
                <w:color w:val="auto"/>
              </w:rPr>
            </w:pPr>
          </w:p>
        </w:tc>
        <w:tc>
          <w:tcPr>
            <w:tcW w:w="10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960" w:type="dxa"/>
            <w:vAlign w:val="bottom"/>
            <w:gridSpan w:val="4"/>
          </w:tcPr>
          <w:p>
            <w:pPr>
              <w:jc w:val="center"/>
              <w:ind w:right="240"/>
              <w:spacing w:after="0" w:line="141"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w w:val="94"/>
              </w:rPr>
              <w:t>Treasury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7"/>
              </w:rPr>
              <w:t>Comprehensive</w:t>
            </w:r>
          </w:p>
        </w:tc>
        <w:tc>
          <w:tcPr>
            <w:tcW w:w="160" w:type="dxa"/>
            <w:vAlign w:val="bottom"/>
          </w:tcPr>
          <w:p>
            <w:pPr>
              <w:spacing w:after="0"/>
              <w:rPr>
                <w:sz w:val="12"/>
                <w:szCs w:val="12"/>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20,742</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2,074</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668,947</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721,782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(15,402)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1,377,244</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Issuance of restricted stock and exercise of stock options</w:t>
            </w:r>
          </w:p>
        </w:tc>
        <w:tc>
          <w:tcPr>
            <w:tcW w:w="92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(10,207)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10,758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Tax withholding payments related to net share settlement of equity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(12,174)</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(12,174)</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6,939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6,939</w:t>
            </w:r>
          </w:p>
        </w:tc>
        <w:tc>
          <w:tcPr>
            <w:tcW w:w="0" w:type="dxa"/>
            <w:vAlign w:val="bottom"/>
          </w:tcPr>
          <w:p>
            <w:pPr>
              <w:spacing w:after="0"/>
              <w:rPr>
                <w:sz w:val="1"/>
                <w:szCs w:val="1"/>
                <w:color w:val="auto"/>
              </w:rPr>
            </w:pP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(13,510)</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16,834</w:t>
            </w:r>
          </w:p>
        </w:tc>
        <w:tc>
          <w:tcPr>
            <w:tcW w:w="0" w:type="dxa"/>
            <w:vAlign w:val="bottom"/>
          </w:tcPr>
          <w:p>
            <w:pPr>
              <w:spacing w:after="0"/>
              <w:rPr>
                <w:sz w:val="1"/>
                <w:szCs w:val="1"/>
                <w:color w:val="auto"/>
              </w:rPr>
            </w:pPr>
          </w:p>
        </w:tc>
      </w:tr>
      <w:tr>
        <w:trPr>
          <w:trHeight w:val="202"/>
        </w:trPr>
        <w:tc>
          <w:tcPr>
            <w:tcW w:w="4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Balance, March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665,679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738,616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1,375,893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left="340" w:right="2560"/>
        <w:spacing w:after="0" w:line="282" w:lineRule="auto"/>
        <w:rPr>
          <w:sz w:val="20"/>
          <w:szCs w:val="20"/>
          <w:color w:val="auto"/>
        </w:rPr>
      </w:pPr>
      <w:r>
        <w:rPr>
          <w:rFonts w:ascii="Arial" w:cs="Arial" w:eastAsia="Arial" w:hAnsi="Arial"/>
          <w:sz w:val="17"/>
          <w:szCs w:val="17"/>
          <w:b w:val="1"/>
          <w:bCs w:val="1"/>
          <w:color w:val="auto"/>
        </w:rPr>
        <w:t xml:space="preserve">ICU MEDICAL, INC. AND SUBSIDIARIES CONDENSED CONSOLIDATED STATEMENTS OF CASH FLOWS (Unaudited) </w:t>
      </w:r>
      <w:r>
        <w:rPr>
          <w:rFonts w:ascii="Arial" w:cs="Arial" w:eastAsia="Arial" w:hAnsi="Arial"/>
          <w:sz w:val="17"/>
          <w:szCs w:val="17"/>
          <w:color w:val="auto"/>
        </w:rPr>
        <w:t>(In thousands)</w:t>
      </w:r>
    </w:p>
    <w:p>
      <w:pPr>
        <w:spacing w:after="0" w:line="270"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ind w:left="9440"/>
        <w:spacing w:after="0"/>
        <w:rPr>
          <w:sz w:val="20"/>
          <w:szCs w:val="20"/>
          <w:color w:val="auto"/>
        </w:rPr>
      </w:pPr>
      <w:r>
        <w:rPr>
          <w:rFonts w:ascii="Arial" w:cs="Arial" w:eastAsia="Arial" w:hAnsi="Arial"/>
          <w:sz w:val="14"/>
          <w:szCs w:val="14"/>
          <w:b w:val="1"/>
          <w:bCs w:val="1"/>
          <w:color w:val="auto"/>
        </w:rPr>
        <w:t>March 31,</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17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8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751"/>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23,731</w:t>
            </w:r>
          </w:p>
        </w:tc>
        <w:tc>
          <w:tcPr>
            <w:tcW w:w="100" w:type="dxa"/>
            <w:vAlign w:val="bottom"/>
          </w:tcPr>
          <w:p>
            <w:pPr>
              <w:spacing w:after="0"/>
              <w:rPr>
                <w:sz w:val="15"/>
                <w:szCs w:val="15"/>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16,834</w:t>
            </w:r>
          </w:p>
        </w:tc>
      </w:tr>
      <w:tr>
        <w:trPr>
          <w:trHeight w:val="184"/>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22,155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20,957</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right-of-use assets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Provision for doubtful accounts</w:t>
            </w:r>
          </w:p>
        </w:tc>
        <w:tc>
          <w:tcPr>
            <w:tcW w:w="9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warranty and returns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Stock compensation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6,939</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disposal of property and equipment and other assets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Bond premium amortization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Debt issuance costs amortization</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Product-related charges</w:t>
            </w:r>
          </w:p>
        </w:tc>
        <w:tc>
          <w:tcPr>
            <w:tcW w:w="9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2,626</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Usage of spare parts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Other</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876</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8240" w:type="dxa"/>
            <w:vAlign w:val="bottom"/>
          </w:tcPr>
          <w:p>
            <w:pPr>
              <w:ind w:left="320"/>
              <w:spacing w:after="0"/>
              <w:rPr>
                <w:sz w:val="20"/>
                <w:szCs w:val="20"/>
                <w:color w:val="auto"/>
              </w:rPr>
            </w:pPr>
            <w:r>
              <w:rPr>
                <w:rFonts w:ascii="Arial" w:cs="Arial" w:eastAsia="Arial" w:hAnsi="Arial"/>
                <w:sz w:val="14"/>
                <w:szCs w:val="14"/>
                <w:color w:val="auto"/>
              </w:rPr>
              <w:t>Accounts receivable</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899</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Inventories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19,372</w:t>
            </w:r>
          </w:p>
        </w:tc>
      </w:tr>
      <w:tr>
        <w:trPr>
          <w:trHeight w:val="178"/>
        </w:trPr>
        <w:tc>
          <w:tcPr>
            <w:tcW w:w="8240" w:type="dxa"/>
            <w:vAlign w:val="bottom"/>
          </w:tcPr>
          <w:p>
            <w:pPr>
              <w:ind w:left="320"/>
              <w:spacing w:after="0"/>
              <w:rPr>
                <w:sz w:val="20"/>
                <w:szCs w:val="20"/>
                <w:color w:val="auto"/>
              </w:rPr>
            </w:pPr>
            <w:r>
              <w:rPr>
                <w:rFonts w:ascii="Arial" w:cs="Arial" w:eastAsia="Arial" w:hAnsi="Arial"/>
                <w:sz w:val="14"/>
                <w:szCs w:val="14"/>
                <w:color w:val="auto"/>
              </w:rPr>
              <w:t>Prepaid expenses and other assets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2,634</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assets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(6,402)</w:t>
            </w:r>
          </w:p>
        </w:tc>
      </w:tr>
      <w:tr>
        <w:trPr>
          <w:trHeight w:val="178"/>
        </w:trPr>
        <w:tc>
          <w:tcPr>
            <w:tcW w:w="824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(35,063)</w:t>
            </w:r>
          </w:p>
        </w:tc>
      </w:tr>
      <w:tr>
        <w:trPr>
          <w:trHeight w:val="184"/>
        </w:trPr>
        <w:tc>
          <w:tcPr>
            <w:tcW w:w="82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liabilities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(19,965)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r>
      <w:tr>
        <w:trPr>
          <w:trHeight w:val="178"/>
        </w:trPr>
        <w:tc>
          <w:tcPr>
            <w:tcW w:w="82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Income taxes, including excess tax benefits and deferred income taxes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2,325</w:t>
            </w:r>
          </w:p>
        </w:tc>
      </w:tr>
      <w:tr>
        <w:trPr>
          <w:trHeight w:val="177"/>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51,320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39,519</w:t>
            </w:r>
          </w:p>
        </w:tc>
      </w:tr>
      <w:tr>
        <w:trPr>
          <w:trHeight w:val="168"/>
        </w:trPr>
        <w:tc>
          <w:tcPr>
            <w:tcW w:w="82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7"/>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property and equipment</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(14,028)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(25,463)</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Proceeds from sale of asset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Intangible asset additions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Purchases of investment securities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(10,034)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(7,082)</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investment securities</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10,900</w:t>
            </w:r>
          </w:p>
        </w:tc>
      </w:tr>
      <w:tr>
        <w:trPr>
          <w:trHeight w:val="171"/>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(18,881)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(23,472)</w:t>
            </w:r>
          </w:p>
        </w:tc>
      </w:tr>
      <w:tr>
        <w:trPr>
          <w:trHeight w:val="17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Proceeds from short-term debt</w:t>
            </w:r>
          </w:p>
        </w:tc>
        <w:tc>
          <w:tcPr>
            <w:tcW w:w="9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150,000</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exercise of stock options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r>
      <w:tr>
        <w:trPr>
          <w:trHeight w:val="178"/>
        </w:trPr>
        <w:tc>
          <w:tcPr>
            <w:tcW w:w="8240" w:type="dxa"/>
            <w:vAlign w:val="bottom"/>
          </w:tcPr>
          <w:p>
            <w:pPr>
              <w:ind w:left="120"/>
              <w:spacing w:after="0"/>
              <w:rPr>
                <w:sz w:val="20"/>
                <w:szCs w:val="20"/>
                <w:color w:val="auto"/>
              </w:rPr>
            </w:pPr>
            <w:r>
              <w:rPr>
                <w:rFonts w:ascii="Arial" w:cs="Arial" w:eastAsia="Arial" w:hAnsi="Arial"/>
                <w:sz w:val="14"/>
                <w:szCs w:val="14"/>
                <w:color w:val="auto"/>
              </w:rPr>
              <w:t>Payments on finance leases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withholding payments related to net share settlement of equity awards</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(12,174)</w:t>
            </w:r>
          </w:p>
        </w:tc>
      </w:tr>
      <w:tr>
        <w:trPr>
          <w:trHeight w:val="171"/>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provided by financing activities</w:t>
            </w: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138,386</w:t>
            </w:r>
          </w:p>
        </w:tc>
      </w:tr>
      <w:tr>
        <w:trPr>
          <w:trHeight w:val="17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(3,546)</w:t>
            </w:r>
          </w:p>
        </w:tc>
      </w:tr>
      <w:tr>
        <w:trPr>
          <w:trHeight w:val="171"/>
        </w:trPr>
        <w:tc>
          <w:tcPr>
            <w:tcW w:w="8240" w:type="dxa"/>
            <w:vAlign w:val="bottom"/>
          </w:tcPr>
          <w:p>
            <w:pPr>
              <w:ind w:left="20"/>
              <w:spacing w:after="0"/>
              <w:rPr>
                <w:sz w:val="20"/>
                <w:szCs w:val="20"/>
                <w:color w:val="auto"/>
              </w:rPr>
            </w:pPr>
            <w:r>
              <w:rPr>
                <w:rFonts w:ascii="Arial" w:cs="Arial" w:eastAsia="Arial" w:hAnsi="Arial"/>
                <w:sz w:val="14"/>
                <w:szCs w:val="14"/>
                <w:color w:val="auto"/>
              </w:rPr>
              <w:t>NET INCREASE CASH AND CASH EQUIVALENTS</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28,152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150,887</w:t>
            </w:r>
          </w:p>
        </w:tc>
      </w:tr>
      <w:tr>
        <w:trPr>
          <w:trHeight w:val="181"/>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396,097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268,670</w:t>
            </w: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9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424,249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419,557</w:t>
            </w: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ICU MEDICAL, INC. AND SUBSIDIARIES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CONDENSED CONSOLIDATED STATEMENTS OF CASH FLOWS (Unaudited) - CONTINUED</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thousands)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center"/>
              <w:ind w:right="282"/>
              <w:spacing w:after="0"/>
              <w:rPr>
                <w:sz w:val="20"/>
                <w:szCs w:val="20"/>
                <w:color w:val="auto"/>
              </w:rPr>
            </w:pPr>
            <w:r>
              <w:rPr>
                <w:rFonts w:ascii="Arial" w:cs="Arial" w:eastAsia="Arial" w:hAnsi="Arial"/>
                <w:sz w:val="17"/>
                <w:szCs w:val="17"/>
                <w:b w:val="1"/>
                <w:bCs w:val="1"/>
                <w:color w:val="auto"/>
                <w:w w:val="89"/>
              </w:rPr>
              <w:t>Three months ended</w:t>
            </w:r>
          </w:p>
        </w:tc>
      </w:tr>
      <w:tr>
        <w:trPr>
          <w:trHeight w:val="220"/>
        </w:trPr>
        <w:tc>
          <w:tcPr>
            <w:tcW w:w="8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7"/>
                <w:szCs w:val="17"/>
                <w:b w:val="1"/>
                <w:bCs w:val="1"/>
                <w:color w:val="auto"/>
                <w:w w:val="94"/>
              </w:rPr>
              <w:t>March 31,</w:t>
            </w:r>
          </w:p>
        </w:tc>
        <w:tc>
          <w:tcPr>
            <w:tcW w:w="940" w:type="dxa"/>
            <w:vAlign w:val="bottom"/>
            <w:tcBorders>
              <w:bottom w:val="single" w:sz="8" w:color="auto"/>
            </w:tcBorders>
          </w:tcPr>
          <w:p>
            <w:pPr>
              <w:spacing w:after="0"/>
              <w:rPr>
                <w:sz w:val="19"/>
                <w:szCs w:val="19"/>
                <w:color w:val="auto"/>
              </w:rPr>
            </w:pPr>
          </w:p>
        </w:tc>
      </w:tr>
      <w:tr>
        <w:trPr>
          <w:trHeight w:val="197"/>
        </w:trPr>
        <w:tc>
          <w:tcPr>
            <w:tcW w:w="8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2020</w:t>
            </w: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1"/>
        </w:trPr>
        <w:tc>
          <w:tcPr>
            <w:tcW w:w="8300" w:type="dxa"/>
            <w:vAlign w:val="bottom"/>
          </w:tcPr>
          <w:p>
            <w:pPr>
              <w:ind w:left="80"/>
              <w:spacing w:after="0"/>
              <w:rPr>
                <w:sz w:val="20"/>
                <w:szCs w:val="20"/>
                <w:color w:val="auto"/>
              </w:rPr>
            </w:pPr>
            <w:r>
              <w:rPr>
                <w:rFonts w:ascii="Arial" w:cs="Arial" w:eastAsia="Arial" w:hAnsi="Arial"/>
                <w:sz w:val="16"/>
                <w:szCs w:val="16"/>
                <w:color w:val="auto"/>
              </w:rPr>
              <w:t>Accounts payable for property and equipment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7,112</w:t>
            </w:r>
          </w:p>
        </w:tc>
      </w:tr>
    </w:tbl>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w:t>
      </w:r>
    </w:p>
    <w:p>
      <w:pPr>
        <w:spacing w:after="0" w:line="224" w:lineRule="exact"/>
        <w:rPr>
          <w:sz w:val="20"/>
          <w:szCs w:val="20"/>
          <w:color w:val="auto"/>
        </w:rPr>
      </w:pPr>
    </w:p>
    <w:p>
      <w:pPr>
        <w:ind w:right="20" w:firstLine="620"/>
        <w:spacing w:after="0" w:line="258"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2020.</w:t>
      </w:r>
    </w:p>
    <w:p>
      <w:pPr>
        <w:spacing w:after="0" w:line="180" w:lineRule="exact"/>
        <w:rPr>
          <w:sz w:val="20"/>
          <w:szCs w:val="20"/>
          <w:color w:val="auto"/>
        </w:rPr>
      </w:pPr>
    </w:p>
    <w:p>
      <w:pPr>
        <w:ind w:right="100" w:firstLine="620"/>
        <w:spacing w:after="0" w:line="285" w:lineRule="auto"/>
        <w:rPr>
          <w:sz w:val="20"/>
          <w:szCs w:val="20"/>
          <w:color w:val="auto"/>
        </w:rPr>
      </w:pPr>
      <w:r>
        <w:rPr>
          <w:rFonts w:ascii="Arial" w:cs="Arial" w:eastAsia="Arial" w:hAnsi="Arial"/>
          <w:sz w:val="16"/>
          <w:szCs w:val="16"/>
          <w:color w:val="auto"/>
        </w:rPr>
        <w:t>We are engaged in the development, manufacturing and sale of innovative medical products used in vascular therapy and critical care applications. We sell the majority of our products through our direct sales force and through independent distributors throughout the U.S.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18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w:t>
      </w:r>
    </w:p>
    <w:p>
      <w:pPr>
        <w:spacing w:after="0" w:line="244" w:lineRule="exact"/>
        <w:rPr>
          <w:sz w:val="20"/>
          <w:szCs w:val="20"/>
          <w:color w:val="auto"/>
        </w:rPr>
      </w:pPr>
    </w:p>
    <w:p>
      <w:pPr>
        <w:ind w:firstLine="172"/>
        <w:spacing w:after="0" w:line="274" w:lineRule="auto"/>
        <w:rPr>
          <w:sz w:val="20"/>
          <w:szCs w:val="20"/>
          <w:color w:val="auto"/>
        </w:rPr>
      </w:pPr>
      <w:r>
        <w:rPr>
          <w:rFonts w:ascii="Arial" w:cs="Arial" w:eastAsia="Arial" w:hAnsi="Arial"/>
          <w:sz w:val="16"/>
          <w:szCs w:val="16"/>
          <w:color w:val="auto"/>
        </w:rPr>
        <w:t>In March 2020, the FASB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 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The impact of this ASU on our contracts has not been material.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Restructuring, Strategic Transaction and Integration</w:t>
      </w:r>
    </w:p>
    <w:p>
      <w:pPr>
        <w:spacing w:after="0" w:line="250" w:lineRule="exact"/>
        <w:rPr>
          <w:sz w:val="20"/>
          <w:szCs w:val="20"/>
          <w:color w:val="auto"/>
        </w:rPr>
      </w:pPr>
    </w:p>
    <w:p>
      <w:pPr>
        <w:ind w:right="640" w:firstLine="172"/>
        <w:spacing w:after="0" w:line="283" w:lineRule="auto"/>
        <w:rPr>
          <w:sz w:val="20"/>
          <w:szCs w:val="20"/>
          <w:color w:val="auto"/>
        </w:rPr>
      </w:pPr>
      <w:r>
        <w:rPr>
          <w:rFonts w:ascii="Arial" w:cs="Arial" w:eastAsia="Arial" w:hAnsi="Arial"/>
          <w:sz w:val="17"/>
          <w:szCs w:val="17"/>
          <w:color w:val="auto"/>
        </w:rPr>
        <w:t>Restructuring, strategic transaction and integration expenses were $2.9 million and $12.3 million for the three months ended March 31, 2021, and 2020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w:t>
      </w:r>
    </w:p>
    <w:p>
      <w:pPr>
        <w:spacing w:after="0" w:line="244" w:lineRule="exact"/>
        <w:rPr>
          <w:sz w:val="20"/>
          <w:szCs w:val="20"/>
          <w:color w:val="auto"/>
        </w:rPr>
      </w:pPr>
    </w:p>
    <w:p>
      <w:pPr>
        <w:jc w:val="both"/>
        <w:ind w:right="140" w:firstLine="172"/>
        <w:spacing w:after="0" w:line="292" w:lineRule="auto"/>
        <w:rPr>
          <w:sz w:val="20"/>
          <w:szCs w:val="20"/>
          <w:color w:val="auto"/>
        </w:rPr>
      </w:pPr>
      <w:r>
        <w:rPr>
          <w:rFonts w:ascii="Arial" w:cs="Arial" w:eastAsia="Arial" w:hAnsi="Arial"/>
          <w:sz w:val="16"/>
          <w:szCs w:val="16"/>
          <w:color w:val="auto"/>
        </w:rPr>
        <w:t>During the three months ended March 31, 2021 and 2020, restructuring charges were $0.0 million and $7.2 million, respectively. Restructuring charges for the three months ended March 31, 2020 were primarily related to severance and costs related to office and other facility closures. Restructuring charges are included in the above restructuring, strategic transaction and integration expenses in our condensed consolidated statement of operations.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the details of changes in our restructuring-related accrual for the period ended March 31, 2021 (in thousands):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Accrued Balance</w:t>
            </w:r>
          </w:p>
        </w:tc>
        <w:tc>
          <w:tcPr>
            <w:tcW w:w="1200" w:type="dxa"/>
            <w:vAlign w:val="bottom"/>
          </w:tcPr>
          <w:p>
            <w:pPr>
              <w:jc w:val="right"/>
              <w:ind w:right="58"/>
              <w:spacing w:after="0"/>
              <w:rPr>
                <w:sz w:val="20"/>
                <w:szCs w:val="20"/>
                <w:color w:val="auto"/>
              </w:rPr>
            </w:pPr>
            <w:r>
              <w:rPr>
                <w:rFonts w:ascii="Arial" w:cs="Arial" w:eastAsia="Arial" w:hAnsi="Arial"/>
                <w:sz w:val="16"/>
                <w:szCs w:val="16"/>
                <w:b w:val="1"/>
                <w:bCs w:val="1"/>
                <w:color w:val="auto"/>
              </w:rPr>
              <w:t>Charges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Payments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78"/>
              <w:spacing w:after="0"/>
              <w:rPr>
                <w:sz w:val="20"/>
                <w:szCs w:val="20"/>
                <w:color w:val="auto"/>
              </w:rPr>
            </w:pPr>
            <w:r>
              <w:rPr>
                <w:rFonts w:ascii="Arial" w:cs="Arial" w:eastAsia="Arial" w:hAnsi="Arial"/>
                <w:sz w:val="16"/>
                <w:szCs w:val="16"/>
                <w:b w:val="1"/>
                <w:bCs w:val="1"/>
                <w:color w:val="auto"/>
              </w:rPr>
              <w:t>Currency</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57"/>
              <w:spacing w:after="0"/>
              <w:rPr>
                <w:sz w:val="20"/>
                <w:szCs w:val="20"/>
                <w:color w:val="auto"/>
              </w:rPr>
            </w:pPr>
            <w:r>
              <w:rPr>
                <w:rFonts w:ascii="Arial" w:cs="Arial" w:eastAsia="Arial" w:hAnsi="Arial"/>
                <w:sz w:val="16"/>
                <w:szCs w:val="16"/>
                <w:b w:val="1"/>
                <w:bCs w:val="1"/>
                <w:color w:val="auto"/>
                <w:w w:val="89"/>
              </w:rPr>
              <w:t>Accrued Balance</w:t>
            </w:r>
          </w:p>
        </w:tc>
        <w:tc>
          <w:tcPr>
            <w:tcW w:w="0" w:type="dxa"/>
            <w:vAlign w:val="bottom"/>
          </w:tcPr>
          <w:p>
            <w:pPr>
              <w:spacing w:after="0"/>
              <w:rPr>
                <w:sz w:val="1"/>
                <w:szCs w:val="1"/>
                <w:color w:val="auto"/>
              </w:rPr>
            </w:pPr>
          </w:p>
        </w:tc>
      </w:tr>
      <w:tr>
        <w:trPr>
          <w:trHeight w:val="204"/>
        </w:trPr>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January 1, 2021</w:t>
            </w:r>
          </w:p>
        </w:tc>
        <w:tc>
          <w:tcPr>
            <w:tcW w:w="1200" w:type="dxa"/>
            <w:vAlign w:val="bottom"/>
          </w:tcPr>
          <w:p>
            <w:pPr>
              <w:jc w:val="right"/>
              <w:ind w:right="38"/>
              <w:spacing w:after="0"/>
              <w:rPr>
                <w:sz w:val="20"/>
                <w:szCs w:val="20"/>
                <w:color w:val="auto"/>
              </w:rPr>
            </w:pPr>
            <w:r>
              <w:rPr>
                <w:rFonts w:ascii="Arial" w:cs="Arial" w:eastAsia="Arial" w:hAnsi="Arial"/>
                <w:sz w:val="16"/>
                <w:szCs w:val="16"/>
                <w:b w:val="1"/>
                <w:bCs w:val="1"/>
                <w:color w:val="auto"/>
              </w:rPr>
              <w:t>Incurred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Translation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7"/>
              <w:spacing w:after="0"/>
              <w:rPr>
                <w:sz w:val="20"/>
                <w:szCs w:val="20"/>
                <w:color w:val="auto"/>
              </w:rPr>
            </w:pPr>
            <w:r>
              <w:rPr>
                <w:rFonts w:ascii="Arial" w:cs="Arial" w:eastAsia="Arial" w:hAnsi="Arial"/>
                <w:sz w:val="16"/>
                <w:szCs w:val="16"/>
                <w:b w:val="1"/>
                <w:bCs w:val="1"/>
                <w:color w:val="auto"/>
                <w:w w:val="98"/>
              </w:rPr>
              <w:t>March 31, 2021</w:t>
            </w:r>
          </w:p>
        </w:tc>
        <w:tc>
          <w:tcPr>
            <w:tcW w:w="0" w:type="dxa"/>
            <w:vAlign w:val="bottom"/>
          </w:tcPr>
          <w:p>
            <w:pPr>
              <w:spacing w:after="0"/>
              <w:rPr>
                <w:sz w:val="1"/>
                <w:szCs w:val="1"/>
                <w:color w:val="auto"/>
              </w:rPr>
            </w:pPr>
          </w:p>
        </w:tc>
      </w:tr>
      <w:tr>
        <w:trPr>
          <w:trHeight w:val="215"/>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Severance pay and benefits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998"/>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58"/>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1,478</w:t>
            </w:r>
          </w:p>
        </w:tc>
        <w:tc>
          <w:tcPr>
            <w:tcW w:w="0" w:type="dxa"/>
            <w:vAlign w:val="bottom"/>
          </w:tcPr>
          <w:p>
            <w:pPr>
              <w:spacing w:after="0"/>
              <w:rPr>
                <w:sz w:val="1"/>
                <w:szCs w:val="1"/>
                <w:color w:val="auto"/>
              </w:rPr>
            </w:pPr>
          </w:p>
        </w:tc>
      </w:tr>
      <w:tr>
        <w:trPr>
          <w:trHeight w:val="220"/>
        </w:trPr>
        <w:tc>
          <w:tcPr>
            <w:tcW w:w="3000" w:type="dxa"/>
            <w:vAlign w:val="bottom"/>
          </w:tcPr>
          <w:p>
            <w:pPr>
              <w:ind w:left="20"/>
              <w:spacing w:after="0"/>
              <w:rPr>
                <w:sz w:val="20"/>
                <w:szCs w:val="20"/>
                <w:color w:val="auto"/>
              </w:rPr>
            </w:pPr>
            <w:r>
              <w:rPr>
                <w:rFonts w:ascii="Arial" w:cs="Arial" w:eastAsia="Arial" w:hAnsi="Arial"/>
                <w:sz w:val="17"/>
                <w:szCs w:val="17"/>
                <w:color w:val="auto"/>
              </w:rPr>
              <w:t>Facility closure expenses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1,563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9"/>
                <w:szCs w:val="19"/>
                <w:color w:val="auto"/>
              </w:rPr>
            </w:pPr>
          </w:p>
        </w:tc>
        <w:tc>
          <w:tcPr>
            <w:tcW w:w="5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1,580</w:t>
            </w:r>
          </w:p>
        </w:tc>
        <w:tc>
          <w:tcPr>
            <w:tcW w:w="0" w:type="dxa"/>
            <w:vAlign w:val="bottom"/>
          </w:tcPr>
          <w:p>
            <w:pPr>
              <w:spacing w:after="0"/>
              <w:rPr>
                <w:sz w:val="1"/>
                <w:szCs w:val="1"/>
                <w:color w:val="auto"/>
              </w:rPr>
            </w:pPr>
          </w:p>
        </w:tc>
      </w:tr>
      <w:tr>
        <w:trPr>
          <w:trHeight w:val="238"/>
        </w:trPr>
        <w:tc>
          <w:tcPr>
            <w:tcW w:w="30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998"/>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1058"/>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transaction and integration expenses</w:t>
      </w:r>
    </w:p>
    <w:p>
      <w:pPr>
        <w:spacing w:after="0" w:line="244" w:lineRule="exact"/>
        <w:rPr>
          <w:sz w:val="20"/>
          <w:szCs w:val="20"/>
          <w:color w:val="auto"/>
        </w:rPr>
      </w:pPr>
    </w:p>
    <w:p>
      <w:pPr>
        <w:ind w:right="80" w:firstLine="169"/>
        <w:spacing w:after="0" w:line="259" w:lineRule="auto"/>
        <w:rPr>
          <w:sz w:val="20"/>
          <w:szCs w:val="20"/>
          <w:color w:val="auto"/>
        </w:rPr>
      </w:pPr>
      <w:r>
        <w:rPr>
          <w:rFonts w:ascii="Arial" w:cs="Arial" w:eastAsia="Arial" w:hAnsi="Arial"/>
          <w:sz w:val="17"/>
          <w:szCs w:val="17"/>
          <w:color w:val="auto"/>
        </w:rPr>
        <w:t>We incurred and expensed $2.9 million and $5.1 million in strategic transaction and integration expenses during the three months ended March 31, 2021 and 2020, respectively, which are included in restructuring, strategic transaction and integration expenses in our condensed consolidated statement of operations. The strategic transaction and integration expenses during the three months ended March 31, 2021 were primarily related to integration costs associated with acquisitions, the Hospira Infusion Systems ("HIS") earn-out dispute with Pfizer and one-time costs incurred to comply with regulatory initiatives. The strategic transaction and integration expenses during the three months ended March 31, 2020 were primarily related to the integration of the HIS business acquired in 2017 from Pfizer, which included the migration of IT systems at our Austin facility.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Revenue</w:t>
      </w:r>
    </w:p>
    <w:p>
      <w:pPr>
        <w:spacing w:after="0" w:line="250" w:lineRule="exact"/>
        <w:rPr>
          <w:sz w:val="20"/>
          <w:szCs w:val="20"/>
          <w:color w:val="auto"/>
        </w:rPr>
      </w:pPr>
    </w:p>
    <w:p>
      <w:pPr>
        <w:ind w:right="20" w:firstLine="172"/>
        <w:spacing w:after="0" w:line="285" w:lineRule="auto"/>
        <w:rPr>
          <w:sz w:val="20"/>
          <w:szCs w:val="20"/>
          <w:color w:val="auto"/>
        </w:rPr>
      </w:pPr>
      <w:r>
        <w:rPr>
          <w:rFonts w:ascii="Arial" w:cs="Arial" w:eastAsia="Arial" w:hAnsi="Arial"/>
          <w:sz w:val="16"/>
          <w:szCs w:val="16"/>
          <w:color w:val="auto"/>
        </w:rPr>
        <w:t>Our primary product lines are Infusion Consumables, Infusion Systems, IV Solutions and Critical Care. The vast majority of our sales of these products are made on a stand-alone basis to hospitals and distributors. Revenue is typically recognized upon transfer of control of the products, which we deem to be at point of shipment. However, for purposes of revenue recognition for our software licenses and renewals, we consider the control of these products to be transferred to a customer at a certain point in time; therefore, we recognize revenue at the start of the applicable license term.</w:t>
      </w:r>
    </w:p>
    <w:p>
      <w:pPr>
        <w:spacing w:after="0" w:line="186" w:lineRule="exact"/>
        <w:rPr>
          <w:sz w:val="20"/>
          <w:szCs w:val="20"/>
          <w:color w:val="auto"/>
        </w:rPr>
      </w:pPr>
    </w:p>
    <w:p>
      <w:pPr>
        <w:ind w:right="120" w:firstLine="172"/>
        <w:spacing w:after="0" w:line="298" w:lineRule="auto"/>
        <w:rPr>
          <w:sz w:val="20"/>
          <w:szCs w:val="20"/>
          <w:color w:val="auto"/>
        </w:rPr>
      </w:pPr>
      <w:r>
        <w:rPr>
          <w:rFonts w:ascii="Arial" w:cs="Arial" w:eastAsia="Arial" w:hAnsi="Arial"/>
          <w:sz w:val="15"/>
          <w:szCs w:val="15"/>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end-customers at prices determined under a contract between us and the end-customer. Chargebacks are the difference between the prices we charge our distribution customers and the contracted prices we have with the end customer which are processed as credits to our distribution customers. In estimating the expected value of chargeback amounts in order to determine the transaction price, we use information available at the time, including our historical experience.</w:t>
      </w:r>
    </w:p>
    <w:p>
      <w:pPr>
        <w:spacing w:after="0" w:line="181" w:lineRule="exact"/>
        <w:rPr>
          <w:sz w:val="20"/>
          <w:szCs w:val="20"/>
          <w:color w:val="auto"/>
        </w:rPr>
      </w:pPr>
    </w:p>
    <w:p>
      <w:pPr>
        <w:ind w:right="300" w:firstLine="169"/>
        <w:spacing w:after="0" w:line="261" w:lineRule="auto"/>
        <w:rPr>
          <w:sz w:val="20"/>
          <w:szCs w:val="20"/>
          <w:color w:val="auto"/>
        </w:rPr>
      </w:pPr>
      <w:r>
        <w:rPr>
          <w:rFonts w:ascii="Arial" w:cs="Arial" w:eastAsia="Arial" w:hAnsi="Arial"/>
          <w:sz w:val="17"/>
          <w:szCs w:val="17"/>
          <w:color w:val="auto"/>
        </w:rPr>
        <w:t>We also warranty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Our revenues are recorded at the net sales price, which includes an estimate for variable consideration related to rebates, chargebacks and product returns.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40" w:type="dxa"/>
            <w:vAlign w:val="bottom"/>
          </w:tcPr>
          <w:p>
            <w:pPr>
              <w:spacing w:after="0"/>
              <w:rPr>
                <w:sz w:val="20"/>
                <w:szCs w:val="20"/>
                <w:color w:val="auto"/>
              </w:rPr>
            </w:pPr>
            <w:r>
              <w:rPr>
                <w:rFonts w:ascii="Arial" w:cs="Arial" w:eastAsia="Arial" w:hAnsi="Arial"/>
                <w:sz w:val="17"/>
                <w:szCs w:val="17"/>
                <w:i w:val="1"/>
                <w:iCs w:val="1"/>
                <w:color w:val="auto"/>
              </w:rPr>
              <w:t>Revenue disaggregated</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3"/>
        </w:trPr>
        <w:tc>
          <w:tcPr>
            <w:tcW w:w="7540" w:type="dxa"/>
            <w:vAlign w:val="bottom"/>
          </w:tcPr>
          <w:p>
            <w:pPr>
              <w:ind w:left="180"/>
              <w:spacing w:after="0"/>
              <w:rPr>
                <w:sz w:val="20"/>
                <w:szCs w:val="20"/>
                <w:color w:val="auto"/>
              </w:rPr>
            </w:pPr>
            <w:r>
              <w:rPr>
                <w:rFonts w:ascii="Arial" w:cs="Arial" w:eastAsia="Arial" w:hAnsi="Arial"/>
                <w:sz w:val="17"/>
                <w:szCs w:val="17"/>
                <w:color w:val="auto"/>
              </w:rPr>
              <w:t>The following table represents our revenues disaggregated by geography (in thousands):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1"/>
        </w:trPr>
        <w:tc>
          <w:tcPr>
            <w:tcW w:w="7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3"/>
          </w:tcPr>
          <w:p>
            <w:pPr>
              <w:jc w:val="right"/>
              <w:spacing w:after="0"/>
              <w:rPr>
                <w:sz w:val="20"/>
                <w:szCs w:val="20"/>
                <w:color w:val="auto"/>
              </w:rPr>
            </w:pPr>
            <w:r>
              <w:rPr>
                <w:rFonts w:ascii="Arial" w:cs="Arial" w:eastAsia="Arial" w:hAnsi="Arial"/>
                <w:sz w:val="17"/>
                <w:szCs w:val="17"/>
                <w:b w:val="1"/>
                <w:bCs w:val="1"/>
                <w:color w:val="auto"/>
              </w:rPr>
              <w:t>For the three months</w:t>
            </w:r>
          </w:p>
        </w:tc>
        <w:tc>
          <w:tcPr>
            <w:tcW w:w="1080" w:type="dxa"/>
            <w:vAlign w:val="bottom"/>
          </w:tcPr>
          <w:p>
            <w:pPr>
              <w:spacing w:after="0"/>
              <w:rPr>
                <w:sz w:val="23"/>
                <w:szCs w:val="23"/>
                <w:color w:val="auto"/>
              </w:rPr>
            </w:pPr>
          </w:p>
        </w:tc>
      </w:tr>
      <w:tr>
        <w:trPr>
          <w:trHeight w:val="220"/>
        </w:trPr>
        <w:tc>
          <w:tcPr>
            <w:tcW w:w="75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ended March 31,</w:t>
            </w:r>
          </w:p>
        </w:tc>
        <w:tc>
          <w:tcPr>
            <w:tcW w:w="1080" w:type="dxa"/>
            <w:vAlign w:val="bottom"/>
            <w:tcBorders>
              <w:bottom w:val="single" w:sz="8" w:color="auto"/>
            </w:tcBorders>
          </w:tcPr>
          <w:p>
            <w:pPr>
              <w:spacing w:after="0"/>
              <w:rPr>
                <w:sz w:val="19"/>
                <w:szCs w:val="19"/>
                <w:color w:val="auto"/>
              </w:rPr>
            </w:pP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Geography</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89"/>
              </w:rPr>
              <w:t>2020</w:t>
            </w:r>
          </w:p>
        </w:tc>
      </w:tr>
      <w:tr>
        <w:trPr>
          <w:trHeight w:val="213"/>
        </w:trPr>
        <w:tc>
          <w:tcPr>
            <w:tcW w:w="7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Europe, the Middle East and Africa</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37,928</w:t>
            </w:r>
          </w:p>
        </w:tc>
      </w:tr>
      <w:tr>
        <w:trPr>
          <w:trHeight w:val="22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Foreign</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55,895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60,521</w:t>
            </w:r>
          </w:p>
        </w:tc>
      </w:tr>
      <w:tr>
        <w:trPr>
          <w:trHeight w:val="21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Foreign</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90,695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98,449</w:t>
            </w:r>
          </w:p>
        </w:tc>
      </w:tr>
      <w:tr>
        <w:trPr>
          <w:trHeight w:val="22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United States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227,351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230,158</w:t>
            </w:r>
          </w:p>
        </w:tc>
      </w:tr>
      <w:tr>
        <w:trPr>
          <w:trHeight w:val="23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Revenues</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318,046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328,607</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40" w:type="dxa"/>
            <w:vAlign w:val="bottom"/>
          </w:tcPr>
          <w:p>
            <w:pPr>
              <w:ind w:left="180"/>
              <w:spacing w:after="0"/>
              <w:rPr>
                <w:sz w:val="20"/>
                <w:szCs w:val="20"/>
                <w:color w:val="auto"/>
              </w:rPr>
            </w:pPr>
            <w:r>
              <w:rPr>
                <w:rFonts w:ascii="Arial" w:cs="Arial" w:eastAsia="Arial" w:hAnsi="Arial"/>
                <w:sz w:val="17"/>
                <w:szCs w:val="17"/>
                <w:color w:val="auto"/>
              </w:rPr>
              <w:t>The following table represents our revenues disaggregated by product (in thousands):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84"/>
        </w:trPr>
        <w:tc>
          <w:tcPr>
            <w:tcW w:w="7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Arial" w:cs="Arial" w:eastAsia="Arial" w:hAnsi="Arial"/>
                <w:sz w:val="17"/>
                <w:szCs w:val="17"/>
                <w:b w:val="1"/>
                <w:bCs w:val="1"/>
                <w:color w:val="auto"/>
              </w:rPr>
              <w:t>For the three months</w:t>
            </w:r>
          </w:p>
        </w:tc>
        <w:tc>
          <w:tcPr>
            <w:tcW w:w="1080" w:type="dxa"/>
            <w:vAlign w:val="bottom"/>
          </w:tcPr>
          <w:p>
            <w:pPr>
              <w:spacing w:after="0"/>
              <w:rPr>
                <w:sz w:val="24"/>
                <w:szCs w:val="24"/>
                <w:color w:val="auto"/>
              </w:rPr>
            </w:pPr>
          </w:p>
        </w:tc>
      </w:tr>
      <w:tr>
        <w:trPr>
          <w:trHeight w:val="220"/>
        </w:trPr>
        <w:tc>
          <w:tcPr>
            <w:tcW w:w="75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ended March 31,</w:t>
            </w:r>
          </w:p>
        </w:tc>
        <w:tc>
          <w:tcPr>
            <w:tcW w:w="1080" w:type="dxa"/>
            <w:vAlign w:val="bottom"/>
            <w:tcBorders>
              <w:bottom w:val="single" w:sz="8" w:color="auto"/>
            </w:tcBorders>
          </w:tcPr>
          <w:p>
            <w:pPr>
              <w:spacing w:after="0"/>
              <w:rPr>
                <w:sz w:val="19"/>
                <w:szCs w:val="19"/>
                <w:color w:val="auto"/>
              </w:rPr>
            </w:pP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Product line</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89"/>
              </w:rPr>
              <w:t>2020</w:t>
            </w:r>
          </w:p>
        </w:tc>
      </w:tr>
      <w:tr>
        <w:trPr>
          <w:trHeight w:val="213"/>
        </w:trPr>
        <w:tc>
          <w:tcPr>
            <w:tcW w:w="7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Infusion Consumables</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126,370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123,507</w:t>
            </w:r>
          </w:p>
        </w:tc>
      </w:tr>
      <w:tr>
        <w:trPr>
          <w:trHeight w:val="220"/>
        </w:trPr>
        <w:tc>
          <w:tcPr>
            <w:tcW w:w="7540" w:type="dxa"/>
            <w:vAlign w:val="bottom"/>
          </w:tcPr>
          <w:p>
            <w:pPr>
              <w:ind w:left="140"/>
              <w:spacing w:after="0"/>
              <w:rPr>
                <w:sz w:val="20"/>
                <w:szCs w:val="20"/>
                <w:color w:val="auto"/>
              </w:rPr>
            </w:pPr>
            <w:r>
              <w:rPr>
                <w:rFonts w:ascii="Arial" w:cs="Arial" w:eastAsia="Arial" w:hAnsi="Arial"/>
                <w:sz w:val="17"/>
                <w:szCs w:val="17"/>
                <w:color w:val="auto"/>
              </w:rPr>
              <w:t>Infusion Systems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84,334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88,380</w:t>
            </w:r>
          </w:p>
        </w:tc>
      </w:tr>
      <w:tr>
        <w:trPr>
          <w:trHeight w:val="220"/>
        </w:trPr>
        <w:tc>
          <w:tcPr>
            <w:tcW w:w="7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IV Solutions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94,176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104,291</w:t>
            </w:r>
          </w:p>
        </w:tc>
      </w:tr>
      <w:tr>
        <w:trPr>
          <w:trHeight w:val="22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Critical Care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13,166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12,429</w:t>
            </w:r>
          </w:p>
        </w:tc>
      </w:tr>
      <w:tr>
        <w:trPr>
          <w:trHeight w:val="23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Revenues</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318,046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328,607</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our changes in the contract balances for the three months ended March 31, 2021 and 2020 (in thousands):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9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Contract Liabilities</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 January 1, 2021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(6,430)</w:t>
            </w:r>
          </w:p>
        </w:tc>
      </w:tr>
      <w:tr>
        <w:trPr>
          <w:trHeight w:val="220"/>
        </w:trPr>
        <w:tc>
          <w:tcPr>
            <w:tcW w:w="9020" w:type="dxa"/>
            <w:vAlign w:val="bottom"/>
          </w:tcPr>
          <w:p>
            <w:pPr>
              <w:ind w:left="140"/>
              <w:spacing w:after="0"/>
              <w:rPr>
                <w:sz w:val="20"/>
                <w:szCs w:val="20"/>
                <w:color w:val="auto"/>
              </w:rPr>
            </w:pPr>
            <w:r>
              <w:rPr>
                <w:rFonts w:ascii="Arial" w:cs="Arial" w:eastAsia="Arial" w:hAnsi="Arial"/>
                <w:sz w:val="17"/>
                <w:szCs w:val="17"/>
                <w:color w:val="auto"/>
              </w:rPr>
              <w:t>Equipment revenue recognized</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461</w:t>
            </w:r>
          </w:p>
        </w:tc>
      </w:tr>
      <w:tr>
        <w:trPr>
          <w:trHeight w:val="220"/>
        </w:trPr>
        <w:tc>
          <w:tcPr>
            <w:tcW w:w="9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Equipment revenue deferred due to implementation</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(2,921)</w:t>
            </w:r>
          </w:p>
        </w:tc>
      </w:tr>
      <w:tr>
        <w:trPr>
          <w:trHeight w:val="220"/>
        </w:trPr>
        <w:tc>
          <w:tcPr>
            <w:tcW w:w="9020" w:type="dxa"/>
            <w:vAlign w:val="bottom"/>
          </w:tcPr>
          <w:p>
            <w:pPr>
              <w:ind w:left="140"/>
              <w:spacing w:after="0"/>
              <w:rPr>
                <w:sz w:val="20"/>
                <w:szCs w:val="20"/>
                <w:color w:val="auto"/>
              </w:rPr>
            </w:pPr>
            <w:r>
              <w:rPr>
                <w:rFonts w:ascii="Arial" w:cs="Arial" w:eastAsia="Arial" w:hAnsi="Arial"/>
                <w:sz w:val="17"/>
                <w:szCs w:val="17"/>
                <w:color w:val="auto"/>
              </w:rPr>
              <w:t>Software revenue recognized</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1,796</w:t>
            </w:r>
          </w:p>
        </w:tc>
      </w:tr>
      <w:tr>
        <w:trPr>
          <w:trHeight w:val="220"/>
        </w:trPr>
        <w:tc>
          <w:tcPr>
            <w:tcW w:w="9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revenue deferred due to implementation</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(1,794)</w:t>
            </w:r>
          </w:p>
        </w:tc>
      </w:tr>
      <w:tr>
        <w:trPr>
          <w:trHeight w:val="213"/>
        </w:trPr>
        <w:tc>
          <w:tcPr>
            <w:tcW w:w="9020" w:type="dxa"/>
            <w:vAlign w:val="bottom"/>
          </w:tcPr>
          <w:p>
            <w:pPr>
              <w:ind w:left="20"/>
              <w:spacing w:after="0"/>
              <w:rPr>
                <w:sz w:val="20"/>
                <w:szCs w:val="20"/>
                <w:color w:val="auto"/>
              </w:rPr>
            </w:pPr>
            <w:r>
              <w:rPr>
                <w:rFonts w:ascii="Arial" w:cs="Arial" w:eastAsia="Arial" w:hAnsi="Arial"/>
                <w:sz w:val="17"/>
                <w:szCs w:val="17"/>
                <w:color w:val="auto"/>
              </w:rPr>
              <w:t>Ending balance, March 31, 2021</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(8,888)</w:t>
            </w: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4"/>
        </w:trPr>
        <w:tc>
          <w:tcPr>
            <w:tcW w:w="9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0"/>
        </w:trPr>
        <w:tc>
          <w:tcPr>
            <w:tcW w:w="9020" w:type="dxa"/>
            <w:vAlign w:val="bottom"/>
          </w:tcPr>
          <w:p>
            <w:pPr>
              <w:ind w:left="20"/>
              <w:spacing w:after="0"/>
              <w:rPr>
                <w:sz w:val="20"/>
                <w:szCs w:val="20"/>
                <w:color w:val="auto"/>
              </w:rPr>
            </w:pPr>
            <w:r>
              <w:rPr>
                <w:rFonts w:ascii="Arial" w:cs="Arial" w:eastAsia="Arial" w:hAnsi="Arial"/>
                <w:sz w:val="17"/>
                <w:szCs w:val="17"/>
                <w:color w:val="auto"/>
              </w:rPr>
              <w:t>Beginning balance, January 1, 2020</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(4,855)</w:t>
            </w:r>
          </w:p>
        </w:tc>
      </w:tr>
      <w:tr>
        <w:trPr>
          <w:trHeight w:val="220"/>
        </w:trPr>
        <w:tc>
          <w:tcPr>
            <w:tcW w:w="9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Equipment revenue recognized</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w:t>
            </w:r>
          </w:p>
        </w:tc>
      </w:tr>
      <w:tr>
        <w:trPr>
          <w:trHeight w:val="220"/>
        </w:trPr>
        <w:tc>
          <w:tcPr>
            <w:tcW w:w="9020" w:type="dxa"/>
            <w:vAlign w:val="bottom"/>
          </w:tcPr>
          <w:p>
            <w:pPr>
              <w:ind w:left="140"/>
              <w:spacing w:after="0"/>
              <w:rPr>
                <w:sz w:val="20"/>
                <w:szCs w:val="20"/>
                <w:color w:val="auto"/>
              </w:rPr>
            </w:pPr>
            <w:r>
              <w:rPr>
                <w:rFonts w:ascii="Arial" w:cs="Arial" w:eastAsia="Arial" w:hAnsi="Arial"/>
                <w:sz w:val="17"/>
                <w:szCs w:val="17"/>
                <w:color w:val="auto"/>
              </w:rPr>
              <w:t>Equipment revenue deferred due to implementation</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(3,990)</w:t>
            </w:r>
          </w:p>
        </w:tc>
      </w:tr>
      <w:tr>
        <w:trPr>
          <w:trHeight w:val="220"/>
        </w:trPr>
        <w:tc>
          <w:tcPr>
            <w:tcW w:w="9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revenue recognized</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w:t>
            </w:r>
          </w:p>
        </w:tc>
      </w:tr>
      <w:tr>
        <w:trPr>
          <w:trHeight w:val="220"/>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Software revenue deferred due to implementation</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(2,664)</w:t>
            </w:r>
          </w:p>
        </w:tc>
      </w:tr>
      <w:tr>
        <w:trPr>
          <w:trHeight w:val="23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 March 31, 2020</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20" w:firstLine="163"/>
        <w:spacing w:after="0" w:line="263" w:lineRule="auto"/>
        <w:rPr>
          <w:sz w:val="20"/>
          <w:szCs w:val="20"/>
          <w:color w:val="auto"/>
        </w:rPr>
      </w:pPr>
      <w:r>
        <w:rPr>
          <w:rFonts w:ascii="Arial" w:cs="Arial" w:eastAsia="Arial" w:hAnsi="Arial"/>
          <w:sz w:val="17"/>
          <w:szCs w:val="17"/>
          <w:color w:val="auto"/>
        </w:rPr>
        <w:t>As of March 31, 2021, revenue from remaining performance obligations related to implementation of software and equipment is $7.3 million. We expect to recognize substantially all of this revenue within the next three to six months dependent on implementation restrictions due to the novel coronavirus and its variants ("COVID-19"). Revenue from remaining performance obligations related to annual software licenses is $1.5 million. We expect to recognize substantially all of this revenue over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Leases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244" w:lineRule="exact"/>
        <w:rPr>
          <w:sz w:val="20"/>
          <w:szCs w:val="20"/>
          <w:color w:val="auto"/>
        </w:rPr>
      </w:pPr>
    </w:p>
    <w:p>
      <w:pPr>
        <w:ind w:right="160" w:firstLine="172"/>
        <w:spacing w:after="0" w:line="263" w:lineRule="auto"/>
        <w:rPr>
          <w:sz w:val="20"/>
          <w:szCs w:val="20"/>
          <w:color w:val="auto"/>
        </w:rPr>
      </w:pPr>
      <w:r>
        <w:rPr>
          <w:rFonts w:ascii="Arial" w:cs="Arial" w:eastAsia="Arial" w:hAnsi="Arial"/>
          <w:sz w:val="17"/>
          <w:szCs w:val="17"/>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spacing w:after="0" w:line="203" w:lineRule="exact"/>
        <w:rPr>
          <w:sz w:val="20"/>
          <w:szCs w:val="20"/>
          <w:color w:val="auto"/>
        </w:rPr>
      </w:pPr>
    </w:p>
    <w:p>
      <w:pPr>
        <w:ind w:right="200" w:firstLine="172"/>
        <w:spacing w:after="0" w:line="309" w:lineRule="auto"/>
        <w:rPr>
          <w:sz w:val="20"/>
          <w:szCs w:val="20"/>
          <w:color w:val="auto"/>
        </w:rPr>
      </w:pPr>
      <w:r>
        <w:rPr>
          <w:rFonts w:ascii="Arial" w:cs="Arial" w:eastAsia="Arial" w:hAnsi="Arial"/>
          <w:sz w:val="15"/>
          <w:szCs w:val="15"/>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stated lease payments, which may include fixed rental increases. Lease expense for minimum lease payments is recognized on a straight-line basis over the lease term.</w:t>
      </w:r>
    </w:p>
    <w:p>
      <w:pPr>
        <w:spacing w:after="0" w:line="159" w:lineRule="exact"/>
        <w:rPr>
          <w:sz w:val="20"/>
          <w:szCs w:val="20"/>
          <w:color w:val="auto"/>
        </w:rPr>
      </w:pPr>
    </w:p>
    <w:p>
      <w:pPr>
        <w:ind w:right="200" w:firstLine="172"/>
        <w:spacing w:after="0" w:line="320" w:lineRule="auto"/>
        <w:rPr>
          <w:sz w:val="20"/>
          <w:szCs w:val="20"/>
          <w:color w:val="auto"/>
        </w:rPr>
      </w:pPr>
      <w:r>
        <w:rPr>
          <w:rFonts w:ascii="Arial" w:cs="Arial" w:eastAsia="Arial" w:hAnsi="Arial"/>
          <w:sz w:val="15"/>
          <w:szCs w:val="15"/>
          <w:color w:val="auto"/>
        </w:rPr>
        <w:t>Our leases are for corporate, research and development and sales and support offices, a distribution facility,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components of our lease cost (in thousands):</w:t>
      </w:r>
    </w:p>
    <w:p>
      <w:pPr>
        <w:spacing w:after="0" w:line="127" w:lineRule="exact"/>
        <w:rPr>
          <w:sz w:val="20"/>
          <w:szCs w:val="20"/>
          <w:color w:val="auto"/>
        </w:rPr>
      </w:pPr>
    </w:p>
    <w:p>
      <w:pPr>
        <w:ind w:left="8900"/>
        <w:spacing w:after="0"/>
        <w:rPr>
          <w:sz w:val="20"/>
          <w:szCs w:val="20"/>
          <w:color w:val="auto"/>
        </w:rPr>
      </w:pPr>
      <w:r>
        <w:rPr>
          <w:rFonts w:ascii="Arial" w:cs="Arial" w:eastAsia="Arial" w:hAnsi="Arial"/>
          <w:sz w:val="17"/>
          <w:szCs w:val="17"/>
          <w:b w:val="1"/>
          <w:bCs w:val="1"/>
          <w:color w:val="auto"/>
        </w:rPr>
        <w:t>For the three months</w:t>
      </w:r>
    </w:p>
    <w:p>
      <w:pPr>
        <w:ind w:left="9100"/>
        <w:spacing w:after="0"/>
        <w:rPr>
          <w:sz w:val="20"/>
          <w:szCs w:val="20"/>
          <w:color w:val="auto"/>
        </w:rPr>
      </w:pPr>
      <w:r>
        <w:rPr>
          <w:rFonts w:ascii="Arial" w:cs="Arial" w:eastAsia="Arial" w:hAnsi="Arial"/>
          <w:sz w:val="17"/>
          <w:szCs w:val="17"/>
          <w:b w:val="1"/>
          <w:bCs w:val="1"/>
          <w:color w:val="auto"/>
        </w:rPr>
        <w:t>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r>
      <w:tr>
        <w:trPr>
          <w:trHeight w:val="21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2,791</w:t>
            </w:r>
          </w:p>
        </w:tc>
      </w:tr>
      <w:tr>
        <w:trPr>
          <w:trHeight w:val="142"/>
        </w:trPr>
        <w:tc>
          <w:tcPr>
            <w:tcW w:w="8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20"/>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 - interest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142"/>
        </w:trPr>
        <w:tc>
          <w:tcPr>
            <w:tcW w:w="8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20"/>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 - amortization of ROU asset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42"/>
        </w:trPr>
        <w:tc>
          <w:tcPr>
            <w:tcW w:w="8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20"/>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142"/>
        </w:trPr>
        <w:tc>
          <w:tcPr>
            <w:tcW w:w="81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23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cost</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40" w:firstLine="620"/>
        <w:spacing w:after="0" w:line="353" w:lineRule="auto"/>
        <w:rPr>
          <w:sz w:val="20"/>
          <w:szCs w:val="20"/>
          <w:color w:val="auto"/>
        </w:rPr>
      </w:pPr>
      <w:r>
        <w:rPr>
          <w:rFonts w:ascii="Arial" w:cs="Arial" w:eastAsia="Arial" w:hAnsi="Arial"/>
          <w:sz w:val="15"/>
          <w:szCs w:val="15"/>
          <w:color w:val="auto"/>
        </w:rPr>
        <w:t>Interest expense on our finance leases is included in other income (expense), net in our condensed consolidated statement of operations. The amortization of the operating and finance ROU asset is included in selling, general and administrative expenses in our condensed consolidated statement of operations.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supplemental cash flow information related to our leases (in thousands):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7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7"/>
                <w:szCs w:val="17"/>
                <w:b w:val="1"/>
                <w:bCs w:val="1"/>
                <w:color w:val="auto"/>
              </w:rPr>
              <w:t>For the three months ended March 31,</w:t>
            </w:r>
          </w:p>
        </w:tc>
      </w:tr>
      <w:tr>
        <w:trPr>
          <w:trHeight w:val="213"/>
        </w:trPr>
        <w:tc>
          <w:tcPr>
            <w:tcW w:w="67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b w:val="1"/>
                <w:bCs w:val="1"/>
                <w:color w:val="auto"/>
              </w:rPr>
              <w:t>2020</w:t>
            </w:r>
          </w:p>
        </w:tc>
      </w:tr>
      <w:tr>
        <w:trPr>
          <w:trHeight w:val="20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4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0"/>
        </w:trPr>
        <w:tc>
          <w:tcPr>
            <w:tcW w:w="6740" w:type="dxa"/>
            <w:vAlign w:val="bottom"/>
          </w:tcPr>
          <w:p>
            <w:pPr>
              <w:ind w:left="140"/>
              <w:spacing w:after="0"/>
              <w:rPr>
                <w:sz w:val="20"/>
                <w:szCs w:val="20"/>
                <w:color w:val="auto"/>
              </w:rPr>
            </w:pPr>
            <w:r>
              <w:rPr>
                <w:rFonts w:ascii="Arial" w:cs="Arial" w:eastAsia="Arial" w:hAnsi="Arial"/>
                <w:sz w:val="17"/>
                <w:szCs w:val="17"/>
                <w:color w:val="auto"/>
              </w:rPr>
              <w:t>Operating cash flows from operating leases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2,821</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2,457</w:t>
            </w:r>
          </w:p>
        </w:tc>
      </w:tr>
      <w:tr>
        <w:trPr>
          <w:trHeight w:val="220"/>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cash flows from finance leases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58"/>
        </w:trPr>
        <w:tc>
          <w:tcPr>
            <w:tcW w:w="6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0"/>
        </w:trPr>
        <w:tc>
          <w:tcPr>
            <w:tcW w:w="6740" w:type="dxa"/>
            <w:vAlign w:val="bottom"/>
          </w:tcPr>
          <w:p>
            <w:pPr>
              <w:ind w:left="140"/>
              <w:spacing w:after="0"/>
              <w:rPr>
                <w:sz w:val="20"/>
                <w:szCs w:val="20"/>
                <w:color w:val="auto"/>
              </w:rPr>
            </w:pPr>
            <w:r>
              <w:rPr>
                <w:rFonts w:ascii="Arial" w:cs="Arial" w:eastAsia="Arial" w:hAnsi="Arial"/>
                <w:sz w:val="17"/>
                <w:szCs w:val="17"/>
                <w:color w:val="auto"/>
              </w:rPr>
              <w:t>Operating leases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1,095</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19,094</w:t>
            </w:r>
          </w:p>
        </w:tc>
      </w:tr>
      <w:tr>
        <w:trPr>
          <w:trHeight w:val="220"/>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Finance leases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r>
    </w:tbl>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presents the supplemental balance sheet information related to our operating leases (in thousands, except lease term and discount rate):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4"/>
              </w:rPr>
              <w:t>As of</w:t>
            </w:r>
          </w:p>
        </w:tc>
        <w:tc>
          <w:tcPr>
            <w:tcW w:w="300" w:type="dxa"/>
            <w:vAlign w:val="bottom"/>
          </w:tcPr>
          <w:p>
            <w:pPr>
              <w:spacing w:after="0"/>
              <w:rPr>
                <w:sz w:val="16"/>
                <w:szCs w:val="16"/>
                <w:color w:val="auto"/>
              </w:rPr>
            </w:pPr>
          </w:p>
        </w:tc>
        <w:tc>
          <w:tcPr>
            <w:tcW w:w="2000" w:type="dxa"/>
            <w:vAlign w:val="bottom"/>
          </w:tcPr>
          <w:p>
            <w:pPr>
              <w:jc w:val="right"/>
              <w:ind w:right="916"/>
              <w:spacing w:after="0"/>
              <w:rPr>
                <w:sz w:val="20"/>
                <w:szCs w:val="20"/>
                <w:color w:val="auto"/>
              </w:rPr>
            </w:pPr>
            <w:r>
              <w:rPr>
                <w:rFonts w:ascii="Arial" w:cs="Arial" w:eastAsia="Arial" w:hAnsi="Arial"/>
                <w:sz w:val="16"/>
                <w:szCs w:val="16"/>
                <w:b w:val="1"/>
                <w:bCs w:val="1"/>
                <w:color w:val="auto"/>
              </w:rPr>
              <w:t>As of</w:t>
            </w:r>
          </w:p>
        </w:tc>
      </w:tr>
      <w:tr>
        <w:trPr>
          <w:trHeight w:val="204"/>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March 31, 2021</w:t>
            </w:r>
          </w:p>
        </w:tc>
        <w:tc>
          <w:tcPr>
            <w:tcW w:w="300" w:type="dxa"/>
            <w:vAlign w:val="bottom"/>
          </w:tcPr>
          <w:p>
            <w:pPr>
              <w:spacing w:after="0"/>
              <w:rPr>
                <w:sz w:val="17"/>
                <w:szCs w:val="17"/>
                <w:color w:val="auto"/>
              </w:rPr>
            </w:pPr>
          </w:p>
        </w:tc>
        <w:tc>
          <w:tcPr>
            <w:tcW w:w="2000" w:type="dxa"/>
            <w:vAlign w:val="bottom"/>
          </w:tcPr>
          <w:p>
            <w:pPr>
              <w:jc w:val="right"/>
              <w:ind w:right="456"/>
              <w:spacing w:after="0"/>
              <w:rPr>
                <w:sz w:val="20"/>
                <w:szCs w:val="20"/>
                <w:color w:val="auto"/>
              </w:rPr>
            </w:pPr>
            <w:r>
              <w:rPr>
                <w:rFonts w:ascii="Arial" w:cs="Arial" w:eastAsia="Arial" w:hAnsi="Arial"/>
                <w:sz w:val="16"/>
                <w:szCs w:val="16"/>
                <w:b w:val="1"/>
                <w:bCs w:val="1"/>
                <w:color w:val="auto"/>
                <w:w w:val="99"/>
              </w:rPr>
              <w:t>December 31, 2020</w:t>
            </w:r>
          </w:p>
        </w:tc>
      </w:tr>
      <w:tr>
        <w:trPr>
          <w:trHeight w:val="202"/>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36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920" w:type="dxa"/>
            <w:vAlign w:val="bottom"/>
          </w:tcPr>
          <w:p>
            <w:pPr>
              <w:jc w:val="right"/>
              <w:ind w:right="136"/>
              <w:spacing w:after="0"/>
              <w:rPr>
                <w:sz w:val="20"/>
                <w:szCs w:val="20"/>
                <w:color w:val="auto"/>
              </w:rPr>
            </w:pPr>
            <w:r>
              <w:rPr>
                <w:rFonts w:ascii="Arial" w:cs="Arial" w:eastAsia="Arial" w:hAnsi="Arial"/>
                <w:sz w:val="17"/>
                <w:szCs w:val="17"/>
                <w:color w:val="auto"/>
              </w:rPr>
              <w:t>45,259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ind w:right="136"/>
              <w:spacing w:after="0"/>
              <w:rPr>
                <w:sz w:val="20"/>
                <w:szCs w:val="20"/>
                <w:color w:val="auto"/>
              </w:rPr>
            </w:pPr>
            <w:r>
              <w:rPr>
                <w:rFonts w:ascii="Arial" w:cs="Arial" w:eastAsia="Arial" w:hAnsi="Arial"/>
                <w:sz w:val="17"/>
                <w:szCs w:val="17"/>
                <w:color w:val="auto"/>
              </w:rPr>
              <w:t>46,571</w:t>
            </w:r>
          </w:p>
        </w:tc>
      </w:tr>
      <w:tr>
        <w:trPr>
          <w:trHeight w:val="258"/>
        </w:trPr>
        <w:tc>
          <w:tcPr>
            <w:tcW w:w="65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920" w:type="dxa"/>
            <w:vAlign w:val="bottom"/>
          </w:tcPr>
          <w:p>
            <w:pPr>
              <w:jc w:val="right"/>
              <w:ind w:right="136"/>
              <w:spacing w:after="0"/>
              <w:rPr>
                <w:sz w:val="20"/>
                <w:szCs w:val="20"/>
                <w:color w:val="auto"/>
              </w:rPr>
            </w:pPr>
            <w:r>
              <w:rPr>
                <w:rFonts w:ascii="Arial" w:cs="Arial" w:eastAsia="Arial" w:hAnsi="Arial"/>
                <w:sz w:val="17"/>
                <w:szCs w:val="17"/>
                <w:color w:val="auto"/>
              </w:rPr>
              <w:t>8,872</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ind w:right="136"/>
              <w:spacing w:after="0"/>
              <w:rPr>
                <w:sz w:val="20"/>
                <w:szCs w:val="20"/>
                <w:color w:val="auto"/>
              </w:rPr>
            </w:pPr>
            <w:r>
              <w:rPr>
                <w:rFonts w:ascii="Arial" w:cs="Arial" w:eastAsia="Arial" w:hAnsi="Arial"/>
                <w:sz w:val="17"/>
                <w:szCs w:val="17"/>
                <w:color w:val="auto"/>
              </w:rPr>
              <w:t>8,740</w:t>
            </w: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39,588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41,019</w:t>
            </w:r>
          </w:p>
        </w:tc>
      </w:tr>
      <w:tr>
        <w:trPr>
          <w:trHeight w:val="213"/>
        </w:trPr>
        <w:tc>
          <w:tcPr>
            <w:tcW w:w="6540" w:type="dxa"/>
            <w:vAlign w:val="bottom"/>
          </w:tcPr>
          <w:p>
            <w:pPr>
              <w:ind w:left="140"/>
              <w:spacing w:after="0"/>
              <w:rPr>
                <w:sz w:val="20"/>
                <w:szCs w:val="20"/>
                <w:color w:val="auto"/>
              </w:rPr>
            </w:pPr>
            <w:r>
              <w:rPr>
                <w:rFonts w:ascii="Arial" w:cs="Arial" w:eastAsia="Arial" w:hAnsi="Arial"/>
                <w:sz w:val="17"/>
                <w:szCs w:val="17"/>
                <w:color w:val="auto"/>
              </w:rPr>
              <w:t>Total operating lease liabilities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48,460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49,759</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4"/>
        </w:trPr>
        <w:tc>
          <w:tcPr>
            <w:tcW w:w="6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7"/>
                <w:szCs w:val="17"/>
                <w:b w:val="1"/>
                <w:bCs w:val="1"/>
                <w:color w:val="auto"/>
              </w:rPr>
              <w:t>Weighted Average Remaining Lease Term</w:t>
            </w: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0"/>
        </w:trPr>
        <w:tc>
          <w:tcPr>
            <w:tcW w:w="6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leases</w:t>
            </w:r>
          </w:p>
        </w:tc>
        <w:tc>
          <w:tcPr>
            <w:tcW w:w="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280"/>
              <w:spacing w:after="0"/>
              <w:rPr>
                <w:sz w:val="20"/>
                <w:szCs w:val="20"/>
                <w:color w:val="auto"/>
              </w:rPr>
            </w:pPr>
            <w:r>
              <w:rPr>
                <w:rFonts w:ascii="Arial" w:cs="Arial" w:eastAsia="Arial" w:hAnsi="Arial"/>
                <w:sz w:val="17"/>
                <w:szCs w:val="17"/>
                <w:color w:val="auto"/>
              </w:rPr>
              <w:t>6.5 years</w:t>
            </w: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 years</w:t>
            </w:r>
          </w:p>
        </w:tc>
      </w:tr>
      <w:tr>
        <w:trPr>
          <w:trHeight w:val="258"/>
        </w:trPr>
        <w:tc>
          <w:tcPr>
            <w:tcW w:w="6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0"/>
        </w:trPr>
        <w:tc>
          <w:tcPr>
            <w:tcW w:w="6540" w:type="dxa"/>
            <w:vAlign w:val="bottom"/>
          </w:tcPr>
          <w:p>
            <w:pPr>
              <w:ind w:left="220"/>
              <w:spacing w:after="0"/>
              <w:rPr>
                <w:sz w:val="20"/>
                <w:szCs w:val="20"/>
                <w:color w:val="auto"/>
              </w:rPr>
            </w:pPr>
            <w:r>
              <w:rPr>
                <w:rFonts w:ascii="Arial" w:cs="Arial" w:eastAsia="Arial" w:hAnsi="Arial"/>
                <w:sz w:val="17"/>
                <w:szCs w:val="17"/>
                <w:color w:val="auto"/>
              </w:rPr>
              <w:t>Operating leases</w:t>
            </w:r>
          </w:p>
        </w:tc>
        <w:tc>
          <w:tcPr>
            <w:tcW w:w="3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5.00 %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5.02 %</w:t>
            </w:r>
          </w:p>
        </w:tc>
      </w:tr>
    </w:tbl>
    <w:p>
      <w:pPr>
        <w:spacing w:after="0" w:line="2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the supplemental balance sheet information related to our finance leases (in thousands, except lease term and discount rate):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4"/>
              </w:rPr>
              <w:t>As of</w:t>
            </w:r>
          </w:p>
        </w:tc>
        <w:tc>
          <w:tcPr>
            <w:tcW w:w="300" w:type="dxa"/>
            <w:vAlign w:val="bottom"/>
          </w:tcPr>
          <w:p>
            <w:pPr>
              <w:spacing w:after="0"/>
              <w:rPr>
                <w:sz w:val="16"/>
                <w:szCs w:val="16"/>
                <w:color w:val="auto"/>
              </w:rPr>
            </w:pPr>
          </w:p>
        </w:tc>
        <w:tc>
          <w:tcPr>
            <w:tcW w:w="1960" w:type="dxa"/>
            <w:vAlign w:val="bottom"/>
          </w:tcPr>
          <w:p>
            <w:pPr>
              <w:jc w:val="right"/>
              <w:ind w:right="896"/>
              <w:spacing w:after="0"/>
              <w:rPr>
                <w:sz w:val="20"/>
                <w:szCs w:val="20"/>
                <w:color w:val="auto"/>
              </w:rPr>
            </w:pPr>
            <w:r>
              <w:rPr>
                <w:rFonts w:ascii="Arial" w:cs="Arial" w:eastAsia="Arial" w:hAnsi="Arial"/>
                <w:sz w:val="16"/>
                <w:szCs w:val="16"/>
                <w:b w:val="1"/>
                <w:bCs w:val="1"/>
                <w:color w:val="auto"/>
              </w:rPr>
              <w:t>As of</w:t>
            </w:r>
          </w:p>
        </w:tc>
      </w:tr>
      <w:tr>
        <w:trPr>
          <w:trHeight w:val="204"/>
        </w:trPr>
        <w:tc>
          <w:tcPr>
            <w:tcW w:w="6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March 31, 2021</w:t>
            </w:r>
          </w:p>
        </w:tc>
        <w:tc>
          <w:tcPr>
            <w:tcW w:w="300" w:type="dxa"/>
            <w:vAlign w:val="bottom"/>
          </w:tcPr>
          <w:p>
            <w:pPr>
              <w:spacing w:after="0"/>
              <w:rPr>
                <w:sz w:val="17"/>
                <w:szCs w:val="17"/>
                <w:color w:val="auto"/>
              </w:rPr>
            </w:pPr>
          </w:p>
        </w:tc>
        <w:tc>
          <w:tcPr>
            <w:tcW w:w="1960" w:type="dxa"/>
            <w:vAlign w:val="bottom"/>
          </w:tcPr>
          <w:p>
            <w:pPr>
              <w:jc w:val="right"/>
              <w:ind w:right="416"/>
              <w:spacing w:after="0"/>
              <w:rPr>
                <w:sz w:val="20"/>
                <w:szCs w:val="20"/>
                <w:color w:val="auto"/>
              </w:rPr>
            </w:pPr>
            <w:r>
              <w:rPr>
                <w:rFonts w:ascii="Arial" w:cs="Arial" w:eastAsia="Arial" w:hAnsi="Arial"/>
                <w:sz w:val="16"/>
                <w:szCs w:val="16"/>
                <w:b w:val="1"/>
                <w:bCs w:val="1"/>
                <w:color w:val="auto"/>
                <w:w w:val="99"/>
              </w:rPr>
              <w:t>December 31, 2020</w:t>
            </w:r>
          </w:p>
        </w:tc>
      </w:tr>
      <w:tr>
        <w:trPr>
          <w:trHeight w:val="202"/>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Financing leases</w:t>
            </w:r>
          </w:p>
        </w:tc>
        <w:tc>
          <w:tcPr>
            <w:tcW w:w="36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r>
      <w:tr>
        <w:trPr>
          <w:trHeight w:val="220"/>
        </w:trPr>
        <w:tc>
          <w:tcPr>
            <w:tcW w:w="6600" w:type="dxa"/>
            <w:vAlign w:val="bottom"/>
          </w:tcPr>
          <w:p>
            <w:pPr>
              <w:ind w:left="20"/>
              <w:spacing w:after="0"/>
              <w:rPr>
                <w:sz w:val="20"/>
                <w:szCs w:val="20"/>
                <w:color w:val="auto"/>
              </w:rPr>
            </w:pPr>
            <w:r>
              <w:rPr>
                <w:rFonts w:ascii="Arial" w:cs="Arial" w:eastAsia="Arial" w:hAnsi="Arial"/>
                <w:sz w:val="17"/>
                <w:szCs w:val="17"/>
                <w:color w:val="auto"/>
              </w:rPr>
              <w:t>Financing lease right-of-use assets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920" w:type="dxa"/>
            <w:vAlign w:val="bottom"/>
          </w:tcPr>
          <w:p>
            <w:pPr>
              <w:jc w:val="right"/>
              <w:ind w:right="136"/>
              <w:spacing w:after="0"/>
              <w:rPr>
                <w:sz w:val="20"/>
                <w:szCs w:val="20"/>
                <w:color w:val="auto"/>
              </w:rPr>
            </w:pPr>
            <w:r>
              <w:rPr>
                <w:rFonts w:ascii="Arial" w:cs="Arial" w:eastAsia="Arial" w:hAnsi="Arial"/>
                <w:sz w:val="17"/>
                <w:szCs w:val="17"/>
                <w:color w:val="auto"/>
              </w:rPr>
              <w:t>2,877</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ind w:right="116"/>
              <w:spacing w:after="0"/>
              <w:rPr>
                <w:sz w:val="20"/>
                <w:szCs w:val="20"/>
                <w:color w:val="auto"/>
              </w:rPr>
            </w:pPr>
            <w:r>
              <w:rPr>
                <w:rFonts w:ascii="Arial" w:cs="Arial" w:eastAsia="Arial" w:hAnsi="Arial"/>
                <w:sz w:val="17"/>
                <w:szCs w:val="17"/>
                <w:color w:val="auto"/>
              </w:rPr>
              <w:t>2,915</w:t>
            </w:r>
          </w:p>
        </w:tc>
      </w:tr>
      <w:tr>
        <w:trPr>
          <w:trHeight w:val="258"/>
        </w:trPr>
        <w:tc>
          <w:tcPr>
            <w:tcW w:w="66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r>
      <w:tr>
        <w:trPr>
          <w:trHeight w:val="220"/>
        </w:trPr>
        <w:tc>
          <w:tcPr>
            <w:tcW w:w="660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920" w:type="dxa"/>
            <w:vAlign w:val="bottom"/>
          </w:tcPr>
          <w:p>
            <w:pPr>
              <w:jc w:val="right"/>
              <w:ind w:right="136"/>
              <w:spacing w:after="0"/>
              <w:rPr>
                <w:sz w:val="20"/>
                <w:szCs w:val="20"/>
                <w:color w:val="auto"/>
              </w:rPr>
            </w:pPr>
            <w:r>
              <w:rPr>
                <w:rFonts w:ascii="Arial" w:cs="Arial" w:eastAsia="Arial" w:hAnsi="Arial"/>
                <w:sz w:val="17"/>
                <w:szCs w:val="17"/>
                <w:color w:val="auto"/>
              </w:rPr>
              <w:t>583</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ind w:right="116"/>
              <w:spacing w:after="0"/>
              <w:rPr>
                <w:sz w:val="20"/>
                <w:szCs w:val="20"/>
                <w:color w:val="auto"/>
              </w:rPr>
            </w:pPr>
            <w:r>
              <w:rPr>
                <w:rFonts w:ascii="Arial" w:cs="Arial" w:eastAsia="Arial" w:hAnsi="Arial"/>
                <w:sz w:val="17"/>
                <w:szCs w:val="17"/>
                <w:color w:val="auto"/>
              </w:rPr>
              <w:t>554</w:t>
            </w: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2,330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2,388</w:t>
            </w:r>
          </w:p>
        </w:tc>
      </w:tr>
      <w:tr>
        <w:trPr>
          <w:trHeight w:val="213"/>
        </w:trPr>
        <w:tc>
          <w:tcPr>
            <w:tcW w:w="6600" w:type="dxa"/>
            <w:vAlign w:val="bottom"/>
          </w:tcPr>
          <w:p>
            <w:pPr>
              <w:ind w:left="140"/>
              <w:spacing w:after="0"/>
              <w:rPr>
                <w:sz w:val="20"/>
                <w:szCs w:val="20"/>
                <w:color w:val="auto"/>
              </w:rPr>
            </w:pPr>
            <w:r>
              <w:rPr>
                <w:rFonts w:ascii="Arial" w:cs="Arial" w:eastAsia="Arial" w:hAnsi="Arial"/>
                <w:sz w:val="17"/>
                <w:szCs w:val="17"/>
                <w:color w:val="auto"/>
              </w:rPr>
              <w:t>Total financing lease liabilities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2,913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2,942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4"/>
        </w:trPr>
        <w:tc>
          <w:tcPr>
            <w:tcW w:w="6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0"/>
        </w:trPr>
        <w:tc>
          <w:tcPr>
            <w:tcW w:w="6600" w:type="dxa"/>
            <w:vAlign w:val="bottom"/>
          </w:tcPr>
          <w:p>
            <w:pPr>
              <w:ind w:left="20"/>
              <w:spacing w:after="0"/>
              <w:rPr>
                <w:sz w:val="20"/>
                <w:szCs w:val="20"/>
                <w:color w:val="auto"/>
              </w:rPr>
            </w:pPr>
            <w:r>
              <w:rPr>
                <w:rFonts w:ascii="Arial" w:cs="Arial" w:eastAsia="Arial" w:hAnsi="Arial"/>
                <w:sz w:val="17"/>
                <w:szCs w:val="17"/>
                <w:b w:val="1"/>
                <w:bCs w:val="1"/>
                <w:color w:val="auto"/>
              </w:rPr>
              <w:t>Weighted Average Remaining Lease Term</w:t>
            </w: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0"/>
        </w:trPr>
        <w:tc>
          <w:tcPr>
            <w:tcW w:w="6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leases</w:t>
            </w:r>
          </w:p>
        </w:tc>
        <w:tc>
          <w:tcPr>
            <w:tcW w:w="3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280"/>
              <w:spacing w:after="0"/>
              <w:rPr>
                <w:sz w:val="20"/>
                <w:szCs w:val="20"/>
                <w:color w:val="auto"/>
              </w:rPr>
            </w:pPr>
            <w:r>
              <w:rPr>
                <w:rFonts w:ascii="Arial" w:cs="Arial" w:eastAsia="Arial" w:hAnsi="Arial"/>
                <w:sz w:val="17"/>
                <w:szCs w:val="17"/>
                <w:color w:val="auto"/>
              </w:rPr>
              <w:t>6.2 years</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 years</w:t>
            </w:r>
          </w:p>
        </w:tc>
      </w:tr>
      <w:tr>
        <w:trPr>
          <w:trHeight w:val="258"/>
        </w:trPr>
        <w:tc>
          <w:tcPr>
            <w:tcW w:w="6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0"/>
        </w:trPr>
        <w:tc>
          <w:tcPr>
            <w:tcW w:w="6600" w:type="dxa"/>
            <w:vAlign w:val="bottom"/>
          </w:tcPr>
          <w:p>
            <w:pPr>
              <w:ind w:left="220"/>
              <w:spacing w:after="0"/>
              <w:rPr>
                <w:sz w:val="20"/>
                <w:szCs w:val="20"/>
                <w:color w:val="auto"/>
              </w:rPr>
            </w:pPr>
            <w:r>
              <w:rPr>
                <w:rFonts w:ascii="Arial" w:cs="Arial" w:eastAsia="Arial" w:hAnsi="Arial"/>
                <w:sz w:val="17"/>
                <w:szCs w:val="17"/>
                <w:color w:val="auto"/>
              </w:rPr>
              <w:t>Financing leases</w:t>
            </w:r>
          </w:p>
        </w:tc>
        <w:tc>
          <w:tcPr>
            <w:tcW w:w="3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4.27 %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4.27 %</w:t>
            </w:r>
          </w:p>
        </w:tc>
      </w:tr>
    </w:tbl>
    <w:p>
      <w:pPr>
        <w:spacing w:after="0" w:line="28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of March 31, 2021, the maturities of our operating and financing lease liabilities for each of the next five years is approximately (in thousands):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ind w:left="160"/>
              <w:spacing w:after="0"/>
              <w:rPr>
                <w:sz w:val="20"/>
                <w:szCs w:val="20"/>
                <w:color w:val="auto"/>
              </w:rPr>
            </w:pPr>
            <w:r>
              <w:rPr>
                <w:rFonts w:ascii="Arial" w:cs="Arial" w:eastAsia="Arial" w:hAnsi="Arial"/>
                <w:sz w:val="17"/>
                <w:szCs w:val="17"/>
                <w:b w:val="1"/>
                <w:bCs w:val="1"/>
                <w:color w:val="auto"/>
              </w:rPr>
              <w:t>Operating Leases</w:t>
            </w:r>
          </w:p>
        </w:tc>
        <w:tc>
          <w:tcPr>
            <w:tcW w:w="320" w:type="dxa"/>
            <w:vAlign w:val="bottom"/>
          </w:tcPr>
          <w:p>
            <w:pPr>
              <w:spacing w:after="0"/>
              <w:rPr>
                <w:sz w:val="19"/>
                <w:szCs w:val="19"/>
                <w:color w:val="auto"/>
              </w:rPr>
            </w:pPr>
          </w:p>
        </w:tc>
        <w:tc>
          <w:tcPr>
            <w:tcW w:w="1880" w:type="dxa"/>
            <w:vAlign w:val="bottom"/>
          </w:tcPr>
          <w:p>
            <w:pPr>
              <w:jc w:val="right"/>
              <w:ind w:right="454"/>
              <w:spacing w:after="0"/>
              <w:rPr>
                <w:sz w:val="20"/>
                <w:szCs w:val="20"/>
                <w:color w:val="auto"/>
              </w:rPr>
            </w:pPr>
            <w:r>
              <w:rPr>
                <w:rFonts w:ascii="Arial" w:cs="Arial" w:eastAsia="Arial" w:hAnsi="Arial"/>
                <w:sz w:val="17"/>
                <w:szCs w:val="17"/>
                <w:b w:val="1"/>
                <w:bCs w:val="1"/>
                <w:color w:val="auto"/>
              </w:rPr>
              <w:t>Finance Leases</w:t>
            </w:r>
          </w:p>
        </w:tc>
      </w:tr>
      <w:tr>
        <w:trPr>
          <w:trHeight w:val="21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8,352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2022</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693</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2024</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8,317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379</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2026</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4,733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189</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w:t>
            </w:r>
          </w:p>
        </w:tc>
      </w:tr>
      <w:tr>
        <w:trPr>
          <w:trHeight w:val="213"/>
        </w:trPr>
        <w:tc>
          <w:tcPr>
            <w:tcW w:w="6740" w:type="dxa"/>
            <w:vAlign w:val="bottom"/>
          </w:tcPr>
          <w:p>
            <w:pPr>
              <w:ind w:left="140"/>
              <w:spacing w:after="0"/>
              <w:rPr>
                <w:sz w:val="20"/>
                <w:szCs w:val="20"/>
                <w:color w:val="auto"/>
              </w:rPr>
            </w:pPr>
            <w:r>
              <w:rPr>
                <w:rFonts w:ascii="Arial" w:cs="Arial" w:eastAsia="Arial" w:hAnsi="Arial"/>
                <w:sz w:val="17"/>
                <w:szCs w:val="17"/>
                <w:color w:val="auto"/>
              </w:rPr>
              <w:t>Total Lease Payments</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56,448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3,299</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13"/>
        </w:trPr>
        <w:tc>
          <w:tcPr>
            <w:tcW w:w="6740" w:type="dxa"/>
            <w:vAlign w:val="bottom"/>
          </w:tcPr>
          <w:p>
            <w:pPr>
              <w:ind w:left="1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2,913</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5"/>
          <w:szCs w:val="15"/>
          <w:b w:val="1"/>
          <w:bCs w:val="1"/>
          <w:color w:val="auto"/>
        </w:rPr>
        <w:t>Net Income Per Share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ind w:right="140" w:firstLine="620"/>
        <w:spacing w:after="0" w:line="304" w:lineRule="auto"/>
        <w:rPr>
          <w:sz w:val="20"/>
          <w:szCs w:val="20"/>
          <w:color w:val="auto"/>
        </w:rPr>
      </w:pPr>
      <w:r>
        <w:rPr>
          <w:rFonts w:ascii="Arial" w:cs="Arial" w:eastAsia="Arial" w:hAnsi="Arial"/>
          <w:sz w:val="15"/>
          <w:szCs w:val="15"/>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There were 12,080 and 15,333 anti-dilutive securities for the three months ended March 31, 2021 and 2020, respectively.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calculation of net earnings per common share (“EPS”) — basic and diluted (in thousands, except per share data):</w:t>
      </w:r>
    </w:p>
    <w:p>
      <w:pPr>
        <w:spacing w:after="0" w:line="128"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Three months ended</w:t>
      </w:r>
    </w:p>
    <w:p>
      <w:pPr>
        <w:ind w:left="9500"/>
        <w:spacing w:after="0"/>
        <w:rPr>
          <w:sz w:val="20"/>
          <w:szCs w:val="20"/>
          <w:color w:val="auto"/>
        </w:rPr>
      </w:pPr>
      <w:r>
        <w:rPr>
          <w:rFonts w:ascii="Arial" w:cs="Arial" w:eastAsia="Arial" w:hAnsi="Arial"/>
          <w:sz w:val="16"/>
          <w:szCs w:val="16"/>
          <w:b w:val="1"/>
          <w:bCs w:val="1"/>
          <w:color w:val="auto"/>
        </w:rPr>
        <w:t>March 31,</w:t>
      </w:r>
    </w:p>
    <w:tbl>
      <w:tblPr>
        <w:tblLayout w:type="fixed"/>
        <w:tblInd w:w="0" w:type="dxa"/>
        <w:tblCellMar>
          <w:top w:w="0" w:type="dxa"/>
          <w:left w:w="0" w:type="dxa"/>
          <w:bottom w:w="0" w:type="dxa"/>
          <w:right w:w="0" w:type="dxa"/>
        </w:tblCellMar>
      </w:tblPr>
      <w:tr>
        <w:trPr>
          <w:trHeight w:val="204"/>
        </w:trPr>
        <w:tc>
          <w:tcPr>
            <w:tcW w:w="84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2020</w:t>
            </w:r>
          </w:p>
        </w:tc>
      </w:tr>
      <w:tr>
        <w:trPr>
          <w:trHeight w:val="214"/>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16,834</w:t>
            </w:r>
          </w:p>
        </w:tc>
      </w:tr>
      <w:tr>
        <w:trPr>
          <w:trHeight w:val="220"/>
        </w:trPr>
        <w:tc>
          <w:tcPr>
            <w:tcW w:w="8420" w:type="dxa"/>
            <w:vAlign w:val="bottom"/>
          </w:tcPr>
          <w:p>
            <w:pPr>
              <w:ind w:left="20"/>
              <w:spacing w:after="0"/>
              <w:rPr>
                <w:sz w:val="20"/>
                <w:szCs w:val="20"/>
                <w:color w:val="auto"/>
              </w:rPr>
            </w:pPr>
            <w:r>
              <w:rPr>
                <w:rFonts w:ascii="Arial" w:cs="Arial" w:eastAsia="Arial" w:hAnsi="Arial"/>
                <w:sz w:val="17"/>
                <w:szCs w:val="17"/>
                <w:color w:val="auto"/>
              </w:rPr>
              <w:t>Weighted-average number of common shares outstanding (for basic calculation)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20,780</w:t>
            </w:r>
          </w:p>
        </w:tc>
      </w:tr>
      <w:tr>
        <w:trPr>
          <w:trHeight w:val="220"/>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Dilutive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w:t>
            </w:r>
          </w:p>
        </w:tc>
      </w:tr>
      <w:tr>
        <w:trPr>
          <w:trHeight w:val="213"/>
        </w:trPr>
        <w:tc>
          <w:tcPr>
            <w:tcW w:w="8420" w:type="dxa"/>
            <w:vAlign w:val="bottom"/>
          </w:tcPr>
          <w:p>
            <w:pPr>
              <w:ind w:left="20"/>
              <w:spacing w:after="0"/>
              <w:rPr>
                <w:sz w:val="20"/>
                <w:szCs w:val="20"/>
                <w:color w:val="auto"/>
              </w:rPr>
            </w:pPr>
            <w:r>
              <w:rPr>
                <w:rFonts w:ascii="Arial" w:cs="Arial" w:eastAsia="Arial" w:hAnsi="Arial"/>
                <w:sz w:val="17"/>
                <w:szCs w:val="17"/>
                <w:color w:val="auto"/>
              </w:rPr>
              <w:t>Weighted-average common and common equivalent shares outstanding (for diluted calculation)</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21,695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21,507</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EPS — basic</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0.81</w:t>
            </w:r>
          </w:p>
        </w:tc>
      </w:tr>
      <w:tr>
        <w:trPr>
          <w:trHeight w:val="220"/>
        </w:trPr>
        <w:tc>
          <w:tcPr>
            <w:tcW w:w="8420" w:type="dxa"/>
            <w:vAlign w:val="bottom"/>
          </w:tcPr>
          <w:p>
            <w:pPr>
              <w:ind w:left="20"/>
              <w:spacing w:after="0"/>
              <w:rPr>
                <w:sz w:val="20"/>
                <w:szCs w:val="20"/>
                <w:color w:val="auto"/>
              </w:rPr>
            </w:pPr>
            <w:r>
              <w:rPr>
                <w:rFonts w:ascii="Arial" w:cs="Arial" w:eastAsia="Arial" w:hAnsi="Arial"/>
                <w:sz w:val="17"/>
                <w:szCs w:val="17"/>
                <w:color w:val="auto"/>
              </w:rPr>
              <w:t>EPS — diluted</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0.78</w:t>
            </w:r>
          </w:p>
        </w:tc>
      </w:tr>
    </w:tbl>
    <w:p>
      <w:pPr>
        <w:spacing w:after="0" w:line="29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Derivatives and Hedging Activities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w:t>
      </w:r>
    </w:p>
    <w:p>
      <w:pPr>
        <w:spacing w:after="0" w:line="244" w:lineRule="exact"/>
        <w:rPr>
          <w:sz w:val="20"/>
          <w:szCs w:val="20"/>
          <w:color w:val="auto"/>
        </w:rPr>
      </w:pPr>
    </w:p>
    <w:p>
      <w:pPr>
        <w:ind w:right="360" w:firstLine="215"/>
        <w:spacing w:after="0" w:line="283" w:lineRule="auto"/>
        <w:rPr>
          <w:sz w:val="20"/>
          <w:szCs w:val="20"/>
          <w:color w:val="auto"/>
        </w:rPr>
      </w:pPr>
      <w:r>
        <w:rPr>
          <w:rFonts w:ascii="Arial" w:cs="Arial" w:eastAsia="Arial" w:hAnsi="Arial"/>
          <w:sz w:val="17"/>
          <w:szCs w:val="17"/>
          <w:color w:val="auto"/>
        </w:rPr>
        <w:t>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85" w:lineRule="exact"/>
        <w:rPr>
          <w:sz w:val="20"/>
          <w:szCs w:val="20"/>
          <w:color w:val="auto"/>
        </w:rPr>
      </w:pPr>
    </w:p>
    <w:p>
      <w:pPr>
        <w:ind w:right="40" w:firstLine="169"/>
        <w:spacing w:after="0" w:line="259" w:lineRule="auto"/>
        <w:rPr>
          <w:sz w:val="20"/>
          <w:szCs w:val="20"/>
          <w:color w:val="auto"/>
        </w:rPr>
      </w:pPr>
      <w:r>
        <w:rPr>
          <w:rFonts w:ascii="Arial" w:cs="Arial" w:eastAsia="Arial" w:hAnsi="Arial"/>
          <w:sz w:val="17"/>
          <w:szCs w:val="17"/>
          <w:color w:val="auto"/>
        </w:rPr>
        <w:t>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instruments are recorded at fair value on the condensed consolidated balance sheets and are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 associated with the forecasted transaction and in the same period during which the hedged transaction affects earnings.</w:t>
      </w:r>
    </w:p>
    <w:p>
      <w:pPr>
        <w:spacing w:after="0" w:line="207" w:lineRule="exact"/>
        <w:rPr>
          <w:sz w:val="20"/>
          <w:szCs w:val="20"/>
          <w:color w:val="auto"/>
        </w:rPr>
      </w:pPr>
    </w:p>
    <w:p>
      <w:pPr>
        <w:jc w:val="both"/>
        <w:ind w:right="120" w:firstLine="172"/>
        <w:spacing w:after="0" w:line="263" w:lineRule="auto"/>
        <w:rPr>
          <w:sz w:val="20"/>
          <w:szCs w:val="20"/>
          <w:color w:val="auto"/>
        </w:rPr>
      </w:pPr>
      <w:r>
        <w:rPr>
          <w:rFonts w:ascii="Arial" w:cs="Arial" w:eastAsia="Arial" w:hAnsi="Arial"/>
          <w:sz w:val="17"/>
          <w:szCs w:val="17"/>
          <w:color w:val="auto"/>
        </w:rPr>
        <w:t>In March 2020, we entered into a one-year cross-currency par forward contract that extends our current hedge of a portion of our Mexico forecasted expenses denominated in Pesos ("MXN"). The total notional amount of this outstanding derivative as of March 31, 2021 was approximately 327.6 million MXN. The term of the one-year contract is November 3, 2020 to December 1, 2021. The derivative instrument matures in equal monthly amounts at a fixed forward rate of 24.26 MXN/USD.</w:t>
      </w:r>
    </w:p>
    <w:p>
      <w:pPr>
        <w:spacing w:after="0" w:line="203" w:lineRule="exact"/>
        <w:rPr>
          <w:sz w:val="20"/>
          <w:szCs w:val="20"/>
          <w:color w:val="auto"/>
        </w:rPr>
      </w:pPr>
    </w:p>
    <w:p>
      <w:pPr>
        <w:ind w:right="120" w:firstLine="172"/>
        <w:spacing w:after="0" w:line="268" w:lineRule="auto"/>
        <w:rPr>
          <w:sz w:val="20"/>
          <w:szCs w:val="20"/>
          <w:color w:val="auto"/>
        </w:rPr>
      </w:pPr>
      <w:r>
        <w:rPr>
          <w:rFonts w:ascii="Arial" w:cs="Arial" w:eastAsia="Arial" w:hAnsi="Arial"/>
          <w:sz w:val="17"/>
          <w:szCs w:val="17"/>
          <w:color w:val="auto"/>
        </w:rPr>
        <w:t>In November 2018, we entered into a one-year cross-currency par forward contract that hedges of a portion of our Mexico forecasted expenses denominated in MXN. The term of the one-year hedge was November 1, 2019 to November 3, 2020. The derivative instrument matured in equal monthly amounts at a fixed forward rate of 22.109 MXN/USD.</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presents the fair values of our derivative instruments included within the Condensed Consolidated Balance Sheets as of March 31, 2021 and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(in thousands):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4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Derivatives</w:t>
            </w: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40" w:type="dxa"/>
            <w:vAlign w:val="bottom"/>
          </w:tcPr>
          <w:p>
            <w:pPr>
              <w:spacing w:after="0"/>
              <w:rPr>
                <w:sz w:val="13"/>
                <w:szCs w:val="13"/>
                <w:color w:val="auto"/>
              </w:rPr>
            </w:pPr>
          </w:p>
        </w:tc>
        <w:tc>
          <w:tcPr>
            <w:tcW w:w="3700" w:type="dxa"/>
            <w:vAlign w:val="bottom"/>
            <w:gridSpan w:val="2"/>
          </w:tcPr>
          <w:p>
            <w:pPr>
              <w:jc w:val="center"/>
              <w:ind w:right="160"/>
              <w:spacing w:after="0" w:line="151" w:lineRule="exact"/>
              <w:rPr>
                <w:sz w:val="20"/>
                <w:szCs w:val="20"/>
                <w:color w:val="auto"/>
              </w:rPr>
            </w:pPr>
            <w:r>
              <w:rPr>
                <w:rFonts w:ascii="Arial" w:cs="Arial" w:eastAsia="Arial" w:hAnsi="Arial"/>
                <w:sz w:val="16"/>
                <w:szCs w:val="16"/>
                <w:b w:val="1"/>
                <w:bCs w:val="1"/>
                <w:color w:val="auto"/>
                <w:w w:val="85"/>
              </w:rPr>
              <w:t>Condensed Consolidated Balance Sheet</w:t>
            </w:r>
          </w:p>
        </w:tc>
        <w:tc>
          <w:tcPr>
            <w:tcW w:w="300" w:type="dxa"/>
            <w:vAlign w:val="bottom"/>
          </w:tcPr>
          <w:p>
            <w:pPr>
              <w:spacing w:after="0"/>
              <w:rPr>
                <w:sz w:val="13"/>
                <w:szCs w:val="13"/>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3"/>
                <w:szCs w:val="13"/>
                <w:color w:val="auto"/>
              </w:rPr>
            </w:pPr>
          </w:p>
        </w:tc>
        <w:tc>
          <w:tcPr>
            <w:tcW w:w="154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04"/>
        </w:trPr>
        <w:tc>
          <w:tcPr>
            <w:tcW w:w="4040" w:type="dxa"/>
            <w:vAlign w:val="bottom"/>
          </w:tcPr>
          <w:p>
            <w:pPr>
              <w:spacing w:after="0"/>
              <w:rPr>
                <w:sz w:val="17"/>
                <w:szCs w:val="17"/>
                <w:color w:val="auto"/>
              </w:rPr>
            </w:pPr>
          </w:p>
        </w:tc>
        <w:tc>
          <w:tcPr>
            <w:tcW w:w="3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Location</w:t>
            </w:r>
          </w:p>
        </w:tc>
        <w:tc>
          <w:tcPr>
            <w:tcW w:w="3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w w:val="99"/>
              </w:rPr>
              <w:t>Derivatives designated as cash flow hedging instruments</w:t>
            </w:r>
          </w:p>
        </w:tc>
        <w:tc>
          <w:tcPr>
            <w:tcW w:w="3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740" w:type="dxa"/>
            <w:vAlign w:val="bottom"/>
            <w:gridSpan w:val="3"/>
          </w:tcPr>
          <w:p>
            <w:pPr>
              <w:ind w:left="140"/>
              <w:spacing w:after="0"/>
              <w:rPr>
                <w:sz w:val="20"/>
                <w:szCs w:val="20"/>
                <w:color w:val="auto"/>
              </w:rPr>
            </w:pPr>
            <w:r>
              <w:rPr>
                <w:rFonts w:ascii="Arial" w:cs="Arial" w:eastAsia="Arial" w:hAnsi="Arial"/>
                <w:sz w:val="16"/>
                <w:szCs w:val="16"/>
                <w:color w:val="auto"/>
              </w:rPr>
              <w:t>Foreign exchange forward contract:</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w w:val="87"/>
              </w:rPr>
              <w:t>Prepaid expenses and other current assets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203"/>
        </w:trPr>
        <w:tc>
          <w:tcPr>
            <w:tcW w:w="7740" w:type="dxa"/>
            <w:vAlign w:val="bottom"/>
            <w:gridSpan w:val="3"/>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right="60" w:firstLine="169"/>
        <w:spacing w:after="0" w:line="283" w:lineRule="auto"/>
        <w:rPr>
          <w:sz w:val="20"/>
          <w:szCs w:val="20"/>
          <w:color w:val="auto"/>
        </w:rPr>
      </w:pPr>
      <w:r>
        <w:rPr>
          <w:rFonts w:ascii="Arial" w:cs="Arial" w:eastAsia="Arial" w:hAnsi="Arial"/>
          <w:sz w:val="17"/>
          <w:szCs w:val="17"/>
          <w:color w:val="auto"/>
        </w:rPr>
        <w:t>The following table presents the amounts affecting the Condensed Consolidated Statements of Operations for the three months ended March 31, 2021 and 2020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820" w:type="dxa"/>
            <w:vAlign w:val="bottom"/>
            <w:gridSpan w:val="3"/>
            <w:vMerge w:val="restart"/>
          </w:tcPr>
          <w:p>
            <w:pPr>
              <w:jc w:val="center"/>
              <w:ind w:right="440"/>
              <w:spacing w:after="0"/>
              <w:rPr>
                <w:sz w:val="20"/>
                <w:szCs w:val="20"/>
                <w:color w:val="auto"/>
              </w:rPr>
            </w:pPr>
            <w:r>
              <w:rPr>
                <w:rFonts w:ascii="Arial" w:cs="Arial" w:eastAsia="Arial" w:hAnsi="Arial"/>
                <w:sz w:val="16"/>
                <w:szCs w:val="16"/>
                <w:b w:val="1"/>
                <w:bCs w:val="1"/>
                <w:color w:val="auto"/>
                <w:w w:val="90"/>
              </w:rPr>
              <w:t>Line Item in the</w:t>
            </w:r>
          </w:p>
        </w:tc>
        <w:tc>
          <w:tcPr>
            <w:tcW w:w="2440" w:type="dxa"/>
            <w:vAlign w:val="bottom"/>
            <w:gridSpan w:val="4"/>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5"/>
        </w:trPr>
        <w:tc>
          <w:tcPr>
            <w:tcW w:w="5980" w:type="dxa"/>
            <w:vAlign w:val="bottom"/>
          </w:tcPr>
          <w:p>
            <w:pPr>
              <w:spacing w:after="0"/>
              <w:rPr>
                <w:sz w:val="13"/>
                <w:szCs w:val="13"/>
                <w:color w:val="auto"/>
              </w:rPr>
            </w:pPr>
          </w:p>
        </w:tc>
        <w:tc>
          <w:tcPr>
            <w:tcW w:w="2820" w:type="dxa"/>
            <w:vAlign w:val="bottom"/>
            <w:gridSpan w:val="3"/>
            <w:vMerge w:val="continue"/>
          </w:tcPr>
          <w:p>
            <w:pPr>
              <w:spacing w:after="0"/>
              <w:rPr>
                <w:sz w:val="13"/>
                <w:szCs w:val="13"/>
                <w:color w:val="auto"/>
              </w:rPr>
            </w:pPr>
          </w:p>
        </w:tc>
        <w:tc>
          <w:tcPr>
            <w:tcW w:w="1520" w:type="dxa"/>
            <w:vAlign w:val="bottom"/>
            <w:gridSpan w:val="3"/>
          </w:tcPr>
          <w:p>
            <w:pPr>
              <w:ind w:left="720"/>
              <w:spacing w:after="0" w:line="155" w:lineRule="exact"/>
              <w:rPr>
                <w:sz w:val="20"/>
                <w:szCs w:val="20"/>
                <w:color w:val="auto"/>
              </w:rPr>
            </w:pPr>
            <w:r>
              <w:rPr>
                <w:rFonts w:ascii="Arial" w:cs="Arial" w:eastAsia="Arial" w:hAnsi="Arial"/>
                <w:sz w:val="16"/>
                <w:szCs w:val="16"/>
                <w:b w:val="1"/>
                <w:bCs w:val="1"/>
                <w:color w:val="auto"/>
              </w:rPr>
              <w:t>March 31,</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5980" w:type="dxa"/>
            <w:vAlign w:val="bottom"/>
          </w:tcPr>
          <w:p>
            <w:pPr>
              <w:spacing w:after="0"/>
              <w:rPr>
                <w:sz w:val="4"/>
                <w:szCs w:val="4"/>
                <w:color w:val="auto"/>
              </w:rPr>
            </w:pPr>
          </w:p>
        </w:tc>
        <w:tc>
          <w:tcPr>
            <w:tcW w:w="2520" w:type="dxa"/>
            <w:vAlign w:val="bottom"/>
            <w:gridSpan w:val="2"/>
            <w:vMerge w:val="restart"/>
          </w:tcPr>
          <w:p>
            <w:pPr>
              <w:jc w:val="center"/>
              <w:ind w:right="120"/>
              <w:spacing w:after="0" w:line="155" w:lineRule="exact"/>
              <w:rPr>
                <w:sz w:val="20"/>
                <w:szCs w:val="20"/>
                <w:color w:val="auto"/>
              </w:rPr>
            </w:pPr>
            <w:r>
              <w:rPr>
                <w:rFonts w:ascii="Arial" w:cs="Arial" w:eastAsia="Arial" w:hAnsi="Arial"/>
                <w:sz w:val="16"/>
                <w:szCs w:val="16"/>
                <w:b w:val="1"/>
                <w:bCs w:val="1"/>
                <w:color w:val="auto"/>
                <w:w w:val="84"/>
              </w:rPr>
              <w:t>Condensed Consolidated</w:t>
            </w: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5980" w:type="dxa"/>
            <w:vAlign w:val="bottom"/>
          </w:tcPr>
          <w:p>
            <w:pPr>
              <w:spacing w:after="0"/>
              <w:rPr>
                <w:sz w:val="7"/>
                <w:szCs w:val="7"/>
                <w:color w:val="auto"/>
              </w:rPr>
            </w:pPr>
          </w:p>
        </w:tc>
        <w:tc>
          <w:tcPr>
            <w:tcW w:w="25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vMerge w:val="restart"/>
          </w:tcPr>
          <w:p>
            <w:pPr>
              <w:jc w:val="right"/>
              <w:ind w:right="4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vMerge w:val="restart"/>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28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6"/>
              </w:rPr>
              <w:t>Statements of Operations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2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980" w:type="dxa"/>
            <w:vAlign w:val="bottom"/>
          </w:tcPr>
          <w:p>
            <w:pPr>
              <w:ind w:left="140"/>
              <w:spacing w:after="0"/>
              <w:rPr>
                <w:sz w:val="20"/>
                <w:szCs w:val="20"/>
                <w:color w:val="auto"/>
              </w:rPr>
            </w:pPr>
            <w:r>
              <w:rPr>
                <w:rFonts w:ascii="Arial" w:cs="Arial" w:eastAsia="Arial" w:hAnsi="Arial"/>
                <w:sz w:val="16"/>
                <w:szCs w:val="16"/>
                <w:color w:val="auto"/>
              </w:rPr>
              <w:t>Foreign exchange forward contracts</w:t>
            </w:r>
          </w:p>
        </w:tc>
        <w:tc>
          <w:tcPr>
            <w:tcW w:w="2820" w:type="dxa"/>
            <w:vAlign w:val="bottom"/>
            <w:gridSpan w:val="3"/>
          </w:tcPr>
          <w:p>
            <w:pPr>
              <w:ind w:left="1240"/>
              <w:spacing w:after="0"/>
              <w:rPr>
                <w:sz w:val="20"/>
                <w:szCs w:val="20"/>
                <w:color w:val="auto"/>
              </w:rPr>
            </w:pPr>
            <w:r>
              <w:rPr>
                <w:rFonts w:ascii="Arial" w:cs="Arial" w:eastAsia="Arial" w:hAnsi="Arial"/>
                <w:sz w:val="16"/>
                <w:szCs w:val="16"/>
                <w:color w:val="auto"/>
              </w:rPr>
              <w:t>Cost of goods sold  $</w:t>
            </w:r>
          </w:p>
        </w:tc>
        <w:tc>
          <w:tcPr>
            <w:tcW w:w="1020" w:type="dxa"/>
            <w:vAlign w:val="bottom"/>
          </w:tcPr>
          <w:p>
            <w:pPr>
              <w:ind w:left="720"/>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recognized the following (losses) gains on our foreign exchange contracts designated as a cash flow hedge (in thousands):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4"/>
          </w:tcPr>
          <w:p>
            <w:pPr>
              <w:jc w:val="center"/>
              <w:ind w:right="22"/>
              <w:spacing w:after="0"/>
              <w:rPr>
                <w:sz w:val="20"/>
                <w:szCs w:val="20"/>
                <w:color w:val="auto"/>
              </w:rPr>
            </w:pPr>
            <w:r>
              <w:rPr>
                <w:rFonts w:ascii="Arial" w:cs="Arial" w:eastAsia="Arial" w:hAnsi="Arial"/>
                <w:sz w:val="16"/>
                <w:szCs w:val="16"/>
                <w:b w:val="1"/>
                <w:bCs w:val="1"/>
                <w:color w:val="auto"/>
                <w:w w:val="86"/>
              </w:rPr>
              <w:t>Amount of Loss Recognized in</w:t>
            </w:r>
          </w:p>
        </w:tc>
        <w:tc>
          <w:tcPr>
            <w:tcW w:w="100" w:type="dxa"/>
            <w:vAlign w:val="bottom"/>
          </w:tcPr>
          <w:p>
            <w:pPr>
              <w:spacing w:after="0"/>
              <w:rPr>
                <w:sz w:val="16"/>
                <w:szCs w:val="16"/>
                <w:color w:val="auto"/>
              </w:rPr>
            </w:pPr>
          </w:p>
        </w:tc>
        <w:tc>
          <w:tcPr>
            <w:tcW w:w="5040" w:type="dxa"/>
            <w:vAlign w:val="bottom"/>
            <w:gridSpan w:val="7"/>
            <w:vMerge w:val="restart"/>
          </w:tcPr>
          <w:p>
            <w:pPr>
              <w:jc w:val="center"/>
              <w:spacing w:after="0"/>
              <w:rPr>
                <w:sz w:val="20"/>
                <w:szCs w:val="20"/>
                <w:color w:val="auto"/>
              </w:rPr>
            </w:pPr>
            <w:r>
              <w:rPr>
                <w:rFonts w:ascii="Arial" w:cs="Arial" w:eastAsia="Arial" w:hAnsi="Arial"/>
                <w:sz w:val="16"/>
                <w:szCs w:val="16"/>
                <w:b w:val="1"/>
                <w:bCs w:val="1"/>
                <w:color w:val="auto"/>
                <w:w w:val="87"/>
              </w:rPr>
              <w:t>Amount of Gain Reclassified From Accumulated Other Comprehensive</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center"/>
              <w:ind w:right="2"/>
              <w:spacing w:after="0" w:line="155" w:lineRule="exact"/>
              <w:rPr>
                <w:sz w:val="20"/>
                <w:szCs w:val="20"/>
                <w:color w:val="auto"/>
              </w:rPr>
            </w:pPr>
            <w:r>
              <w:rPr>
                <w:rFonts w:ascii="Arial" w:cs="Arial" w:eastAsia="Arial" w:hAnsi="Arial"/>
                <w:sz w:val="16"/>
                <w:szCs w:val="16"/>
                <w:b w:val="1"/>
                <w:bCs w:val="1"/>
                <w:color w:val="auto"/>
                <w:w w:val="87"/>
              </w:rPr>
              <w:t>Other Comprehensive Income on</w:t>
            </w:r>
          </w:p>
        </w:tc>
        <w:tc>
          <w:tcPr>
            <w:tcW w:w="100" w:type="dxa"/>
            <w:vAlign w:val="bottom"/>
          </w:tcPr>
          <w:p>
            <w:pPr>
              <w:spacing w:after="0"/>
              <w:rPr>
                <w:sz w:val="13"/>
                <w:szCs w:val="13"/>
                <w:color w:val="auto"/>
              </w:rPr>
            </w:pPr>
          </w:p>
        </w:tc>
        <w:tc>
          <w:tcPr>
            <w:tcW w:w="50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6"/>
                <w:szCs w:val="16"/>
                <w:b w:val="1"/>
                <w:bCs w:val="1"/>
                <w:color w:val="auto"/>
                <w:w w:val="88"/>
              </w:rPr>
              <w:t>Derivatives</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auto"/>
            </w:tcBorders>
            <w:gridSpan w:val="5"/>
          </w:tcPr>
          <w:p>
            <w:pPr>
              <w:jc w:val="center"/>
              <w:ind w:left="982"/>
              <w:spacing w:after="0"/>
              <w:rPr>
                <w:sz w:val="20"/>
                <w:szCs w:val="20"/>
                <w:color w:val="auto"/>
              </w:rPr>
            </w:pPr>
            <w:r>
              <w:rPr>
                <w:rFonts w:ascii="Arial" w:cs="Arial" w:eastAsia="Arial" w:hAnsi="Arial"/>
                <w:sz w:val="16"/>
                <w:szCs w:val="16"/>
                <w:b w:val="1"/>
                <w:bCs w:val="1"/>
                <w:color w:val="auto"/>
                <w:w w:val="87"/>
              </w:rPr>
              <w:t>Income into Income</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4"/>
          </w:tcPr>
          <w:p>
            <w:pPr>
              <w:jc w:val="center"/>
              <w:ind w:right="42"/>
              <w:spacing w:after="0"/>
              <w:rPr>
                <w:sz w:val="20"/>
                <w:szCs w:val="20"/>
                <w:color w:val="auto"/>
              </w:rPr>
            </w:pPr>
            <w:r>
              <w:rPr>
                <w:rFonts w:ascii="Arial" w:cs="Arial" w:eastAsia="Arial" w:hAnsi="Arial"/>
                <w:sz w:val="16"/>
                <w:szCs w:val="16"/>
                <w:b w:val="1"/>
                <w:bCs w:val="1"/>
                <w:color w:val="auto"/>
                <w:w w:val="86"/>
              </w:rPr>
              <w:t>Three months ended</w:t>
            </w: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2"/>
        </w:trPr>
        <w:tc>
          <w:tcPr>
            <w:tcW w:w="3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6"/>
                <w:szCs w:val="16"/>
                <w:b w:val="1"/>
                <w:bCs w:val="1"/>
                <w:color w:val="auto"/>
                <w:w w:val="92"/>
              </w:rPr>
              <w:t>March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w w:val="97"/>
              </w:rPr>
              <w:t>March 31,</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2"/>
          </w:tcPr>
          <w:p>
            <w:pPr>
              <w:jc w:val="center"/>
              <w:ind w:right="100"/>
              <w:spacing w:after="0" w:line="140" w:lineRule="exact"/>
              <w:rPr>
                <w:sz w:val="20"/>
                <w:szCs w:val="20"/>
                <w:color w:val="auto"/>
              </w:rPr>
            </w:pPr>
            <w:r>
              <w:rPr>
                <w:rFonts w:ascii="Arial" w:cs="Arial" w:eastAsia="Arial" w:hAnsi="Arial"/>
                <w:sz w:val="16"/>
                <w:szCs w:val="16"/>
                <w:b w:val="1"/>
                <w:bCs w:val="1"/>
                <w:color w:val="auto"/>
                <w:w w:val="87"/>
              </w:rPr>
              <w:t>Location of Gain Reclassified From</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3"/>
                <w:szCs w:val="13"/>
                <w:color w:val="auto"/>
              </w:rPr>
            </w:pPr>
          </w:p>
        </w:tc>
        <w:tc>
          <w:tcPr>
            <w:tcW w:w="3000" w:type="dxa"/>
            <w:vAlign w:val="bottom"/>
            <w:gridSpan w:val="3"/>
          </w:tcPr>
          <w:p>
            <w:pPr>
              <w:jc w:val="center"/>
              <w:ind w:right="262"/>
              <w:spacing w:after="0" w:line="155" w:lineRule="exact"/>
              <w:rPr>
                <w:sz w:val="20"/>
                <w:szCs w:val="20"/>
                <w:color w:val="auto"/>
              </w:rPr>
            </w:pPr>
            <w:r>
              <w:rPr>
                <w:rFonts w:ascii="Arial" w:cs="Arial" w:eastAsia="Arial" w:hAnsi="Arial"/>
                <w:sz w:val="16"/>
                <w:szCs w:val="16"/>
                <w:b w:val="1"/>
                <w:bCs w:val="1"/>
                <w:color w:val="auto"/>
                <w:w w:val="87"/>
              </w:rPr>
              <w:t>Accumulated Other Comprehensive</w:t>
            </w:r>
          </w:p>
        </w:tc>
        <w:tc>
          <w:tcPr>
            <w:tcW w:w="8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3"/>
          </w:tcPr>
          <w:p>
            <w:pPr>
              <w:jc w:val="center"/>
              <w:ind w:right="262"/>
              <w:spacing w:after="0"/>
              <w:rPr>
                <w:sz w:val="20"/>
                <w:szCs w:val="20"/>
                <w:color w:val="auto"/>
              </w:rPr>
            </w:pPr>
            <w:r>
              <w:rPr>
                <w:rFonts w:ascii="Arial" w:cs="Arial" w:eastAsia="Arial" w:hAnsi="Arial"/>
                <w:sz w:val="16"/>
                <w:szCs w:val="16"/>
                <w:b w:val="1"/>
                <w:bCs w:val="1"/>
                <w:color w:val="auto"/>
                <w:w w:val="86"/>
              </w:rPr>
              <w:t>Income into Income</w:t>
            </w: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140"/>
              <w:spacing w:after="0"/>
              <w:rPr>
                <w:sz w:val="20"/>
                <w:szCs w:val="20"/>
                <w:color w:val="auto"/>
              </w:rPr>
            </w:pPr>
            <w:r>
              <w:rPr>
                <w:rFonts w:ascii="Arial" w:cs="Arial" w:eastAsia="Arial" w:hAnsi="Arial"/>
                <w:sz w:val="16"/>
                <w:szCs w:val="16"/>
                <w:color w:val="auto"/>
              </w:rPr>
              <w:t>Foreign exchange forward contract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(3,192)</w:t>
            </w:r>
          </w:p>
        </w:tc>
        <w:tc>
          <w:tcPr>
            <w:tcW w:w="100" w:type="dxa"/>
            <w:vAlign w:val="bottom"/>
          </w:tcPr>
          <w:p>
            <w:pPr>
              <w:spacing w:after="0"/>
              <w:rPr>
                <w:sz w:val="17"/>
                <w:szCs w:val="17"/>
                <w:color w:val="auto"/>
              </w:rPr>
            </w:pPr>
          </w:p>
        </w:tc>
        <w:tc>
          <w:tcPr>
            <w:tcW w:w="3000" w:type="dxa"/>
            <w:vAlign w:val="bottom"/>
            <w:gridSpan w:val="3"/>
          </w:tcPr>
          <w:p>
            <w:pPr>
              <w:jc w:val="right"/>
              <w:ind w:right="62"/>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ind w:left="580"/>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143"/>
        </w:trPr>
        <w:tc>
          <w:tcPr>
            <w:tcW w:w="36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rPr>
              <w:t>Total derivatives designated as cash flow hedging</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(3,192)</w:t>
            </w:r>
          </w:p>
        </w:tc>
        <w:tc>
          <w:tcPr>
            <w:tcW w:w="2860" w:type="dxa"/>
            <w:vAlign w:val="bottom"/>
            <w:tcBorders>
              <w:top w:val="single" w:sz="8" w:color="CCEEFF"/>
            </w:tcBorders>
            <w:gridSpan w:val="3"/>
            <w:vMerge w:val="restart"/>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ind w:left="580"/>
              <w:spacing w:after="0"/>
              <w:rPr>
                <w:sz w:val="20"/>
                <w:szCs w:val="20"/>
                <w:color w:val="auto"/>
              </w:rPr>
            </w:pPr>
            <w:r>
              <w:rPr>
                <w:rFonts w:ascii="Arial" w:cs="Arial" w:eastAsia="Arial" w:hAnsi="Arial"/>
                <w:sz w:val="16"/>
                <w:szCs w:val="16"/>
                <w:color w:val="auto"/>
              </w:rPr>
              <w:t>841</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instruments</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286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ind w:right="240" w:firstLine="620"/>
        <w:spacing w:after="0" w:line="353" w:lineRule="auto"/>
        <w:rPr>
          <w:sz w:val="20"/>
          <w:szCs w:val="20"/>
          <w:color w:val="auto"/>
        </w:rPr>
      </w:pPr>
      <w:r>
        <w:rPr>
          <w:rFonts w:ascii="Arial" w:cs="Arial" w:eastAsia="Arial" w:hAnsi="Arial"/>
          <w:sz w:val="15"/>
          <w:szCs w:val="15"/>
          <w:color w:val="auto"/>
        </w:rPr>
        <w:t>As of March 31, 2021, we expect approximately $2.3 million of the deferred gains on the outstanding derivatives in accumulated other comprehensive income to be reclassified to net income during the next twelve months concurrent with the underlying hedged transactions also being reported in net income.</w:t>
      </w:r>
    </w:p>
    <w:p>
      <w:pPr>
        <w:spacing w:after="0" w:line="13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Fair Value Measurement</w:t>
      </w:r>
    </w:p>
    <w:p>
      <w:pPr>
        <w:spacing w:after="0" w:line="224" w:lineRule="exact"/>
        <w:rPr>
          <w:sz w:val="20"/>
          <w:szCs w:val="20"/>
          <w:color w:val="auto"/>
        </w:rPr>
      </w:pPr>
    </w:p>
    <w:p>
      <w:pPr>
        <w:ind w:right="400" w:firstLine="172"/>
        <w:spacing w:after="0" w:line="283" w:lineRule="auto"/>
        <w:rPr>
          <w:sz w:val="20"/>
          <w:szCs w:val="20"/>
          <w:color w:val="auto"/>
        </w:rPr>
      </w:pPr>
      <w:r>
        <w:rPr>
          <w:rFonts w:ascii="Arial" w:cs="Arial" w:eastAsia="Arial" w:hAnsi="Arial"/>
          <w:sz w:val="17"/>
          <w:szCs w:val="17"/>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85"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23" w:lineRule="exact"/>
        <w:rPr>
          <w:rFonts w:ascii="Arial" w:cs="Arial" w:eastAsia="Arial" w:hAnsi="Arial"/>
          <w:sz w:val="17"/>
          <w:szCs w:val="17"/>
          <w:color w:val="auto"/>
        </w:rPr>
      </w:pPr>
    </w:p>
    <w:p>
      <w:pPr>
        <w:ind w:left="620" w:right="120" w:hanging="307"/>
        <w:spacing w:after="0" w:line="260"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values of the assets or liabilities.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Earn-out Liability</w:t>
      </w:r>
    </w:p>
    <w:p>
      <w:pPr>
        <w:spacing w:after="0" w:line="244" w:lineRule="exact"/>
        <w:rPr>
          <w:sz w:val="20"/>
          <w:szCs w:val="20"/>
          <w:color w:val="auto"/>
        </w:rPr>
      </w:pPr>
    </w:p>
    <w:p>
      <w:pPr>
        <w:ind w:right="40" w:firstLine="172"/>
        <w:spacing w:after="0" w:line="275" w:lineRule="auto"/>
        <w:rPr>
          <w:sz w:val="20"/>
          <w:szCs w:val="20"/>
          <w:color w:val="auto"/>
        </w:rPr>
      </w:pPr>
      <w:r>
        <w:rPr>
          <w:rFonts w:ascii="Arial" w:cs="Arial" w:eastAsia="Arial" w:hAnsi="Arial"/>
          <w:sz w:val="15"/>
          <w:szCs w:val="15"/>
          <w:color w:val="auto"/>
        </w:rPr>
        <w:t>In 2017, we recognized an earn-out liability upon the acquisition of HIS from Pfizer. Pfizer was entitled to receive between $191.3 million and $225.0 million in additional cash consideration based on the achievement of certain performance targets for the combined company for the three years ending December 31, 2019.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included other assumptions including the market price of risk, which was calculated as the weighted average cost of capital ("WACC") less the long term risk free rate. The initial value assigned to the contingent consideration was a result of forecasted product demand of our HIS business. At each reporting date subsequent to the acquisition we remeasured the earn-out using the same methodology above and recognized any changes in value. As of December 31, 2019, we determined that we did not meet the necessary performance targets that would require payout of any of the HIS earn-out liability. As of the date of this filing, Pfizer has disputed our determination that the performance targets requiring payout of the HIS earn-out liability were not met. The dispute is being resolved by binding arbitration that will likely be concluded during the third quarter of 2021. Given the uncertainty of any arbitration, it may be possible that we will incur a loss with regards to this matter. If we are unsuccessful in arbitration such that it is determined that we met the necessary performance targets for any of the HIS earn-out liability, we will be obligated to pay Pfizer between $191.3 million and $225.0 million in additional cash consideration.</w:t>
      </w:r>
    </w:p>
    <w:p>
      <w:pPr>
        <w:spacing w:after="0" w:line="187" w:lineRule="exact"/>
        <w:rPr>
          <w:sz w:val="20"/>
          <w:szCs w:val="20"/>
          <w:color w:val="auto"/>
        </w:rPr>
      </w:pPr>
    </w:p>
    <w:p>
      <w:pPr>
        <w:ind w:right="20" w:firstLine="620"/>
        <w:spacing w:after="0" w:line="274" w:lineRule="auto"/>
        <w:rPr>
          <w:sz w:val="20"/>
          <w:szCs w:val="20"/>
          <w:color w:val="auto"/>
        </w:rPr>
      </w:pPr>
      <w:r>
        <w:rPr>
          <w:rFonts w:ascii="Arial" w:cs="Arial" w:eastAsia="Arial" w:hAnsi="Arial"/>
          <w:sz w:val="16"/>
          <w:szCs w:val="16"/>
          <w:color w:val="auto"/>
        </w:rPr>
        <w:t>In the fourth quarter of 2019, we recognized an earn-out liability related to the acquisition of Pursuit Vascular, Inc. ("Pursuit"). Pursuit's former equity holders are entitled up to $50.0 million in additional cash consideration contingent upon the achievement of certain sales and gross profit targets for specific customers. The earn-out will be calculated as a percentage of gross profit achieved during the earn-out period against a pre-determined target gross profit, not to exceed $50.0 million. We used a Monte Carlo simulation model to determine the fair value of the earn-out liability. The Monte Carlo simulation model utilizes multiple input variables to determine the value of the earn-out liability including historical volatility, a risk free interest rate, counter party credit risk and projected future gross profit, see below simulation input table related to Pursuit. The historical volatility was based on the median of ICU and a certain peer group. The risk-free interest rate is equal to the yield, as of the valuation date, of the zero-coupon U.S. Treasury bill that is commensurate with the term of the earn-out. The counter party credit risk is based on a synthetic credit rating of B1. If the probabilities in the model significantly change from what we initially and subsequently anticipate, the change could have a significant impact on our financial statements in the period recognized. Our contingent earn-out liability is separately stated in our condensed consolidated balance sheets.</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provide a reconciliation of the Level 3 earn-out liabilities measured at estimated fair value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jc w:val="center"/>
              <w:ind w:right="217"/>
              <w:spacing w:after="0"/>
              <w:rPr>
                <w:sz w:val="20"/>
                <w:szCs w:val="20"/>
                <w:color w:val="auto"/>
              </w:rPr>
            </w:pPr>
            <w:r>
              <w:rPr>
                <w:rFonts w:ascii="Arial" w:cs="Arial" w:eastAsia="Arial" w:hAnsi="Arial"/>
                <w:sz w:val="16"/>
                <w:szCs w:val="16"/>
                <w:b w:val="1"/>
                <w:bCs w:val="1"/>
                <w:color w:val="auto"/>
                <w:w w:val="90"/>
              </w:rPr>
              <w:t>Pursuit</w:t>
            </w:r>
          </w:p>
        </w:tc>
      </w:tr>
      <w:tr>
        <w:trPr>
          <w:trHeight w:val="210"/>
        </w:trPr>
        <w:tc>
          <w:tcPr>
            <w:tcW w:w="9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217"/>
              <w:spacing w:after="0"/>
              <w:rPr>
                <w:sz w:val="20"/>
                <w:szCs w:val="20"/>
                <w:color w:val="auto"/>
              </w:rPr>
            </w:pPr>
            <w:r>
              <w:rPr>
                <w:rFonts w:ascii="Arial" w:cs="Arial" w:eastAsia="Arial" w:hAnsi="Arial"/>
                <w:sz w:val="16"/>
                <w:szCs w:val="16"/>
                <w:b w:val="1"/>
                <w:bCs w:val="1"/>
                <w:color w:val="auto"/>
                <w:w w:val="93"/>
              </w:rPr>
              <w:t>Earn-out Liability</w:t>
            </w:r>
          </w:p>
        </w:tc>
      </w:tr>
      <w:tr>
        <w:trPr>
          <w:trHeight w:val="215"/>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2021</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March 31, 2021</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483"/>
        </w:trPr>
        <w:tc>
          <w:tcPr>
            <w:tcW w:w="9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jc w:val="center"/>
              <w:ind w:right="217"/>
              <w:spacing w:after="0"/>
              <w:rPr>
                <w:sz w:val="20"/>
                <w:szCs w:val="20"/>
                <w:color w:val="auto"/>
              </w:rPr>
            </w:pPr>
            <w:r>
              <w:rPr>
                <w:rFonts w:ascii="Arial" w:cs="Arial" w:eastAsia="Arial" w:hAnsi="Arial"/>
                <w:sz w:val="16"/>
                <w:szCs w:val="16"/>
                <w:b w:val="1"/>
                <w:bCs w:val="1"/>
                <w:color w:val="auto"/>
                <w:w w:val="90"/>
              </w:rPr>
              <w:t>Pursuit</w:t>
            </w:r>
          </w:p>
        </w:tc>
      </w:tr>
      <w:tr>
        <w:trPr>
          <w:trHeight w:val="210"/>
        </w:trPr>
        <w:tc>
          <w:tcPr>
            <w:tcW w:w="9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217"/>
              <w:spacing w:after="0"/>
              <w:rPr>
                <w:sz w:val="20"/>
                <w:szCs w:val="20"/>
                <w:color w:val="auto"/>
              </w:rPr>
            </w:pPr>
            <w:r>
              <w:rPr>
                <w:rFonts w:ascii="Arial" w:cs="Arial" w:eastAsia="Arial" w:hAnsi="Arial"/>
                <w:sz w:val="16"/>
                <w:szCs w:val="16"/>
                <w:b w:val="1"/>
                <w:bCs w:val="1"/>
                <w:color w:val="auto"/>
                <w:w w:val="93"/>
              </w:rPr>
              <w:t>Earn-out Liability</w:t>
            </w:r>
          </w:p>
        </w:tc>
      </w:tr>
      <w:tr>
        <w:trPr>
          <w:trHeight w:val="215"/>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January 1, 2020</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17,300</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fair value of earn-out (included in income from operations as a separate line item)</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balance, March 31, 2020</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provide quantitative information about Level 3 inputs for fair value measurement of our earn-out liabilities: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Pursuit Earn-out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Simulation Input</w:t>
            </w:r>
          </w:p>
        </w:tc>
        <w:tc>
          <w:tcPr>
            <w:tcW w:w="100" w:type="dxa"/>
            <w:vAlign w:val="bottom"/>
            <w:vMerge w:val="restart"/>
          </w:tcPr>
          <w:p>
            <w:pPr>
              <w:spacing w:after="0"/>
              <w:rPr>
                <w:sz w:val="16"/>
                <w:szCs w:val="16"/>
                <w:color w:val="auto"/>
              </w:rPr>
            </w:pPr>
          </w:p>
        </w:tc>
        <w:tc>
          <w:tcPr>
            <w:tcW w:w="1680" w:type="dxa"/>
            <w:vAlign w:val="bottom"/>
          </w:tcPr>
          <w:p>
            <w:pPr>
              <w:jc w:val="center"/>
              <w:ind w:left="462"/>
              <w:spacing w:after="0"/>
              <w:rPr>
                <w:sz w:val="20"/>
                <w:szCs w:val="20"/>
                <w:color w:val="auto"/>
              </w:rPr>
            </w:pPr>
            <w:r>
              <w:rPr>
                <w:rFonts w:ascii="Arial" w:cs="Arial" w:eastAsia="Arial" w:hAnsi="Arial"/>
                <w:sz w:val="16"/>
                <w:szCs w:val="16"/>
                <w:b w:val="1"/>
                <w:bCs w:val="1"/>
                <w:color w:val="auto"/>
                <w:w w:val="84"/>
              </w:rPr>
              <w:t>As of</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tcPr>
          <w:p>
            <w:pPr>
              <w:ind w:left="940"/>
              <w:spacing w:after="0"/>
              <w:rPr>
                <w:sz w:val="20"/>
                <w:szCs w:val="20"/>
                <w:color w:val="auto"/>
              </w:rPr>
            </w:pPr>
            <w:r>
              <w:rPr>
                <w:rFonts w:ascii="Arial" w:cs="Arial" w:eastAsia="Arial" w:hAnsi="Arial"/>
                <w:sz w:val="16"/>
                <w:szCs w:val="16"/>
                <w:b w:val="1"/>
                <w:bCs w:val="1"/>
                <w:color w:val="auto"/>
              </w:rPr>
              <w:t>As of</w:t>
            </w:r>
          </w:p>
        </w:tc>
        <w:tc>
          <w:tcPr>
            <w:tcW w:w="2260" w:type="dxa"/>
            <w:vAlign w:val="bottom"/>
          </w:tcPr>
          <w:p>
            <w:pPr>
              <w:jc w:val="right"/>
              <w:ind w:right="902"/>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04"/>
        </w:trPr>
        <w:tc>
          <w:tcPr>
            <w:tcW w:w="4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80" w:type="dxa"/>
            <w:vAlign w:val="bottom"/>
            <w:tcBorders>
              <w:bottom w:val="single" w:sz="8" w:color="auto"/>
            </w:tcBorders>
          </w:tcPr>
          <w:p>
            <w:pPr>
              <w:jc w:val="center"/>
              <w:ind w:left="502"/>
              <w:spacing w:after="0"/>
              <w:rPr>
                <w:sz w:val="20"/>
                <w:szCs w:val="20"/>
                <w:color w:val="auto"/>
              </w:rPr>
            </w:pPr>
            <w:r>
              <w:rPr>
                <w:rFonts w:ascii="Arial" w:cs="Arial" w:eastAsia="Arial" w:hAnsi="Arial"/>
                <w:sz w:val="16"/>
                <w:szCs w:val="16"/>
                <w:b w:val="1"/>
                <w:bCs w:val="1"/>
                <w:color w:val="auto"/>
                <w:w w:val="89"/>
              </w:rPr>
              <w:t>March 31, 2021</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202"/>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Revenue/Gross Profit Volatility</w:t>
            </w:r>
          </w:p>
        </w:tc>
        <w:tc>
          <w:tcPr>
            <w:tcW w:w="16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25.00 %</w:t>
            </w: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25.00 %</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20.00 %</w:t>
            </w:r>
          </w:p>
        </w:tc>
        <w:tc>
          <w:tcPr>
            <w:tcW w:w="0" w:type="dxa"/>
            <w:vAlign w:val="bottom"/>
          </w:tcPr>
          <w:p>
            <w:pPr>
              <w:spacing w:after="0"/>
              <w:rPr>
                <w:sz w:val="1"/>
                <w:szCs w:val="1"/>
                <w:color w:val="auto"/>
              </w:rPr>
            </w:pPr>
          </w:p>
        </w:tc>
      </w:tr>
      <w:tr>
        <w:trPr>
          <w:trHeight w:val="204"/>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Discount Rate</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5"/>
              </w:rPr>
              <w:t>12.50 %</w:t>
            </w:r>
          </w:p>
        </w:tc>
        <w:tc>
          <w:tcPr>
            <w:tcW w:w="1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12.50 %</w:t>
            </w:r>
          </w:p>
        </w:tc>
        <w:tc>
          <w:tcPr>
            <w:tcW w:w="10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15.00 %</w:t>
            </w:r>
          </w:p>
        </w:tc>
        <w:tc>
          <w:tcPr>
            <w:tcW w:w="0" w:type="dxa"/>
            <w:vAlign w:val="bottom"/>
          </w:tcPr>
          <w:p>
            <w:pPr>
              <w:spacing w:after="0"/>
              <w:rPr>
                <w:sz w:val="1"/>
                <w:szCs w:val="1"/>
                <w:color w:val="auto"/>
              </w:rPr>
            </w:pPr>
          </w:p>
        </w:tc>
      </w:tr>
      <w:tr>
        <w:trPr>
          <w:trHeight w:val="21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 Free Rate</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01"/>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Counter Party Risk</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3.10 %</w:t>
            </w:r>
          </w:p>
        </w:tc>
        <w:tc>
          <w:tcPr>
            <w:tcW w:w="1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6.00 %</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 and Foreign Currency Contracts</w:t>
      </w:r>
    </w:p>
    <w:p>
      <w:pPr>
        <w:spacing w:after="0" w:line="244" w:lineRule="exact"/>
        <w:rPr>
          <w:sz w:val="20"/>
          <w:szCs w:val="20"/>
          <w:color w:val="auto"/>
        </w:rPr>
      </w:pPr>
    </w:p>
    <w:p>
      <w:pPr>
        <w:ind w:right="380" w:firstLine="169"/>
        <w:spacing w:after="0" w:line="283" w:lineRule="auto"/>
        <w:rPr>
          <w:sz w:val="20"/>
          <w:szCs w:val="20"/>
          <w:color w:val="auto"/>
        </w:rPr>
      </w:pPr>
      <w:r>
        <w:rPr>
          <w:rFonts w:ascii="Arial" w:cs="Arial" w:eastAsia="Arial" w:hAnsi="Arial"/>
          <w:sz w:val="17"/>
          <w:szCs w:val="17"/>
          <w:color w:val="auto"/>
        </w:rPr>
        <w:t>The fair value of our investments is estimated using observable market-based inputs such as quoted prices, interest rates and yield curves or Level 2 inputs, which consisted of corporate bonds.</w:t>
      </w:r>
    </w:p>
    <w:p>
      <w:pPr>
        <w:spacing w:after="0" w:line="185" w:lineRule="exact"/>
        <w:rPr>
          <w:sz w:val="20"/>
          <w:szCs w:val="20"/>
          <w:color w:val="auto"/>
        </w:rPr>
      </w:pPr>
    </w:p>
    <w:p>
      <w:pPr>
        <w:ind w:right="80" w:firstLine="169"/>
        <w:spacing w:after="0" w:line="315" w:lineRule="auto"/>
        <w:rPr>
          <w:sz w:val="20"/>
          <w:szCs w:val="20"/>
          <w:color w:val="auto"/>
        </w:rPr>
      </w:pPr>
      <w:r>
        <w:rPr>
          <w:rFonts w:ascii="Arial" w:cs="Arial" w:eastAsia="Arial" w:hAnsi="Arial"/>
          <w:sz w:val="16"/>
          <w:szCs w:val="16"/>
          <w:color w:val="auto"/>
        </w:rPr>
        <w:t>The fair value of our Level 2 forward currency contracts are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assets and liabilities measured at fair value on a recurring basis consisted of the following (Level 1, 2 and 3 inputs as defined above)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Assets: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Available for sale securities: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Short-term</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Long-term</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Foreign exchange forwards:</w:t>
      </w:r>
    </w:p>
    <w:p>
      <w:pPr>
        <w:spacing w:after="0" w:line="24" w:lineRule="exact"/>
        <w:rPr>
          <w:sz w:val="20"/>
          <w:szCs w:val="20"/>
          <w:color w:val="auto"/>
        </w:rPr>
      </w:pPr>
    </w:p>
    <w:p>
      <w:pPr>
        <w:ind w:left="40" w:right="1700" w:firstLine="194"/>
        <w:spacing w:after="0" w:line="346" w:lineRule="auto"/>
        <w:rPr>
          <w:sz w:val="20"/>
          <w:szCs w:val="20"/>
          <w:color w:val="auto"/>
        </w:rPr>
      </w:pPr>
      <w:r>
        <w:rPr>
          <w:rFonts w:ascii="Arial" w:cs="Arial" w:eastAsia="Arial" w:hAnsi="Arial"/>
          <w:sz w:val="17"/>
          <w:szCs w:val="17"/>
          <w:color w:val="auto"/>
        </w:rPr>
        <w:t>Prepaid expenses and other current assets Total Assets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Liabilities: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Earn-out liability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Assets: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Available for sale securities: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Short-term</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Long-term</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Foreign exchange forwards:</w:t>
      </w:r>
    </w:p>
    <w:p>
      <w:pPr>
        <w:spacing w:after="0" w:line="24" w:lineRule="exact"/>
        <w:rPr>
          <w:sz w:val="20"/>
          <w:szCs w:val="20"/>
          <w:color w:val="auto"/>
        </w:rPr>
      </w:pPr>
    </w:p>
    <w:p>
      <w:pPr>
        <w:ind w:left="40" w:right="1700" w:firstLine="194"/>
        <w:spacing w:after="0" w:line="346" w:lineRule="auto"/>
        <w:rPr>
          <w:sz w:val="20"/>
          <w:szCs w:val="20"/>
          <w:color w:val="auto"/>
        </w:rPr>
      </w:pPr>
      <w:r>
        <w:rPr>
          <w:rFonts w:ascii="Arial" w:cs="Arial" w:eastAsia="Arial" w:hAnsi="Arial"/>
          <w:sz w:val="17"/>
          <w:szCs w:val="17"/>
          <w:color w:val="auto"/>
        </w:rPr>
        <w:t>Prepaid expenses and other current assets Total Assets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color w:val="auto"/>
        </w:rPr>
        <w:t>Liabilities: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Earn-out liability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Liabilities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Fair value measurements at March 31,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left="164"/>
              <w:spacing w:after="0" w:line="134" w:lineRule="exact"/>
              <w:rPr>
                <w:sz w:val="20"/>
                <w:szCs w:val="20"/>
                <w:color w:val="auto"/>
              </w:rPr>
            </w:pPr>
            <w:r>
              <w:rPr>
                <w:rFonts w:ascii="Arial" w:cs="Arial" w:eastAsia="Arial" w:hAnsi="Arial"/>
                <w:sz w:val="14"/>
                <w:szCs w:val="14"/>
                <w:b w:val="1"/>
                <w:bCs w:val="1"/>
                <w:color w:val="auto"/>
                <w:w w:val="87"/>
              </w:rPr>
              <w:t>Quoted prices</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Significant</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89"/>
              </w:rPr>
              <w:t>in active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Total carrying</w:t>
            </w:r>
          </w:p>
        </w:tc>
        <w:tc>
          <w:tcPr>
            <w:tcW w:w="110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91"/>
              </w:rPr>
              <w:t>markets for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0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87"/>
              </w:rPr>
              <w:t>identical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1"/>
                <w:szCs w:val="11"/>
                <w:color w:val="auto"/>
              </w:rPr>
            </w:pPr>
          </w:p>
        </w:tc>
        <w:tc>
          <w:tcPr>
            <w:tcW w:w="1200" w:type="dxa"/>
            <w:vAlign w:val="bottom"/>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80"/>
        </w:trPr>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b w:val="1"/>
                <w:bCs w:val="1"/>
                <w:color w:val="auto"/>
                <w:w w:val="84"/>
              </w:rPr>
              <w:t>assets (level 1)</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7"/>
              </w:rPr>
              <w:t>inputs (level 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7"/>
              </w:rPr>
              <w:t>inputs (level 3)</w:t>
            </w:r>
          </w:p>
        </w:tc>
        <w:tc>
          <w:tcPr>
            <w:tcW w:w="0" w:type="dxa"/>
            <w:vAlign w:val="bottom"/>
          </w:tcPr>
          <w:p>
            <w:pPr>
              <w:spacing w:after="0"/>
              <w:rPr>
                <w:sz w:val="1"/>
                <w:szCs w:val="1"/>
                <w:color w:val="auto"/>
              </w:rPr>
            </w:pPr>
          </w:p>
        </w:tc>
      </w:tr>
      <w:tr>
        <w:trPr>
          <w:trHeight w:val="640"/>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11,693</w:t>
            </w:r>
          </w:p>
        </w:tc>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11,693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18,834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18,834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39"/>
        </w:trPr>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2,312</w:t>
            </w: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2,312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32,839</w:t>
            </w:r>
          </w:p>
        </w:tc>
        <w:tc>
          <w:tcPr>
            <w:tcW w:w="10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32,839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100" w:type="dxa"/>
            <w:vAlign w:val="bottom"/>
          </w:tcPr>
          <w:p>
            <w:pPr>
              <w:spacing w:after="0"/>
              <w:rPr>
                <w:sz w:val="24"/>
                <w:szCs w:val="2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0" w:type="dxa"/>
            <w:vAlign w:val="bottom"/>
          </w:tcPr>
          <w:p>
            <w:pPr>
              <w:spacing w:after="0"/>
              <w:rPr>
                <w:sz w:val="1"/>
                <w:szCs w:val="1"/>
                <w:color w:val="auto"/>
              </w:rPr>
            </w:pPr>
          </w:p>
        </w:tc>
      </w:tr>
      <w:tr>
        <w:trPr>
          <w:trHeight w:val="21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10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Fair value measurements at December 31, 2020</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164"/>
              <w:spacing w:after="0" w:line="128" w:lineRule="exact"/>
              <w:rPr>
                <w:sz w:val="20"/>
                <w:szCs w:val="20"/>
                <w:color w:val="auto"/>
              </w:rPr>
            </w:pPr>
            <w:r>
              <w:rPr>
                <w:rFonts w:ascii="Arial" w:cs="Arial" w:eastAsia="Arial" w:hAnsi="Arial"/>
                <w:sz w:val="14"/>
                <w:szCs w:val="14"/>
                <w:b w:val="1"/>
                <w:bCs w:val="1"/>
                <w:color w:val="auto"/>
                <w:w w:val="87"/>
              </w:rPr>
              <w:t>Quoted prices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89"/>
              </w:rPr>
              <w:t>in active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Total carrying</w:t>
            </w:r>
          </w:p>
        </w:tc>
        <w:tc>
          <w:tcPr>
            <w:tcW w:w="110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91"/>
              </w:rPr>
              <w:t>markets for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00" w:type="dxa"/>
            <w:vAlign w:val="bottom"/>
          </w:tcPr>
          <w:p>
            <w:pPr>
              <w:jc w:val="center"/>
              <w:ind w:left="164"/>
              <w:spacing w:after="0" w:line="129" w:lineRule="exact"/>
              <w:rPr>
                <w:sz w:val="20"/>
                <w:szCs w:val="20"/>
                <w:color w:val="auto"/>
              </w:rPr>
            </w:pPr>
            <w:r>
              <w:rPr>
                <w:rFonts w:ascii="Arial" w:cs="Arial" w:eastAsia="Arial" w:hAnsi="Arial"/>
                <w:sz w:val="14"/>
                <w:szCs w:val="14"/>
                <w:b w:val="1"/>
                <w:bCs w:val="1"/>
                <w:color w:val="auto"/>
                <w:w w:val="87"/>
              </w:rPr>
              <w:t>identical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1"/>
                <w:szCs w:val="11"/>
                <w:color w:val="auto"/>
              </w:rPr>
            </w:pPr>
          </w:p>
        </w:tc>
        <w:tc>
          <w:tcPr>
            <w:tcW w:w="1200" w:type="dxa"/>
            <w:vAlign w:val="bottom"/>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80"/>
        </w:trPr>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b w:val="1"/>
                <w:bCs w:val="1"/>
                <w:color w:val="auto"/>
                <w:w w:val="84"/>
              </w:rPr>
              <w:t>assets (level 1)</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7"/>
              </w:rPr>
              <w:t>inputs (level 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7"/>
              </w:rPr>
              <w:t>inputs (level 3)</w:t>
            </w:r>
          </w:p>
        </w:tc>
        <w:tc>
          <w:tcPr>
            <w:tcW w:w="0" w:type="dxa"/>
            <w:vAlign w:val="bottom"/>
          </w:tcPr>
          <w:p>
            <w:pPr>
              <w:spacing w:after="0"/>
              <w:rPr>
                <w:sz w:val="1"/>
                <w:szCs w:val="1"/>
                <w:color w:val="auto"/>
              </w:rPr>
            </w:pPr>
          </w:p>
        </w:tc>
      </w:tr>
      <w:tr>
        <w:trPr>
          <w:trHeight w:val="640"/>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14,687</w:t>
            </w:r>
          </w:p>
        </w:tc>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14,687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12,974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12,974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39"/>
        </w:trPr>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3,555</w:t>
            </w: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3,555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31,216</w:t>
            </w:r>
          </w:p>
        </w:tc>
        <w:tc>
          <w:tcPr>
            <w:tcW w:w="10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31,216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100" w:type="dxa"/>
            <w:vAlign w:val="bottom"/>
          </w:tcPr>
          <w:p>
            <w:pPr>
              <w:spacing w:after="0"/>
              <w:rPr>
                <w:sz w:val="24"/>
                <w:szCs w:val="2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26,300</w:t>
            </w:r>
          </w:p>
        </w:tc>
        <w:tc>
          <w:tcPr>
            <w:tcW w:w="0" w:type="dxa"/>
            <w:vAlign w:val="bottom"/>
          </w:tcPr>
          <w:p>
            <w:pPr>
              <w:spacing w:after="0"/>
              <w:rPr>
                <w:sz w:val="1"/>
                <w:szCs w:val="1"/>
                <w:color w:val="auto"/>
              </w:rPr>
            </w:pPr>
          </w:p>
        </w:tc>
      </w:tr>
      <w:tr>
        <w:trPr>
          <w:trHeight w:val="213"/>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26,300</w:t>
            </w:r>
          </w:p>
        </w:tc>
        <w:tc>
          <w:tcPr>
            <w:tcW w:w="10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26,300</w:t>
            </w:r>
          </w:p>
        </w:tc>
        <w:tc>
          <w:tcPr>
            <w:tcW w:w="0" w:type="dxa"/>
            <w:vAlign w:val="bottom"/>
          </w:tcPr>
          <w:p>
            <w:pPr>
              <w:spacing w:after="0"/>
              <w:rPr>
                <w:sz w:val="1"/>
                <w:szCs w:val="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-3789680</wp:posOffset>
            </wp:positionV>
            <wp:extent cx="7121525" cy="139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-3510915</wp:posOffset>
            </wp:positionV>
            <wp:extent cx="7121525" cy="139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-3232150</wp:posOffset>
            </wp:positionV>
            <wp:extent cx="7121525" cy="139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-2953385</wp:posOffset>
            </wp:positionV>
            <wp:extent cx="7121525" cy="163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16383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-2723515</wp:posOffset>
            </wp:positionV>
            <wp:extent cx="7121525" cy="139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-2444115</wp:posOffset>
            </wp:positionV>
            <wp:extent cx="7121525" cy="163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16383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-1623695</wp:posOffset>
            </wp:positionV>
            <wp:extent cx="7121525" cy="139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-1344930</wp:posOffset>
            </wp:positionV>
            <wp:extent cx="7121525" cy="139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-1066165</wp:posOffset>
            </wp:positionV>
            <wp:extent cx="7121525" cy="139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-786765</wp:posOffset>
            </wp:positionV>
            <wp:extent cx="7121525" cy="163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16383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-459105</wp:posOffset>
            </wp:positionV>
            <wp:extent cx="7121525" cy="139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-179705</wp:posOffset>
            </wp:positionV>
            <wp:extent cx="7121525" cy="163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7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Investment Securities</w:t>
      </w:r>
    </w:p>
    <w:p>
      <w:pPr>
        <w:spacing w:after="0" w:line="250" w:lineRule="exact"/>
        <w:rPr>
          <w:sz w:val="20"/>
          <w:szCs w:val="20"/>
          <w:color w:val="auto"/>
        </w:rPr>
      </w:pPr>
    </w:p>
    <w:p>
      <w:pPr>
        <w:ind w:firstLine="172"/>
        <w:spacing w:after="0" w:line="257" w:lineRule="auto"/>
        <w:rPr>
          <w:sz w:val="20"/>
          <w:szCs w:val="20"/>
          <w:color w:val="auto"/>
        </w:rPr>
      </w:pPr>
      <w:r>
        <w:rPr>
          <w:rFonts w:ascii="Arial" w:cs="Arial" w:eastAsia="Arial" w:hAnsi="Arial"/>
          <w:sz w:val="17"/>
          <w:szCs w:val="17"/>
          <w:color w:val="auto"/>
        </w:rPr>
        <w:t>Our investment securities currently consist of short-term and long-term corporate bonds. Our investment securities are considered available-for-sale and are “investment grade” and carried at fair value. Available-for-sale securities are recorded at fair value, and unrealized holding gains and losses are recorded, net of tax, as a component of accumulated other comprehensive income.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The amortized cost of the debt securities are adjusted for the amortization of premiums computed under the effective interest method. Such amortization is included in investment income in other income (expense), net on our condensed consolidated statements of operations. There have been no realized gains or losses on their disposal. Realized gains and losses are accounted for on the specific identification method. The scheduled maturities of the debt securities are between 2021 and 2024. All short-term investment securities are callable within one year.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short investment securities consisted of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89"/>
              </w:rPr>
              <w:t>As of March 31, 2021</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Amortized Cost</w:t>
            </w:r>
          </w:p>
        </w:tc>
        <w:tc>
          <w:tcPr>
            <w:tcW w:w="2040" w:type="dxa"/>
            <w:vAlign w:val="bottom"/>
            <w:gridSpan w:val="4"/>
          </w:tcPr>
          <w:p>
            <w:pPr>
              <w:jc w:val="center"/>
              <w:ind w:right="120"/>
              <w:spacing w:after="0" w:line="151" w:lineRule="exact"/>
              <w:rPr>
                <w:sz w:val="20"/>
                <w:szCs w:val="20"/>
                <w:color w:val="auto"/>
              </w:rPr>
            </w:pPr>
            <w:r>
              <w:rPr>
                <w:rFonts w:ascii="Arial" w:cs="Arial" w:eastAsia="Arial" w:hAnsi="Arial"/>
                <w:sz w:val="16"/>
                <w:szCs w:val="16"/>
                <w:b w:val="1"/>
                <w:bCs w:val="1"/>
                <w:color w:val="auto"/>
                <w:w w:val="88"/>
              </w:rPr>
              <w:t>Unrealized Holding Gains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vMerge w:val="restart"/>
          </w:tcPr>
          <w:p>
            <w:pPr>
              <w:jc w:val="right"/>
              <w:ind w:right="535"/>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4"/>
        </w:trPr>
        <w:tc>
          <w:tcPr>
            <w:tcW w:w="5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6"/>
                <w:szCs w:val="16"/>
                <w:b w:val="1"/>
                <w:bCs w:val="1"/>
                <w:color w:val="auto"/>
                <w:w w:val="82"/>
              </w:rPr>
              <w:t>(Losses)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corporate bonds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11,693</w:t>
            </w:r>
          </w:p>
        </w:tc>
        <w:tc>
          <w:tcPr>
            <w:tcW w:w="0" w:type="dxa"/>
            <w:vAlign w:val="bottom"/>
          </w:tcPr>
          <w:p>
            <w:pPr>
              <w:spacing w:after="0"/>
              <w:rPr>
                <w:sz w:val="1"/>
                <w:szCs w:val="1"/>
                <w:color w:val="auto"/>
              </w:rPr>
            </w:pPr>
          </w:p>
        </w:tc>
      </w:tr>
      <w:tr>
        <w:trPr>
          <w:trHeight w:val="22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corporate bonds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18,834</w:t>
            </w: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investment securities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30,527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85"/>
              </w:rPr>
              <w:t>As of December 31, 2020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Amortized Cost</w:t>
            </w:r>
          </w:p>
        </w:tc>
        <w:tc>
          <w:tcPr>
            <w:tcW w:w="2040" w:type="dxa"/>
            <w:vAlign w:val="bottom"/>
            <w:gridSpan w:val="4"/>
          </w:tcPr>
          <w:p>
            <w:pPr>
              <w:jc w:val="center"/>
              <w:ind w:right="120"/>
              <w:spacing w:after="0" w:line="151" w:lineRule="exact"/>
              <w:rPr>
                <w:sz w:val="20"/>
                <w:szCs w:val="20"/>
                <w:color w:val="auto"/>
              </w:rPr>
            </w:pPr>
            <w:r>
              <w:rPr>
                <w:rFonts w:ascii="Arial" w:cs="Arial" w:eastAsia="Arial" w:hAnsi="Arial"/>
                <w:sz w:val="16"/>
                <w:szCs w:val="16"/>
                <w:b w:val="1"/>
                <w:bCs w:val="1"/>
                <w:color w:val="auto"/>
                <w:w w:val="88"/>
              </w:rPr>
              <w:t>Unrealized Holding Gains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vMerge w:val="restart"/>
          </w:tcPr>
          <w:p>
            <w:pPr>
              <w:jc w:val="right"/>
              <w:ind w:right="535"/>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4"/>
        </w:trPr>
        <w:tc>
          <w:tcPr>
            <w:tcW w:w="5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6"/>
                <w:szCs w:val="16"/>
                <w:b w:val="1"/>
                <w:bCs w:val="1"/>
                <w:color w:val="auto"/>
                <w:w w:val="82"/>
              </w:rPr>
              <w:t>(Losses)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corporate bonds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14,687</w:t>
            </w:r>
          </w:p>
        </w:tc>
        <w:tc>
          <w:tcPr>
            <w:tcW w:w="0" w:type="dxa"/>
            <w:vAlign w:val="bottom"/>
          </w:tcPr>
          <w:p>
            <w:pPr>
              <w:spacing w:after="0"/>
              <w:rPr>
                <w:sz w:val="1"/>
                <w:szCs w:val="1"/>
                <w:color w:val="auto"/>
              </w:rPr>
            </w:pPr>
          </w:p>
        </w:tc>
      </w:tr>
      <w:tr>
        <w:trPr>
          <w:trHeight w:val="22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corporate bonds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12,974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12,974</w:t>
            </w:r>
          </w:p>
        </w:tc>
        <w:tc>
          <w:tcPr>
            <w:tcW w:w="0" w:type="dxa"/>
            <w:vAlign w:val="bottom"/>
          </w:tcPr>
          <w:p>
            <w:pPr>
              <w:spacing w:after="0"/>
              <w:rPr>
                <w:sz w:val="1"/>
                <w:szCs w:val="1"/>
                <w:color w:val="auto"/>
              </w:rPr>
            </w:pPr>
          </w:p>
        </w:tc>
      </w:tr>
      <w:tr>
        <w:trPr>
          <w:trHeight w:val="233"/>
        </w:trPr>
        <w:tc>
          <w:tcPr>
            <w:tcW w:w="5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investment securities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27,661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27,661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Note 10:   Prepaid Expenses and Other Current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5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20" w:type="dxa"/>
            <w:vAlign w:val="bottom"/>
            <w:gridSpan w:val="4"/>
          </w:tcPr>
          <w:p>
            <w:pPr>
              <w:ind w:left="620"/>
              <w:spacing w:after="0"/>
              <w:rPr>
                <w:sz w:val="20"/>
                <w:szCs w:val="20"/>
                <w:color w:val="auto"/>
              </w:rPr>
            </w:pPr>
            <w:r>
              <w:rPr>
                <w:rFonts w:ascii="Arial" w:cs="Arial" w:eastAsia="Arial" w:hAnsi="Arial"/>
                <w:sz w:val="17"/>
                <w:szCs w:val="17"/>
                <w:color w:val="auto"/>
              </w:rPr>
              <w:t>Prepaid expenses and other current assets consist of the following (in thousands):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March 31, 2021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prepaid expenses and receivables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16,084</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14,964</w:t>
            </w:r>
          </w:p>
        </w:tc>
        <w:tc>
          <w:tcPr>
            <w:tcW w:w="0" w:type="dxa"/>
            <w:vAlign w:val="bottom"/>
          </w:tcPr>
          <w:p>
            <w:pPr>
              <w:spacing w:after="0"/>
              <w:rPr>
                <w:sz w:val="1"/>
                <w:szCs w:val="1"/>
                <w:color w:val="auto"/>
              </w:rPr>
            </w:pPr>
          </w:p>
        </w:tc>
      </w:tr>
      <w:tr>
        <w:trPr>
          <w:trHeight w:val="220"/>
        </w:trPr>
        <w:tc>
          <w:tcPr>
            <w:tcW w:w="5160" w:type="dxa"/>
            <w:vAlign w:val="bottom"/>
          </w:tcPr>
          <w:p>
            <w:pPr>
              <w:ind w:left="20"/>
              <w:spacing w:after="0"/>
              <w:rPr>
                <w:sz w:val="20"/>
                <w:szCs w:val="20"/>
                <w:color w:val="auto"/>
              </w:rPr>
            </w:pPr>
            <w:r>
              <w:rPr>
                <w:rFonts w:ascii="Arial" w:cs="Arial" w:eastAsia="Arial" w:hAnsi="Arial"/>
                <w:sz w:val="17"/>
                <w:szCs w:val="17"/>
                <w:color w:val="auto"/>
              </w:rPr>
              <w:t>Deferred costs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6,554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6,402</w:t>
            </w: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 and property taxes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w:t>
            </w:r>
          </w:p>
        </w:tc>
        <w:tc>
          <w:tcPr>
            <w:tcW w:w="0" w:type="dxa"/>
            <w:vAlign w:val="bottom"/>
          </w:tcPr>
          <w:p>
            <w:pPr>
              <w:spacing w:after="0"/>
              <w:rPr>
                <w:sz w:val="1"/>
                <w:szCs w:val="1"/>
                <w:color w:val="auto"/>
              </w:rPr>
            </w:pPr>
          </w:p>
        </w:tc>
      </w:tr>
      <w:tr>
        <w:trPr>
          <w:trHeight w:val="220"/>
        </w:trPr>
        <w:tc>
          <w:tcPr>
            <w:tcW w:w="5160" w:type="dxa"/>
            <w:vAlign w:val="bottom"/>
          </w:tcPr>
          <w:p>
            <w:pPr>
              <w:ind w:left="20"/>
              <w:spacing w:after="0"/>
              <w:rPr>
                <w:sz w:val="20"/>
                <w:szCs w:val="20"/>
                <w:color w:val="auto"/>
              </w:rPr>
            </w:pPr>
            <w:r>
              <w:rPr>
                <w:rFonts w:ascii="Arial" w:cs="Arial" w:eastAsia="Arial" w:hAnsi="Arial"/>
                <w:sz w:val="17"/>
                <w:szCs w:val="17"/>
                <w:color w:val="auto"/>
              </w:rPr>
              <w:t>VAT/GST receivable</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3,674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3,676</w:t>
            </w: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charge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3,542</w:t>
            </w:r>
          </w:p>
        </w:tc>
        <w:tc>
          <w:tcPr>
            <w:tcW w:w="0" w:type="dxa"/>
            <w:vAlign w:val="bottom"/>
          </w:tcPr>
          <w:p>
            <w:pPr>
              <w:spacing w:after="0"/>
              <w:rPr>
                <w:sz w:val="1"/>
                <w:szCs w:val="1"/>
                <w:color w:val="auto"/>
              </w:rPr>
            </w:pPr>
          </w:p>
        </w:tc>
      </w:tr>
      <w:tr>
        <w:trPr>
          <w:trHeight w:val="220"/>
        </w:trPr>
        <w:tc>
          <w:tcPr>
            <w:tcW w:w="5160" w:type="dxa"/>
            <w:vAlign w:val="bottom"/>
          </w:tcPr>
          <w:p>
            <w:pPr>
              <w:ind w:left="20"/>
              <w:spacing w:after="0"/>
              <w:rPr>
                <w:sz w:val="20"/>
                <w:szCs w:val="20"/>
                <w:color w:val="auto"/>
              </w:rPr>
            </w:pPr>
            <w:r>
              <w:rPr>
                <w:rFonts w:ascii="Arial" w:cs="Arial" w:eastAsia="Arial" w:hAnsi="Arial"/>
                <w:sz w:val="17"/>
                <w:szCs w:val="17"/>
                <w:color w:val="auto"/>
              </w:rPr>
              <w:t>Foreign exchange forward contract</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2,312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3,555</w:t>
            </w: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Deposits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w:t>
            </w:r>
          </w:p>
        </w:tc>
        <w:tc>
          <w:tcPr>
            <w:tcW w:w="0" w:type="dxa"/>
            <w:vAlign w:val="bottom"/>
          </w:tcPr>
          <w:p>
            <w:pPr>
              <w:spacing w:after="0"/>
              <w:rPr>
                <w:sz w:val="1"/>
                <w:szCs w:val="1"/>
                <w:color w:val="auto"/>
              </w:rPr>
            </w:pPr>
          </w:p>
        </w:tc>
      </w:tr>
      <w:tr>
        <w:trPr>
          <w:trHeight w:val="22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1,847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1,822</w:t>
            </w:r>
          </w:p>
        </w:tc>
        <w:tc>
          <w:tcPr>
            <w:tcW w:w="0" w:type="dxa"/>
            <w:vAlign w:val="bottom"/>
          </w:tcPr>
          <w:p>
            <w:pPr>
              <w:spacing w:after="0"/>
              <w:rPr>
                <w:sz w:val="1"/>
                <w:szCs w:val="1"/>
                <w:color w:val="auto"/>
              </w:rPr>
            </w:pPr>
          </w:p>
        </w:tc>
      </w:tr>
      <w:tr>
        <w:trPr>
          <w:trHeight w:val="233"/>
        </w:trPr>
        <w:tc>
          <w:tcPr>
            <w:tcW w:w="5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40,309</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41,492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Inventories</w:t>
      </w:r>
    </w:p>
    <w:p>
      <w:pPr>
        <w:spacing w:after="0" w:line="224" w:lineRule="exact"/>
        <w:rPr>
          <w:sz w:val="20"/>
          <w:szCs w:val="20"/>
          <w:color w:val="auto"/>
        </w:rPr>
      </w:pPr>
    </w:p>
    <w:p>
      <w:pPr>
        <w:ind w:right="60" w:firstLine="172"/>
        <w:spacing w:after="0" w:line="353" w:lineRule="auto"/>
        <w:rPr>
          <w:sz w:val="20"/>
          <w:szCs w:val="20"/>
          <w:color w:val="auto"/>
        </w:rPr>
      </w:pPr>
      <w:r>
        <w:rPr>
          <w:rFonts w:ascii="Arial" w:cs="Arial" w:eastAsia="Arial" w:hAnsi="Arial"/>
          <w:sz w:val="15"/>
          <w:szCs w:val="15"/>
          <w:color w:val="auto"/>
        </w:rPr>
        <w:t>Inventories are stated at the lower of cost or net realizable value with cost determined using the first-in, first-out method. Inventory costs consist of those costs directly attributable to products prior to sale including among other things raw material, labor and overhead. Inventories consisted of the following (in thousands):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March 31, 2021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122,703</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126,499</w:t>
            </w:r>
          </w:p>
        </w:tc>
        <w:tc>
          <w:tcPr>
            <w:tcW w:w="0" w:type="dxa"/>
            <w:vAlign w:val="bottom"/>
          </w:tcPr>
          <w:p>
            <w:pPr>
              <w:spacing w:after="0"/>
              <w:rPr>
                <w:sz w:val="1"/>
                <w:szCs w:val="1"/>
                <w:color w:val="auto"/>
              </w:rPr>
            </w:pPr>
          </w:p>
        </w:tc>
      </w:tr>
      <w:tr>
        <w:trPr>
          <w:trHeight w:val="220"/>
        </w:trPr>
        <w:tc>
          <w:tcPr>
            <w:tcW w:w="734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39,713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33,053</w:t>
            </w:r>
          </w:p>
        </w:tc>
        <w:tc>
          <w:tcPr>
            <w:tcW w:w="0" w:type="dxa"/>
            <w:vAlign w:val="bottom"/>
          </w:tcPr>
          <w:p>
            <w:pPr>
              <w:spacing w:after="0"/>
              <w:rPr>
                <w:sz w:val="1"/>
                <w:szCs w:val="1"/>
                <w:color w:val="auto"/>
              </w:rPr>
            </w:pP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137,670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155,376</w:t>
            </w:r>
          </w:p>
        </w:tc>
        <w:tc>
          <w:tcPr>
            <w:tcW w:w="0" w:type="dxa"/>
            <w:vAlign w:val="bottom"/>
          </w:tcPr>
          <w:p>
            <w:pPr>
              <w:spacing w:after="0"/>
              <w:rPr>
                <w:sz w:val="1"/>
                <w:szCs w:val="1"/>
                <w:color w:val="auto"/>
              </w:rPr>
            </w:pPr>
          </w:p>
        </w:tc>
      </w:tr>
      <w:tr>
        <w:trPr>
          <w:trHeight w:val="213"/>
        </w:trPr>
        <w:tc>
          <w:tcPr>
            <w:tcW w:w="7340" w:type="dxa"/>
            <w:vAlign w:val="bottom"/>
          </w:tcPr>
          <w:p>
            <w:pPr>
              <w:ind w:left="140"/>
              <w:spacing w:after="0"/>
              <w:rPr>
                <w:sz w:val="20"/>
                <w:szCs w:val="20"/>
                <w:color w:val="auto"/>
              </w:rPr>
            </w:pPr>
            <w:r>
              <w:rPr>
                <w:rFonts w:ascii="Arial" w:cs="Arial" w:eastAsia="Arial" w:hAnsi="Arial"/>
                <w:sz w:val="17"/>
                <w:szCs w:val="17"/>
                <w:color w:val="auto"/>
              </w:rPr>
              <w:t>Total inventories</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300,086</w:t>
            </w:r>
          </w:p>
        </w:tc>
        <w:tc>
          <w:tcPr>
            <w:tcW w:w="2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314,928</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7"/>
                <w:szCs w:val="17"/>
                <w:b w:val="1"/>
                <w:bCs w:val="1"/>
                <w:color w:val="auto"/>
              </w:rPr>
              <w:t>Note 12:   Property and Equipment</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7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340" w:type="dxa"/>
            <w:vAlign w:val="bottom"/>
          </w:tcPr>
          <w:p>
            <w:pPr>
              <w:ind w:left="620"/>
              <w:spacing w:after="0"/>
              <w:rPr>
                <w:sz w:val="20"/>
                <w:szCs w:val="20"/>
                <w:color w:val="auto"/>
              </w:rPr>
            </w:pPr>
            <w:r>
              <w:rPr>
                <w:rFonts w:ascii="Arial" w:cs="Arial" w:eastAsia="Arial" w:hAnsi="Arial"/>
                <w:sz w:val="17"/>
                <w:szCs w:val="17"/>
                <w:color w:val="auto"/>
              </w:rPr>
              <w:t>Property and equipment consisted of the following (in thousands):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3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w w:val="96"/>
              </w:rPr>
              <w:t>March 31, 2021</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293,653</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291,331</w:t>
            </w:r>
          </w:p>
        </w:tc>
        <w:tc>
          <w:tcPr>
            <w:tcW w:w="0" w:type="dxa"/>
            <w:vAlign w:val="bottom"/>
          </w:tcPr>
          <w:p>
            <w:pPr>
              <w:spacing w:after="0"/>
              <w:rPr>
                <w:sz w:val="1"/>
                <w:szCs w:val="1"/>
                <w:color w:val="auto"/>
              </w:rPr>
            </w:pPr>
          </w:p>
        </w:tc>
      </w:tr>
      <w:tr>
        <w:trPr>
          <w:trHeight w:val="220"/>
        </w:trPr>
        <w:tc>
          <w:tcPr>
            <w:tcW w:w="7340" w:type="dxa"/>
            <w:vAlign w:val="bottom"/>
          </w:tcPr>
          <w:p>
            <w:pPr>
              <w:ind w:left="20"/>
              <w:spacing w:after="0"/>
              <w:rPr>
                <w:sz w:val="20"/>
                <w:szCs w:val="20"/>
                <w:color w:val="auto"/>
              </w:rPr>
            </w:pPr>
            <w:r>
              <w:rPr>
                <w:rFonts w:ascii="Arial" w:cs="Arial" w:eastAsia="Arial" w:hAnsi="Arial"/>
                <w:sz w:val="17"/>
                <w:szCs w:val="17"/>
                <w:color w:val="auto"/>
              </w:rPr>
              <w:t>Land, building and building improvements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241,608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241,199</w:t>
            </w:r>
          </w:p>
        </w:tc>
        <w:tc>
          <w:tcPr>
            <w:tcW w:w="0" w:type="dxa"/>
            <w:vAlign w:val="bottom"/>
          </w:tcPr>
          <w:p>
            <w:pPr>
              <w:spacing w:after="0"/>
              <w:rPr>
                <w:sz w:val="1"/>
                <w:szCs w:val="1"/>
                <w:color w:val="auto"/>
              </w:rPr>
            </w:pP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Molds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60,381</w:t>
            </w:r>
          </w:p>
        </w:tc>
        <w:tc>
          <w:tcPr>
            <w:tcW w:w="0" w:type="dxa"/>
            <w:vAlign w:val="bottom"/>
          </w:tcPr>
          <w:p>
            <w:pPr>
              <w:spacing w:after="0"/>
              <w:rPr>
                <w:sz w:val="1"/>
                <w:szCs w:val="1"/>
                <w:color w:val="auto"/>
              </w:rPr>
            </w:pPr>
          </w:p>
        </w:tc>
      </w:tr>
      <w:tr>
        <w:trPr>
          <w:trHeight w:val="220"/>
        </w:trPr>
        <w:tc>
          <w:tcPr>
            <w:tcW w:w="7340" w:type="dxa"/>
            <w:vAlign w:val="bottom"/>
          </w:tcPr>
          <w:p>
            <w:pPr>
              <w:ind w:left="20"/>
              <w:spacing w:after="0"/>
              <w:rPr>
                <w:sz w:val="20"/>
                <w:szCs w:val="20"/>
                <w:color w:val="auto"/>
              </w:rPr>
            </w:pPr>
            <w:r>
              <w:rPr>
                <w:rFonts w:ascii="Arial" w:cs="Arial" w:eastAsia="Arial" w:hAnsi="Arial"/>
                <w:sz w:val="17"/>
                <w:szCs w:val="17"/>
                <w:color w:val="auto"/>
              </w:rPr>
              <w:t>Computer equipment and software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98,780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98,311</w:t>
            </w:r>
          </w:p>
        </w:tc>
        <w:tc>
          <w:tcPr>
            <w:tcW w:w="0" w:type="dxa"/>
            <w:vAlign w:val="bottom"/>
          </w:tcPr>
          <w:p>
            <w:pPr>
              <w:spacing w:after="0"/>
              <w:rPr>
                <w:sz w:val="1"/>
                <w:szCs w:val="1"/>
                <w:color w:val="auto"/>
              </w:rPr>
            </w:pP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7,767</w:t>
            </w:r>
          </w:p>
        </w:tc>
        <w:tc>
          <w:tcPr>
            <w:tcW w:w="0" w:type="dxa"/>
            <w:vAlign w:val="bottom"/>
          </w:tcPr>
          <w:p>
            <w:pPr>
              <w:spacing w:after="0"/>
              <w:rPr>
                <w:sz w:val="1"/>
                <w:szCs w:val="1"/>
                <w:color w:val="auto"/>
              </w:rPr>
            </w:pPr>
          </w:p>
        </w:tc>
      </w:tr>
      <w:tr>
        <w:trPr>
          <w:trHeight w:val="220"/>
        </w:trPr>
        <w:tc>
          <w:tcPr>
            <w:tcW w:w="7340" w:type="dxa"/>
            <w:vAlign w:val="bottom"/>
          </w:tcPr>
          <w:p>
            <w:pPr>
              <w:ind w:left="20"/>
              <w:spacing w:after="0" w:line="220" w:lineRule="exact"/>
              <w:rPr>
                <w:sz w:val="20"/>
                <w:szCs w:val="20"/>
                <w:color w:val="auto"/>
              </w:rPr>
            </w:pPr>
            <w:r>
              <w:rPr>
                <w:rFonts w:ascii="Arial" w:cs="Arial" w:eastAsia="Arial" w:hAnsi="Arial"/>
                <w:sz w:val="17"/>
                <w:szCs w:val="17"/>
                <w:color w:val="auto"/>
              </w:rPr>
              <w:t>Instruments placed with customers</w:t>
            </w:r>
            <w:r>
              <w:rPr>
                <w:rFonts w:ascii="Arial" w:cs="Arial" w:eastAsia="Arial" w:hAnsi="Arial"/>
                <w:sz w:val="22"/>
                <w:szCs w:val="22"/>
                <w:color w:val="auto"/>
                <w:vertAlign w:val="superscript"/>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91,909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90,383</w:t>
            </w:r>
          </w:p>
        </w:tc>
        <w:tc>
          <w:tcPr>
            <w:tcW w:w="0" w:type="dxa"/>
            <w:vAlign w:val="bottom"/>
          </w:tcPr>
          <w:p>
            <w:pPr>
              <w:spacing w:after="0"/>
              <w:rPr>
                <w:sz w:val="1"/>
                <w:szCs w:val="1"/>
                <w:color w:val="auto"/>
              </w:rPr>
            </w:pP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53,724</w:t>
            </w:r>
          </w:p>
        </w:tc>
        <w:tc>
          <w:tcPr>
            <w:tcW w:w="0" w:type="dxa"/>
            <w:vAlign w:val="bottom"/>
          </w:tcPr>
          <w:p>
            <w:pPr>
              <w:spacing w:after="0"/>
              <w:rPr>
                <w:sz w:val="1"/>
                <w:szCs w:val="1"/>
                <w:color w:val="auto"/>
              </w:rPr>
            </w:pPr>
          </w:p>
        </w:tc>
      </w:tr>
      <w:tr>
        <w:trPr>
          <w:trHeight w:val="213"/>
        </w:trPr>
        <w:tc>
          <w:tcPr>
            <w:tcW w:w="7340" w:type="dxa"/>
            <w:vAlign w:val="bottom"/>
          </w:tcPr>
          <w:p>
            <w:pPr>
              <w:ind w:left="140"/>
              <w:spacing w:after="0"/>
              <w:rPr>
                <w:sz w:val="20"/>
                <w:szCs w:val="20"/>
                <w:color w:val="auto"/>
              </w:rPr>
            </w:pPr>
            <w:r>
              <w:rPr>
                <w:rFonts w:ascii="Arial" w:cs="Arial" w:eastAsia="Arial" w:hAnsi="Arial"/>
                <w:sz w:val="17"/>
                <w:szCs w:val="17"/>
                <w:color w:val="auto"/>
              </w:rPr>
              <w:t>Total property and equipment, cost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849,800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843,096</w:t>
            </w:r>
          </w:p>
        </w:tc>
        <w:tc>
          <w:tcPr>
            <w:tcW w:w="0" w:type="dxa"/>
            <w:vAlign w:val="bottom"/>
          </w:tcPr>
          <w:p>
            <w:pPr>
              <w:spacing w:after="0"/>
              <w:rPr>
                <w:sz w:val="1"/>
                <w:szCs w:val="1"/>
                <w:color w:val="auto"/>
              </w:rPr>
            </w:pP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(390,728)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(376,468)</w:t>
            </w: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459,072</w:t>
            </w:r>
          </w:p>
        </w:tc>
        <w:tc>
          <w:tcPr>
            <w:tcW w:w="80" w:type="dxa"/>
            <w:vAlign w:val="bottom"/>
          </w:tcPr>
          <w:p>
            <w:pPr>
              <w:spacing w:after="0"/>
              <w:rPr>
                <w:sz w:val="18"/>
                <w:szCs w:val="18"/>
                <w:color w:val="auto"/>
              </w:rPr>
            </w:pPr>
          </w:p>
        </w:tc>
        <w:tc>
          <w:tcPr>
            <w:tcW w:w="2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466,628</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89" w:lineRule="exact"/>
        <w:rPr>
          <w:sz w:val="20"/>
          <w:szCs w:val="20"/>
          <w:color w:val="auto"/>
        </w:rPr>
      </w:pPr>
    </w:p>
    <w:p>
      <w:pPr>
        <w:ind w:left="160" w:hanging="157"/>
        <w:spacing w:after="0"/>
        <w:tabs>
          <w:tab w:leader="none" w:pos="16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Instruments placed with customers consist of drug-delivery and monitoring systems placed with customers under operating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Arial" w:cs="Arial" w:eastAsia="Arial" w:hAnsi="Arial"/>
                <w:sz w:val="17"/>
                <w:szCs w:val="17"/>
                <w:color w:val="auto"/>
                <w:w w:val="93"/>
              </w:rPr>
              <w:t>Depreciation expense was $16.3 million and $15.2 million for the three months ended March 31, 2021 and 2020, respectively.</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3"/>
        </w:trPr>
        <w:tc>
          <w:tcPr>
            <w:tcW w:w="9000" w:type="dxa"/>
            <w:vAlign w:val="bottom"/>
            <w:gridSpan w:val="2"/>
          </w:tcPr>
          <w:p>
            <w:pPr>
              <w:spacing w:after="0"/>
              <w:rPr>
                <w:sz w:val="20"/>
                <w:szCs w:val="20"/>
                <w:color w:val="auto"/>
              </w:rPr>
            </w:pPr>
            <w:r>
              <w:rPr>
                <w:rFonts w:ascii="Arial" w:cs="Arial" w:eastAsia="Arial" w:hAnsi="Arial"/>
                <w:sz w:val="17"/>
                <w:szCs w:val="17"/>
                <w:b w:val="1"/>
                <w:bCs w:val="1"/>
                <w:color w:val="auto"/>
              </w:rPr>
              <w:t>Note 13: Goodwill and Intangible Assets, Net</w:t>
            </w: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9"/>
        </w:trPr>
        <w:tc>
          <w:tcPr>
            <w:tcW w:w="9000" w:type="dxa"/>
            <w:vAlign w:val="bottom"/>
            <w:gridSpan w:val="2"/>
          </w:tcPr>
          <w:p>
            <w:pPr>
              <w:spacing w:after="0"/>
              <w:rPr>
                <w:sz w:val="20"/>
                <w:szCs w:val="20"/>
                <w:color w:val="auto"/>
              </w:rPr>
            </w:pPr>
            <w:r>
              <w:rPr>
                <w:rFonts w:ascii="Arial" w:cs="Arial" w:eastAsia="Arial" w:hAnsi="Arial"/>
                <w:sz w:val="17"/>
                <w:szCs w:val="17"/>
                <w:i w:val="1"/>
                <w:iCs w:val="1"/>
                <w:color w:val="auto"/>
              </w:rPr>
              <w:t>Goodwill</w:t>
            </w: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8980" w:type="dxa"/>
            <w:vAlign w:val="bottom"/>
          </w:tcPr>
          <w:p>
            <w:pPr>
              <w:ind w:left="160"/>
              <w:spacing w:after="0"/>
              <w:rPr>
                <w:sz w:val="20"/>
                <w:szCs w:val="20"/>
                <w:color w:val="auto"/>
              </w:rPr>
            </w:pPr>
            <w:r>
              <w:rPr>
                <w:rFonts w:ascii="Arial" w:cs="Arial" w:eastAsia="Arial" w:hAnsi="Arial"/>
                <w:sz w:val="17"/>
                <w:szCs w:val="17"/>
                <w:color w:val="auto"/>
              </w:rPr>
              <w:t>The following table presents the changes in the carrying amount of our goodwill (in thousands):</w:t>
            </w: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6"/>
        </w:trPr>
        <w:tc>
          <w:tcPr>
            <w:tcW w:w="20" w:type="dxa"/>
            <w:vAlign w:val="bottom"/>
          </w:tcPr>
          <w:p>
            <w:pPr>
              <w:spacing w:after="0"/>
              <w:rPr>
                <w:sz w:val="24"/>
                <w:szCs w:val="24"/>
                <w:color w:val="auto"/>
              </w:rPr>
            </w:pPr>
          </w:p>
        </w:tc>
        <w:tc>
          <w:tcPr>
            <w:tcW w:w="89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b w:val="1"/>
                <w:bCs w:val="1"/>
                <w:color w:val="auto"/>
              </w:rPr>
              <w:t>Total</w:t>
            </w:r>
          </w:p>
        </w:tc>
      </w:tr>
      <w:tr>
        <w:trPr>
          <w:trHeight w:val="213"/>
        </w:trPr>
        <w:tc>
          <w:tcPr>
            <w:tcW w:w="20" w:type="dxa"/>
            <w:vAlign w:val="bottom"/>
          </w:tcPr>
          <w:p>
            <w:pPr>
              <w:spacing w:after="0"/>
              <w:rPr>
                <w:sz w:val="18"/>
                <w:szCs w:val="18"/>
                <w:color w:val="auto"/>
              </w:rPr>
            </w:pPr>
          </w:p>
        </w:tc>
        <w:tc>
          <w:tcPr>
            <w:tcW w:w="8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 2021</w:t>
            </w: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33,001</w:t>
            </w:r>
          </w:p>
        </w:tc>
      </w:tr>
      <w:tr>
        <w:trPr>
          <w:trHeight w:val="220"/>
        </w:trPr>
        <w:tc>
          <w:tcPr>
            <w:tcW w:w="20" w:type="dxa"/>
            <w:vAlign w:val="bottom"/>
          </w:tcPr>
          <w:p>
            <w:pPr>
              <w:spacing w:after="0"/>
              <w:rPr>
                <w:sz w:val="19"/>
                <w:szCs w:val="19"/>
                <w:color w:val="auto"/>
              </w:rPr>
            </w:pPr>
          </w:p>
        </w:tc>
        <w:tc>
          <w:tcPr>
            <w:tcW w:w="89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Currency translation</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r>
      <w:tr>
        <w:trPr>
          <w:trHeight w:val="238"/>
        </w:trPr>
        <w:tc>
          <w:tcPr>
            <w:tcW w:w="20" w:type="dxa"/>
            <w:vAlign w:val="bottom"/>
          </w:tcPr>
          <w:p>
            <w:pPr>
              <w:spacing w:after="0"/>
              <w:rPr>
                <w:sz w:val="20"/>
                <w:szCs w:val="20"/>
                <w:color w:val="auto"/>
              </w:rPr>
            </w:pP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March 31, 2021</w:t>
            </w: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32,952</w:t>
            </w:r>
          </w:p>
        </w:tc>
      </w:tr>
      <w:tr>
        <w:trPr>
          <w:trHeight w:val="20"/>
        </w:trPr>
        <w:tc>
          <w:tcPr>
            <w:tcW w:w="20" w:type="dxa"/>
            <w:vAlign w:val="bottom"/>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 Net</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March 31, 2021</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Average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48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6"/>
                <w:szCs w:val="16"/>
                <w:b w:val="1"/>
                <w:bCs w:val="1"/>
                <w:color w:val="auto"/>
                <w:w w:val="89"/>
              </w:rPr>
              <w:t>Amortization</w:t>
            </w:r>
          </w:p>
        </w:tc>
        <w:tc>
          <w:tcPr>
            <w:tcW w:w="3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3" w:lineRule="exact"/>
              <w:rPr>
                <w:sz w:val="20"/>
                <w:szCs w:val="20"/>
                <w:color w:val="auto"/>
              </w:rPr>
            </w:pPr>
            <w:r>
              <w:rPr>
                <w:rFonts w:ascii="Arial" w:cs="Arial" w:eastAsia="Arial" w:hAnsi="Arial"/>
                <w:sz w:val="16"/>
                <w:szCs w:val="16"/>
                <w:b w:val="1"/>
                <w:bCs w:val="1"/>
                <w:color w:val="auto"/>
                <w:w w:val="87"/>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8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4"/>
        </w:trPr>
        <w:tc>
          <w:tcPr>
            <w:tcW w:w="548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Life in Years</w:t>
            </w:r>
          </w:p>
        </w:tc>
        <w:tc>
          <w:tcPr>
            <w:tcW w:w="3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Amortization</w:t>
            </w:r>
          </w:p>
        </w:tc>
        <w:tc>
          <w:tcPr>
            <w:tcW w:w="3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25,423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9,957</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Customer contracts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4,381</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Non-contractual customer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29,515</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14,460</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152,893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112,831</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Non-compete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197"/>
        </w:trPr>
        <w:tc>
          <w:tcPr>
            <w:tcW w:w="5480" w:type="dxa"/>
            <w:vAlign w:val="bottom"/>
          </w:tcPr>
          <w:p>
            <w:pPr>
              <w:ind w:left="140"/>
              <w:spacing w:after="0"/>
              <w:rPr>
                <w:sz w:val="20"/>
                <w:szCs w:val="20"/>
                <w:color w:val="auto"/>
              </w:rPr>
            </w:pPr>
            <w:r>
              <w:rPr>
                <w:rFonts w:ascii="Arial" w:cs="Arial" w:eastAsia="Arial" w:hAnsi="Arial"/>
                <w:sz w:val="16"/>
                <w:szCs w:val="16"/>
                <w:color w:val="auto"/>
              </w:rPr>
              <w:t>Total amortized intangible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267,567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95,104</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172,463</w:t>
            </w:r>
          </w:p>
        </w:tc>
        <w:tc>
          <w:tcPr>
            <w:tcW w:w="0" w:type="dxa"/>
            <w:vAlign w:val="bottom"/>
          </w:tcPr>
          <w:p>
            <w:pPr>
              <w:spacing w:after="0"/>
              <w:rPr>
                <w:sz w:val="1"/>
                <w:szCs w:val="1"/>
                <w:color w:val="auto"/>
              </w:rPr>
            </w:pPr>
          </w:p>
        </w:tc>
      </w:tr>
      <w:tr>
        <w:trPr>
          <w:trHeight w:val="248"/>
        </w:trPr>
        <w:tc>
          <w:tcPr>
            <w:tcW w:w="5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Internally developed software*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20,611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20,611</w:t>
            </w:r>
          </w:p>
        </w:tc>
        <w:tc>
          <w:tcPr>
            <w:tcW w:w="0" w:type="dxa"/>
            <w:vAlign w:val="bottom"/>
          </w:tcPr>
          <w:p>
            <w:pPr>
              <w:spacing w:after="0"/>
              <w:rPr>
                <w:sz w:val="1"/>
                <w:szCs w:val="1"/>
                <w:color w:val="auto"/>
              </w:rPr>
            </w:pPr>
          </w:p>
        </w:tc>
      </w:tr>
      <w:tr>
        <w:trPr>
          <w:trHeight w:val="248"/>
        </w:trPr>
        <w:tc>
          <w:tcPr>
            <w:tcW w:w="5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48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288,178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95,104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193,074</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color w:val="auto"/>
              </w:rPr>
              <w:t>______________________________</w:t>
            </w: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4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20" w:hanging="117"/>
        <w:spacing w:after="0"/>
        <w:tabs>
          <w:tab w:leader="none" w:pos="120" w:val="left"/>
        </w:tabs>
        <w:numPr>
          <w:ilvl w:val="0"/>
          <w:numId w:val="6"/>
        </w:numPr>
        <w:rPr>
          <w:rFonts w:ascii="Arial" w:cs="Arial" w:eastAsia="Arial" w:hAnsi="Arial"/>
          <w:sz w:val="17"/>
          <w:szCs w:val="17"/>
          <w:color w:val="auto"/>
        </w:rPr>
      </w:pPr>
      <w:r>
        <w:rPr>
          <w:rFonts w:ascii="Arial" w:cs="Arial" w:eastAsia="Arial" w:hAnsi="Arial"/>
          <w:sz w:val="16"/>
          <w:szCs w:val="16"/>
          <w:color w:val="auto"/>
        </w:rPr>
        <w:t>Internally developed software will be amortized when the projects are complete and the assets are ready for their intended use.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6"/>
              </w:rPr>
              <w:t>December 31, 2020</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Average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48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6"/>
                <w:szCs w:val="16"/>
                <w:b w:val="1"/>
                <w:bCs w:val="1"/>
                <w:color w:val="auto"/>
                <w:w w:val="89"/>
              </w:rPr>
              <w:t>Amortization</w:t>
            </w:r>
          </w:p>
        </w:tc>
        <w:tc>
          <w:tcPr>
            <w:tcW w:w="3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6"/>
                <w:szCs w:val="16"/>
                <w:b w:val="1"/>
                <w:bCs w:val="1"/>
                <w:color w:val="auto"/>
                <w:w w:val="87"/>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8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4"/>
        </w:trPr>
        <w:tc>
          <w:tcPr>
            <w:tcW w:w="548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Life in Years</w:t>
            </w:r>
          </w:p>
        </w:tc>
        <w:tc>
          <w:tcPr>
            <w:tcW w:w="3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Amortization</w:t>
            </w:r>
          </w:p>
        </w:tc>
        <w:tc>
          <w:tcPr>
            <w:tcW w:w="3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24,797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9,741</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Customer contracts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4,513</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Non-contractual customer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31,350</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14,770</w:t>
            </w: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152,893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36,927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115,966</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Non-compete</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197"/>
        </w:trPr>
        <w:tc>
          <w:tcPr>
            <w:tcW w:w="5480" w:type="dxa"/>
            <w:vAlign w:val="bottom"/>
          </w:tcPr>
          <w:p>
            <w:pPr>
              <w:ind w:left="140"/>
              <w:spacing w:after="0"/>
              <w:rPr>
                <w:sz w:val="20"/>
                <w:szCs w:val="20"/>
                <w:color w:val="auto"/>
              </w:rPr>
            </w:pPr>
            <w:r>
              <w:rPr>
                <w:rFonts w:ascii="Arial" w:cs="Arial" w:eastAsia="Arial" w:hAnsi="Arial"/>
                <w:sz w:val="16"/>
                <w:szCs w:val="16"/>
                <w:color w:val="auto"/>
              </w:rPr>
              <w:t>Total amortized intangible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267,311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89,443</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177,868</w:t>
            </w:r>
          </w:p>
        </w:tc>
        <w:tc>
          <w:tcPr>
            <w:tcW w:w="0" w:type="dxa"/>
            <w:vAlign w:val="bottom"/>
          </w:tcPr>
          <w:p>
            <w:pPr>
              <w:spacing w:after="0"/>
              <w:rPr>
                <w:sz w:val="1"/>
                <w:szCs w:val="1"/>
                <w:color w:val="auto"/>
              </w:rPr>
            </w:pPr>
          </w:p>
        </w:tc>
      </w:tr>
      <w:tr>
        <w:trPr>
          <w:trHeight w:val="248"/>
        </w:trPr>
        <w:tc>
          <w:tcPr>
            <w:tcW w:w="5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480" w:type="dxa"/>
            <w:vAlign w:val="bottom"/>
          </w:tcPr>
          <w:p>
            <w:pPr>
              <w:ind w:left="20"/>
              <w:spacing w:after="0"/>
              <w:rPr>
                <w:sz w:val="20"/>
                <w:szCs w:val="20"/>
                <w:color w:val="auto"/>
              </w:rPr>
            </w:pPr>
            <w:r>
              <w:rPr>
                <w:rFonts w:ascii="Arial" w:cs="Arial" w:eastAsia="Arial" w:hAnsi="Arial"/>
                <w:sz w:val="16"/>
                <w:szCs w:val="16"/>
                <w:color w:val="auto"/>
              </w:rPr>
              <w:t>Internally developed software*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19,363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19,363</w:t>
            </w:r>
          </w:p>
        </w:tc>
        <w:tc>
          <w:tcPr>
            <w:tcW w:w="0" w:type="dxa"/>
            <w:vAlign w:val="bottom"/>
          </w:tcPr>
          <w:p>
            <w:pPr>
              <w:spacing w:after="0"/>
              <w:rPr>
                <w:sz w:val="1"/>
                <w:szCs w:val="1"/>
                <w:color w:val="auto"/>
              </w:rPr>
            </w:pPr>
          </w:p>
        </w:tc>
      </w:tr>
      <w:tr>
        <w:trPr>
          <w:trHeight w:val="248"/>
        </w:trPr>
        <w:tc>
          <w:tcPr>
            <w:tcW w:w="5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48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89,443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197,231</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color w:val="auto"/>
              </w:rPr>
              <w:t>______________________________</w:t>
            </w: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20" w:hanging="117"/>
        <w:spacing w:after="0"/>
        <w:tabs>
          <w:tab w:leader="none" w:pos="120" w:val="left"/>
        </w:tabs>
        <w:numPr>
          <w:ilvl w:val="0"/>
          <w:numId w:val="7"/>
        </w:numPr>
        <w:rPr>
          <w:rFonts w:ascii="Arial" w:cs="Arial" w:eastAsia="Arial" w:hAnsi="Arial"/>
          <w:sz w:val="17"/>
          <w:szCs w:val="17"/>
          <w:color w:val="auto"/>
        </w:rPr>
      </w:pPr>
      <w:r>
        <w:rPr>
          <w:rFonts w:ascii="Arial" w:cs="Arial" w:eastAsia="Arial" w:hAnsi="Arial"/>
          <w:sz w:val="16"/>
          <w:szCs w:val="16"/>
          <w:color w:val="auto"/>
        </w:rPr>
        <w:t>Internally developed software will be amortized when the projects are complete and the assets are ready for their intended use.</w:t>
      </w:r>
    </w:p>
    <w:p>
      <w:pPr>
        <w:spacing w:after="0" w:line="227" w:lineRule="exact"/>
        <w:rPr>
          <w:sz w:val="20"/>
          <w:szCs w:val="20"/>
          <w:color w:val="auto"/>
        </w:rPr>
      </w:pPr>
    </w:p>
    <w:p>
      <w:pPr>
        <w:ind w:firstLine="620"/>
        <w:spacing w:after="0" w:line="283" w:lineRule="auto"/>
        <w:rPr>
          <w:sz w:val="20"/>
          <w:szCs w:val="20"/>
          <w:color w:val="auto"/>
        </w:rPr>
      </w:pPr>
      <w:r>
        <w:rPr>
          <w:rFonts w:ascii="Arial" w:cs="Arial" w:eastAsia="Arial" w:hAnsi="Arial"/>
          <w:sz w:val="17"/>
          <w:szCs w:val="17"/>
          <w:color w:val="auto"/>
        </w:rPr>
        <w:t>Intangible assets with definite lives are amortized on a straight-line basis over their estimated useful lives. During the three months ended March 31, 2021 and 2020, respectively, intangible asset amortization expense was $5.8 million and $5.8 million, respectively.</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March 31, 2021 estimated annual amortization for our intangible assets for each of the next five years is approximately (in thousands):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8100" w:type="dxa"/>
            <w:vAlign w:val="bottom"/>
            <w:gridSpan w:val="2"/>
          </w:tcPr>
          <w:p>
            <w:pPr>
              <w:ind w:left="3960"/>
              <w:spacing w:after="0"/>
              <w:rPr>
                <w:sz w:val="20"/>
                <w:szCs w:val="20"/>
                <w:color w:val="auto"/>
              </w:rPr>
            </w:pPr>
            <w:r>
              <w:rPr>
                <w:rFonts w:ascii="Arial" w:cs="Arial" w:eastAsia="Arial" w:hAnsi="Arial"/>
                <w:sz w:val="17"/>
                <w:szCs w:val="17"/>
                <w:b w:val="1"/>
                <w:bCs w:val="1"/>
                <w:color w:val="auto"/>
              </w:rPr>
              <w:t>ICU MEDICAL, INC. AND SUBSIDIARIES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20" w:type="dxa"/>
            <w:vAlign w:val="bottom"/>
            <w:gridSpan w:val="5"/>
          </w:tcPr>
          <w:p>
            <w:pPr>
              <w:ind w:left="2340"/>
              <w:spacing w:after="0"/>
              <w:rPr>
                <w:sz w:val="20"/>
                <w:szCs w:val="20"/>
                <w:color w:val="auto"/>
              </w:rPr>
            </w:pPr>
            <w:r>
              <w:rPr>
                <w:rFonts w:ascii="Arial" w:cs="Arial" w:eastAsia="Arial" w:hAnsi="Arial"/>
                <w:sz w:val="17"/>
                <w:szCs w:val="17"/>
                <w:b w:val="1"/>
                <w:bCs w:val="1"/>
                <w:color w:val="auto"/>
              </w:rPr>
              <w:t>NOTES TO CONDENSED CONSOLIDATED FINANCIAL STATEMENTS (Continued)</w:t>
            </w: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3"/>
        </w:trPr>
        <w:tc>
          <w:tcPr>
            <w:tcW w:w="6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2022</w:t>
            </w: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22,806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2024</w:t>
            </w: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21,694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2026</w:t>
            </w: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15,116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40"/>
              <w:spacing w:after="0"/>
              <w:rPr>
                <w:sz w:val="20"/>
                <w:szCs w:val="20"/>
                <w:color w:val="auto"/>
              </w:rPr>
            </w:pPr>
            <w:r>
              <w:rPr>
                <w:rFonts w:ascii="Arial" w:cs="Arial" w:eastAsia="Arial" w:hAnsi="Arial"/>
                <w:sz w:val="17"/>
                <w:szCs w:val="17"/>
                <w:color w:val="auto"/>
              </w:rPr>
              <w:t>Total</w:t>
            </w:r>
          </w:p>
        </w:tc>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172,463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7"/>
                <w:szCs w:val="17"/>
                <w:b w:val="1"/>
                <w:bCs w:val="1"/>
                <w:color w:val="auto"/>
              </w:rPr>
              <w:t>Note 14:   Accrued Liabilities and Other Long-Term Liabilities</w:t>
            </w:r>
          </w:p>
        </w:tc>
        <w:tc>
          <w:tcPr>
            <w:tcW w:w="1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28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280" w:type="dxa"/>
            <w:vAlign w:val="bottom"/>
          </w:tcPr>
          <w:p>
            <w:pPr>
              <w:ind w:left="160"/>
              <w:spacing w:after="0"/>
              <w:rPr>
                <w:sz w:val="20"/>
                <w:szCs w:val="20"/>
                <w:color w:val="auto"/>
              </w:rPr>
            </w:pPr>
            <w:r>
              <w:rPr>
                <w:rFonts w:ascii="Arial" w:cs="Arial" w:eastAsia="Arial" w:hAnsi="Arial"/>
                <w:sz w:val="17"/>
                <w:szCs w:val="17"/>
                <w:color w:val="auto"/>
              </w:rPr>
              <w:t>Accrued liabilities consist of the following (in thousands):</w:t>
            </w: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28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w w:val="95"/>
              </w:rPr>
              <w:t>December 31, 2020</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Salaries and benefits</w:t>
            </w:r>
          </w:p>
        </w:tc>
        <w:tc>
          <w:tcPr>
            <w:tcW w:w="1820" w:type="dxa"/>
            <w:vAlign w:val="bottom"/>
            <w:shd w:val="clear" w:color="auto" w:fill="CCEEFF"/>
          </w:tcPr>
          <w:p>
            <w:pPr>
              <w:jc w:val="right"/>
              <w:ind w:right="163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26,118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Incentive compensation</w:t>
            </w:r>
          </w:p>
        </w:tc>
        <w:tc>
          <w:tcPr>
            <w:tcW w:w="1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27,023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liability-ST</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Accrued sales taxes</w:t>
            </w:r>
          </w:p>
        </w:tc>
        <w:tc>
          <w:tcPr>
            <w:tcW w:w="1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accrual</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1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8,195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5,566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other taxes</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Accrued professional fees</w:t>
            </w:r>
          </w:p>
        </w:tc>
        <w:tc>
          <w:tcPr>
            <w:tcW w:w="1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1,273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accrual</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Distribution fees</w:t>
            </w:r>
          </w:p>
        </w:tc>
        <w:tc>
          <w:tcPr>
            <w:tcW w:w="1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5,300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Warranties and returns</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Accrued freight</w:t>
            </w:r>
          </w:p>
        </w:tc>
        <w:tc>
          <w:tcPr>
            <w:tcW w:w="1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6,784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spacing w:after="0"/>
              <w:rPr>
                <w:sz w:val="18"/>
                <w:szCs w:val="18"/>
                <w:color w:val="auto"/>
              </w:rPr>
            </w:pPr>
          </w:p>
        </w:tc>
        <w:tc>
          <w:tcPr>
            <w:tcW w:w="1820" w:type="dxa"/>
            <w:vAlign w:val="bottom"/>
            <w:tcBorders>
              <w:bottom w:val="single" w:sz="8" w:color="auto"/>
            </w:tcBorders>
          </w:tcPr>
          <w:p>
            <w:pPr>
              <w:jc w:val="right"/>
              <w:ind w:right="163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79,056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97,021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620"/>
              <w:spacing w:after="0"/>
              <w:rPr>
                <w:sz w:val="20"/>
                <w:szCs w:val="20"/>
                <w:color w:val="auto"/>
              </w:rPr>
            </w:pPr>
            <w:r>
              <w:rPr>
                <w:rFonts w:ascii="Arial" w:cs="Arial" w:eastAsia="Arial" w:hAnsi="Arial"/>
                <w:sz w:val="17"/>
                <w:szCs w:val="17"/>
                <w:color w:val="auto"/>
              </w:rPr>
              <w:t>Other long-term liabilities consist of the following (in thousands):</w:t>
            </w: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628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28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w w:val="95"/>
              </w:rPr>
              <w:t>December 31, 2020</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liability-LT</w:t>
            </w:r>
          </w:p>
        </w:tc>
        <w:tc>
          <w:tcPr>
            <w:tcW w:w="1820" w:type="dxa"/>
            <w:vAlign w:val="bottom"/>
            <w:shd w:val="clear" w:color="auto" w:fill="CCEEFF"/>
          </w:tcPr>
          <w:p>
            <w:pPr>
              <w:jc w:val="right"/>
              <w:ind w:right="163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39,588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Benefits</w:t>
            </w:r>
          </w:p>
        </w:tc>
        <w:tc>
          <w:tcPr>
            <w:tcW w:w="1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rent</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Contract liabilities-LT</w:t>
            </w:r>
          </w:p>
        </w:tc>
        <w:tc>
          <w:tcPr>
            <w:tcW w:w="1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lease liability-LT</w:t>
            </w:r>
          </w:p>
        </w:tc>
        <w:tc>
          <w:tcPr>
            <w:tcW w:w="1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1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864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spacing w:after="0"/>
              <w:rPr>
                <w:sz w:val="18"/>
                <w:szCs w:val="18"/>
                <w:color w:val="auto"/>
              </w:rPr>
            </w:pPr>
          </w:p>
        </w:tc>
        <w:tc>
          <w:tcPr>
            <w:tcW w:w="1820" w:type="dxa"/>
            <w:vAlign w:val="bottom"/>
            <w:tcBorders>
              <w:bottom w:val="single" w:sz="8" w:color="auto"/>
            </w:tcBorders>
          </w:tcPr>
          <w:p>
            <w:pPr>
              <w:jc w:val="right"/>
              <w:ind w:right="163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46,110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47,835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Income Taxes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Income taxes were accrued at an estimated effective tax rate of 12% and 17% for the three months ended March 31, 2021 and 2020, respectively.</w:t>
      </w:r>
    </w:p>
    <w:p>
      <w:pPr>
        <w:spacing w:after="0" w:line="244" w:lineRule="exact"/>
        <w:rPr>
          <w:sz w:val="20"/>
          <w:szCs w:val="20"/>
          <w:color w:val="auto"/>
        </w:rPr>
      </w:pPr>
    </w:p>
    <w:p>
      <w:pPr>
        <w:ind w:right="260" w:firstLine="169"/>
        <w:spacing w:after="0" w:line="268" w:lineRule="auto"/>
        <w:rPr>
          <w:sz w:val="20"/>
          <w:szCs w:val="20"/>
          <w:color w:val="auto"/>
        </w:rPr>
      </w:pPr>
      <w:r>
        <w:rPr>
          <w:rFonts w:ascii="Arial" w:cs="Arial" w:eastAsia="Arial" w:hAnsi="Arial"/>
          <w:sz w:val="17"/>
          <w:szCs w:val="17"/>
          <w:color w:val="auto"/>
        </w:rPr>
        <w:t>The effective tax rate for the three months ended March 31, 2021 differs from the federal statutory rate of 21% principally because of the effect of the mix of U.S. and foreign incomes, state income taxes, global intangible low-taxed income ("GILTI"), foreign-derived intangible income ("FDII") and tax credits. The effective tax rate during the three months ended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March 31, 2021 included a discrete tax benefit of $1.8 million related to excess tax benefits recognized on stock option exercises and the vesting of restricted stock units during the period.</w:t>
      </w:r>
    </w:p>
    <w:p>
      <w:pPr>
        <w:spacing w:after="0" w:line="185" w:lineRule="exact"/>
        <w:rPr>
          <w:sz w:val="20"/>
          <w:szCs w:val="20"/>
          <w:color w:val="auto"/>
        </w:rPr>
      </w:pPr>
    </w:p>
    <w:p>
      <w:pPr>
        <w:ind w:right="260" w:firstLine="169"/>
        <w:spacing w:after="0" w:line="283" w:lineRule="auto"/>
        <w:rPr>
          <w:sz w:val="20"/>
          <w:szCs w:val="20"/>
          <w:color w:val="auto"/>
        </w:rPr>
      </w:pPr>
      <w:r>
        <w:rPr>
          <w:rFonts w:ascii="Arial" w:cs="Arial" w:eastAsia="Arial" w:hAnsi="Arial"/>
          <w:sz w:val="17"/>
          <w:szCs w:val="17"/>
          <w:color w:val="auto"/>
        </w:rPr>
        <w:t>The effective tax rate for the three months ended March 31, 2020 differs from the federal statutory rate of 21% principally because of the effect of the mix of U.S. and foreign incomes, state income taxes, GILTI, FDII and tax credits.</w:t>
      </w:r>
    </w:p>
    <w:p>
      <w:pPr>
        <w:spacing w:after="0" w:line="17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5"/>
          <w:szCs w:val="15"/>
          <w:b w:val="1"/>
          <w:bCs w:val="1"/>
          <w:color w:val="auto"/>
        </w:rPr>
        <w:t>Long-Term Obligations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Five-year Senior Secured Revolving Credit Facility ("Credit Facility")</w:t>
      </w:r>
    </w:p>
    <w:p>
      <w:pPr>
        <w:spacing w:after="0" w:line="244" w:lineRule="exact"/>
        <w:rPr>
          <w:sz w:val="20"/>
          <w:szCs w:val="20"/>
          <w:color w:val="auto"/>
        </w:rPr>
      </w:pPr>
    </w:p>
    <w:p>
      <w:pPr>
        <w:ind w:right="20" w:firstLine="172"/>
        <w:spacing w:after="0" w:line="263" w:lineRule="auto"/>
        <w:rPr>
          <w:sz w:val="20"/>
          <w:szCs w:val="20"/>
          <w:color w:val="auto"/>
        </w:rPr>
      </w:pPr>
      <w:r>
        <w:rPr>
          <w:rFonts w:ascii="Arial" w:cs="Arial" w:eastAsia="Arial" w:hAnsi="Arial"/>
          <w:sz w:val="17"/>
          <w:szCs w:val="17"/>
          <w:color w:val="auto"/>
        </w:rPr>
        <w:t>On November 8, 2017, we entered into a Credit Facility with various lenders for $150.0 million, with Wells Fargo Bank, N.A. as the administrative agent, swingline lender and issuing lender. During March 2020, as a result of market uncertainty caused by COVID-19, we preemptively borrowed $150.0 million on our Credit Facility as a conservative measure to manage any potential short-term liquidity risk. In September 2020, we fully repaid the borrowings under our Credit Facility.</w:t>
      </w:r>
    </w:p>
    <w:p>
      <w:pPr>
        <w:spacing w:after="0" w:line="203" w:lineRule="exact"/>
        <w:rPr>
          <w:sz w:val="20"/>
          <w:szCs w:val="20"/>
          <w:color w:val="auto"/>
        </w:rPr>
      </w:pPr>
    </w:p>
    <w:p>
      <w:pPr>
        <w:ind w:right="240" w:firstLine="163"/>
        <w:spacing w:after="0" w:line="263" w:lineRule="auto"/>
        <w:rPr>
          <w:sz w:val="20"/>
          <w:szCs w:val="20"/>
          <w:color w:val="auto"/>
        </w:rPr>
      </w:pPr>
      <w:r>
        <w:rPr>
          <w:rFonts w:ascii="Arial" w:cs="Arial" w:eastAsia="Arial" w:hAnsi="Arial"/>
          <w:sz w:val="17"/>
          <w:szCs w:val="17"/>
          <w:color w:val="auto"/>
        </w:rPr>
        <w:t>As of March 31, 2021, we had no borrowings and $150.0 million of availability under the Credit Facility. Principal payments on the revolving Credit Facility are made at our discretion with the unpaid amount due at maturity. The Credit Facility matures on November 8, 2022. Interest on borrowings under the Credit Facility, at our option, is based on the Base Rate plus applicable margin or the London Interbank Offered Rate ("LIBOR") plus applicable margin, see further details in Part II, Item 8, of our 2019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Covenants</w:t>
      </w:r>
    </w:p>
    <w:p>
      <w:pPr>
        <w:spacing w:after="0" w:line="244" w:lineRule="exact"/>
        <w:rPr>
          <w:sz w:val="20"/>
          <w:szCs w:val="20"/>
          <w:color w:val="auto"/>
        </w:rPr>
      </w:pPr>
    </w:p>
    <w:p>
      <w:pPr>
        <w:ind w:right="20" w:firstLine="169"/>
        <w:spacing w:after="0" w:line="281"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89" w:lineRule="exact"/>
        <w:rPr>
          <w:sz w:val="20"/>
          <w:szCs w:val="20"/>
          <w:color w:val="auto"/>
        </w:rPr>
      </w:pPr>
    </w:p>
    <w:p>
      <w:pPr>
        <w:ind w:right="260" w:firstLine="169"/>
        <w:spacing w:after="0" w:line="268" w:lineRule="auto"/>
        <w:rPr>
          <w:sz w:val="20"/>
          <w:szCs w:val="20"/>
          <w:color w:val="auto"/>
        </w:rPr>
      </w:pPr>
      <w:r>
        <w:rPr>
          <w:rFonts w:ascii="Arial" w:cs="Arial" w:eastAsia="Arial" w:hAnsi="Arial"/>
          <w:sz w:val="17"/>
          <w:szCs w:val="17"/>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98" w:lineRule="exact"/>
        <w:rPr>
          <w:sz w:val="20"/>
          <w:szCs w:val="20"/>
          <w:color w:val="auto"/>
        </w:rPr>
      </w:pPr>
    </w:p>
    <w:p>
      <w:pPr>
        <w:ind w:right="120" w:firstLine="169"/>
        <w:spacing w:after="0" w:line="320" w:lineRule="auto"/>
        <w:rPr>
          <w:sz w:val="20"/>
          <w:szCs w:val="20"/>
          <w:color w:val="auto"/>
        </w:rPr>
      </w:pPr>
      <w:r>
        <w:rPr>
          <w:rFonts w:ascii="Arial" w:cs="Arial" w:eastAsia="Arial" w:hAnsi="Arial"/>
          <w:sz w:val="15"/>
          <w:szCs w:val="15"/>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were in compliance with all financial covenants as of March 31, 2021.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Stockholders' Equity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Stock</w:t>
      </w:r>
    </w:p>
    <w:p>
      <w:pPr>
        <w:spacing w:after="0" w:line="244" w:lineRule="exact"/>
        <w:rPr>
          <w:sz w:val="20"/>
          <w:szCs w:val="20"/>
          <w:color w:val="auto"/>
        </w:rPr>
      </w:pPr>
    </w:p>
    <w:p>
      <w:pPr>
        <w:ind w:right="120" w:firstLine="172"/>
        <w:spacing w:after="0" w:line="285" w:lineRule="auto"/>
        <w:rPr>
          <w:sz w:val="20"/>
          <w:szCs w:val="20"/>
          <w:color w:val="auto"/>
        </w:rPr>
      </w:pPr>
      <w:r>
        <w:rPr>
          <w:rFonts w:ascii="Arial" w:cs="Arial" w:eastAsia="Arial" w:hAnsi="Arial"/>
          <w:sz w:val="16"/>
          <w:szCs w:val="16"/>
          <w:color w:val="auto"/>
        </w:rPr>
        <w:t>In August 2019, our Board of Directors approved a new share purchase plan to purchase up to $100.0 million of our common stock. This plan replaced our existing plan and has no expiration date. During the three months ended March 31, 2021, we did not purchase any shares of our common stock under our stock purchase plans. As of March 31, 2021, all of the $100.0 million available for purchase was remaining under the plan. We are currently limited on share purchases in accordance with the terms and conditions of our Credit Facility (see Note 16: Long-Term Obligations).</w:t>
      </w:r>
    </w:p>
    <w:p>
      <w:pPr>
        <w:spacing w:after="0" w:line="186" w:lineRule="exact"/>
        <w:rPr>
          <w:sz w:val="20"/>
          <w:szCs w:val="20"/>
          <w:color w:val="auto"/>
        </w:rPr>
      </w:pPr>
    </w:p>
    <w:p>
      <w:pPr>
        <w:ind w:right="180" w:firstLine="172"/>
        <w:spacing w:after="0" w:line="261" w:lineRule="auto"/>
        <w:rPr>
          <w:sz w:val="20"/>
          <w:szCs w:val="20"/>
          <w:color w:val="auto"/>
        </w:rPr>
      </w:pPr>
      <w:r>
        <w:rPr>
          <w:rFonts w:ascii="Arial" w:cs="Arial" w:eastAsia="Arial" w:hAnsi="Arial"/>
          <w:sz w:val="17"/>
          <w:szCs w:val="17"/>
          <w:color w:val="auto"/>
        </w:rPr>
        <w:t>For the three months ended March 31, 2021, we withheld 37,423 shares of our common stock from employee vested restricted stock units in consideration for $7.7 million in payments made on the employee's behalf for their minimum statutory income tax withholding obligations. For the three months ended March 31, 2020, we withheld 63,511 shares of our common stock from employee vested restricted stock units in consideration for $12.2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00" w:type="dxa"/>
            <w:vAlign w:val="bottom"/>
            <w:gridSpan w:val="2"/>
          </w:tcPr>
          <w:p>
            <w:pPr>
              <w:spacing w:after="0"/>
              <w:rPr>
                <w:sz w:val="20"/>
                <w:szCs w:val="20"/>
                <w:color w:val="auto"/>
              </w:rPr>
            </w:pPr>
            <w:r>
              <w:rPr>
                <w:rFonts w:ascii="Arial" w:cs="Arial" w:eastAsia="Arial" w:hAnsi="Arial"/>
                <w:sz w:val="17"/>
                <w:szCs w:val="17"/>
                <w:i w:val="1"/>
                <w:iCs w:val="1"/>
                <w:color w:val="auto"/>
              </w:rPr>
              <w:t>Accumulated Other Comprehensive (Loss) Income</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80" w:type="dxa"/>
            <w:vAlign w:val="bottom"/>
            <w:gridSpan w:val="8"/>
          </w:tcPr>
          <w:p>
            <w:pPr>
              <w:ind w:left="160"/>
              <w:spacing w:after="0"/>
              <w:rPr>
                <w:sz w:val="20"/>
                <w:szCs w:val="20"/>
                <w:color w:val="auto"/>
              </w:rPr>
            </w:pPr>
            <w:r>
              <w:rPr>
                <w:rFonts w:ascii="Arial" w:cs="Arial" w:eastAsia="Arial" w:hAnsi="Arial"/>
                <w:sz w:val="17"/>
                <w:szCs w:val="17"/>
                <w:color w:val="auto"/>
                <w:w w:val="95"/>
              </w:rPr>
              <w:t>The components of accumulated other comprehensive (loss) income ("AOCI"), net of tax, were as follows (in thousands):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Foreign Currency</w:t>
            </w:r>
          </w:p>
        </w:tc>
        <w:tc>
          <w:tcPr>
            <w:tcW w:w="168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w w:val="99"/>
              </w:rPr>
              <w:t>Unrealized Gains on</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1"/>
              </w:rPr>
              <w:t>Translation</w:t>
            </w:r>
          </w:p>
        </w:tc>
        <w:tc>
          <w:tcPr>
            <w:tcW w:w="1680" w:type="dxa"/>
            <w:vAlign w:val="bottom"/>
            <w:gridSpan w:val="3"/>
            <w:vMerge w:val="continue"/>
          </w:tcPr>
          <w:p>
            <w:pPr>
              <w:spacing w:after="0"/>
              <w:rPr>
                <w:sz w:val="14"/>
                <w:szCs w:val="14"/>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Other Adjustments</w:t>
            </w:r>
          </w:p>
        </w:tc>
        <w:tc>
          <w:tcPr>
            <w:tcW w:w="360" w:type="dxa"/>
            <w:vAlign w:val="bottom"/>
          </w:tcPr>
          <w:p>
            <w:pPr>
              <w:spacing w:after="0"/>
              <w:rPr>
                <w:sz w:val="14"/>
                <w:szCs w:val="14"/>
                <w:color w:val="auto"/>
              </w:rPr>
            </w:pPr>
          </w:p>
        </w:tc>
        <w:tc>
          <w:tcPr>
            <w:tcW w:w="124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10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7"/>
                <w:szCs w:val="17"/>
                <w:b w:val="1"/>
                <w:bCs w:val="1"/>
                <w:color w:val="auto"/>
              </w:rPr>
              <w:t>Cash Flow Hedges</w:t>
            </w:r>
          </w:p>
        </w:tc>
        <w:tc>
          <w:tcPr>
            <w:tcW w:w="168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2,784</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center"/>
              <w:ind w:left="234"/>
              <w:spacing w:after="0"/>
              <w:rPr>
                <w:sz w:val="20"/>
                <w:szCs w:val="20"/>
                <w:color w:val="auto"/>
              </w:rPr>
            </w:pPr>
            <w:r>
              <w:rPr>
                <w:rFonts w:ascii="Arial" w:cs="Arial" w:eastAsia="Arial" w:hAnsi="Arial"/>
                <w:sz w:val="17"/>
                <w:szCs w:val="17"/>
                <w:color w:val="auto"/>
                <w:w w:val="84"/>
              </w:rPr>
              <w:t>75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80" w:type="dxa"/>
            <w:vAlign w:val="bottom"/>
          </w:tcPr>
          <w:p>
            <w:pPr>
              <w:ind w:left="20"/>
              <w:spacing w:after="0" w:line="168" w:lineRule="exact"/>
              <w:rPr>
                <w:sz w:val="20"/>
                <w:szCs w:val="20"/>
                <w:color w:val="auto"/>
              </w:rPr>
            </w:pPr>
            <w:r>
              <w:rPr>
                <w:rFonts w:ascii="Arial" w:cs="Arial" w:eastAsia="Arial" w:hAnsi="Arial"/>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(7,458)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vMerge w:val="restart"/>
          </w:tcPr>
          <w:p>
            <w:pPr>
              <w:jc w:val="center"/>
              <w:ind w:left="234"/>
              <w:spacing w:after="0"/>
              <w:rPr>
                <w:sz w:val="20"/>
                <w:szCs w:val="20"/>
                <w:color w:val="auto"/>
              </w:rPr>
            </w:pPr>
            <w:r>
              <w:rPr>
                <w:rFonts w:ascii="Arial" w:cs="Arial" w:eastAsia="Arial" w:hAnsi="Arial"/>
                <w:sz w:val="17"/>
                <w:szCs w:val="17"/>
                <w:color w:val="auto"/>
                <w:w w:val="84"/>
              </w:rPr>
              <w:t>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(7,752)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7"/>
                <w:szCs w:val="17"/>
                <w:color w:val="auto"/>
              </w:rPr>
              <w:t>reclassifications</w:t>
            </w: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134"/>
              <w:spacing w:after="0"/>
              <w:rPr>
                <w:sz w:val="20"/>
                <w:szCs w:val="20"/>
                <w:color w:val="auto"/>
              </w:rPr>
            </w:pPr>
            <w:r>
              <w:rPr>
                <w:rFonts w:ascii="Arial" w:cs="Arial" w:eastAsia="Arial" w:hAnsi="Arial"/>
                <w:sz w:val="17"/>
                <w:szCs w:val="17"/>
                <w:color w:val="auto"/>
                <w:w w:val="93"/>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(7,458)</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center"/>
              <w:ind w:left="234"/>
              <w:spacing w:after="0"/>
              <w:rPr>
                <w:sz w:val="20"/>
                <w:szCs w:val="20"/>
                <w:color w:val="auto"/>
              </w:rPr>
            </w:pPr>
            <w:r>
              <w:rPr>
                <w:rFonts w:ascii="Arial" w:cs="Arial" w:eastAsia="Arial" w:hAnsi="Arial"/>
                <w:sz w:val="17"/>
                <w:szCs w:val="17"/>
                <w:color w:val="auto"/>
                <w:w w:val="84"/>
              </w:rPr>
              <w:t>12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(8,391)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March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center"/>
              <w:ind w:left="234"/>
              <w:spacing w:after="0"/>
              <w:rPr>
                <w:sz w:val="20"/>
                <w:szCs w:val="20"/>
                <w:color w:val="auto"/>
              </w:rPr>
            </w:pPr>
            <w:r>
              <w:rPr>
                <w:rFonts w:ascii="Arial" w:cs="Arial" w:eastAsia="Arial" w:hAnsi="Arial"/>
                <w:sz w:val="17"/>
                <w:szCs w:val="17"/>
                <w:color w:val="auto"/>
                <w:w w:val="84"/>
              </w:rPr>
              <w:t>87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Foreign Currency</w:t>
            </w:r>
          </w:p>
        </w:tc>
        <w:tc>
          <w:tcPr>
            <w:tcW w:w="168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w w:val="99"/>
              </w:rPr>
              <w:t>Unrealized Gains on</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1"/>
              </w:rPr>
              <w:t>Translation</w:t>
            </w:r>
          </w:p>
        </w:tc>
        <w:tc>
          <w:tcPr>
            <w:tcW w:w="1680" w:type="dxa"/>
            <w:vAlign w:val="bottom"/>
            <w:gridSpan w:val="3"/>
            <w:vMerge w:val="continue"/>
          </w:tcPr>
          <w:p>
            <w:pPr>
              <w:spacing w:after="0"/>
              <w:rPr>
                <w:sz w:val="14"/>
                <w:szCs w:val="14"/>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Other Adjustments</w:t>
            </w:r>
          </w:p>
        </w:tc>
        <w:tc>
          <w:tcPr>
            <w:tcW w:w="360" w:type="dxa"/>
            <w:vAlign w:val="bottom"/>
          </w:tcPr>
          <w:p>
            <w:pPr>
              <w:spacing w:after="0"/>
              <w:rPr>
                <w:sz w:val="14"/>
                <w:szCs w:val="14"/>
                <w:color w:val="auto"/>
              </w:rPr>
            </w:pPr>
          </w:p>
        </w:tc>
        <w:tc>
          <w:tcPr>
            <w:tcW w:w="124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10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7"/>
                <w:szCs w:val="17"/>
                <w:b w:val="1"/>
                <w:bCs w:val="1"/>
                <w:color w:val="auto"/>
              </w:rPr>
              <w:t>Cash Flow Hedges</w:t>
            </w:r>
          </w:p>
        </w:tc>
        <w:tc>
          <w:tcPr>
            <w:tcW w:w="168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center"/>
              <w:ind w:left="234"/>
              <w:spacing w:after="0"/>
              <w:rPr>
                <w:sz w:val="20"/>
                <w:szCs w:val="20"/>
                <w:color w:val="auto"/>
              </w:rPr>
            </w:pPr>
            <w:r>
              <w:rPr>
                <w:rFonts w:ascii="Arial" w:cs="Arial" w:eastAsia="Arial" w:hAnsi="Arial"/>
                <w:sz w:val="17"/>
                <w:szCs w:val="17"/>
                <w:color w:val="auto"/>
                <w:w w:val="84"/>
              </w:rPr>
              <w:t>28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(15,402)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7"/>
                <w:szCs w:val="17"/>
                <w:color w:val="auto"/>
              </w:rPr>
              <w:t>Other comprehensive loss before reclassifications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(10,477)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(2,426)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center"/>
              <w:ind w:left="194"/>
              <w:spacing w:after="0"/>
              <w:rPr>
                <w:sz w:val="20"/>
                <w:szCs w:val="20"/>
                <w:color w:val="auto"/>
              </w:rPr>
            </w:pPr>
            <w:r>
              <w:rPr>
                <w:rFonts w:ascii="Arial" w:cs="Arial" w:eastAsia="Arial" w:hAnsi="Arial"/>
                <w:sz w:val="17"/>
                <w:szCs w:val="17"/>
                <w:color w:val="auto"/>
                <w:w w:val="92"/>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(12,984)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134"/>
              <w:spacing w:after="0"/>
              <w:rPr>
                <w:sz w:val="20"/>
                <w:szCs w:val="20"/>
                <w:color w:val="auto"/>
              </w:rPr>
            </w:pPr>
            <w:r>
              <w:rPr>
                <w:rFonts w:ascii="Arial" w:cs="Arial" w:eastAsia="Arial" w:hAnsi="Arial"/>
                <w:sz w:val="17"/>
                <w:szCs w:val="17"/>
                <w:color w:val="auto"/>
                <w:w w:val="93"/>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(10,477)</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(2,952)</w:t>
            </w:r>
          </w:p>
        </w:tc>
        <w:tc>
          <w:tcPr>
            <w:tcW w:w="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center"/>
              <w:ind w:left="194"/>
              <w:spacing w:after="0"/>
              <w:rPr>
                <w:sz w:val="20"/>
                <w:szCs w:val="20"/>
                <w:color w:val="auto"/>
              </w:rPr>
            </w:pPr>
            <w:r>
              <w:rPr>
                <w:rFonts w:ascii="Arial" w:cs="Arial" w:eastAsia="Arial" w:hAnsi="Arial"/>
                <w:sz w:val="17"/>
                <w:szCs w:val="17"/>
                <w:color w:val="auto"/>
                <w:w w:val="92"/>
              </w:rPr>
              <w:t>(81)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(13,510)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March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(27,787)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center"/>
              <w:ind w:left="194"/>
              <w:spacing w:after="0"/>
              <w:rPr>
                <w:sz w:val="20"/>
                <w:szCs w:val="20"/>
                <w:color w:val="auto"/>
              </w:rPr>
            </w:pPr>
            <w:r>
              <w:rPr>
                <w:rFonts w:ascii="Arial" w:cs="Arial" w:eastAsia="Arial" w:hAnsi="Arial"/>
                <w:sz w:val="17"/>
                <w:szCs w:val="17"/>
                <w:color w:val="auto"/>
                <w:w w:val="92"/>
              </w:rPr>
              <w:t>(53)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Commitments and Contingencies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44" w:lineRule="exact"/>
        <w:rPr>
          <w:sz w:val="20"/>
          <w:szCs w:val="20"/>
          <w:color w:val="auto"/>
        </w:rPr>
      </w:pPr>
    </w:p>
    <w:p>
      <w:pPr>
        <w:ind w:right="60" w:firstLine="620"/>
        <w:spacing w:after="0" w:line="268" w:lineRule="auto"/>
        <w:rPr>
          <w:sz w:val="20"/>
          <w:szCs w:val="20"/>
          <w:color w:val="auto"/>
        </w:rPr>
      </w:pPr>
      <w:r>
        <w:rPr>
          <w:rFonts w:ascii="Arial" w:cs="Arial" w:eastAsia="Arial" w:hAnsi="Arial"/>
          <w:sz w:val="17"/>
          <w:szCs w:val="17"/>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18" w:lineRule="exact"/>
        <w:rPr>
          <w:sz w:val="20"/>
          <w:szCs w:val="20"/>
          <w:color w:val="auto"/>
        </w:rPr>
      </w:pPr>
    </w:p>
    <w:p>
      <w:pPr>
        <w:ind w:right="20" w:firstLine="172"/>
        <w:spacing w:after="0" w:line="263" w:lineRule="auto"/>
        <w:rPr>
          <w:sz w:val="20"/>
          <w:szCs w:val="20"/>
          <w:color w:val="auto"/>
        </w:rPr>
      </w:pPr>
      <w:r>
        <w:rPr>
          <w:rFonts w:ascii="Arial" w:cs="Arial" w:eastAsia="Arial" w:hAnsi="Arial"/>
          <w:sz w:val="17"/>
          <w:szCs w:val="17"/>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244" w:lineRule="exact"/>
        <w:rPr>
          <w:sz w:val="20"/>
          <w:szCs w:val="20"/>
          <w:color w:val="auto"/>
        </w:rPr>
      </w:pPr>
    </w:p>
    <w:p>
      <w:pPr>
        <w:ind w:right="140" w:firstLine="172"/>
        <w:spacing w:after="0" w:line="268" w:lineRule="auto"/>
        <w:rPr>
          <w:sz w:val="20"/>
          <w:szCs w:val="20"/>
          <w:color w:val="auto"/>
        </w:rPr>
      </w:pPr>
      <w:r>
        <w:rPr>
          <w:rFonts w:ascii="Arial" w:cs="Arial" w:eastAsia="Arial" w:hAnsi="Arial"/>
          <w:sz w:val="17"/>
          <w:szCs w:val="17"/>
          <w:color w:val="auto"/>
        </w:rPr>
        <w:t>During November 2019, we acquired Pursuit. Total consideration for the acquisition includes a potential contractual earn-out of up to $50.0 million, to be paid to former Pursuit equity holders, calculated based upon the achievement of certain performance targets during the earn-out period (see Note 8: Fair Value Measurement).</w:t>
      </w:r>
    </w:p>
    <w:p>
      <w:pPr>
        <w:spacing w:after="0" w:line="198" w:lineRule="exact"/>
        <w:rPr>
          <w:sz w:val="20"/>
          <w:szCs w:val="20"/>
          <w:color w:val="auto"/>
        </w:rPr>
      </w:pPr>
    </w:p>
    <w:p>
      <w:pPr>
        <w:ind w:firstLine="620"/>
        <w:spacing w:after="0" w:line="264" w:lineRule="auto"/>
        <w:rPr>
          <w:sz w:val="20"/>
          <w:szCs w:val="20"/>
          <w:color w:val="auto"/>
        </w:rPr>
      </w:pPr>
      <w:r>
        <w:rPr>
          <w:rFonts w:ascii="Arial" w:cs="Arial" w:eastAsia="Arial" w:hAnsi="Arial"/>
          <w:sz w:val="16"/>
          <w:szCs w:val="16"/>
          <w:color w:val="auto"/>
        </w:rPr>
        <w:t>We had a contractual obligation in connection with our 2017 acquisition of HIS, which as of December 31, 2019 we determined did not meet the necessary performance targets that would require payout of any of the HIS earn-out liability. As of the date of this filing, Pfizer has disputed our determination that the performance targets requiring payout of the HIS earn-out liability were not met. The dispute is being resolved by binding arbitration that will likely be concluded during the third quarter of 2021. Given the uncertainty of any arbitration, it may be possible that we will incur a loss with regards to this matter. If we are unsuccessful in arbitration such that it is determined that we met the necessary performance targets for any of the HIS earn-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7"/>
          <w:szCs w:val="17"/>
          <w:b w:val="1"/>
          <w:bCs w:val="1"/>
          <w:color w:val="auto"/>
        </w:rPr>
        <w:t>ICU MEDICAL, INC. AND SUBSIDIARIES</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out liability, we will have to pay between $191.3 million and $225.0 million in additional cash consideration (see Note 8, Fair Value Measurements).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have non-cancellable operating lease agreements where we are contractually obligated to pay certain lease payment amounts (see Note 5: Leases).</w:t>
      </w:r>
    </w:p>
    <w:p>
      <w:pPr>
        <w:spacing w:after="0" w:line="24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19:</w:t>
      </w:r>
      <w:r>
        <w:rPr>
          <w:sz w:val="20"/>
          <w:szCs w:val="20"/>
          <w:color w:val="auto"/>
        </w:rPr>
        <w:tab/>
      </w:r>
      <w:r>
        <w:rPr>
          <w:rFonts w:ascii="Arial" w:cs="Arial" w:eastAsia="Arial" w:hAnsi="Arial"/>
          <w:sz w:val="15"/>
          <w:szCs w:val="15"/>
          <w:b w:val="1"/>
          <w:bCs w:val="1"/>
          <w:color w:val="auto"/>
        </w:rPr>
        <w:t>Collaborative and Other Arrangements</w:t>
      </w:r>
    </w:p>
    <w:p>
      <w:pPr>
        <w:spacing w:after="0" w:line="224" w:lineRule="exact"/>
        <w:rPr>
          <w:sz w:val="20"/>
          <w:szCs w:val="20"/>
          <w:color w:val="auto"/>
        </w:rPr>
      </w:pPr>
    </w:p>
    <w:p>
      <w:pPr>
        <w:ind w:firstLine="172"/>
        <w:spacing w:after="0" w:line="290" w:lineRule="auto"/>
        <w:rPr>
          <w:sz w:val="20"/>
          <w:szCs w:val="20"/>
          <w:color w:val="auto"/>
        </w:rPr>
      </w:pPr>
      <w:r>
        <w:rPr>
          <w:rFonts w:ascii="Arial" w:cs="Arial" w:eastAsia="Arial" w:hAnsi="Arial"/>
          <w:sz w:val="15"/>
          <w:szCs w:val="15"/>
          <w:color w:val="auto"/>
        </w:rPr>
        <w:t>On February 3, 2017, we entered into two Manufacturing and Supply Agreements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w:t>
      </w:r>
    </w:p>
    <w:p>
      <w:pPr>
        <w:spacing w:after="0" w:line="1" w:lineRule="exact"/>
        <w:rPr>
          <w:sz w:val="20"/>
          <w:szCs w:val="20"/>
          <w:color w:val="auto"/>
        </w:rPr>
      </w:pPr>
    </w:p>
    <w:p>
      <w:pPr>
        <w:ind w:right="240" w:firstLine="3"/>
        <w:spacing w:after="0" w:line="267" w:lineRule="auto"/>
        <w:tabs>
          <w:tab w:leader="none" w:pos="206" w:val="left"/>
        </w:tabs>
        <w:numPr>
          <w:ilvl w:val="0"/>
          <w:numId w:val="8"/>
        </w:numPr>
        <w:rPr>
          <w:rFonts w:ascii="Arial" w:cs="Arial" w:eastAsia="Arial" w:hAnsi="Arial"/>
          <w:sz w:val="17"/>
          <w:szCs w:val="17"/>
          <w:color w:val="auto"/>
        </w:rPr>
      </w:pPr>
      <w:r>
        <w:rPr>
          <w:rFonts w:ascii="Arial" w:cs="Arial" w:eastAsia="Arial" w:hAnsi="Arial"/>
          <w:sz w:val="17"/>
          <w:szCs w:val="17"/>
          <w:color w:val="auto"/>
        </w:rPr>
        <w:t>amendments to our level of supply of products to Pfizer, (ii) certain changes to our manufacturing lines, (iii) updates to our supply price with added volume price tiers for annual periods and (iv) certain minimum purchase requirements for certain products.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Management’s Discussion and Analysis of Financial Condition and Results of Operations</w:t>
      </w:r>
    </w:p>
    <w:p>
      <w:pPr>
        <w:spacing w:after="0" w:line="224" w:lineRule="exact"/>
        <w:rPr>
          <w:sz w:val="20"/>
          <w:szCs w:val="20"/>
          <w:color w:val="auto"/>
        </w:rPr>
      </w:pPr>
    </w:p>
    <w:p>
      <w:pPr>
        <w:ind w:firstLine="169"/>
        <w:spacing w:after="0" w:line="353"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2020 included in our Annual Report on Form 10-K.</w:t>
      </w:r>
    </w:p>
    <w:p>
      <w:pPr>
        <w:spacing w:after="0" w:line="113" w:lineRule="exact"/>
        <w:rPr>
          <w:sz w:val="20"/>
          <w:szCs w:val="20"/>
          <w:color w:val="auto"/>
        </w:rPr>
      </w:pPr>
    </w:p>
    <w:p>
      <w:pPr>
        <w:ind w:right="500" w:firstLine="169"/>
        <w:spacing w:after="0" w:line="283" w:lineRule="auto"/>
        <w:rPr>
          <w:sz w:val="20"/>
          <w:szCs w:val="20"/>
          <w:color w:val="auto"/>
        </w:rPr>
      </w:pPr>
      <w:r>
        <w:rPr>
          <w:rFonts w:ascii="Arial" w:cs="Arial" w:eastAsia="Arial" w:hAnsi="Arial"/>
          <w:sz w:val="17"/>
          <w:szCs w:val="17"/>
          <w:color w:val="auto"/>
        </w:rPr>
        <w:t>When used in this report, the terms “we,” “us,” and “our” refer to ICU Medical, Inc ("ICU") and its subsidiaries included in our condensed consolidated financial statements unless context requires otherwise.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50" w:lineRule="exact"/>
        <w:rPr>
          <w:sz w:val="20"/>
          <w:szCs w:val="20"/>
          <w:color w:val="auto"/>
        </w:rPr>
      </w:pPr>
    </w:p>
    <w:p>
      <w:pPr>
        <w:ind w:right="20" w:firstLine="169"/>
        <w:spacing w:after="0" w:line="285"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186" w:lineRule="exact"/>
        <w:rPr>
          <w:sz w:val="20"/>
          <w:szCs w:val="20"/>
          <w:color w:val="auto"/>
        </w:rPr>
      </w:pPr>
    </w:p>
    <w:p>
      <w:pPr>
        <w:ind w:right="160" w:firstLine="620"/>
        <w:spacing w:after="0" w:line="283" w:lineRule="auto"/>
        <w:rPr>
          <w:sz w:val="20"/>
          <w:szCs w:val="20"/>
          <w:color w:val="auto"/>
        </w:rPr>
      </w:pPr>
      <w:r>
        <w:rPr>
          <w:rFonts w:ascii="Arial" w:cs="Arial" w:eastAsia="Arial" w:hAnsi="Arial"/>
          <w:sz w:val="17"/>
          <w:szCs w:val="17"/>
          <w:color w:val="auto"/>
        </w:rPr>
        <w:t>Our primary customers are acute care hospitals, wholesalers, ambulatory clinics and alternate site facilities, such as clinics, home health care providers and long-term care facilities. We sell our products in more than 90 countries throughout the world.</w:t>
      </w:r>
    </w:p>
    <w:p>
      <w:pPr>
        <w:spacing w:after="0" w:line="185" w:lineRule="exact"/>
        <w:rPr>
          <w:sz w:val="20"/>
          <w:szCs w:val="20"/>
          <w:color w:val="auto"/>
        </w:rPr>
      </w:pPr>
    </w:p>
    <w:p>
      <w:pPr>
        <w:ind w:right="380" w:firstLine="169"/>
        <w:spacing w:after="0" w:line="283" w:lineRule="auto"/>
        <w:rPr>
          <w:sz w:val="20"/>
          <w:szCs w:val="20"/>
          <w:color w:val="auto"/>
        </w:rPr>
      </w:pPr>
      <w:r>
        <w:rPr>
          <w:rFonts w:ascii="Arial" w:cs="Arial" w:eastAsia="Arial" w:hAnsi="Arial"/>
          <w:sz w:val="17"/>
          <w:szCs w:val="17"/>
          <w:color w:val="auto"/>
        </w:rPr>
        <w:t>We categorize our products into four main product lines: Infusion Consumables, Infusion Systems, IV Solutions and Critical Care. We have presented our financial results in accordance with these product lines, with our primary products in each line listed below.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Overview</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244" w:lineRule="exact"/>
        <w:rPr>
          <w:sz w:val="20"/>
          <w:szCs w:val="20"/>
          <w:color w:val="auto"/>
        </w:rPr>
      </w:pPr>
    </w:p>
    <w:p>
      <w:pPr>
        <w:ind w:right="280" w:firstLine="169"/>
        <w:spacing w:after="0" w:line="285" w:lineRule="auto"/>
        <w:rPr>
          <w:sz w:val="20"/>
          <w:szCs w:val="20"/>
          <w:color w:val="auto"/>
        </w:rPr>
      </w:pPr>
      <w:r>
        <w:rPr>
          <w:rFonts w:ascii="Arial" w:cs="Arial" w:eastAsia="Arial" w:hAnsi="Arial"/>
          <w:sz w:val="16"/>
          <w:szCs w:val="16"/>
          <w:color w:val="auto"/>
        </w:rPr>
        <w:t>The novel coronavirus and its variants (“COVID-19”) continues to have an impact on our business operations. Our manufacturing, distribution and pump service facilities continue to operate under our business continuity plan and our precautionary safety measures implemented to maximize the safety of our employees and mitigate disruption of our business are still in effect. For greater detail on the above mentioned safety measures and a discussion of how future results may potentially be impacted by COVID-19 see Part II, Item 7, of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firstLine="620"/>
        <w:spacing w:after="0" w:line="263" w:lineRule="auto"/>
        <w:rPr>
          <w:sz w:val="20"/>
          <w:szCs w:val="20"/>
          <w:color w:val="auto"/>
        </w:rPr>
      </w:pPr>
      <w:r>
        <w:rPr>
          <w:rFonts w:ascii="Arial" w:cs="Arial" w:eastAsia="Arial" w:hAnsi="Arial"/>
          <w:sz w:val="17"/>
          <w:szCs w:val="17"/>
          <w:color w:val="auto"/>
        </w:rPr>
        <w:t>While we continually monitor the ongoing and evolving impact of the effect of the COVID-19 pandemic on our operations the overall impact will not be fully reflected in our results of operations until future periods. The duration and extent of the impact from the COVID-19 pandemic depends on future developments that cannot be fully predicted at this time, as such, the impact of the pandemic on our overall financial performance remain uncertain and cannot as yet be quantified.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Consumables</w:t>
      </w:r>
    </w:p>
    <w:p>
      <w:pPr>
        <w:spacing w:after="0" w:line="244" w:lineRule="exact"/>
        <w:rPr>
          <w:sz w:val="20"/>
          <w:szCs w:val="20"/>
          <w:color w:val="auto"/>
        </w:rPr>
      </w:pPr>
    </w:p>
    <w:p>
      <w:pPr>
        <w:ind w:right="260" w:firstLine="620"/>
        <w:spacing w:after="0" w:line="283" w:lineRule="auto"/>
        <w:rPr>
          <w:sz w:val="20"/>
          <w:szCs w:val="20"/>
          <w:color w:val="auto"/>
        </w:rPr>
      </w:pPr>
      <w:r>
        <w:rPr>
          <w:rFonts w:ascii="Arial" w:cs="Arial" w:eastAsia="Arial" w:hAnsi="Arial"/>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85" w:lineRule="exact"/>
        <w:rPr>
          <w:sz w:val="20"/>
          <w:szCs w:val="20"/>
          <w:color w:val="auto"/>
        </w:rPr>
      </w:pPr>
    </w:p>
    <w:p>
      <w:pPr>
        <w:ind w:left="1240" w:right="220" w:hanging="306"/>
        <w:spacing w:after="0" w:line="268" w:lineRule="auto"/>
        <w:tabs>
          <w:tab w:leader="none" w:pos="123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Clave™ needlefree products</w:t>
      </w:r>
      <w:r>
        <w:rPr>
          <w:rFonts w:ascii="Arial" w:cs="Arial" w:eastAsia="Arial" w:hAnsi="Arial"/>
          <w:sz w:val="17"/>
          <w:szCs w:val="17"/>
          <w:color w:val="auto"/>
        </w:rPr>
        <w:t>, including the MicroClave, MicroClave Clear, and NanoClave™ brand of connectors, accessories, extension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sets used for the administration of IV fluids and medications and the Neutron catheter patency device, used to help maintain patency of central venous catheters;</w:t>
      </w:r>
    </w:p>
    <w:p>
      <w:pPr>
        <w:spacing w:after="0" w:line="197" w:lineRule="exact"/>
        <w:rPr>
          <w:rFonts w:ascii="Arial" w:cs="Arial" w:eastAsia="Arial" w:hAnsi="Arial"/>
          <w:sz w:val="17"/>
          <w:szCs w:val="17"/>
          <w:i w:val="1"/>
          <w:iCs w:val="1"/>
          <w:color w:val="auto"/>
        </w:rPr>
      </w:pPr>
    </w:p>
    <w:p>
      <w:pPr>
        <w:ind w:left="1240" w:hanging="306"/>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SwabCap </w:t>
      </w:r>
      <w:r>
        <w:rPr>
          <w:rFonts w:ascii="Arial" w:cs="Arial" w:eastAsia="Arial" w:hAnsi="Arial"/>
          <w:sz w:val="17"/>
          <w:szCs w:val="17"/>
          <w:color w:val="auto"/>
        </w:rPr>
        <w:t>disinfecting cap, used to protect and disinfect any needlefree connector, including competitive brands of connectors;</w:t>
      </w:r>
    </w:p>
    <w:p>
      <w:pPr>
        <w:spacing w:after="0" w:line="243" w:lineRule="exact"/>
        <w:rPr>
          <w:rFonts w:ascii="Arial" w:cs="Arial" w:eastAsia="Arial" w:hAnsi="Arial"/>
          <w:sz w:val="17"/>
          <w:szCs w:val="17"/>
          <w:color w:val="auto"/>
        </w:rPr>
      </w:pPr>
    </w:p>
    <w:p>
      <w:pPr>
        <w:ind w:left="1240" w:hanging="306"/>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ClearGuard HD </w:t>
      </w:r>
      <w:r>
        <w:rPr>
          <w:rFonts w:ascii="Arial" w:cs="Arial" w:eastAsia="Arial" w:hAnsi="Arial"/>
          <w:sz w:val="17"/>
          <w:szCs w:val="17"/>
          <w:color w:val="auto"/>
        </w:rPr>
        <w:t>antimicrobial barrier caps for hemodialysis catheters; and</w:t>
      </w:r>
    </w:p>
    <w:p>
      <w:pPr>
        <w:spacing w:after="0" w:line="236" w:lineRule="exact"/>
        <w:rPr>
          <w:rFonts w:ascii="Arial" w:cs="Arial" w:eastAsia="Arial" w:hAnsi="Arial"/>
          <w:sz w:val="17"/>
          <w:szCs w:val="17"/>
          <w:color w:val="auto"/>
        </w:rPr>
      </w:pPr>
    </w:p>
    <w:p>
      <w:pPr>
        <w:ind w:left="1240" w:hanging="306"/>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Tego</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hemodialysis connector used to cap and protect hemodialysis central venous catheter hubs;</w:t>
      </w:r>
    </w:p>
    <w:p>
      <w:pPr>
        <w:spacing w:after="0" w:line="193" w:lineRule="exact"/>
        <w:rPr>
          <w:sz w:val="20"/>
          <w:szCs w:val="20"/>
          <w:color w:val="auto"/>
        </w:rPr>
      </w:pPr>
    </w:p>
    <w:p>
      <w:pPr>
        <w:ind w:right="180" w:firstLine="172"/>
        <w:spacing w:after="0" w:line="315" w:lineRule="auto"/>
        <w:rPr>
          <w:sz w:val="20"/>
          <w:szCs w:val="20"/>
          <w:color w:val="auto"/>
        </w:rPr>
      </w:pPr>
      <w:r>
        <w:rPr>
          <w:rFonts w:ascii="Arial" w:cs="Arial" w:eastAsia="Arial" w:hAnsi="Arial"/>
          <w:sz w:val="16"/>
          <w:szCs w:val="16"/>
          <w:i w:val="1"/>
          <w:iCs w:val="1"/>
          <w:color w:val="auto"/>
        </w:rPr>
        <w:t xml:space="preserve">Closed System Transfer Devices ("CSTD") and hazardous drug compounding systems </w:t>
      </w:r>
      <w:r>
        <w:rPr>
          <w:rFonts w:ascii="Arial" w:cs="Arial" w:eastAsia="Arial" w:hAnsi="Arial"/>
          <w:sz w:val="16"/>
          <w:szCs w:val="16"/>
          <w:color w:val="auto"/>
        </w:rPr>
        <w:t>are used to prepare and deliver hazardous IV medications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chemotherapy, which, if released, can have harmful effects on the healthcare worker and environment. Our products are:</w:t>
      </w:r>
    </w:p>
    <w:p>
      <w:pPr>
        <w:spacing w:after="0" w:line="156" w:lineRule="exact"/>
        <w:rPr>
          <w:sz w:val="20"/>
          <w:szCs w:val="20"/>
          <w:color w:val="auto"/>
        </w:rPr>
      </w:pPr>
    </w:p>
    <w:p>
      <w:pPr>
        <w:ind w:left="1240" w:right="100" w:hanging="306"/>
        <w:spacing w:after="0" w:line="238" w:lineRule="auto"/>
        <w:tabs>
          <w:tab w:leader="none" w:pos="123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ChemoLock</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CSTD which utilizes a proprietary needlefree connection method, is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ChemoLock is used to limit the escape of hazardous drug or vapor concentrations, block the transfer of environmental contaminants into the system, and eliminates the risk of needlestick injury;</w:t>
      </w:r>
    </w:p>
    <w:p>
      <w:pPr>
        <w:spacing w:after="0" w:line="214" w:lineRule="exact"/>
        <w:rPr>
          <w:rFonts w:ascii="Arial" w:cs="Arial" w:eastAsia="Arial" w:hAnsi="Arial"/>
          <w:sz w:val="17"/>
          <w:szCs w:val="17"/>
          <w:color w:val="auto"/>
        </w:rPr>
      </w:pPr>
    </w:p>
    <w:p>
      <w:pPr>
        <w:ind w:left="1240" w:right="100" w:hanging="306"/>
        <w:spacing w:after="0" w:line="242" w:lineRule="auto"/>
        <w:tabs>
          <w:tab w:leader="none" w:pos="123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an ISO Connection standard and universally compatible CSTD used for the preparation and administration of hazardous drugs.</w:t>
      </w:r>
      <w:r>
        <w:rPr>
          <w:rFonts w:ascii="Arial" w:cs="Arial" w:eastAsia="Arial" w:hAnsi="Arial"/>
          <w:sz w:val="17"/>
          <w:szCs w:val="17"/>
          <w:i w:val="1"/>
          <w:iCs w:val="1"/>
          <w:color w:val="auto"/>
        </w:rPr>
        <w:t xml:space="preserve"> </w:t>
      </w:r>
      <w:r>
        <w:rPr>
          <w:rFonts w:ascii="Arial" w:cs="Arial" w:eastAsia="Arial" w:hAnsi="Arial"/>
          <w:sz w:val="17"/>
          <w:szCs w:val="17"/>
          <w:color w:val="auto"/>
        </w:rPr>
        <w:t>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13" w:lineRule="exact"/>
        <w:rPr>
          <w:rFonts w:ascii="Arial" w:cs="Arial" w:eastAsia="Arial" w:hAnsi="Arial"/>
          <w:sz w:val="17"/>
          <w:szCs w:val="17"/>
          <w:color w:val="auto"/>
        </w:rPr>
      </w:pPr>
    </w:p>
    <w:p>
      <w:pPr>
        <w:ind w:left="1240" w:hanging="306"/>
        <w:spacing w:after="0" w:line="242" w:lineRule="auto"/>
        <w:tabs>
          <w:tab w:leader="none" w:pos="123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Diana</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hazardous drug compounding system, an automated sterile compounding system that incorporates ChemoClave and ChemoLock CSTD</w:t>
      </w:r>
      <w:r>
        <w:rPr>
          <w:rFonts w:ascii="Arial" w:cs="Arial" w:eastAsia="Arial" w:hAnsi="Arial"/>
          <w:sz w:val="17"/>
          <w:szCs w:val="17"/>
          <w:i w:val="1"/>
          <w:iCs w:val="1"/>
          <w:color w:val="auto"/>
        </w:rPr>
        <w:t xml:space="preserve"> </w:t>
      </w:r>
      <w:r>
        <w:rPr>
          <w:rFonts w:ascii="Arial" w:cs="Arial" w:eastAsia="Arial" w:hAnsi="Arial"/>
          <w:sz w:val="17"/>
          <w:szCs w:val="17"/>
          <w:color w:val="auto"/>
        </w:rPr>
        <w:t>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220" w:lineRule="exact"/>
        <w:rPr>
          <w:sz w:val="20"/>
          <w:szCs w:val="20"/>
          <w:color w:val="auto"/>
        </w:rPr>
      </w:pPr>
    </w:p>
    <w:p>
      <w:pPr>
        <w:ind w:right="40" w:firstLine="620"/>
        <w:spacing w:after="0" w:line="292" w:lineRule="auto"/>
        <w:rPr>
          <w:sz w:val="20"/>
          <w:szCs w:val="20"/>
          <w:color w:val="auto"/>
        </w:rPr>
      </w:pPr>
      <w:r>
        <w:rPr>
          <w:rFonts w:ascii="Arial" w:cs="Arial" w:eastAsia="Arial" w:hAnsi="Arial"/>
          <w:sz w:val="16"/>
          <w:szCs w:val="16"/>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offer a wide range of infusion pumps, dedicated IV sets and software. Our primary Infusion System products are dedicated IV sets and the following:</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Infusion Pump Hardware: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40" w:right="180" w:hanging="306"/>
        <w:spacing w:after="0" w:line="268" w:lineRule="auto"/>
        <w:tabs>
          <w:tab w:leader="none" w:pos="123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Plum 360™</w:t>
      </w:r>
      <w:r>
        <w:rPr>
          <w:rFonts w:ascii="Arial" w:cs="Arial" w:eastAsia="Arial" w:hAnsi="Arial"/>
          <w:sz w:val="17"/>
          <w:szCs w:val="17"/>
          <w:color w:val="auto"/>
        </w:rPr>
        <w:t>: The Plum 360™ infusion pump is an ICU Medical MedNet™ ready large volume infusion pump with an extensive drug library</w:t>
      </w:r>
      <w:r>
        <w:rPr>
          <w:rFonts w:ascii="Arial" w:cs="Arial" w:eastAsia="Arial" w:hAnsi="Arial"/>
          <w:sz w:val="17"/>
          <w:szCs w:val="17"/>
          <w:i w:val="1"/>
          <w:iCs w:val="1"/>
          <w:color w:val="auto"/>
        </w:rPr>
        <w:t xml:space="preserve"> </w:t>
      </w:r>
      <w:r>
        <w:rPr>
          <w:rFonts w:ascii="Arial" w:cs="Arial" w:eastAsia="Arial" w:hAnsi="Arial"/>
          <w:sz w:val="17"/>
          <w:szCs w:val="17"/>
          <w:color w:val="auto"/>
        </w:rPr>
        <w:t>and wireless capability. Plum 360 was named the 2018, 2019 and 2020 Best in KLAS winner as top-performing IV smart pump and is the first medical device to be awarded UL Cybersecurity Assurance Program Certification; and</w:t>
      </w:r>
    </w:p>
    <w:p>
      <w:pPr>
        <w:spacing w:after="0" w:line="197" w:lineRule="exact"/>
        <w:rPr>
          <w:rFonts w:ascii="Arial" w:cs="Arial" w:eastAsia="Arial" w:hAnsi="Arial"/>
          <w:sz w:val="17"/>
          <w:szCs w:val="17"/>
          <w:color w:val="auto"/>
        </w:rPr>
      </w:pPr>
    </w:p>
    <w:p>
      <w:pPr>
        <w:ind w:left="1240" w:right="140" w:hanging="306"/>
        <w:spacing w:after="0" w:line="283" w:lineRule="auto"/>
        <w:tabs>
          <w:tab w:leader="none" w:pos="123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LifeCare PCA™</w:t>
      </w:r>
      <w:r>
        <w:rPr>
          <w:rFonts w:ascii="Arial" w:cs="Arial" w:eastAsia="Arial" w:hAnsi="Arial"/>
          <w:sz w:val="17"/>
          <w:szCs w:val="17"/>
          <w:color w:val="auto"/>
        </w:rPr>
        <w:t>: The LifeCare PCA infusion pump is an ICU Medical MedNet™ ready patient-controlled analgesia pump ("PCA"),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 IV-EHR interoperability since 2016.</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IV Mediation Safety Software:</w:t>
      </w:r>
    </w:p>
    <w:p>
      <w:pPr>
        <w:spacing w:after="0" w:line="244" w:lineRule="exact"/>
        <w:rPr>
          <w:sz w:val="20"/>
          <w:szCs w:val="20"/>
          <w:color w:val="auto"/>
        </w:rPr>
      </w:pPr>
    </w:p>
    <w:p>
      <w:pPr>
        <w:ind w:left="1240" w:hanging="306"/>
        <w:spacing w:after="0" w:line="263" w:lineRule="auto"/>
        <w:tabs>
          <w:tab w:leader="none" w:pos="123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ICU Medical MedNet</w:t>
      </w:r>
      <w:r>
        <w:rPr>
          <w:rFonts w:ascii="Arial" w:cs="Arial" w:eastAsia="Arial" w:hAnsi="Arial"/>
          <w:sz w:val="17"/>
          <w:szCs w:val="17"/>
          <w:color w:val="auto"/>
        </w:rPr>
        <w:t>™: ICU Medical MedNet is an enterprise-class medication management platform for any sized healthcare system that can</w:t>
      </w:r>
      <w:r>
        <w:rPr>
          <w:rFonts w:ascii="Arial" w:cs="Arial" w:eastAsia="Arial" w:hAnsi="Arial"/>
          <w:sz w:val="17"/>
          <w:szCs w:val="17"/>
          <w:i w:val="1"/>
          <w:iCs w:val="1"/>
          <w:color w:val="auto"/>
        </w:rPr>
        <w:t xml:space="preserve"> </w:t>
      </w:r>
      <w:r>
        <w:rPr>
          <w:rFonts w:ascii="Arial" w:cs="Arial" w:eastAsia="Arial" w:hAnsi="Arial"/>
          <w:sz w:val="17"/>
          <w:szCs w:val="17"/>
          <w:color w:val="auto"/>
        </w:rPr>
        <w:t>help reduce medication errors, improve quality of care, streamline workflows and maximize revenue capture. ICU Medical MedNet connects our industry-leading smart pumps to a hospital’s Electronic Health Records ("EHR"), asset tracking systems, and alarm notification platforms with the largest array of integration partners.</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Professional Services:</w:t>
      </w:r>
    </w:p>
    <w:p>
      <w:pPr>
        <w:spacing w:after="0" w:line="244" w:lineRule="exact"/>
        <w:rPr>
          <w:sz w:val="20"/>
          <w:szCs w:val="20"/>
          <w:color w:val="auto"/>
        </w:rPr>
      </w:pPr>
    </w:p>
    <w:p>
      <w:pPr>
        <w:ind w:left="1240" w:right="520" w:hanging="306"/>
        <w:spacing w:after="0" w:line="268" w:lineRule="auto"/>
        <w:tabs>
          <w:tab w:leader="none" w:pos="12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IV Solutions</w:t>
      </w:r>
    </w:p>
    <w:p>
      <w:pPr>
        <w:spacing w:after="0" w:line="244" w:lineRule="exact"/>
        <w:rPr>
          <w:sz w:val="20"/>
          <w:szCs w:val="20"/>
          <w:color w:val="auto"/>
        </w:rPr>
      </w:pPr>
    </w:p>
    <w:p>
      <w:pPr>
        <w:ind w:right="140" w:firstLine="169"/>
        <w:spacing w:after="0" w:line="283" w:lineRule="auto"/>
        <w:rPr>
          <w:sz w:val="20"/>
          <w:szCs w:val="20"/>
          <w:color w:val="auto"/>
        </w:rPr>
      </w:pPr>
      <w:r>
        <w:rPr>
          <w:rFonts w:ascii="Arial" w:cs="Arial" w:eastAsia="Arial" w:hAnsi="Arial"/>
          <w:sz w:val="17"/>
          <w:szCs w:val="17"/>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IV Therapy and Diluents:</w:t>
      </w:r>
    </w:p>
    <w:p>
      <w:pPr>
        <w:spacing w:after="0" w:line="244" w:lineRule="exact"/>
        <w:rPr>
          <w:sz w:val="20"/>
          <w:szCs w:val="20"/>
          <w:color w:val="auto"/>
        </w:rPr>
      </w:pPr>
    </w:p>
    <w:p>
      <w:pPr>
        <w:ind w:left="1240" w:right="300" w:hanging="306"/>
        <w:spacing w:after="0" w:line="283" w:lineRule="auto"/>
        <w:tabs>
          <w:tab w:leader="none" w:pos="12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Including Sodium Chloride, Dextrose, Balanced Electrolyte Solutions, Lactated Ringer's, Ringer's, Mannitol, Sodium Chloride/Dextrose and Sterile Water.</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Irrigation:</w:t>
      </w:r>
    </w:p>
    <w:p>
      <w:pPr>
        <w:spacing w:after="0" w:line="244" w:lineRule="exact"/>
        <w:rPr>
          <w:sz w:val="20"/>
          <w:szCs w:val="20"/>
          <w:color w:val="auto"/>
        </w:rPr>
      </w:pPr>
    </w:p>
    <w:p>
      <w:pPr>
        <w:ind w:left="1240" w:right="560" w:hanging="306"/>
        <w:spacing w:after="0" w:line="283" w:lineRule="auto"/>
        <w:tabs>
          <w:tab w:leader="none" w:pos="12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Including Sodium Chloride Irrigation, Sterile Water Irrigation, Physiologic Solutions, Ringer's Irrigation, Acetic Acid Irrigation, Glycine Irrigation, Sorbitol-Mannitol Irrigation, Flexible Containers and Pour Bottle Options.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Care</w:t>
      </w:r>
    </w:p>
    <w:p>
      <w:pPr>
        <w:spacing w:after="0" w:line="244" w:lineRule="exact"/>
        <w:rPr>
          <w:sz w:val="20"/>
          <w:szCs w:val="20"/>
          <w:color w:val="auto"/>
        </w:rPr>
      </w:pPr>
    </w:p>
    <w:p>
      <w:pPr>
        <w:ind w:right="180" w:firstLine="172"/>
        <w:spacing w:after="0" w:line="268" w:lineRule="auto"/>
        <w:rPr>
          <w:sz w:val="20"/>
          <w:szCs w:val="20"/>
          <w:color w:val="auto"/>
        </w:rPr>
      </w:pPr>
      <w:r>
        <w:rPr>
          <w:rFonts w:ascii="Arial" w:cs="Arial" w:eastAsia="Arial" w:hAnsi="Arial"/>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98" w:lineRule="exact"/>
        <w:rPr>
          <w:sz w:val="20"/>
          <w:szCs w:val="20"/>
          <w:color w:val="auto"/>
        </w:rPr>
      </w:pPr>
    </w:p>
    <w:p>
      <w:pPr>
        <w:ind w:left="1240" w:hanging="306"/>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Cogent™ 2-in-1 hemodynamic monitoring system;</w:t>
      </w:r>
    </w:p>
    <w:p>
      <w:pPr>
        <w:spacing w:after="0" w:line="23" w:lineRule="exact"/>
        <w:rPr>
          <w:rFonts w:ascii="Arial" w:cs="Arial" w:eastAsia="Arial" w:hAnsi="Arial"/>
          <w:sz w:val="17"/>
          <w:szCs w:val="17"/>
          <w:color w:val="auto"/>
        </w:rPr>
      </w:pPr>
    </w:p>
    <w:p>
      <w:pPr>
        <w:ind w:left="1240" w:hanging="306"/>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CardioFlo™ hemodynamic monitoring system;</w:t>
      </w:r>
    </w:p>
    <w:p>
      <w:pPr>
        <w:spacing w:after="0" w:line="11" w:lineRule="exact"/>
        <w:rPr>
          <w:rFonts w:ascii="Arial" w:cs="Arial" w:eastAsia="Arial" w:hAnsi="Arial"/>
          <w:sz w:val="17"/>
          <w:szCs w:val="17"/>
          <w:color w:val="auto"/>
        </w:rPr>
      </w:pPr>
    </w:p>
    <w:p>
      <w:pPr>
        <w:ind w:left="1240" w:hanging="306"/>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TDQ™ and OptiQ™ cardiac output monitoring catheters;</w:t>
      </w:r>
    </w:p>
    <w:p>
      <w:pPr>
        <w:spacing w:after="0" w:line="11" w:lineRule="exact"/>
        <w:rPr>
          <w:rFonts w:ascii="Arial" w:cs="Arial" w:eastAsia="Arial" w:hAnsi="Arial"/>
          <w:sz w:val="17"/>
          <w:szCs w:val="17"/>
          <w:color w:val="auto"/>
        </w:rPr>
      </w:pPr>
    </w:p>
    <w:p>
      <w:pPr>
        <w:ind w:left="1240" w:hanging="306"/>
        <w:spacing w:after="0" w:line="197"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TriOx</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venous oximetry catheters;</w:t>
      </w:r>
    </w:p>
    <w:p>
      <w:pPr>
        <w:ind w:left="1240" w:hanging="306"/>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Transpac™ blood pressure transducers; and</w:t>
      </w:r>
    </w:p>
    <w:p>
      <w:pPr>
        <w:spacing w:after="0" w:line="9" w:lineRule="exact"/>
        <w:rPr>
          <w:rFonts w:ascii="Arial" w:cs="Arial" w:eastAsia="Arial" w:hAnsi="Arial"/>
          <w:sz w:val="17"/>
          <w:szCs w:val="17"/>
          <w:color w:val="auto"/>
        </w:rPr>
      </w:pPr>
    </w:p>
    <w:p>
      <w:pPr>
        <w:ind w:left="1240" w:hanging="306"/>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SafeSet™ closed blood sampling and conservation system.</w:t>
      </w:r>
    </w:p>
    <w:p>
      <w:pPr>
        <w:spacing w:after="0" w:line="205" w:lineRule="exact"/>
        <w:rPr>
          <w:sz w:val="20"/>
          <w:szCs w:val="20"/>
          <w:color w:val="auto"/>
        </w:rPr>
      </w:pPr>
    </w:p>
    <w:p>
      <w:pPr>
        <w:ind w:right="20" w:firstLine="169"/>
        <w:spacing w:after="0" w:line="283" w:lineRule="auto"/>
        <w:rPr>
          <w:sz w:val="20"/>
          <w:szCs w:val="20"/>
          <w:color w:val="auto"/>
        </w:rPr>
      </w:pPr>
      <w:r>
        <w:rPr>
          <w:rFonts w:ascii="Arial" w:cs="Arial" w:eastAsia="Arial" w:hAnsi="Arial"/>
          <w:sz w:val="17"/>
          <w:szCs w:val="17"/>
          <w:color w:val="auto"/>
        </w:rPr>
        <w:t>The following table summarizes our total worldwide revenue by domestic and international markets by amount and as a percentage of total revenue (in millions, except percentages):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080"/>
        <w:spacing w:after="0"/>
        <w:rPr>
          <w:sz w:val="20"/>
          <w:szCs w:val="20"/>
          <w:color w:val="auto"/>
        </w:rPr>
      </w:pPr>
      <w:r>
        <w:rPr>
          <w:rFonts w:ascii="Arial" w:cs="Arial" w:eastAsia="Arial" w:hAnsi="Arial"/>
          <w:sz w:val="16"/>
          <w:szCs w:val="16"/>
          <w:b w:val="1"/>
          <w:bCs w:val="1"/>
          <w:color w:val="auto"/>
        </w:rPr>
        <w:t>Three months ended</w:t>
      </w:r>
    </w:p>
    <w:p>
      <w:pPr>
        <w:ind w:left="8440"/>
        <w:spacing w:after="0"/>
        <w:rPr>
          <w:sz w:val="20"/>
          <w:szCs w:val="20"/>
          <w:color w:val="auto"/>
        </w:rPr>
      </w:pPr>
      <w:r>
        <w:rPr>
          <w:rFonts w:ascii="Arial" w:cs="Arial" w:eastAsia="Arial" w:hAnsi="Arial"/>
          <w:sz w:val="16"/>
          <w:szCs w:val="16"/>
          <w:b w:val="1"/>
          <w:bCs w:val="1"/>
          <w:color w:val="auto"/>
        </w:rPr>
        <w:t>March 31,</w:t>
      </w:r>
    </w:p>
    <w:tbl>
      <w:tblPr>
        <w:tblLayout w:type="fixed"/>
        <w:tblInd w:w="0" w:type="dxa"/>
        <w:tblCellMar>
          <w:top w:w="0" w:type="dxa"/>
          <w:left w:w="0" w:type="dxa"/>
          <w:bottom w:w="0" w:type="dxa"/>
          <w:right w:w="0" w:type="dxa"/>
        </w:tblCellMar>
      </w:tblPr>
      <w:tr>
        <w:trPr>
          <w:trHeight w:val="204"/>
        </w:trPr>
        <w:tc>
          <w:tcPr>
            <w:tcW w:w="630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3"/>
          </w:tcPr>
          <w:p>
            <w:pPr>
              <w:jc w:val="right"/>
              <w:ind w:right="417"/>
              <w:spacing w:after="0"/>
              <w:rPr>
                <w:sz w:val="20"/>
                <w:szCs w:val="20"/>
                <w:color w:val="auto"/>
              </w:rPr>
            </w:pPr>
            <w:r>
              <w:rPr>
                <w:rFonts w:ascii="Arial" w:cs="Arial" w:eastAsia="Arial" w:hAnsi="Arial"/>
                <w:sz w:val="16"/>
                <w:szCs w:val="16"/>
                <w:b w:val="1"/>
                <w:bCs w:val="1"/>
                <w:color w:val="auto"/>
                <w:w w:val="89"/>
              </w:rPr>
              <w:t>2021</w:t>
            </w:r>
          </w:p>
        </w:tc>
        <w:tc>
          <w:tcPr>
            <w:tcW w:w="5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right"/>
              <w:ind w:right="957"/>
              <w:spacing w:after="0"/>
              <w:rPr>
                <w:sz w:val="20"/>
                <w:szCs w:val="20"/>
                <w:color w:val="auto"/>
              </w:rPr>
            </w:pPr>
            <w:r>
              <w:rPr>
                <w:rFonts w:ascii="Arial" w:cs="Arial" w:eastAsia="Arial" w:hAnsi="Arial"/>
                <w:sz w:val="16"/>
                <w:szCs w:val="16"/>
                <w:b w:val="1"/>
                <w:bCs w:val="1"/>
                <w:color w:val="auto"/>
                <w:w w:val="89"/>
              </w:rPr>
              <w:t>2020</w:t>
            </w:r>
          </w:p>
        </w:tc>
      </w:tr>
      <w:tr>
        <w:trPr>
          <w:trHeight w:val="199"/>
        </w:trPr>
        <w:tc>
          <w:tcPr>
            <w:tcW w:w="63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 of Revenue</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 of Revenue</w:t>
            </w:r>
          </w:p>
        </w:tc>
      </w:tr>
      <w:tr>
        <w:trPr>
          <w:trHeight w:val="215"/>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620" w:type="dxa"/>
            <w:vAlign w:val="bottom"/>
            <w:shd w:val="clear" w:color="auto" w:fill="CCEEFF"/>
          </w:tcPr>
          <w:p>
            <w:pPr>
              <w:jc w:val="right"/>
              <w:ind w:right="417"/>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227.3</w:t>
            </w: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71 %</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230.2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70 %</w:t>
            </w:r>
          </w:p>
        </w:tc>
      </w:tr>
      <w:tr>
        <w:trPr>
          <w:trHeight w:val="22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International</w:t>
            </w:r>
          </w:p>
        </w:tc>
        <w:tc>
          <w:tcPr>
            <w:tcW w:w="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29 %</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98.4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30 %</w:t>
            </w:r>
          </w:p>
        </w:tc>
      </w:tr>
      <w:tr>
        <w:trPr>
          <w:trHeight w:val="233"/>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Revenue</w:t>
            </w:r>
          </w:p>
        </w:tc>
        <w:tc>
          <w:tcPr>
            <w:tcW w:w="62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318.0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100 %</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328.6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6300" w:type="dxa"/>
            <w:vAlign w:val="bottom"/>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6"/>
        </w:trPr>
        <w:tc>
          <w:tcPr>
            <w:tcW w:w="8760" w:type="dxa"/>
            <w:vAlign w:val="bottom"/>
            <w:gridSpan w:val="8"/>
          </w:tcPr>
          <w:p>
            <w:pPr>
              <w:ind w:left="620"/>
              <w:spacing w:after="0"/>
              <w:rPr>
                <w:sz w:val="20"/>
                <w:szCs w:val="20"/>
                <w:color w:val="auto"/>
              </w:rPr>
            </w:pPr>
            <w:r>
              <w:rPr>
                <w:rFonts w:ascii="Arial" w:cs="Arial" w:eastAsia="Arial" w:hAnsi="Arial"/>
                <w:sz w:val="17"/>
                <w:szCs w:val="17"/>
                <w:color w:val="auto"/>
                <w:w w:val="91"/>
              </w:rPr>
              <w:t>The following table sets forth, for the periods indicated, total revenue by product line as a percentage of total revenue:</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1"/>
        </w:trPr>
        <w:tc>
          <w:tcPr>
            <w:tcW w:w="6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60" w:type="dxa"/>
            <w:vAlign w:val="bottom"/>
            <w:gridSpan w:val="6"/>
          </w:tcPr>
          <w:p>
            <w:pPr>
              <w:jc w:val="right"/>
              <w:ind w:right="777"/>
              <w:spacing w:after="0"/>
              <w:rPr>
                <w:sz w:val="20"/>
                <w:szCs w:val="20"/>
                <w:color w:val="auto"/>
              </w:rPr>
            </w:pPr>
            <w:r>
              <w:rPr>
                <w:rFonts w:ascii="Arial" w:cs="Arial" w:eastAsia="Arial" w:hAnsi="Arial"/>
                <w:sz w:val="16"/>
                <w:szCs w:val="16"/>
                <w:b w:val="1"/>
                <w:bCs w:val="1"/>
                <w:color w:val="auto"/>
                <w:w w:val="87"/>
              </w:rPr>
              <w:t>Three months ended</w:t>
            </w:r>
          </w:p>
        </w:tc>
      </w:tr>
      <w:tr>
        <w:trPr>
          <w:trHeight w:val="202"/>
        </w:trPr>
        <w:tc>
          <w:tcPr>
            <w:tcW w:w="6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jc w:val="right"/>
              <w:ind w:right="1097"/>
              <w:spacing w:after="0"/>
              <w:rPr>
                <w:sz w:val="20"/>
                <w:szCs w:val="20"/>
                <w:color w:val="auto"/>
              </w:rPr>
            </w:pPr>
            <w:r>
              <w:rPr>
                <w:rFonts w:ascii="Arial" w:cs="Arial" w:eastAsia="Arial" w:hAnsi="Arial"/>
                <w:sz w:val="16"/>
                <w:szCs w:val="16"/>
                <w:b w:val="1"/>
                <w:bCs w:val="1"/>
                <w:color w:val="auto"/>
              </w:rPr>
              <w:t>March 31,</w:t>
            </w:r>
          </w:p>
        </w:tc>
      </w:tr>
      <w:tr>
        <w:trPr>
          <w:trHeight w:val="202"/>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line</w:t>
            </w:r>
          </w:p>
        </w:tc>
        <w:tc>
          <w:tcPr>
            <w:tcW w:w="6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6"/>
                <w:szCs w:val="16"/>
                <w:b w:val="1"/>
                <w:bCs w:val="1"/>
                <w:color w:val="auto"/>
              </w:rPr>
              <w:t>2020</w:t>
            </w:r>
          </w:p>
        </w:tc>
      </w:tr>
      <w:tr>
        <w:trPr>
          <w:trHeight w:val="215"/>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Infusion Consumables</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37 %</w:t>
            </w:r>
          </w:p>
        </w:tc>
      </w:tr>
      <w:tr>
        <w:trPr>
          <w:trHeight w:val="220"/>
        </w:trPr>
        <w:tc>
          <w:tcPr>
            <w:tcW w:w="6300" w:type="dxa"/>
            <w:vAlign w:val="bottom"/>
          </w:tcPr>
          <w:p>
            <w:pPr>
              <w:ind w:left="20"/>
              <w:spacing w:after="0"/>
              <w:rPr>
                <w:sz w:val="20"/>
                <w:szCs w:val="20"/>
                <w:color w:val="auto"/>
              </w:rPr>
            </w:pPr>
            <w:r>
              <w:rPr>
                <w:rFonts w:ascii="Arial" w:cs="Arial" w:eastAsia="Arial" w:hAnsi="Arial"/>
                <w:sz w:val="17"/>
                <w:szCs w:val="17"/>
                <w:color w:val="auto"/>
              </w:rPr>
              <w:t>Infusion Systems</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27 %</w:t>
            </w:r>
          </w:p>
        </w:tc>
      </w:tr>
      <w:tr>
        <w:trPr>
          <w:trHeight w:val="220"/>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IV Solutions</w:t>
            </w: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32 %</w:t>
            </w:r>
          </w:p>
        </w:tc>
      </w:tr>
      <w:tr>
        <w:trPr>
          <w:trHeight w:val="22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Critical Care</w:t>
            </w:r>
          </w:p>
        </w:tc>
        <w:tc>
          <w:tcPr>
            <w:tcW w:w="6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4 %</w:t>
            </w:r>
          </w:p>
        </w:tc>
      </w:tr>
      <w:tr>
        <w:trPr>
          <w:trHeight w:val="238"/>
        </w:trPr>
        <w:tc>
          <w:tcPr>
            <w:tcW w:w="6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220" w:firstLine="620"/>
        <w:spacing w:after="0" w:line="263" w:lineRule="auto"/>
        <w:rPr>
          <w:sz w:val="20"/>
          <w:szCs w:val="20"/>
          <w:color w:val="auto"/>
        </w:rPr>
      </w:pPr>
      <w:r>
        <w:rPr>
          <w:rFonts w:ascii="Arial" w:cs="Arial" w:eastAsia="Arial" w:hAnsi="Arial"/>
          <w:sz w:val="17"/>
          <w:szCs w:val="17"/>
          <w:color w:val="auto"/>
        </w:rPr>
        <w:t>We manage our product distribution in the U.S. through a network of two owned and one leased distribution facilities in combination with independent distributors and third-party fulfillment and logistics providers. Our end customers, which include healthcare providers and original equipment manufacturer suppliers, may order and receive our products directly from us or through an independent full-line distributor. Internationally, we manage distribution utilizing international regional hubs and through independent distributors.</w:t>
      </w:r>
    </w:p>
    <w:p>
      <w:pPr>
        <w:spacing w:after="0" w:line="203" w:lineRule="exact"/>
        <w:rPr>
          <w:sz w:val="20"/>
          <w:szCs w:val="20"/>
          <w:color w:val="auto"/>
        </w:rPr>
      </w:pPr>
    </w:p>
    <w:p>
      <w:pPr>
        <w:ind w:right="40" w:firstLine="620"/>
        <w:spacing w:after="0" w:line="281" w:lineRule="auto"/>
        <w:rPr>
          <w:sz w:val="20"/>
          <w:szCs w:val="20"/>
          <w:color w:val="auto"/>
        </w:rPr>
      </w:pPr>
      <w:r>
        <w:rPr>
          <w:rFonts w:ascii="Arial" w:cs="Arial" w:eastAsia="Arial" w:hAnsi="Arial"/>
          <w:sz w:val="16"/>
          <w:szCs w:val="16"/>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organizations or a decline in the demand for our products could have a material adverse effect on our operating results.</w:t>
      </w:r>
    </w:p>
    <w:p>
      <w:pPr>
        <w:spacing w:after="0" w:line="163" w:lineRule="exact"/>
        <w:rPr>
          <w:sz w:val="20"/>
          <w:szCs w:val="20"/>
          <w:color w:val="auto"/>
        </w:rPr>
      </w:pPr>
    </w:p>
    <w:p>
      <w:pPr>
        <w:ind w:right="20" w:firstLine="620"/>
        <w:spacing w:after="0" w:line="304" w:lineRule="auto"/>
        <w:rPr>
          <w:sz w:val="20"/>
          <w:szCs w:val="20"/>
          <w:color w:val="auto"/>
        </w:rPr>
      </w:pPr>
      <w:r>
        <w:rPr>
          <w:rFonts w:ascii="Arial" w:cs="Arial" w:eastAsia="Arial" w:hAnsi="Arial"/>
          <w:sz w:val="15"/>
          <w:szCs w:val="15"/>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 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Seasonality/Quarterly Results</w:t>
      </w:r>
    </w:p>
    <w:p>
      <w:pPr>
        <w:spacing w:after="0" w:line="250" w:lineRule="exact"/>
        <w:rPr>
          <w:sz w:val="20"/>
          <w:szCs w:val="20"/>
          <w:color w:val="auto"/>
        </w:rPr>
      </w:pPr>
    </w:p>
    <w:p>
      <w:pPr>
        <w:ind w:right="140" w:firstLine="169"/>
        <w:spacing w:after="0" w:line="292" w:lineRule="auto"/>
        <w:rPr>
          <w:sz w:val="20"/>
          <w:szCs w:val="20"/>
          <w:color w:val="auto"/>
        </w:rPr>
      </w:pPr>
      <w:r>
        <w:rPr>
          <w:rFonts w:ascii="Arial" w:cs="Arial" w:eastAsia="Arial" w:hAnsi="Arial"/>
          <w:sz w:val="16"/>
          <w:szCs w:val="16"/>
          <w:color w:val="auto"/>
        </w:rPr>
        <w:t>There are no significant seasonal aspects to our business. We may experience fluctuations in net sales as a result of variations in the ordering patterns of our largest customers, which may be driven more by production scheduling and their inventory levels, rather than by seasonality. Our expenses often do not fluctuate in the same manner as net sales, which may cause fluctuations in operating income that are disproportionate to fluctuations in our revenue.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50" w:lineRule="exact"/>
        <w:rPr>
          <w:sz w:val="20"/>
          <w:szCs w:val="20"/>
          <w:color w:val="auto"/>
        </w:rPr>
      </w:pPr>
    </w:p>
    <w:p>
      <w:pPr>
        <w:ind w:right="100" w:firstLine="169"/>
        <w:spacing w:after="0" w:line="283" w:lineRule="auto"/>
        <w:rPr>
          <w:sz w:val="20"/>
          <w:szCs w:val="20"/>
          <w:color w:val="auto"/>
        </w:rPr>
      </w:pPr>
      <w:r>
        <w:rPr>
          <w:rFonts w:ascii="Arial" w:cs="Arial" w:eastAsia="Arial" w:hAnsi="Arial"/>
          <w:sz w:val="17"/>
          <w:szCs w:val="17"/>
          <w:color w:val="auto"/>
        </w:rPr>
        <w:t>We present income statement data in Part I, Item 1 - Financial Statements. The following table shows, for the three and nine months ended March 31, 2021 and 2020, the percentages of each income statement caption in relation to total revenue: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940"/>
        <w:spacing w:after="0"/>
        <w:rPr>
          <w:sz w:val="20"/>
          <w:szCs w:val="20"/>
          <w:color w:val="auto"/>
        </w:rPr>
      </w:pPr>
      <w:r>
        <w:rPr>
          <w:rFonts w:ascii="Arial" w:cs="Arial" w:eastAsia="Arial" w:hAnsi="Arial"/>
          <w:sz w:val="17"/>
          <w:szCs w:val="17"/>
          <w:b w:val="1"/>
          <w:bCs w:val="1"/>
          <w:color w:val="auto"/>
        </w:rPr>
        <w:t>Three months ended</w:t>
      </w:r>
    </w:p>
    <w:p>
      <w:pPr>
        <w:ind w:left="9340"/>
        <w:spacing w:after="0"/>
        <w:rPr>
          <w:sz w:val="20"/>
          <w:szCs w:val="20"/>
          <w:color w:val="auto"/>
        </w:rPr>
      </w:pPr>
      <w:r>
        <w:rPr>
          <w:rFonts w:ascii="Arial" w:cs="Arial" w:eastAsia="Arial" w:hAnsi="Arial"/>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r>
      <w:tr>
        <w:trPr>
          <w:trHeight w:val="213"/>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0"/>
        </w:trPr>
        <w:tc>
          <w:tcPr>
            <w:tcW w:w="9140" w:type="dxa"/>
            <w:vAlign w:val="bottom"/>
            <w:gridSpan w:val="2"/>
          </w:tcPr>
          <w:p>
            <w:pPr>
              <w:ind w:left="20"/>
              <w:spacing w:after="0"/>
              <w:rPr>
                <w:sz w:val="20"/>
                <w:szCs w:val="20"/>
                <w:color w:val="auto"/>
              </w:rPr>
            </w:pPr>
            <w:r>
              <w:rPr>
                <w:rFonts w:ascii="Arial" w:cs="Arial" w:eastAsia="Arial" w:hAnsi="Arial"/>
                <w:sz w:val="17"/>
                <w:szCs w:val="17"/>
                <w:color w:val="auto"/>
              </w:rPr>
              <w:t>Gross margin</w:t>
            </w:r>
          </w:p>
        </w:tc>
        <w:tc>
          <w:tcPr>
            <w:tcW w:w="520" w:type="dxa"/>
            <w:vAlign w:val="bottom"/>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37 %</w:t>
            </w:r>
          </w:p>
        </w:tc>
      </w:tr>
      <w:tr>
        <w:trPr>
          <w:trHeight w:val="220"/>
        </w:trPr>
        <w:tc>
          <w:tcPr>
            <w:tcW w:w="91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 expenses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r>
      <w:tr>
        <w:trPr>
          <w:trHeight w:val="220"/>
        </w:trPr>
        <w:tc>
          <w:tcPr>
            <w:tcW w:w="914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 expenses</w:t>
            </w:r>
          </w:p>
        </w:tc>
        <w:tc>
          <w:tcPr>
            <w:tcW w:w="520" w:type="dxa"/>
            <w:vAlign w:val="bottom"/>
          </w:tcPr>
          <w:p>
            <w:pPr>
              <w:jc w:val="right"/>
              <w:spacing w:after="0"/>
              <w:rPr>
                <w:sz w:val="20"/>
                <w:szCs w:val="20"/>
                <w:color w:val="auto"/>
              </w:rPr>
            </w:pPr>
            <w:r>
              <w:rPr>
                <w:rFonts w:ascii="Arial" w:cs="Arial" w:eastAsia="Arial" w:hAnsi="Arial"/>
                <w:sz w:val="17"/>
                <w:szCs w:val="17"/>
                <w:color w:val="auto"/>
              </w:rPr>
              <w:t>3 %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3 %</w:t>
            </w:r>
          </w:p>
        </w:tc>
      </w:tr>
      <w:tr>
        <w:trPr>
          <w:trHeight w:val="220"/>
        </w:trPr>
        <w:tc>
          <w:tcPr>
            <w:tcW w:w="91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Restructuring and strategic transaction</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r>
      <w:tr>
        <w:trPr>
          <w:trHeight w:val="220"/>
        </w:trPr>
        <w:tc>
          <w:tcPr>
            <w:tcW w:w="9140" w:type="dxa"/>
            <w:vAlign w:val="bottom"/>
            <w:gridSpan w:val="2"/>
          </w:tcPr>
          <w:p>
            <w:pPr>
              <w:ind w:left="140"/>
              <w:spacing w:after="0"/>
              <w:rPr>
                <w:sz w:val="20"/>
                <w:szCs w:val="20"/>
                <w:color w:val="auto"/>
              </w:rPr>
            </w:pPr>
            <w:r>
              <w:rPr>
                <w:rFonts w:ascii="Arial" w:cs="Arial" w:eastAsia="Arial" w:hAnsi="Arial"/>
                <w:sz w:val="17"/>
                <w:szCs w:val="17"/>
                <w:color w:val="auto"/>
              </w:rPr>
              <w:t>Change in fair value of contingent earn-out</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8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Contract settlement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29 %</w:t>
            </w:r>
          </w:p>
        </w:tc>
      </w:tr>
      <w:tr>
        <w:trPr>
          <w:trHeight w:val="213"/>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20"/>
        </w:trPr>
        <w:tc>
          <w:tcPr>
            <w:tcW w:w="914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8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914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520" w:type="dxa"/>
            <w:vAlign w:val="bottom"/>
          </w:tcPr>
          <w:p>
            <w:pPr>
              <w:jc w:val="right"/>
              <w:spacing w:after="0"/>
              <w:rPr>
                <w:sz w:val="20"/>
                <w:szCs w:val="20"/>
                <w:color w:val="auto"/>
              </w:rPr>
            </w:pPr>
            <w:r>
              <w:rPr>
                <w:rFonts w:ascii="Arial" w:cs="Arial" w:eastAsia="Arial" w:hAnsi="Arial"/>
                <w:sz w:val="17"/>
                <w:szCs w:val="17"/>
                <w:color w:val="auto"/>
              </w:rPr>
              <w:t>8 %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6 %</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914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520" w:type="dxa"/>
            <w:vAlign w:val="bottom"/>
          </w:tcPr>
          <w:p>
            <w:pPr>
              <w:jc w:val="right"/>
              <w:spacing w:after="0"/>
              <w:rPr>
                <w:sz w:val="20"/>
                <w:szCs w:val="20"/>
                <w:color w:val="auto"/>
              </w:rPr>
            </w:pPr>
            <w:r>
              <w:rPr>
                <w:rFonts w:ascii="Arial" w:cs="Arial" w:eastAsia="Arial" w:hAnsi="Arial"/>
                <w:sz w:val="17"/>
                <w:szCs w:val="17"/>
                <w:color w:val="auto"/>
              </w:rPr>
              <w:t>7 %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5 %</w:t>
            </w:r>
          </w:p>
        </w:tc>
      </w:tr>
      <w:tr>
        <w:trPr>
          <w:trHeight w:val="20"/>
        </w:trPr>
        <w:tc>
          <w:tcPr>
            <w:tcW w:w="8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ind w:right="120" w:firstLine="620"/>
        <w:spacing w:after="0" w:line="304" w:lineRule="auto"/>
        <w:rPr>
          <w:sz w:val="20"/>
          <w:szCs w:val="20"/>
          <w:color w:val="auto"/>
        </w:rPr>
      </w:pPr>
      <w:r>
        <w:rPr>
          <w:rFonts w:ascii="Arial" w:cs="Arial" w:eastAsia="Arial" w:hAnsi="Arial"/>
          <w:sz w:val="15"/>
          <w:szCs w:val="15"/>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Consumables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Consumables revenue (in millions):</w:t>
      </w:r>
    </w:p>
    <w:p>
      <w:pPr>
        <w:spacing w:after="0" w:line="128" w:lineRule="exact"/>
        <w:rPr>
          <w:sz w:val="20"/>
          <w:szCs w:val="20"/>
          <w:color w:val="auto"/>
        </w:rPr>
      </w:pPr>
    </w:p>
    <w:p>
      <w:pPr>
        <w:ind w:left="8040"/>
        <w:spacing w:after="0"/>
        <w:rPr>
          <w:sz w:val="20"/>
          <w:szCs w:val="20"/>
          <w:color w:val="auto"/>
        </w:rPr>
      </w:pPr>
      <w:r>
        <w:rPr>
          <w:rFonts w:ascii="Arial" w:cs="Arial" w:eastAsia="Arial" w:hAnsi="Arial"/>
          <w:sz w:val="16"/>
          <w:szCs w:val="16"/>
          <w:b w:val="1"/>
          <w:bCs w:val="1"/>
          <w:color w:val="auto"/>
        </w:rPr>
        <w:t>Three months ended</w:t>
      </w:r>
    </w:p>
    <w:p>
      <w:pPr>
        <w:ind w:left="8400"/>
        <w:spacing w:after="0"/>
        <w:rPr>
          <w:sz w:val="20"/>
          <w:szCs w:val="20"/>
          <w:color w:val="auto"/>
        </w:rPr>
      </w:pPr>
      <w:r>
        <w:rPr>
          <w:rFonts w:ascii="Arial" w:cs="Arial" w:eastAsia="Arial" w:hAnsi="Arial"/>
          <w:sz w:val="16"/>
          <w:szCs w:val="16"/>
          <w:b w:val="1"/>
          <w:bCs w:val="1"/>
          <w:color w:val="auto"/>
        </w:rPr>
        <w:t>March 31,</w:t>
      </w:r>
    </w:p>
    <w:tbl>
      <w:tblPr>
        <w:tblLayout w:type="fixed"/>
        <w:tblInd w:w="160" w:type="dxa"/>
        <w:tblCellMar>
          <w:top w:w="0" w:type="dxa"/>
          <w:left w:w="0" w:type="dxa"/>
          <w:bottom w:w="0" w:type="dxa"/>
          <w:right w:w="0" w:type="dxa"/>
        </w:tblCellMar>
      </w:tblPr>
      <w:tr>
        <w:trPr>
          <w:trHeight w:val="204"/>
        </w:trPr>
        <w:tc>
          <w:tcPr>
            <w:tcW w:w="6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0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 Change</w:t>
            </w:r>
          </w:p>
        </w:tc>
      </w:tr>
      <w:tr>
        <w:trPr>
          <w:trHeight w:val="201"/>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Infusion Consumables</w:t>
            </w: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126.4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r>
    </w:tbl>
    <w:p>
      <w:pPr>
        <w:spacing w:after="0" w:line="285" w:lineRule="exact"/>
        <w:rPr>
          <w:sz w:val="20"/>
          <w:szCs w:val="20"/>
          <w:color w:val="auto"/>
        </w:rPr>
      </w:pPr>
    </w:p>
    <w:p>
      <w:pPr>
        <w:ind w:right="60" w:firstLine="620"/>
        <w:spacing w:after="0" w:line="309" w:lineRule="auto"/>
        <w:rPr>
          <w:sz w:val="20"/>
          <w:szCs w:val="20"/>
          <w:color w:val="auto"/>
        </w:rPr>
      </w:pPr>
      <w:r>
        <w:rPr>
          <w:rFonts w:ascii="Arial" w:cs="Arial" w:eastAsia="Arial" w:hAnsi="Arial"/>
          <w:sz w:val="15"/>
          <w:szCs w:val="15"/>
          <w:color w:val="auto"/>
        </w:rPr>
        <w:t>Infusion Consumables revenue increased for the three months ended March 31, 2021, as compared to the same period in the prior year due to higher demand for our oncology and renal products and foreign exchange gains. These increases were somewhat offset by a decrease in IV therapy sales due to increased distributor orders in the prior year due to the global COVID-19 pandemic. On a constant currency basis, Infusion Consumables revenue would have been $123.1 million for the three months ended March 31, 2021, a decrease of $0.4 million or 0.3%, as compared to the same period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Infusion Systems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Infusion Systems revenue (in millions):</w:t>
      </w:r>
    </w:p>
    <w:p>
      <w:pPr>
        <w:spacing w:after="0" w:line="37"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Three months ended</w:t>
      </w:r>
    </w:p>
    <w:p>
      <w:pPr>
        <w:ind w:left="8500"/>
        <w:spacing w:after="0"/>
        <w:rPr>
          <w:sz w:val="20"/>
          <w:szCs w:val="20"/>
          <w:color w:val="auto"/>
        </w:rPr>
      </w:pPr>
      <w:r>
        <w:rPr>
          <w:rFonts w:ascii="Arial" w:cs="Arial" w:eastAsia="Arial" w:hAnsi="Arial"/>
          <w:sz w:val="16"/>
          <w:szCs w:val="16"/>
          <w:b w:val="1"/>
          <w:bCs w:val="1"/>
          <w:color w:val="auto"/>
        </w:rPr>
        <w:t>March 31,</w:t>
      </w: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22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 Change</w:t>
            </w:r>
          </w:p>
        </w:tc>
      </w:tr>
      <w:tr>
        <w:trPr>
          <w:trHeight w:val="201"/>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Systems</w:t>
            </w: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firstLine="620"/>
        <w:spacing w:after="0" w:line="263" w:lineRule="auto"/>
        <w:rPr>
          <w:sz w:val="20"/>
          <w:szCs w:val="20"/>
          <w:color w:val="auto"/>
        </w:rPr>
      </w:pPr>
      <w:r>
        <w:rPr>
          <w:rFonts w:ascii="Arial" w:cs="Arial" w:eastAsia="Arial" w:hAnsi="Arial"/>
          <w:sz w:val="17"/>
          <w:szCs w:val="17"/>
          <w:color w:val="auto"/>
        </w:rPr>
        <w:t>Infusion Systems revenue decreased for the three months ended March 31, 2021, as compared to the same period in the prior year due to a decline in our non-large volume pump business as well as lower IV set revenues due to higher COVID-19-related purchases during the first quarter of 2020. On a constant currency basis Infusion Systems revenue would have been $83.3 million for the three months ended March 31, 2021, a decrease of $5.1 million or 5.8%, as compared to the same period in the prior year.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IV Solutions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IV Solutions revenue (in millions):</w:t>
      </w:r>
    </w:p>
    <w:p>
      <w:pPr>
        <w:spacing w:after="0" w:line="128"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Three months ended</w:t>
      </w:r>
    </w:p>
    <w:p>
      <w:pPr>
        <w:ind w:left="8500"/>
        <w:spacing w:after="0"/>
        <w:rPr>
          <w:sz w:val="20"/>
          <w:szCs w:val="20"/>
          <w:color w:val="auto"/>
        </w:rPr>
      </w:pPr>
      <w:r>
        <w:rPr>
          <w:rFonts w:ascii="Arial" w:cs="Arial" w:eastAsia="Arial" w:hAnsi="Arial"/>
          <w:sz w:val="16"/>
          <w:szCs w:val="16"/>
          <w:b w:val="1"/>
          <w:bCs w:val="1"/>
          <w:color w:val="auto"/>
        </w:rPr>
        <w:t>March 31,</w:t>
      </w: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22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 Change</w:t>
            </w:r>
          </w:p>
        </w:tc>
      </w:tr>
      <w:tr>
        <w:trPr>
          <w:trHeight w:val="201"/>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IV Solutions</w:t>
            </w:r>
          </w:p>
        </w:tc>
        <w:tc>
          <w:tcPr>
            <w:tcW w:w="720" w:type="dxa"/>
            <w:vAlign w:val="bottom"/>
            <w:tcBorders>
              <w:top w:val="single" w:sz="8" w:color="auto"/>
            </w:tcBorders>
            <w:shd w:val="clear" w:color="auto" w:fill="CCEEFF"/>
          </w:tcPr>
          <w:p>
            <w:pPr>
              <w:jc w:val="right"/>
              <w:ind w:right="54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94.2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104.3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bl>
    <w:p>
      <w:pPr>
        <w:spacing w:after="0" w:line="272" w:lineRule="exact"/>
        <w:rPr>
          <w:sz w:val="20"/>
          <w:szCs w:val="20"/>
          <w:color w:val="auto"/>
        </w:rPr>
      </w:pPr>
    </w:p>
    <w:p>
      <w:pPr>
        <w:ind w:right="340" w:firstLine="620"/>
        <w:spacing w:after="0" w:line="283" w:lineRule="auto"/>
        <w:rPr>
          <w:sz w:val="20"/>
          <w:szCs w:val="20"/>
          <w:color w:val="auto"/>
        </w:rPr>
      </w:pPr>
      <w:r>
        <w:rPr>
          <w:rFonts w:ascii="Arial" w:cs="Arial" w:eastAsia="Arial" w:hAnsi="Arial"/>
          <w:sz w:val="17"/>
          <w:szCs w:val="17"/>
          <w:color w:val="auto"/>
        </w:rPr>
        <w:t>IV Solutions sales decreased for the three months ended March 31, 2021, as compared to the same period in the prior year, primarily due to customer stocking in the prior year driven by the onset of the COVID-19 pandemic.</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Care</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Critical Care revenue (in millions):</w:t>
      </w:r>
    </w:p>
    <w:p>
      <w:pPr>
        <w:spacing w:after="0" w:line="128"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Three months ended</w:t>
      </w:r>
    </w:p>
    <w:p>
      <w:pPr>
        <w:ind w:left="8500"/>
        <w:spacing w:after="0"/>
        <w:rPr>
          <w:sz w:val="20"/>
          <w:szCs w:val="20"/>
          <w:color w:val="auto"/>
        </w:rPr>
      </w:pPr>
      <w:r>
        <w:rPr>
          <w:rFonts w:ascii="Arial" w:cs="Arial" w:eastAsia="Arial" w:hAnsi="Arial"/>
          <w:sz w:val="16"/>
          <w:szCs w:val="16"/>
          <w:b w:val="1"/>
          <w:bCs w:val="1"/>
          <w:color w:val="auto"/>
        </w:rPr>
        <w:t>March 31,</w:t>
      </w: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22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 Change</w:t>
            </w:r>
          </w:p>
        </w:tc>
      </w:tr>
      <w:tr>
        <w:trPr>
          <w:trHeight w:val="201"/>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Critical Care</w:t>
            </w: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r>
    </w:tbl>
    <w:p>
      <w:pPr>
        <w:spacing w:after="0" w:line="285" w:lineRule="exact"/>
        <w:rPr>
          <w:sz w:val="20"/>
          <w:szCs w:val="20"/>
          <w:color w:val="auto"/>
        </w:rPr>
      </w:pPr>
    </w:p>
    <w:p>
      <w:pPr>
        <w:ind w:right="380" w:firstLine="620"/>
        <w:spacing w:after="0" w:line="283" w:lineRule="auto"/>
        <w:rPr>
          <w:sz w:val="20"/>
          <w:szCs w:val="20"/>
          <w:color w:val="auto"/>
        </w:rPr>
      </w:pPr>
      <w:r>
        <w:rPr>
          <w:rFonts w:ascii="Arial" w:cs="Arial" w:eastAsia="Arial" w:hAnsi="Arial"/>
          <w:sz w:val="17"/>
          <w:szCs w:val="17"/>
          <w:color w:val="auto"/>
        </w:rPr>
        <w:t>Critical Care revenue increased for the three months ended March 31, 2021, as compared to the same period in the prior year, primarily as a result of increased sales of our Cogent 2-in-1 hemodynamic monitoring system.</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Margins</w:t>
      </w:r>
    </w:p>
    <w:p>
      <w:pPr>
        <w:spacing w:after="0" w:line="244" w:lineRule="exact"/>
        <w:rPr>
          <w:sz w:val="20"/>
          <w:szCs w:val="20"/>
          <w:color w:val="auto"/>
        </w:rPr>
      </w:pPr>
    </w:p>
    <w:p>
      <w:pPr>
        <w:ind w:right="240" w:firstLine="172"/>
        <w:spacing w:after="0" w:line="292" w:lineRule="auto"/>
        <w:rPr>
          <w:sz w:val="20"/>
          <w:szCs w:val="20"/>
          <w:color w:val="auto"/>
        </w:rPr>
      </w:pPr>
      <w:r>
        <w:rPr>
          <w:rFonts w:ascii="Arial" w:cs="Arial" w:eastAsia="Arial" w:hAnsi="Arial"/>
          <w:sz w:val="16"/>
          <w:szCs w:val="16"/>
          <w:color w:val="auto"/>
        </w:rPr>
        <w:t>For the three months ended March 31, 2021 and 2020, gross margins were 35.4% and 36.9%, respectively. The decrease in gross margin for the three months ended March 31, 2021, as compared to the same period in the prior year was primarily due to capitalized manufacturing variances from the shutdown of our Austin plant in the fourth quarter of 2020 and additional weather-related costs at our Austin plant during the first quarter of 2021.</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SG&amp;A Expenses (in millions):</w:t>
      </w:r>
    </w:p>
    <w:p>
      <w:pPr>
        <w:spacing w:after="0" w:line="115"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Three months ended</w:t>
      </w:r>
    </w:p>
    <w:p>
      <w:pPr>
        <w:ind w:left="8500"/>
        <w:spacing w:after="0"/>
        <w:rPr>
          <w:sz w:val="20"/>
          <w:szCs w:val="20"/>
          <w:color w:val="auto"/>
        </w:rPr>
      </w:pPr>
      <w:r>
        <w:rPr>
          <w:rFonts w:ascii="Arial" w:cs="Arial" w:eastAsia="Arial" w:hAnsi="Arial"/>
          <w:sz w:val="16"/>
          <w:szCs w:val="16"/>
          <w:b w:val="1"/>
          <w:bCs w:val="1"/>
          <w:color w:val="auto"/>
        </w:rPr>
        <w:t>March 31,</w:t>
      </w: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22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 Change</w:t>
            </w:r>
          </w:p>
        </w:tc>
      </w:tr>
      <w:tr>
        <w:trPr>
          <w:trHeight w:val="201"/>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72.3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bl>
    <w:p>
      <w:pPr>
        <w:spacing w:after="0" w:line="285" w:lineRule="exact"/>
        <w:rPr>
          <w:sz w:val="20"/>
          <w:szCs w:val="20"/>
          <w:color w:val="auto"/>
        </w:rPr>
      </w:pPr>
    </w:p>
    <w:p>
      <w:pPr>
        <w:ind w:right="60" w:firstLine="620"/>
        <w:spacing w:after="0" w:line="300" w:lineRule="auto"/>
        <w:rPr>
          <w:sz w:val="20"/>
          <w:szCs w:val="20"/>
          <w:color w:val="auto"/>
        </w:rPr>
      </w:pPr>
      <w:r>
        <w:rPr>
          <w:rFonts w:ascii="Arial" w:cs="Arial" w:eastAsia="Arial" w:hAnsi="Arial"/>
          <w:sz w:val="15"/>
          <w:szCs w:val="15"/>
          <w:color w:val="auto"/>
        </w:rPr>
        <w:t>SG&amp;A expenses were essentially flat for the three months ended March 31, 2021, as compared to the same period in the prior year. For the three months ended March 31, 2021 as compared to the same period in the prior year, legal fees increased $1.4 million and dealer fees increased $1.3 million. These increases were mostly offset by a decrease of $1.2 million in travel expenses and a decrease of $1.0 million in stock based compensation expenses. Legal fees increased due to additional services performed in the current year related to various legal matters. Dealer fees increased due to an increase in revenue from distributors. Travel expenses decreased due to travel restrictions in response to COVID-19. Stock compensation decreased in the current period due to a prior year change in the number of performance shares estimated to vest on one of our executive performance awards, which increased the expense in that period.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(“R&amp;D”) Expenses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our total R&amp;D Expenses (in millions):</w:t>
      </w:r>
    </w:p>
    <w:p>
      <w:pPr>
        <w:spacing w:after="0" w:line="128"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Three months ended</w:t>
      </w:r>
    </w:p>
    <w:p>
      <w:pPr>
        <w:ind w:left="8500"/>
        <w:spacing w:after="0"/>
        <w:rPr>
          <w:sz w:val="20"/>
          <w:szCs w:val="20"/>
          <w:color w:val="auto"/>
        </w:rPr>
      </w:pPr>
      <w:r>
        <w:rPr>
          <w:rFonts w:ascii="Arial" w:cs="Arial" w:eastAsia="Arial" w:hAnsi="Arial"/>
          <w:sz w:val="16"/>
          <w:szCs w:val="16"/>
          <w:b w:val="1"/>
          <w:bCs w:val="1"/>
          <w:color w:val="auto"/>
        </w:rPr>
        <w:t>March 31,</w:t>
      </w:r>
    </w:p>
    <w:tbl>
      <w:tblPr>
        <w:tblLayout w:type="fixed"/>
        <w:tblInd w:w="0" w:type="dxa"/>
        <w:tblCellMar>
          <w:top w:w="0" w:type="dxa"/>
          <w:left w:w="0" w:type="dxa"/>
          <w:bottom w:w="0" w:type="dxa"/>
          <w:right w:w="0" w:type="dxa"/>
        </w:tblCellMar>
      </w:tblPr>
      <w:tr>
        <w:trPr>
          <w:trHeight w:val="204"/>
        </w:trPr>
        <w:tc>
          <w:tcPr>
            <w:tcW w:w="64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top w:val="single" w:sz="8" w:color="auto"/>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01"/>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R&amp;D</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880"/>
              <w:spacing w:after="0"/>
              <w:rPr>
                <w:sz w:val="20"/>
                <w:szCs w:val="20"/>
                <w:color w:val="auto"/>
              </w:rPr>
            </w:pPr>
            <w:r>
              <w:rPr>
                <w:rFonts w:ascii="Arial" w:cs="Arial" w:eastAsia="Arial" w:hAnsi="Arial"/>
                <w:sz w:val="16"/>
                <w:szCs w:val="16"/>
                <w:color w:val="auto"/>
                <w:w w:val="92"/>
              </w:rPr>
              <w:t>— %</w:t>
            </w:r>
          </w:p>
        </w:tc>
      </w:tr>
    </w:tbl>
    <w:p>
      <w:pPr>
        <w:spacing w:after="0" w:line="272" w:lineRule="exact"/>
        <w:rPr>
          <w:sz w:val="20"/>
          <w:szCs w:val="20"/>
          <w:color w:val="auto"/>
        </w:rPr>
      </w:pPr>
    </w:p>
    <w:p>
      <w:pPr>
        <w:ind w:right="100" w:firstLine="620"/>
        <w:spacing w:after="0" w:line="283" w:lineRule="auto"/>
        <w:rPr>
          <w:sz w:val="20"/>
          <w:szCs w:val="20"/>
          <w:color w:val="auto"/>
        </w:rPr>
      </w:pPr>
      <w:r>
        <w:rPr>
          <w:rFonts w:ascii="Arial" w:cs="Arial" w:eastAsia="Arial" w:hAnsi="Arial"/>
          <w:sz w:val="17"/>
          <w:szCs w:val="17"/>
          <w:color w:val="auto"/>
        </w:rPr>
        <w:t>R&amp;D expenses were flat for the three months ended March 31, 2021, as compared to the same period in the prior year. R&amp;D expense primarily relates to compensation and related benefit expenses on current R&amp;D projects.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Strategic Transaction and Integration Expenses</w:t>
      </w:r>
    </w:p>
    <w:p>
      <w:pPr>
        <w:spacing w:after="0" w:line="244" w:lineRule="exact"/>
        <w:rPr>
          <w:sz w:val="20"/>
          <w:szCs w:val="20"/>
          <w:color w:val="auto"/>
        </w:rPr>
      </w:pPr>
    </w:p>
    <w:p>
      <w:pPr>
        <w:ind w:right="380" w:firstLine="172"/>
        <w:spacing w:after="0" w:line="283" w:lineRule="auto"/>
        <w:rPr>
          <w:sz w:val="20"/>
          <w:szCs w:val="20"/>
          <w:color w:val="auto"/>
        </w:rPr>
      </w:pPr>
      <w:r>
        <w:rPr>
          <w:rFonts w:ascii="Arial" w:cs="Arial" w:eastAsia="Arial" w:hAnsi="Arial"/>
          <w:sz w:val="17"/>
          <w:szCs w:val="17"/>
          <w:color w:val="auto"/>
        </w:rPr>
        <w:t>Restructuring and strategic transaction and integration expenses were $2.9 million and $12.3 million for the three months ended March 31, 2021 and 2020,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charges</w:t>
      </w:r>
    </w:p>
    <w:p>
      <w:pPr>
        <w:spacing w:after="0" w:line="244" w:lineRule="exact"/>
        <w:rPr>
          <w:sz w:val="20"/>
          <w:szCs w:val="20"/>
          <w:color w:val="auto"/>
        </w:rPr>
      </w:pPr>
    </w:p>
    <w:p>
      <w:pPr>
        <w:ind w:right="40" w:firstLine="172"/>
        <w:spacing w:after="0" w:line="268" w:lineRule="auto"/>
        <w:rPr>
          <w:sz w:val="20"/>
          <w:szCs w:val="20"/>
          <w:color w:val="auto"/>
        </w:rPr>
      </w:pPr>
      <w:r>
        <w:rPr>
          <w:rFonts w:ascii="Arial" w:cs="Arial" w:eastAsia="Arial" w:hAnsi="Arial"/>
          <w:sz w:val="17"/>
          <w:szCs w:val="17"/>
          <w:color w:val="auto"/>
        </w:rPr>
        <w:t>Restructuring charges were $0.0 million and $7.2 million for the three months ended March 31, 2021 and 2020, respectively. Restructuring charges for the three months ended March 31, 2020 were primarily related to severance and costs related to office and facility closures. We expect to pay our unpaid restructuring charges as of March 31, 2021 by the end of the year.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transaction and integration expenses</w:t>
      </w:r>
    </w:p>
    <w:p>
      <w:pPr>
        <w:spacing w:after="0" w:line="244" w:lineRule="exact"/>
        <w:rPr>
          <w:sz w:val="20"/>
          <w:szCs w:val="20"/>
          <w:color w:val="auto"/>
        </w:rPr>
      </w:pPr>
    </w:p>
    <w:p>
      <w:pPr>
        <w:ind w:right="80" w:firstLine="172"/>
        <w:spacing w:after="0" w:line="261" w:lineRule="auto"/>
        <w:rPr>
          <w:sz w:val="20"/>
          <w:szCs w:val="20"/>
          <w:color w:val="auto"/>
        </w:rPr>
      </w:pPr>
      <w:r>
        <w:rPr>
          <w:rFonts w:ascii="Arial" w:cs="Arial" w:eastAsia="Arial" w:hAnsi="Arial"/>
          <w:sz w:val="17"/>
          <w:szCs w:val="17"/>
          <w:color w:val="auto"/>
        </w:rPr>
        <w:t>Strategic transaction and integration expenses were $2.9 million and $5.1 million for the three months ended March 31, 2021 and 2020, respectively. The strategic transaction and integration expenses during the three months ended March 31, 2021 were primarily related to integration costs associated with acquisitions, the Hospira Infusion Systems ("HIS") earn-out dispute with Pfizer and one-time costs incurred to comply with regulatory initiatives. The strategic transaction and integration expenses during the three months ended March 31, 2020 were primarily related to the integration of the HIS business acquired in 2017 from Pfizer, which included the migration of IT systems at our Austin facility.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Contingent Earn-out</w:t>
      </w:r>
    </w:p>
    <w:p>
      <w:pPr>
        <w:spacing w:after="0" w:line="244" w:lineRule="exact"/>
        <w:rPr>
          <w:sz w:val="20"/>
          <w:szCs w:val="20"/>
          <w:color w:val="auto"/>
        </w:rPr>
      </w:pPr>
    </w:p>
    <w:p>
      <w:pPr>
        <w:ind w:right="360" w:firstLine="172"/>
        <w:spacing w:after="0" w:line="283" w:lineRule="auto"/>
        <w:rPr>
          <w:sz w:val="20"/>
          <w:szCs w:val="20"/>
          <w:color w:val="auto"/>
        </w:rPr>
      </w:pPr>
      <w:r>
        <w:rPr>
          <w:rFonts w:ascii="Arial" w:cs="Arial" w:eastAsia="Arial" w:hAnsi="Arial"/>
          <w:sz w:val="17"/>
          <w:szCs w:val="17"/>
          <w:color w:val="auto"/>
        </w:rPr>
        <w:t>For the three months ended March 31, 2021 and 2020, there was no change in fair value of the Pursuit earn-out liability for each period, respectively, as the underlying forecasts during those periods did not materially change.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Settlement</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For the three months ended March 31, 2021, we recorded $0.1 million in contract settlement expense.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4" w:lineRule="exact"/>
        <w:rPr>
          <w:sz w:val="20"/>
          <w:szCs w:val="20"/>
          <w:color w:val="auto"/>
        </w:rPr>
      </w:pPr>
    </w:p>
    <w:p>
      <w:pPr>
        <w:ind w:right="120" w:firstLine="172"/>
        <w:spacing w:after="0" w:line="281" w:lineRule="auto"/>
        <w:rPr>
          <w:sz w:val="20"/>
          <w:szCs w:val="20"/>
          <w:color w:val="auto"/>
        </w:rPr>
      </w:pPr>
      <w:r>
        <w:rPr>
          <w:rFonts w:ascii="Arial" w:cs="Arial" w:eastAsia="Arial" w:hAnsi="Arial"/>
          <w:sz w:val="16"/>
          <w:szCs w:val="16"/>
          <w:color w:val="auto"/>
        </w:rPr>
        <w:t>Interest expense was $0.2 million and $0.2 million for the three months ended March 31, 2021 and 2020, respectively. The interest expense for both periods includes the per annum commitment fee charged on the unused portion of the revolver under our Credit Facility and the amortization of financing costs that were incurred in 2017 in connection with entering into the Credit Facility. During March 2020, we borrowed $150.0 million under our Credit Facility and, accordingly the interest expense for the three months ended March 31, 2020 also includes interest incurred on borrowings under the Credit Facility (see Note 16: Long-Term Obligations in our accompanying condensed consolidated financial statements for additional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44" w:lineRule="exact"/>
        <w:rPr>
          <w:sz w:val="20"/>
          <w:szCs w:val="20"/>
          <w:color w:val="auto"/>
        </w:rPr>
      </w:pPr>
    </w:p>
    <w:p>
      <w:pPr>
        <w:ind w:firstLine="172"/>
        <w:spacing w:after="0" w:line="283" w:lineRule="auto"/>
        <w:rPr>
          <w:sz w:val="20"/>
          <w:szCs w:val="20"/>
          <w:color w:val="auto"/>
        </w:rPr>
      </w:pPr>
      <w:r>
        <w:rPr>
          <w:rFonts w:ascii="Arial" w:cs="Arial" w:eastAsia="Arial" w:hAnsi="Arial"/>
          <w:sz w:val="17"/>
          <w:szCs w:val="17"/>
          <w:color w:val="auto"/>
        </w:rPr>
        <w:t>Other income (expense) netted to $0.7 million and ($5.5) million for the three months ended March 31, 2021 and 2020, respectively. For the three months ended March 31, 2021, the other income, net was related to $0.7 million of interest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income, $0.5 million in foreign exchange gains and $0.2 million of miscellaneous income partially offset by $0.7 million of loss from disposed assets. For the three months ended March 31, 2020, the other expense, net was primarily related to $6.1 million in foreign exchange losses as a result of the strengthening of the U.S. dollar from the impact of COVID-19, partially offset by 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 the three months ended March 31, 2021 and 2020, income taxes were accrued at an estimated effective tax rate of 12% and 17% , respectively.</w:t>
      </w:r>
    </w:p>
    <w:p>
      <w:pPr>
        <w:spacing w:after="0" w:line="242" w:lineRule="exact"/>
        <w:rPr>
          <w:sz w:val="20"/>
          <w:szCs w:val="20"/>
          <w:color w:val="auto"/>
        </w:rPr>
      </w:pPr>
    </w:p>
    <w:p>
      <w:pPr>
        <w:ind w:right="20" w:firstLine="169"/>
        <w:spacing w:after="0" w:line="222" w:lineRule="auto"/>
        <w:rPr>
          <w:sz w:val="20"/>
          <w:szCs w:val="20"/>
          <w:color w:val="auto"/>
        </w:rPr>
      </w:pPr>
      <w:r>
        <w:rPr>
          <w:rFonts w:ascii="Arial" w:cs="Arial" w:eastAsia="Arial" w:hAnsi="Arial"/>
          <w:sz w:val="17"/>
          <w:szCs w:val="17"/>
          <w:color w:val="auto"/>
        </w:rPr>
        <w:t>The effective tax rate for the three months ended March 31, 2021 differs from the federal statutory rate of 21% principally because of the effect of the mix of U.S. and foreign incomes, state income taxes, global intangible low-taxed income ("GILTI"), foreign-derived intangible income ("FDII") and tax credits. The effective tax rate during the three months ended March 31, 2021 included a tax benefit of $1.8 million related to the excess tax benefits recognized on stock option exercises and the vesting of restricted stock units during the period.</w:t>
      </w:r>
    </w:p>
    <w:p>
      <w:pPr>
        <w:spacing w:after="0" w:line="194" w:lineRule="exact"/>
        <w:rPr>
          <w:sz w:val="20"/>
          <w:szCs w:val="20"/>
          <w:color w:val="auto"/>
        </w:rPr>
      </w:pPr>
    </w:p>
    <w:p>
      <w:pPr>
        <w:ind w:right="260" w:firstLine="169"/>
        <w:spacing w:after="0" w:line="283" w:lineRule="auto"/>
        <w:rPr>
          <w:sz w:val="20"/>
          <w:szCs w:val="20"/>
          <w:color w:val="auto"/>
        </w:rPr>
      </w:pPr>
      <w:r>
        <w:rPr>
          <w:rFonts w:ascii="Arial" w:cs="Arial" w:eastAsia="Arial" w:hAnsi="Arial"/>
          <w:sz w:val="17"/>
          <w:szCs w:val="17"/>
          <w:color w:val="auto"/>
        </w:rPr>
        <w:t>The effective tax rate for the three months ended March 31, 2020 differs from the federal statutory rate of 21% principally because of the effect of the mix of U.S. and foreign incomes, state income taxes, GILTI, FDII and tax credits.</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24" w:lineRule="exact"/>
        <w:rPr>
          <w:sz w:val="20"/>
          <w:szCs w:val="20"/>
          <w:color w:val="auto"/>
        </w:rPr>
      </w:pPr>
    </w:p>
    <w:p>
      <w:pPr>
        <w:ind w:right="120" w:firstLine="620"/>
        <w:spacing w:after="0" w:line="283" w:lineRule="auto"/>
        <w:rPr>
          <w:sz w:val="20"/>
          <w:szCs w:val="20"/>
          <w:color w:val="auto"/>
        </w:rPr>
      </w:pPr>
      <w:r>
        <w:rPr>
          <w:rFonts w:ascii="Arial" w:cs="Arial" w:eastAsia="Arial" w:hAnsi="Arial"/>
          <w:sz w:val="17"/>
          <w:szCs w:val="17"/>
          <w:color w:val="auto"/>
        </w:rPr>
        <w:t>During the first three months of 2021, our cash, cash equivalents and short and long-term investments increased by $31.0 million from $423.8 million at December 31, 2020 to $454.8 million at March 31, 2021.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244" w:lineRule="exact"/>
        <w:rPr>
          <w:sz w:val="20"/>
          <w:szCs w:val="20"/>
          <w:color w:val="auto"/>
        </w:rPr>
      </w:pPr>
    </w:p>
    <w:p>
      <w:pPr>
        <w:ind w:right="20" w:firstLine="620"/>
        <w:spacing w:after="0" w:line="274" w:lineRule="auto"/>
        <w:rPr>
          <w:sz w:val="20"/>
          <w:szCs w:val="20"/>
          <w:color w:val="auto"/>
        </w:rPr>
      </w:pPr>
      <w:r>
        <w:rPr>
          <w:rFonts w:ascii="Arial" w:cs="Arial" w:eastAsia="Arial" w:hAnsi="Arial"/>
          <w:sz w:val="16"/>
          <w:szCs w:val="16"/>
          <w:color w:val="auto"/>
        </w:rPr>
        <w:t>Our net cash provided by operations for the three months ended March 31, 2021 was $51.3 million. Net income plus adjustments for non-cash net expenses contributed $56.9 million. Net cash used in operations as a result of changes in operating assets and liabilities was $5.6 million. The changes in operating assets and liabilities included a $20.0 million decrease in accrued liabilities, a $3.5 million increase in other assets and a $0.7 million increase in prepaid expenses and other assets. Offsetting these amounts was a $13.2 million decrease in inventories, a $2.4 million increase in accounts payable, a $1.5 million decrease in accounts receivables and $1.4 million in net changes in income taxes, including excess tax benefits and deferred income taxes. The decrease in accrued liabilities was primarily due to the payment of annual bonuses. The net increase in prepaid expenses and other current assets was primarily due to the payment of annual software renewals, offset by the amortization of prepaid insurance and property taxes. The increase in other assets was due to the purchase of spare parts. The decrease in inventory was primarily due to the timing of production and customer purchases combined with the reduction in capitalized manufacturing variances. The increase in accounts payable was due to the timing of payments. The decrease in accounts receivable is primarily due to collection efforts. The net changes in income taxes was a result of the timing of payments.</w:t>
      </w:r>
    </w:p>
    <w:p>
      <w:pPr>
        <w:spacing w:after="0" w:line="199" w:lineRule="exact"/>
        <w:rPr>
          <w:sz w:val="20"/>
          <w:szCs w:val="20"/>
          <w:color w:val="auto"/>
        </w:rPr>
      </w:pPr>
    </w:p>
    <w:p>
      <w:pPr>
        <w:ind w:firstLine="620"/>
        <w:spacing w:after="0" w:line="296" w:lineRule="auto"/>
        <w:rPr>
          <w:sz w:val="20"/>
          <w:szCs w:val="20"/>
          <w:color w:val="auto"/>
        </w:rPr>
      </w:pPr>
      <w:r>
        <w:rPr>
          <w:rFonts w:ascii="Arial" w:cs="Arial" w:eastAsia="Arial" w:hAnsi="Arial"/>
          <w:sz w:val="15"/>
          <w:szCs w:val="15"/>
          <w:color w:val="auto"/>
        </w:rPr>
        <w:t>Our net cash provided by operations for the three months ended March 31, 2020 was $39.5 million. Net income plus adjustments for non-cash net expenses contributed $55.3 million. Net cash used in operations as a result of changes in operating assets and liabilities was $15.8 million. The changes in operating assets and liabilities included a $35.1 million decrease in accounts payable, and a $6.4 million increase in other assets. Offsetting these amounts was a $19.4 million decrease in inventories, a $2.6 million decrease in prepaid expenses and other current assets, $2.3 million in net changes in income taxes, including excess tax benefits and deferred income taxes, a $0.9 million decrease in accounts receivables, and a $0.5 million increase in accrued liabilities. The decrease in accounts payable was due to the timing of payments. The increase in other assets was due to the purchase of spare parts. The decrease in inventory was primarily due to improved inventory management and increased demand for certain products driven by the global COVID-19 pandemic. The increase in prepaid expenses and other current assets was primarily due to an increase in deferred costs. The net changes in income taxes was a result of the timing of payments.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the changes in our investing cash flows (in thousands):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20"/>
        </w:trPr>
        <w:tc>
          <w:tcPr>
            <w:tcW w:w="6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13"/>
        </w:trPr>
        <w:tc>
          <w:tcPr>
            <w:tcW w:w="6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Change</w:t>
            </w:r>
          </w:p>
        </w:tc>
        <w:tc>
          <w:tcPr>
            <w:tcW w:w="380" w:type="dxa"/>
            <w:vAlign w:val="bottom"/>
            <w:tcBorders>
              <w:bottom w:val="single" w:sz="8" w:color="auto"/>
            </w:tcBorders>
          </w:tcPr>
          <w:p>
            <w:pPr>
              <w:spacing w:after="0"/>
              <w:rPr>
                <w:sz w:val="18"/>
                <w:szCs w:val="18"/>
                <w:color w:val="auto"/>
              </w:rPr>
            </w:pPr>
          </w:p>
        </w:tc>
      </w:tr>
      <w:tr>
        <w:trPr>
          <w:trHeight w:val="20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Purchases of property and equipment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(14,028)</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(25,463)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11,435</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w w:val="86"/>
              </w:rPr>
              <w:t>(1)</w:t>
            </w: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380" w:type="dxa"/>
            <w:vAlign w:val="bottom"/>
            <w:shd w:val="clear" w:color="auto" w:fill="CCEEFF"/>
          </w:tcPr>
          <w:p>
            <w:pPr>
              <w:spacing w:after="0"/>
              <w:rPr>
                <w:sz w:val="19"/>
                <w:szCs w:val="19"/>
                <w:color w:val="auto"/>
              </w:rPr>
            </w:pP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Intangible asset additions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84</w:t>
            </w:r>
          </w:p>
        </w:tc>
        <w:tc>
          <w:tcPr>
            <w:tcW w:w="380" w:type="dxa"/>
            <w:vAlign w:val="bottom"/>
          </w:tcPr>
          <w:p>
            <w:pPr>
              <w:spacing w:after="0"/>
              <w:rPr>
                <w:sz w:val="19"/>
                <w:szCs w:val="19"/>
                <w:color w:val="auto"/>
              </w:rPr>
            </w:pP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investment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(2,952) (2)</w:t>
            </w: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Proceeds from sale of investment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94"/>
              <w:spacing w:after="0"/>
              <w:rPr>
                <w:sz w:val="20"/>
                <w:szCs w:val="20"/>
                <w:color w:val="auto"/>
              </w:rPr>
            </w:pPr>
            <w:r>
              <w:rPr>
                <w:rFonts w:ascii="Arial" w:cs="Arial" w:eastAsia="Arial" w:hAnsi="Arial"/>
                <w:sz w:val="17"/>
                <w:szCs w:val="17"/>
                <w:color w:val="auto"/>
              </w:rPr>
              <w:t>(3,900) (3)</w:t>
            </w:r>
          </w:p>
        </w:tc>
      </w:tr>
      <w:tr>
        <w:trPr>
          <w:trHeight w:val="238"/>
        </w:trPr>
        <w:tc>
          <w:tcPr>
            <w:tcW w:w="6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4,591</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115" w:lineRule="exact"/>
        <w:rPr>
          <w:sz w:val="20"/>
          <w:szCs w:val="20"/>
          <w:color w:val="auto"/>
        </w:rPr>
      </w:pPr>
    </w:p>
    <w:p>
      <w:pPr>
        <w:ind w:left="320" w:right="340" w:hanging="317"/>
        <w:spacing w:after="0" w:line="228" w:lineRule="auto"/>
        <w:tabs>
          <w:tab w:leader="none" w:pos="183"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Our purchases of property and equipment will vary from period to period based on additional investments needed to support new and existing products and expansion of our manufacturing facilities</w:t>
      </w:r>
    </w:p>
    <w:p>
      <w:pPr>
        <w:ind w:left="320" w:right="40" w:hanging="317"/>
        <w:spacing w:after="0" w:line="221" w:lineRule="auto"/>
        <w:tabs>
          <w:tab w:leader="none" w:pos="252"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Our purchases of investment securities will vary from period to period based on current cash needs, planning for known future transactions and due to changes in our investment strategy.</w:t>
      </w:r>
    </w:p>
    <w:p>
      <w:pPr>
        <w:ind w:left="180" w:hanging="177"/>
        <w:spacing w:after="0" w:line="227" w:lineRule="auto"/>
        <w:tabs>
          <w:tab w:leader="none" w:pos="18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Proceeds from the sale or maturity of our investment securities will vary from period to period based on the maturity dates of the investments we currently hold.</w:t>
      </w:r>
    </w:p>
    <w:p>
      <w:pPr>
        <w:spacing w:after="0" w:line="220" w:lineRule="exact"/>
        <w:rPr>
          <w:sz w:val="20"/>
          <w:szCs w:val="20"/>
          <w:color w:val="auto"/>
        </w:rPr>
      </w:pPr>
    </w:p>
    <w:p>
      <w:pPr>
        <w:jc w:val="both"/>
        <w:ind w:right="380" w:firstLine="169"/>
        <w:spacing w:after="0" w:line="285" w:lineRule="auto"/>
        <w:rPr>
          <w:sz w:val="20"/>
          <w:szCs w:val="20"/>
          <w:color w:val="auto"/>
        </w:rPr>
      </w:pPr>
      <w:r>
        <w:rPr>
          <w:rFonts w:ascii="Arial" w:cs="Arial" w:eastAsia="Arial" w:hAnsi="Arial"/>
          <w:sz w:val="16"/>
          <w:szCs w:val="16"/>
          <w:color w:val="auto"/>
        </w:rPr>
        <w:t>While we can provide no assurances, we estimate that our capital expenditures in 2021 will be approximately $75.0 million to $85.0 million. We anticipate making additional investments in machinery and equipment in our manufacturing operations in Costa Rica, the U.S. and Mexico to support new and existing products and in infusion pumps that are placed with customers outside the U.S. We expect to use our cash and cash equivalents to fund our capital purchases. Amounts of spending are estimates and actual spending may substantially differ from those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60" w:type="dxa"/>
            <w:vAlign w:val="bottom"/>
          </w:tcPr>
          <w:p>
            <w:pPr>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3"/>
        </w:trPr>
        <w:tc>
          <w:tcPr>
            <w:tcW w:w="6560" w:type="dxa"/>
            <w:vAlign w:val="bottom"/>
          </w:tcPr>
          <w:p>
            <w:pPr>
              <w:ind w:left="180"/>
              <w:spacing w:after="0"/>
              <w:rPr>
                <w:sz w:val="20"/>
                <w:szCs w:val="20"/>
                <w:color w:val="auto"/>
              </w:rPr>
            </w:pPr>
            <w:r>
              <w:rPr>
                <w:rFonts w:ascii="Arial" w:cs="Arial" w:eastAsia="Arial" w:hAnsi="Arial"/>
                <w:sz w:val="17"/>
                <w:szCs w:val="17"/>
                <w:color w:val="auto"/>
                <w:w w:val="96"/>
              </w:rPr>
              <w:t>The following table summarizes the changes in our financing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97"/>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0"/>
        </w:trPr>
        <w:tc>
          <w:tcPr>
            <w:tcW w:w="6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13"/>
        </w:trPr>
        <w:tc>
          <w:tcPr>
            <w:tcW w:w="6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Change</w:t>
            </w:r>
          </w:p>
        </w:tc>
        <w:tc>
          <w:tcPr>
            <w:tcW w:w="380" w:type="dxa"/>
            <w:vAlign w:val="bottom"/>
            <w:tcBorders>
              <w:bottom w:val="single" w:sz="8" w:color="auto"/>
            </w:tcBorders>
          </w:tcPr>
          <w:p>
            <w:pPr>
              <w:spacing w:after="0"/>
              <w:rPr>
                <w:sz w:val="18"/>
                <w:szCs w:val="18"/>
                <w:color w:val="auto"/>
              </w:rPr>
            </w:pPr>
          </w:p>
        </w:tc>
      </w:tr>
      <w:tr>
        <w:trPr>
          <w:trHeight w:val="20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Proceeds from short-term debt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150,000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(150,000)</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w w:val="86"/>
              </w:rPr>
              <w:t>(1)</w:t>
            </w: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4,304</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6"/>
              </w:rPr>
              <w:t>(2)</w:t>
            </w:r>
          </w:p>
        </w:tc>
      </w:tr>
      <w:tr>
        <w:trPr>
          <w:trHeight w:val="220"/>
        </w:trPr>
        <w:tc>
          <w:tcPr>
            <w:tcW w:w="6560" w:type="dxa"/>
            <w:vAlign w:val="bottom"/>
          </w:tcPr>
          <w:p>
            <w:pPr>
              <w:ind w:left="20"/>
              <w:spacing w:after="0"/>
              <w:rPr>
                <w:sz w:val="20"/>
                <w:szCs w:val="20"/>
                <w:color w:val="auto"/>
              </w:rPr>
            </w:pPr>
            <w:r>
              <w:rPr>
                <w:rFonts w:ascii="Arial" w:cs="Arial" w:eastAsia="Arial" w:hAnsi="Arial"/>
                <w:sz w:val="17"/>
                <w:szCs w:val="17"/>
                <w:color w:val="auto"/>
              </w:rPr>
              <w:t>Payments on finance leases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(141)</w:t>
            </w:r>
          </w:p>
        </w:tc>
        <w:tc>
          <w:tcPr>
            <w:tcW w:w="380" w:type="dxa"/>
            <w:vAlign w:val="bottom"/>
          </w:tcPr>
          <w:p>
            <w:pPr>
              <w:spacing w:after="0"/>
              <w:rPr>
                <w:sz w:val="19"/>
                <w:szCs w:val="19"/>
                <w:color w:val="auto"/>
              </w:rPr>
            </w:pP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withholding payments related to net share settlement of equity awards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4,451</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6"/>
              </w:rPr>
              <w:t>(3)</w:t>
            </w:r>
          </w:p>
        </w:tc>
      </w:tr>
      <w:tr>
        <w:trPr>
          <w:trHeight w:val="213"/>
        </w:trPr>
        <w:tc>
          <w:tcPr>
            <w:tcW w:w="6560" w:type="dxa"/>
            <w:vAlign w:val="bottom"/>
          </w:tcPr>
          <w:p>
            <w:pPr>
              <w:ind w:left="140"/>
              <w:spacing w:after="0"/>
              <w:rPr>
                <w:sz w:val="20"/>
                <w:szCs w:val="20"/>
                <w:color w:val="auto"/>
              </w:rPr>
            </w:pPr>
            <w:r>
              <w:rPr>
                <w:rFonts w:ascii="Arial" w:cs="Arial" w:eastAsia="Arial" w:hAnsi="Arial"/>
                <w:sz w:val="17"/>
                <w:szCs w:val="17"/>
                <w:color w:val="auto"/>
              </w:rPr>
              <w:t>Net cash (used in) provided by financing activities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138,386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(141,386)</w:t>
            </w:r>
          </w:p>
        </w:tc>
        <w:tc>
          <w:tcPr>
            <w:tcW w:w="38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115" w:lineRule="exact"/>
        <w:rPr>
          <w:sz w:val="20"/>
          <w:szCs w:val="20"/>
          <w:color w:val="auto"/>
        </w:rPr>
      </w:pPr>
    </w:p>
    <w:p>
      <w:pPr>
        <w:ind w:left="320" w:right="200" w:hanging="317"/>
        <w:spacing w:after="0" w:line="247" w:lineRule="auto"/>
        <w:tabs>
          <w:tab w:leader="none" w:pos="168"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During March 2020, as a result of market uncertainty caused by COVID-19, we borrowed $150.0 million under our revolving Credit Facility. We fully repaid the amounts borrowed under our revolving Credit Facility in September 2020.</w:t>
      </w:r>
    </w:p>
    <w:p>
      <w:pPr>
        <w:ind w:left="320" w:right="280" w:hanging="317"/>
        <w:spacing w:after="0" w:line="221" w:lineRule="auto"/>
        <w:tabs>
          <w:tab w:leader="none" w:pos="312"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Proceeds from the exercise of stock options will vary from period to period based on the volume of options exercised and the exercise price of the specific options exercised.</w:t>
      </w:r>
    </w:p>
    <w:p>
      <w:pPr>
        <w:ind w:left="320" w:right="40" w:hanging="317"/>
        <w:spacing w:after="0" w:line="258" w:lineRule="auto"/>
        <w:tabs>
          <w:tab w:leader="none" w:pos="168"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During the three months ended March 31, 2021, our employees surrendered 37,423 shares of our common stock from vested restricted stock awards as consideration for approximately $7.7 million in minimum statutory withholding obligations paid on their behalf. During the three months ended March 31, 2020, our employees surrendered 63,511 shares of our common stock from vested restricted stock awards as consideration for approximately $12.2 million in minimum statutory withholding obligations paid on their behalf.</w:t>
      </w:r>
    </w:p>
    <w:p>
      <w:pPr>
        <w:spacing w:after="0" w:line="206" w:lineRule="exact"/>
        <w:rPr>
          <w:sz w:val="20"/>
          <w:szCs w:val="20"/>
          <w:color w:val="auto"/>
        </w:rPr>
      </w:pPr>
    </w:p>
    <w:p>
      <w:pPr>
        <w:ind w:right="240" w:firstLine="620"/>
        <w:spacing w:after="0" w:line="315" w:lineRule="auto"/>
        <w:rPr>
          <w:sz w:val="20"/>
          <w:szCs w:val="20"/>
          <w:color w:val="auto"/>
        </w:rPr>
      </w:pPr>
      <w:r>
        <w:rPr>
          <w:rFonts w:ascii="Arial" w:cs="Arial" w:eastAsia="Arial" w:hAnsi="Arial"/>
          <w:sz w:val="16"/>
          <w:szCs w:val="16"/>
          <w:color w:val="auto"/>
        </w:rPr>
        <w:t>In August 2019, our Board of Directors approved a share purchase plan to purchase up to $100.0 million of our common stock. This plan replaced our existing plan and has no expiration date. As of March 31, 2021, all of the $100 million available for purchase was remaining under the plan.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firstLine="620"/>
        <w:spacing w:after="0" w:line="268" w:lineRule="auto"/>
        <w:rPr>
          <w:sz w:val="20"/>
          <w:szCs w:val="20"/>
          <w:color w:val="auto"/>
        </w:rPr>
      </w:pPr>
      <w:r>
        <w:rPr>
          <w:rFonts w:ascii="Arial" w:cs="Arial" w:eastAsia="Arial" w:hAnsi="Arial"/>
          <w:sz w:val="17"/>
          <w:szCs w:val="17"/>
          <w:color w:val="auto"/>
        </w:rPr>
        <w:t>We have a substantial cash and investment security position generated from operations. We maintain this position to address any operational challenges related to COVID-19, fund our growth, meet increasing working capital requirements, fund capital expenditures and to take advantage of acquisition opportunities that may arise. Our primary investment goal is capital preservation.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Access to Capital</w:t>
      </w:r>
    </w:p>
    <w:p>
      <w:pPr>
        <w:spacing w:after="0" w:line="218" w:lineRule="exact"/>
        <w:rPr>
          <w:sz w:val="20"/>
          <w:szCs w:val="20"/>
          <w:color w:val="auto"/>
        </w:rPr>
      </w:pPr>
    </w:p>
    <w:p>
      <w:pPr>
        <w:ind w:right="60" w:firstLine="620"/>
        <w:spacing w:after="0" w:line="277" w:lineRule="auto"/>
        <w:rPr>
          <w:sz w:val="20"/>
          <w:szCs w:val="20"/>
          <w:color w:val="auto"/>
        </w:rPr>
      </w:pPr>
      <w:r>
        <w:rPr>
          <w:rFonts w:ascii="Arial" w:cs="Arial" w:eastAsia="Arial" w:hAnsi="Arial"/>
          <w:sz w:val="16"/>
          <w:szCs w:val="16"/>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Facility</w:t>
      </w:r>
    </w:p>
    <w:p>
      <w:pPr>
        <w:spacing w:after="0" w:line="244" w:lineRule="exact"/>
        <w:rPr>
          <w:sz w:val="20"/>
          <w:szCs w:val="20"/>
          <w:color w:val="auto"/>
        </w:rPr>
      </w:pPr>
    </w:p>
    <w:p>
      <w:pPr>
        <w:ind w:firstLine="169"/>
        <w:spacing w:after="0" w:line="298" w:lineRule="auto"/>
        <w:rPr>
          <w:sz w:val="20"/>
          <w:szCs w:val="20"/>
          <w:color w:val="auto"/>
        </w:rPr>
      </w:pPr>
      <w:r>
        <w:rPr>
          <w:rFonts w:ascii="Arial" w:cs="Arial" w:eastAsia="Arial" w:hAnsi="Arial"/>
          <w:sz w:val="15"/>
          <w:szCs w:val="15"/>
          <w:color w:val="auto"/>
        </w:rPr>
        <w:t>We have a five-year Credit Facility with various lenders for $150.0 million, with Wells Fargo Bank, N.A. as the administrative agent (see Note 16: Long-Term Obligations). The Credit Facility has an accordion feature that would enable us to increase the borrowing capacity of the Credit Facility by the greater of (i) $100.0 million and (ii) 2.00x Total Leverage. Under the terms of the Credit Facility, we will be subject to certain financial covenants pertaining to leverage and fixed charge coverage ratios. Borrowings under the Credit Facility will bear interest at LIBOR plus an applicable margin tied to the leverage ratio in effect. Any unused portion of the Credit Facility will be subject to a per annum commitment fee which is also calculated using the leverage ratio in effect. The Credit Facility matures in 2022. During March 2020, as a precautionary measure in response to market uncertainty driven by the COVID-19 pandemic, we preemptively increased our liquidity by borrowing $150.0 million under our Credit Facility. In September 2020, we fully repaid the borrowings under our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Covenants</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Credit Facility contains certain negative financial covenants, including, Consolidated Total Leverage and Consolidated Fixed Charge Coverage Ratios.</w:t>
      </w:r>
    </w:p>
    <w:p>
      <w:pPr>
        <w:spacing w:after="0" w:line="217" w:lineRule="exact"/>
        <w:rPr>
          <w:sz w:val="20"/>
          <w:szCs w:val="20"/>
          <w:color w:val="auto"/>
        </w:rPr>
      </w:pPr>
    </w:p>
    <w:p>
      <w:pPr>
        <w:ind w:right="260" w:firstLine="169"/>
        <w:spacing w:after="0" w:line="268" w:lineRule="auto"/>
        <w:rPr>
          <w:sz w:val="20"/>
          <w:szCs w:val="20"/>
          <w:color w:val="auto"/>
        </w:rPr>
      </w:pPr>
      <w:r>
        <w:rPr>
          <w:rFonts w:ascii="Arial" w:cs="Arial" w:eastAsia="Arial" w:hAnsi="Arial"/>
          <w:sz w:val="17"/>
          <w:szCs w:val="17"/>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98" w:lineRule="exact"/>
        <w:rPr>
          <w:sz w:val="20"/>
          <w:szCs w:val="20"/>
          <w:color w:val="auto"/>
        </w:rPr>
      </w:pPr>
    </w:p>
    <w:p>
      <w:pPr>
        <w:ind w:right="120" w:firstLine="169"/>
        <w:spacing w:after="0" w:line="320" w:lineRule="auto"/>
        <w:rPr>
          <w:sz w:val="20"/>
          <w:szCs w:val="20"/>
          <w:color w:val="auto"/>
        </w:rPr>
      </w:pPr>
      <w:r>
        <w:rPr>
          <w:rFonts w:ascii="Arial" w:cs="Arial" w:eastAsia="Arial" w:hAnsi="Arial"/>
          <w:sz w:val="15"/>
          <w:szCs w:val="15"/>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were in compliance with all financial covenants as of March 31, 2021.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4" w:lineRule="exact"/>
        <w:rPr>
          <w:sz w:val="20"/>
          <w:szCs w:val="20"/>
          <w:color w:val="auto"/>
        </w:rPr>
      </w:pPr>
    </w:p>
    <w:p>
      <w:pPr>
        <w:ind w:right="280" w:firstLine="620"/>
        <w:spacing w:after="0" w:line="263" w:lineRule="auto"/>
        <w:rPr>
          <w:sz w:val="20"/>
          <w:szCs w:val="20"/>
          <w:color w:val="auto"/>
        </w:rPr>
      </w:pPr>
      <w:r>
        <w:rPr>
          <w:rFonts w:ascii="Arial" w:cs="Arial" w:eastAsia="Arial" w:hAnsi="Arial"/>
          <w:sz w:val="17"/>
          <w:szCs w:val="17"/>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50" w:lineRule="exact"/>
        <w:rPr>
          <w:sz w:val="20"/>
          <w:szCs w:val="20"/>
          <w:color w:val="auto"/>
        </w:rPr>
      </w:pPr>
    </w:p>
    <w:p>
      <w:pPr>
        <w:ind w:right="120" w:firstLine="172"/>
        <w:spacing w:after="0" w:line="283" w:lineRule="auto"/>
        <w:rPr>
          <w:sz w:val="20"/>
          <w:szCs w:val="20"/>
          <w:color w:val="auto"/>
        </w:rPr>
      </w:pPr>
      <w:r>
        <w:rPr>
          <w:rFonts w:ascii="Arial" w:cs="Arial" w:eastAsia="Arial" w:hAnsi="Arial"/>
          <w:sz w:val="17"/>
          <w:szCs w:val="17"/>
          <w:color w:val="auto"/>
        </w:rPr>
        <w:t>There have been no material changes to our contractual obligations disclosed in our Annual Report on Form 10-K for the fiscal year ended December 31, 2020 ("Annual Report").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50" w:lineRule="exact"/>
        <w:rPr>
          <w:sz w:val="20"/>
          <w:szCs w:val="20"/>
          <w:color w:val="auto"/>
        </w:rPr>
      </w:pPr>
    </w:p>
    <w:p>
      <w:pPr>
        <w:jc w:val="both"/>
        <w:ind w:firstLine="620"/>
        <w:spacing w:after="0" w:line="353" w:lineRule="auto"/>
        <w:rPr>
          <w:sz w:val="20"/>
          <w:szCs w:val="20"/>
          <w:color w:val="auto"/>
        </w:rPr>
      </w:pPr>
      <w:r>
        <w:rPr>
          <w:rFonts w:ascii="Arial" w:cs="Arial" w:eastAsia="Arial" w:hAnsi="Arial"/>
          <w:sz w:val="15"/>
          <w:szCs w:val="15"/>
          <w:color w:val="auto"/>
        </w:rPr>
        <w:t>In our Annual Report, we identified the critical accounting policies which affect our more significant estimates and assumptions used in preparing our consolidated financial statements, there have been no material changes to our critical accounting policies from those previously disclosed in our Annual Report.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2 to Part I, Item 1. Financial Statements.</w:t>
      </w:r>
    </w:p>
    <w:p>
      <w:pPr>
        <w:spacing w:after="0" w:line="200" w:lineRule="exact"/>
        <w:rPr>
          <w:sz w:val="20"/>
          <w:szCs w:val="20"/>
          <w:color w:val="auto"/>
        </w:r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20"/>
          </w:cols>
          <w:pgMar w:left="320" w:top="127" w:right="5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Forward Looking Statements</w:t>
      </w:r>
    </w:p>
    <w:p>
      <w:pPr>
        <w:spacing w:after="0" w:line="224" w:lineRule="exact"/>
        <w:rPr>
          <w:sz w:val="20"/>
          <w:szCs w:val="20"/>
          <w:color w:val="auto"/>
        </w:rPr>
      </w:pPr>
    </w:p>
    <w:p>
      <w:pPr>
        <w:ind w:right="20" w:firstLine="620"/>
        <w:spacing w:after="0" w:line="277"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93" w:lineRule="exact"/>
        <w:rPr>
          <w:sz w:val="20"/>
          <w:szCs w:val="20"/>
          <w:color w:val="auto"/>
        </w:rPr>
      </w:pPr>
    </w:p>
    <w:p>
      <w:pPr>
        <w:ind w:left="1240" w:right="160" w:hanging="306"/>
        <w:spacing w:after="0" w:line="278" w:lineRule="auto"/>
        <w:tabs>
          <w:tab w:leader="none" w:pos="12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94" w:lineRule="exact"/>
        <w:rPr>
          <w:rFonts w:ascii="Arial" w:cs="Arial" w:eastAsia="Arial" w:hAnsi="Arial"/>
          <w:sz w:val="16"/>
          <w:szCs w:val="16"/>
          <w:color w:val="auto"/>
        </w:rPr>
      </w:pPr>
    </w:p>
    <w:p>
      <w:pPr>
        <w:ind w:left="1240" w:hanging="306"/>
        <w:spacing w:after="0" w:line="293" w:lineRule="auto"/>
        <w:tabs>
          <w:tab w:leader="none" w:pos="12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82" w:lineRule="exact"/>
        <w:rPr>
          <w:rFonts w:ascii="Arial" w:cs="Arial" w:eastAsia="Arial" w:hAnsi="Arial"/>
          <w:sz w:val="15"/>
          <w:szCs w:val="15"/>
          <w:color w:val="auto"/>
        </w:rPr>
      </w:pPr>
    </w:p>
    <w:p>
      <w:pPr>
        <w:ind w:left="1240" w:right="80" w:hanging="306"/>
        <w:spacing w:after="0" w:line="294" w:lineRule="auto"/>
        <w:tabs>
          <w:tab w:leader="none" w:pos="12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new or extended contracts with manufacturers and buying organizations; dependence on a small number of customers; loss of larger distributors and the ability to locate other distributors;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87" w:lineRule="exact"/>
        <w:rPr>
          <w:sz w:val="20"/>
          <w:szCs w:val="20"/>
          <w:color w:val="auto"/>
        </w:rPr>
      </w:pPr>
    </w:p>
    <w:p>
      <w:pPr>
        <w:jc w:val="both"/>
        <w:ind w:right="20" w:firstLine="663"/>
        <w:spacing w:after="0" w:line="292"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60" w:firstLine="620"/>
        <w:spacing w:after="0" w:line="320" w:lineRule="auto"/>
        <w:rPr>
          <w:sz w:val="20"/>
          <w:szCs w:val="20"/>
          <w:color w:val="auto"/>
        </w:rPr>
      </w:pPr>
      <w:r>
        <w:rPr>
          <w:rFonts w:ascii="Arial" w:cs="Arial" w:eastAsia="Arial" w:hAnsi="Arial"/>
          <w:sz w:val="15"/>
          <w:szCs w:val="15"/>
          <w:color w:val="auto"/>
        </w:rPr>
        <w:t>Second, investors should read the forward looking statements in conjunction with the Risk Factors discussed in Part I, Item 1A of our Annual Report on Form 10-K with the SEC for the year ended December 31, 2020,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163"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impacts of the COVID-19 pandemic on us, our business and on domestic and global economies generally;</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economic and business conditions, both in the U.S. and internationally;</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unexpected changes in our arrangements with Pfizer or our other large customers;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outcome of litigation;</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fluctuations in foreign exchange rates and other risks of doing business internationally;</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increases in labor costs or competition for skilled workers;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increases in costs or availability of the raw materials need to manufacture our products;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effect of price and safety considerations on the healthcare industry;</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competitive factors, such as product innovation, new technologies, marketing and distribution strength and price erosion;</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successful development and marketing of new products;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unanticipated market shifts and trends;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legislation affecting government reimbursement of healthcare costs;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by our major customers and independent distributors in their strategies that might affect their efforts to market our products;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effects of additional governmental regulations;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unanticipated production problems;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availability of patent protection and the cost of enforcing and of defending patent claims; and</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natural disasters and outbreak of disease or illness.</w:t>
      </w:r>
    </w:p>
    <w:p>
      <w:pPr>
        <w:spacing w:after="0" w:line="115" w:lineRule="exact"/>
        <w:rPr>
          <w:sz w:val="20"/>
          <w:szCs w:val="20"/>
          <w:color w:val="auto"/>
        </w:rPr>
      </w:pPr>
    </w:p>
    <w:p>
      <w:pPr>
        <w:ind w:right="220" w:firstLine="620"/>
        <w:spacing w:after="0" w:line="292" w:lineRule="auto"/>
        <w:rPr>
          <w:sz w:val="20"/>
          <w:szCs w:val="20"/>
          <w:color w:val="auto"/>
        </w:rPr>
      </w:pPr>
      <w:r>
        <w:rPr>
          <w:rFonts w:ascii="Arial" w:cs="Arial" w:eastAsia="Arial" w:hAnsi="Arial"/>
          <w:sz w:val="16"/>
          <w:szCs w:val="16"/>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3. Quantitative and Qualitative Disclosures about Market Risk</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If we were to incur borrowings under our Credit Facility, we would face market risk stemming from changes in interest rates.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Risk</w:t>
      </w:r>
    </w:p>
    <w:p>
      <w:pPr>
        <w:spacing w:after="0" w:line="244" w:lineRule="exact"/>
        <w:rPr>
          <w:sz w:val="20"/>
          <w:szCs w:val="20"/>
          <w:color w:val="auto"/>
        </w:rPr>
      </w:pPr>
    </w:p>
    <w:p>
      <w:pPr>
        <w:ind w:firstLine="169"/>
        <w:spacing w:after="0" w:line="268" w:lineRule="auto"/>
        <w:rPr>
          <w:sz w:val="20"/>
          <w:szCs w:val="20"/>
          <w:color w:val="auto"/>
        </w:rPr>
      </w:pPr>
      <w:r>
        <w:rPr>
          <w:rFonts w:ascii="Arial" w:cs="Arial" w:eastAsia="Arial" w:hAnsi="Arial"/>
          <w:sz w:val="17"/>
          <w:szCs w:val="17"/>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relative to the foreign currency.</w:t>
      </w:r>
    </w:p>
    <w:p>
      <w:pPr>
        <w:spacing w:after="0" w:line="198" w:lineRule="exact"/>
        <w:rPr>
          <w:sz w:val="20"/>
          <w:szCs w:val="20"/>
          <w:color w:val="auto"/>
        </w:rPr>
      </w:pPr>
    </w:p>
    <w:p>
      <w:pPr>
        <w:ind w:right="40" w:firstLine="172"/>
        <w:spacing w:after="0" w:line="320" w:lineRule="auto"/>
        <w:rPr>
          <w:sz w:val="20"/>
          <w:szCs w:val="20"/>
          <w:color w:val="auto"/>
        </w:rPr>
      </w:pPr>
      <w:r>
        <w:rPr>
          <w:rFonts w:ascii="Arial" w:cs="Arial" w:eastAsia="Arial" w:hAnsi="Arial"/>
          <w:sz w:val="15"/>
          <w:szCs w:val="15"/>
          <w:color w:val="auto"/>
        </w:rPr>
        <w:t>In our European operations, our net Euro asset position at March 31, 2021 was approximately €43.5 million. A 10% change in the conversion of the Euro to the U.S. dollar for our cash, accounts receivable, accounts payable and accrued liabilities from the March 31, 2021 spot rate would impact our consolidated amounts on these balance sheet items by approximately $5.1 million, or 0.7% of these consolidated net assets. We expect that in the future, with the growth of our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European distribution operations, net Euro denominated instruments will continue to increase. We currently do not hedge our Euro foreign currency exposures.</w:t>
      </w:r>
    </w:p>
    <w:p>
      <w:pPr>
        <w:spacing w:after="0" w:line="255" w:lineRule="exact"/>
        <w:rPr>
          <w:sz w:val="20"/>
          <w:szCs w:val="20"/>
          <w:color w:val="auto"/>
        </w:rPr>
      </w:pPr>
    </w:p>
    <w:p>
      <w:pPr>
        <w:ind w:right="160" w:firstLine="169"/>
        <w:spacing w:after="0" w:line="268" w:lineRule="auto"/>
        <w:rPr>
          <w:sz w:val="20"/>
          <w:szCs w:val="20"/>
          <w:color w:val="auto"/>
        </w:rPr>
      </w:pPr>
      <w:r>
        <w:rPr>
          <w:rFonts w:ascii="Arial" w:cs="Arial" w:eastAsia="Arial" w:hAnsi="Arial"/>
          <w:sz w:val="17"/>
          <w:szCs w:val="17"/>
          <w:color w:val="auto"/>
        </w:rPr>
        <w:t>We have manufacturing facilities and conduct business transactions denominated in the Mexican Peso. We hedge a portion of our manufacturing spend, which reduces our exposure to the foreign currency exchange risk related to the Mexican Peso (see Note 7: Derivatives and Hedging to the condensed consolidated financial statements in Part I, Item 1 of this Form 10-Q).</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4.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218" w:lineRule="exact"/>
        <w:rPr>
          <w:sz w:val="20"/>
          <w:szCs w:val="20"/>
          <w:color w:val="auto"/>
        </w:rPr>
      </w:pPr>
    </w:p>
    <w:p>
      <w:pPr>
        <w:ind w:right="100" w:firstLine="620"/>
        <w:spacing w:after="0" w:line="259" w:lineRule="auto"/>
        <w:rPr>
          <w:sz w:val="20"/>
          <w:szCs w:val="20"/>
          <w:color w:val="auto"/>
        </w:rPr>
      </w:pPr>
      <w:r>
        <w:rPr>
          <w:rFonts w:ascii="Arial" w:cs="Arial" w:eastAsia="Arial" w:hAnsi="Arial"/>
          <w:sz w:val="17"/>
          <w:szCs w:val="17"/>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207" w:lineRule="exact"/>
        <w:rPr>
          <w:sz w:val="20"/>
          <w:szCs w:val="20"/>
          <w:color w:val="auto"/>
        </w:rPr>
      </w:pPr>
    </w:p>
    <w:p>
      <w:pPr>
        <w:ind w:right="20" w:firstLine="620"/>
        <w:spacing w:after="0" w:line="283" w:lineRule="auto"/>
        <w:rPr>
          <w:sz w:val="20"/>
          <w:szCs w:val="20"/>
          <w:color w:val="auto"/>
        </w:rPr>
      </w:pPr>
      <w:r>
        <w:rPr>
          <w:rFonts w:ascii="Arial" w:cs="Arial" w:eastAsia="Arial" w:hAnsi="Arial"/>
          <w:sz w:val="17"/>
          <w:szCs w:val="17"/>
          <w:color w:val="auto"/>
        </w:rPr>
        <w:t>There was no change in our internal control over financial reporting during the quarter ended March 31, 2021 that has materially affected or is reasonably likely to materially affect our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Legal Proceedings</w:t>
      </w:r>
    </w:p>
    <w:p>
      <w:pPr>
        <w:spacing w:after="0" w:line="224" w:lineRule="exact"/>
        <w:rPr>
          <w:sz w:val="20"/>
          <w:szCs w:val="20"/>
          <w:color w:val="auto"/>
        </w:rPr>
      </w:pPr>
    </w:p>
    <w:p>
      <w:pPr>
        <w:ind w:right="360" w:firstLine="172"/>
        <w:spacing w:after="0" w:line="283" w:lineRule="auto"/>
        <w:rPr>
          <w:sz w:val="20"/>
          <w:szCs w:val="20"/>
          <w:color w:val="auto"/>
        </w:rPr>
      </w:pPr>
      <w:r>
        <w:rPr>
          <w:rFonts w:ascii="Arial" w:cs="Arial" w:eastAsia="Arial" w:hAnsi="Arial"/>
          <w:sz w:val="17"/>
          <w:szCs w:val="17"/>
          <w:color w:val="auto"/>
        </w:rPr>
        <w:t>Certain legal proceedings in which we are involved are discussed in Part I, Item 1. "Financial Statements" of this Form 10-Q in Note 18. Commitments and Contingencies to the Condensed Consolidated Financial Statements, and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1A.  Risk Factors</w:t>
      </w:r>
    </w:p>
    <w:p>
      <w:pPr>
        <w:spacing w:after="0" w:line="224" w:lineRule="exact"/>
        <w:rPr>
          <w:sz w:val="20"/>
          <w:szCs w:val="20"/>
          <w:color w:val="auto"/>
        </w:rPr>
      </w:pPr>
    </w:p>
    <w:p>
      <w:pPr>
        <w:jc w:val="both"/>
        <w:ind w:right="200" w:firstLine="172"/>
        <w:spacing w:after="0" w:line="268" w:lineRule="auto"/>
        <w:rPr>
          <w:sz w:val="20"/>
          <w:szCs w:val="20"/>
          <w:color w:val="auto"/>
        </w:rPr>
      </w:pPr>
      <w:r>
        <w:rPr>
          <w:rFonts w:ascii="Arial" w:cs="Arial" w:eastAsia="Arial" w:hAnsi="Arial"/>
          <w:sz w:val="17"/>
          <w:szCs w:val="17"/>
          <w:color w:val="auto"/>
        </w:rPr>
        <w:t>In evaluating an investment in our common stock, investors should consider carefully, among other things, the risk factors previously disclosed in Part I, Item 1A of our Annual Report on Form 10-K filed with the SEC for the year ended December 31, 2020, as well as the information contained in this Quarterly Report and our other reports and registration statements filed with the SEC.</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of Equity Securities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is a summary of our stock repurchasing activity during the first quarter of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purchased as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6"/>
              </w:rPr>
              <w:t>Average</w:t>
            </w: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part of a</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3"/>
              <w:spacing w:after="0" w:line="129" w:lineRule="exact"/>
              <w:rPr>
                <w:sz w:val="20"/>
                <w:szCs w:val="20"/>
                <w:color w:val="auto"/>
              </w:rPr>
            </w:pPr>
            <w:r>
              <w:rPr>
                <w:rFonts w:ascii="Arial" w:cs="Arial" w:eastAsia="Arial" w:hAnsi="Arial"/>
                <w:sz w:val="14"/>
                <w:szCs w:val="14"/>
                <w:b w:val="1"/>
                <w:bCs w:val="1"/>
                <w:color w:val="auto"/>
                <w:w w:val="89"/>
              </w:rPr>
              <w:t>dollar value that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Total number of shares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publicly</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3"/>
              <w:spacing w:after="0" w:line="12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price paid</w:t>
            </w:r>
          </w:p>
        </w:tc>
        <w:tc>
          <w:tcPr>
            <w:tcW w:w="1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announced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3"/>
              <w:spacing w:after="0" w:line="129" w:lineRule="exact"/>
              <w:rPr>
                <w:sz w:val="20"/>
                <w:szCs w:val="20"/>
                <w:color w:val="auto"/>
              </w:rPr>
            </w:pPr>
            <w:r>
              <w:rPr>
                <w:rFonts w:ascii="Arial" w:cs="Arial" w:eastAsia="Arial" w:hAnsi="Arial"/>
                <w:sz w:val="14"/>
                <w:szCs w:val="14"/>
                <w:b w:val="1"/>
                <w:bCs w:val="1"/>
                <w:color w:val="auto"/>
                <w:w w:val="88"/>
              </w:rPr>
              <w:t>purchased under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5"/>
              </w:rPr>
              <w:t>per share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3"/>
              <w:spacing w:after="0" w:line="181" w:lineRule="exact"/>
              <w:rPr>
                <w:sz w:val="20"/>
                <w:szCs w:val="20"/>
                <w:color w:val="auto"/>
              </w:rPr>
            </w:pPr>
            <w:r>
              <w:rPr>
                <w:rFonts w:ascii="Arial" w:cs="Arial" w:eastAsia="Arial" w:hAnsi="Arial"/>
                <w:sz w:val="14"/>
                <w:szCs w:val="14"/>
                <w:b w:val="1"/>
                <w:bCs w:val="1"/>
                <w:color w:val="auto"/>
                <w:w w:val="87"/>
              </w:rPr>
              <w:t>the program</w:t>
            </w:r>
            <w:r>
              <w:rPr>
                <w:rFonts w:ascii="Arial" w:cs="Arial" w:eastAsia="Arial" w:hAnsi="Arial"/>
                <w:sz w:val="17"/>
                <w:szCs w:val="17"/>
                <w:b w:val="1"/>
                <w:bCs w:val="1"/>
                <w:color w:val="auto"/>
                <w:w w:val="87"/>
                <w:vertAlign w:val="superscript"/>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01/01/2021 — 01/31/2021</w:t>
            </w: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Arial" w:cs="Arial" w:eastAsia="Arial" w:hAnsi="Arial"/>
                <w:sz w:val="17"/>
                <w:szCs w:val="17"/>
                <w:color w:val="auto"/>
              </w:rPr>
              <w:t>02/01/2021 — 02/28/2021</w:t>
            </w: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440" w:type="dxa"/>
            <w:vAlign w:val="bottom"/>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03/01/2021 — 03/31/2021</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Arial" w:cs="Arial" w:eastAsia="Arial" w:hAnsi="Arial"/>
                <w:sz w:val="17"/>
                <w:szCs w:val="17"/>
                <w:color w:val="auto"/>
              </w:rPr>
              <w:t>First quarter of 2021 total</w:t>
            </w: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
              <w:spacing w:after="0"/>
              <w:rPr>
                <w:sz w:val="20"/>
                <w:szCs w:val="20"/>
                <w:color w:val="auto"/>
              </w:rPr>
            </w:pP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jc w:val="right"/>
              <w:ind w:right="2357"/>
              <w:spacing w:after="0"/>
              <w:rPr>
                <w:sz w:val="20"/>
                <w:szCs w:val="20"/>
                <w:color w:val="auto"/>
              </w:rPr>
            </w:pPr>
            <w:r>
              <w:rPr>
                <w:rFonts w:ascii="Arial" w:cs="Arial" w:eastAsia="Arial" w:hAnsi="Arial"/>
                <w:sz w:val="19"/>
                <w:szCs w:val="19"/>
                <w:color w:val="auto"/>
                <w:w w:val="89"/>
              </w:rPr>
              <w:t>____________________________</w:t>
            </w: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5"/>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ind w:left="340"/>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0" w:hanging="317"/>
        <w:spacing w:after="0" w:line="243" w:lineRule="auto"/>
        <w:tabs>
          <w:tab w:leader="none" w:pos="23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6. Exhibits</w:t>
      </w:r>
    </w:p>
    <w:p>
      <w:pPr>
        <w:spacing w:after="0" w:line="340" w:lineRule="exact"/>
        <w:rPr>
          <w:sz w:val="20"/>
          <w:szCs w:val="20"/>
          <w:color w:val="auto"/>
        </w:rPr>
      </w:pPr>
    </w:p>
    <w:p>
      <w:pPr>
        <w:ind w:right="80" w:firstLine="172"/>
        <w:spacing w:after="0" w:line="283" w:lineRule="auto"/>
        <w:rPr>
          <w:sz w:val="20"/>
          <w:szCs w:val="20"/>
          <w:color w:val="auto"/>
        </w:rPr>
      </w:pPr>
      <w:r>
        <w:rPr>
          <w:rFonts w:ascii="Arial" w:cs="Arial" w:eastAsia="Arial" w:hAnsi="Arial"/>
          <w:sz w:val="17"/>
          <w:szCs w:val="17"/>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w:t>
      </w:r>
    </w:p>
    <w:p>
      <w:pPr>
        <w:spacing w:after="0" w:line="224" w:lineRule="exact"/>
        <w:rPr>
          <w:sz w:val="20"/>
          <w:szCs w:val="20"/>
          <w:color w:val="auto"/>
        </w:rPr>
      </w:pPr>
    </w:p>
    <w:p>
      <w:pPr>
        <w:ind w:right="72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ICU Medical,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60" w:type="dxa"/>
            <w:vAlign w:val="bottom"/>
          </w:tcPr>
          <w:p>
            <w:pPr>
              <w:ind w:left="20"/>
              <w:spacing w:after="0"/>
              <w:rPr>
                <w:sz w:val="20"/>
                <w:szCs w:val="20"/>
                <w:color w:val="auto"/>
              </w:rPr>
            </w:pPr>
            <w:r>
              <w:rPr>
                <w:rFonts w:ascii="Arial" w:cs="Arial" w:eastAsia="Arial" w:hAnsi="Arial"/>
                <w:sz w:val="17"/>
                <w:szCs w:val="17"/>
                <w:color w:val="auto"/>
              </w:rPr>
              <w:t>(Registrant)</w:t>
            </w:r>
          </w:p>
        </w:tc>
        <w:tc>
          <w:tcPr>
            <w:tcW w:w="180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43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Brian M. Bonnell</w:t>
            </w:r>
          </w:p>
        </w:tc>
        <w:tc>
          <w:tcPr>
            <w:tcW w:w="1800" w:type="dxa"/>
            <w:vAlign w:val="bottom"/>
            <w:tcBorders>
              <w:bottom w:val="single" w:sz="8" w:color="auto"/>
            </w:tcBorders>
          </w:tcPr>
          <w:p>
            <w:pPr>
              <w:spacing w:after="0"/>
              <w:rPr>
                <w:sz w:val="24"/>
                <w:szCs w:val="24"/>
                <w:color w:val="auto"/>
              </w:rPr>
            </w:pPr>
          </w:p>
        </w:tc>
        <w:tc>
          <w:tcPr>
            <w:tcW w:w="5680" w:type="dxa"/>
            <w:vAlign w:val="bottom"/>
          </w:tcPr>
          <w:p>
            <w:pPr>
              <w:jc w:val="right"/>
              <w:ind w:right="4034"/>
              <w:spacing w:after="0"/>
              <w:rPr>
                <w:sz w:val="20"/>
                <w:szCs w:val="20"/>
                <w:color w:val="auto"/>
              </w:rPr>
            </w:pPr>
            <w:r>
              <w:rPr>
                <w:rFonts w:ascii="Arial" w:cs="Arial" w:eastAsia="Arial" w:hAnsi="Arial"/>
                <w:sz w:val="17"/>
                <w:szCs w:val="17"/>
                <w:color w:val="auto"/>
              </w:rPr>
              <w:t>Date: May 7, 2021</w:t>
            </w:r>
          </w:p>
        </w:tc>
      </w:tr>
      <w:tr>
        <w:trPr>
          <w:trHeight w:val="213"/>
        </w:trPr>
        <w:tc>
          <w:tcPr>
            <w:tcW w:w="3760" w:type="dxa"/>
            <w:vAlign w:val="bottom"/>
          </w:tcPr>
          <w:p>
            <w:pPr>
              <w:ind w:left="20"/>
              <w:spacing w:after="0"/>
              <w:rPr>
                <w:sz w:val="20"/>
                <w:szCs w:val="20"/>
                <w:color w:val="auto"/>
              </w:rPr>
            </w:pPr>
            <w:r>
              <w:rPr>
                <w:rFonts w:ascii="Arial" w:cs="Arial" w:eastAsia="Arial" w:hAnsi="Arial"/>
                <w:sz w:val="17"/>
                <w:szCs w:val="17"/>
                <w:color w:val="auto"/>
              </w:rPr>
              <w:t>Brian M. Bonnell</w:t>
            </w:r>
          </w:p>
        </w:tc>
        <w:tc>
          <w:tcPr>
            <w:tcW w:w="180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20"/>
        </w:trPr>
        <w:tc>
          <w:tcPr>
            <w:tcW w:w="376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180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220"/>
        </w:trPr>
        <w:tc>
          <w:tcPr>
            <w:tcW w:w="376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c>
          <w:tcPr>
            <w:tcW w:w="1800" w:type="dxa"/>
            <w:vAlign w:val="bottom"/>
          </w:tcPr>
          <w:p>
            <w:pPr>
              <w:spacing w:after="0"/>
              <w:rPr>
                <w:sz w:val="19"/>
                <w:szCs w:val="19"/>
                <w:color w:val="auto"/>
              </w:rPr>
            </w:pPr>
          </w:p>
        </w:tc>
        <w:tc>
          <w:tcPr>
            <w:tcW w:w="5680" w:type="dxa"/>
            <w:vAlign w:val="bottom"/>
          </w:tcPr>
          <w:p>
            <w:pPr>
              <w:spacing w:after="0"/>
              <w:rPr>
                <w:sz w:val="19"/>
                <w:szCs w:val="19"/>
                <w:color w:val="auto"/>
              </w:rPr>
            </w:pPr>
          </w:p>
        </w:tc>
      </w:tr>
      <w:tr>
        <w:trPr>
          <w:trHeight w:val="814"/>
        </w:trPr>
        <w:tc>
          <w:tcPr>
            <w:tcW w:w="3760" w:type="dxa"/>
            <w:vAlign w:val="bottom"/>
          </w:tcPr>
          <w:p>
            <w:pPr>
              <w:spacing w:after="0"/>
              <w:rPr>
                <w:sz w:val="24"/>
                <w:szCs w:val="24"/>
                <w:color w:val="auto"/>
              </w:rPr>
            </w:pPr>
          </w:p>
        </w:tc>
        <w:tc>
          <w:tcPr>
            <w:tcW w:w="7480" w:type="dxa"/>
            <w:vAlign w:val="bottom"/>
            <w:gridSpan w:val="2"/>
          </w:tcPr>
          <w:p>
            <w:pPr>
              <w:jc w:val="right"/>
              <w:ind w:right="5434"/>
              <w:spacing w:after="0"/>
              <w:rPr>
                <w:sz w:val="20"/>
                <w:szCs w:val="20"/>
                <w:color w:val="auto"/>
              </w:rPr>
            </w:pPr>
            <w:r>
              <w:rPr>
                <w:rFonts w:ascii="Arial" w:cs="Arial" w:eastAsia="Arial" w:hAnsi="Arial"/>
                <w:sz w:val="17"/>
                <w:szCs w:val="17"/>
                <w:color w:val="auto"/>
              </w:rPr>
              <w:t>39</w:t>
            </w:r>
          </w:p>
        </w:tc>
      </w:tr>
      <w:tr>
        <w:trPr>
          <w:trHeight w:val="109"/>
        </w:trPr>
        <w:tc>
          <w:tcPr>
            <w:tcW w:w="37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5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5"/>
        </w:trPr>
        <w:tc>
          <w:tcPr>
            <w:tcW w:w="102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4"/>
              </w:rPr>
              <w:t>Exhibit Index</w:t>
            </w:r>
          </w:p>
        </w:tc>
        <w:tc>
          <w:tcPr>
            <w:tcW w:w="560" w:type="dxa"/>
            <w:vAlign w:val="bottom"/>
          </w:tcPr>
          <w:p>
            <w:pPr>
              <w:spacing w:after="0"/>
              <w:rPr>
                <w:sz w:val="16"/>
                <w:szCs w:val="16"/>
                <w:color w:val="auto"/>
              </w:rPr>
            </w:pPr>
          </w:p>
        </w:tc>
        <w:tc>
          <w:tcPr>
            <w:tcW w:w="9240" w:type="dxa"/>
            <w:vAlign w:val="bottom"/>
          </w:tcPr>
          <w:p>
            <w:pPr>
              <w:spacing w:after="0"/>
              <w:rPr>
                <w:sz w:val="16"/>
                <w:szCs w:val="16"/>
                <w:color w:val="auto"/>
              </w:rPr>
            </w:pPr>
          </w:p>
        </w:tc>
      </w:tr>
      <w:tr>
        <w:trPr>
          <w:trHeight w:val="523"/>
        </w:trPr>
        <w:tc>
          <w:tcPr>
            <w:tcW w:w="1580" w:type="dxa"/>
            <w:vAlign w:val="bottom"/>
            <w:gridSpan w:val="4"/>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41">
              <w:r>
                <w:rPr>
                  <w:rFonts w:ascii="Arial" w:cs="Arial" w:eastAsia="Arial" w:hAnsi="Arial"/>
                  <w:sz w:val="17"/>
                  <w:szCs w:val="17"/>
                  <w:color w:val="0000FF"/>
                </w:rPr>
                <w:t>31.1</w:t>
              </w:r>
            </w:hyperlink>
          </w:p>
        </w:tc>
        <w:tc>
          <w:tcPr>
            <w:tcW w:w="9240" w:type="dxa"/>
            <w:vAlign w:val="bottom"/>
          </w:tcPr>
          <w:p>
            <w:pPr>
              <w:ind w:left="360"/>
              <w:spacing w:after="0"/>
              <w:rPr>
                <w:sz w:val="20"/>
                <w:szCs w:val="20"/>
                <w:color w:val="auto"/>
              </w:rPr>
            </w:pPr>
            <w:r>
              <w:rPr>
                <w:rFonts w:ascii="Arial" w:cs="Arial" w:eastAsia="Arial" w:hAnsi="Arial"/>
                <w:sz w:val="17"/>
                <w:szCs w:val="17"/>
                <w:color w:val="auto"/>
              </w:rPr>
              <w:t>Certification of Chief Executive Officer pursuant to Section 302 of the Sarbanes-Oxley Act of 2002</w:t>
            </w:r>
          </w:p>
        </w:tc>
      </w:tr>
      <w:tr>
        <w:trPr>
          <w:trHeight w:val="20"/>
        </w:trPr>
        <w:tc>
          <w:tcPr>
            <w:tcW w:w="6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80" w:type="dxa"/>
            <w:vAlign w:val="bottom"/>
            <w:gridSpan w:val="4"/>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42">
              <w:r>
                <w:rPr>
                  <w:rFonts w:ascii="Arial" w:cs="Arial" w:eastAsia="Arial" w:hAnsi="Arial"/>
                  <w:sz w:val="17"/>
                  <w:szCs w:val="17"/>
                  <w:color w:val="0000FF"/>
                </w:rPr>
                <w:t>31.2</w:t>
              </w:r>
            </w:hyperlink>
          </w:p>
        </w:tc>
        <w:tc>
          <w:tcPr>
            <w:tcW w:w="9240" w:type="dxa"/>
            <w:vAlign w:val="bottom"/>
          </w:tcPr>
          <w:p>
            <w:pPr>
              <w:ind w:left="360"/>
              <w:spacing w:after="0"/>
              <w:rPr>
                <w:sz w:val="20"/>
                <w:szCs w:val="20"/>
                <w:color w:val="auto"/>
              </w:rPr>
            </w:pPr>
            <w:r>
              <w:rPr>
                <w:rFonts w:ascii="Arial" w:cs="Arial" w:eastAsia="Arial" w:hAnsi="Arial"/>
                <w:sz w:val="17"/>
                <w:szCs w:val="17"/>
                <w:color w:val="auto"/>
              </w:rPr>
              <w:t>Certification of Chief Financial Officer pursuant to Section 302 of the Sarbanes-Oxley Act of 2002</w:t>
            </w:r>
          </w:p>
        </w:tc>
      </w:tr>
      <w:tr>
        <w:trPr>
          <w:trHeight w:val="20"/>
        </w:trPr>
        <w:tc>
          <w:tcPr>
            <w:tcW w:w="6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51"/>
        </w:trPr>
        <w:tc>
          <w:tcPr>
            <w:tcW w:w="1580" w:type="dxa"/>
            <w:vAlign w:val="bottom"/>
            <w:gridSpan w:val="4"/>
          </w:tcPr>
          <w:p>
            <w:pPr>
              <w:ind w:left="20"/>
              <w:spacing w:after="0"/>
              <w:rPr>
                <w:rFonts w:ascii="Arial" w:cs="Arial" w:eastAsia="Arial" w:hAnsi="Arial"/>
                <w:sz w:val="17"/>
                <w:szCs w:val="17"/>
                <w:color w:val="auto"/>
              </w:rPr>
            </w:pPr>
            <w:r>
              <w:rPr>
                <w:rFonts w:ascii="Arial" w:cs="Arial" w:eastAsia="Arial" w:hAnsi="Arial"/>
                <w:sz w:val="17"/>
                <w:szCs w:val="17"/>
                <w:color w:val="auto"/>
              </w:rPr>
              <w:t xml:space="preserve">Exhibit </w:t>
            </w:r>
            <w:hyperlink w:anchor="page43">
              <w:r>
                <w:rPr>
                  <w:rFonts w:ascii="Arial" w:cs="Arial" w:eastAsia="Arial" w:hAnsi="Arial"/>
                  <w:sz w:val="17"/>
                  <w:szCs w:val="17"/>
                  <w:color w:val="0000FF"/>
                </w:rPr>
                <w:t>32.1</w:t>
              </w:r>
            </w:hyperlink>
          </w:p>
        </w:tc>
        <w:tc>
          <w:tcPr>
            <w:tcW w:w="9240" w:type="dxa"/>
            <w:vAlign w:val="bottom"/>
          </w:tcPr>
          <w:p>
            <w:pPr>
              <w:ind w:left="360"/>
              <w:spacing w:after="0"/>
              <w:rPr>
                <w:sz w:val="20"/>
                <w:szCs w:val="20"/>
                <w:color w:val="auto"/>
              </w:rPr>
            </w:pPr>
            <w:r>
              <w:rPr>
                <w:rFonts w:ascii="Arial" w:cs="Arial" w:eastAsia="Arial" w:hAnsi="Arial"/>
                <w:sz w:val="17"/>
                <w:szCs w:val="17"/>
                <w:color w:val="auto"/>
                <w:w w:val="93"/>
              </w:rPr>
              <w:t>Certifications of Chief Executive Officer and Chief Financial Officer pursuant to Section 906 of the Sarbanes-Oxley Act of 2002</w:t>
            </w:r>
          </w:p>
        </w:tc>
      </w:tr>
      <w:tr>
        <w:trPr>
          <w:trHeight w:val="20"/>
        </w:trPr>
        <w:tc>
          <w:tcPr>
            <w:tcW w:w="6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39"/>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101.INS</w:t>
            </w:r>
          </w:p>
        </w:tc>
        <w:tc>
          <w:tcPr>
            <w:tcW w:w="9240" w:type="dxa"/>
            <w:vAlign w:val="bottom"/>
          </w:tcPr>
          <w:p>
            <w:pPr>
              <w:ind w:left="360"/>
              <w:spacing w:after="0"/>
              <w:rPr>
                <w:sz w:val="20"/>
                <w:szCs w:val="20"/>
                <w:color w:val="auto"/>
              </w:rPr>
            </w:pPr>
            <w:r>
              <w:rPr>
                <w:rFonts w:ascii="Arial" w:cs="Arial" w:eastAsia="Arial" w:hAnsi="Arial"/>
                <w:sz w:val="17"/>
                <w:szCs w:val="17"/>
                <w:color w:val="auto"/>
                <w:w w:val="96"/>
              </w:rPr>
              <w:t>XBRL Instance Document - this instance document does not appear in the Interactive Data File because its XBRL tags are</w:t>
            </w:r>
          </w:p>
        </w:tc>
      </w:tr>
      <w:tr>
        <w:trPr>
          <w:trHeight w:val="219"/>
        </w:trPr>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40" w:type="dxa"/>
            <w:vAlign w:val="bottom"/>
          </w:tcPr>
          <w:p>
            <w:pPr>
              <w:ind w:left="360"/>
              <w:spacing w:after="0"/>
              <w:rPr>
                <w:sz w:val="20"/>
                <w:szCs w:val="20"/>
                <w:color w:val="auto"/>
              </w:rPr>
            </w:pPr>
            <w:r>
              <w:rPr>
                <w:rFonts w:ascii="Arial" w:cs="Arial" w:eastAsia="Arial" w:hAnsi="Arial"/>
                <w:sz w:val="17"/>
                <w:szCs w:val="17"/>
                <w:color w:val="auto"/>
              </w:rPr>
              <w:t>embedded within the Inline XBRL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101.SCH</w:t>
            </w:r>
          </w:p>
        </w:tc>
        <w:tc>
          <w:tcPr>
            <w:tcW w:w="9240" w:type="dxa"/>
            <w:vAlign w:val="bottom"/>
          </w:tcPr>
          <w:p>
            <w:pPr>
              <w:ind w:left="360"/>
              <w:spacing w:after="0"/>
              <w:rPr>
                <w:sz w:val="20"/>
                <w:szCs w:val="20"/>
                <w:color w:val="auto"/>
              </w:rPr>
            </w:pPr>
            <w:r>
              <w:rPr>
                <w:rFonts w:ascii="Arial" w:cs="Arial" w:eastAsia="Arial" w:hAnsi="Arial"/>
                <w:sz w:val="17"/>
                <w:szCs w:val="17"/>
                <w:color w:val="auto"/>
              </w:rPr>
              <w:t>XBRL Taxonomy Extension Schema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101.CAL</w:t>
            </w:r>
          </w:p>
        </w:tc>
        <w:tc>
          <w:tcPr>
            <w:tcW w:w="9240" w:type="dxa"/>
            <w:vAlign w:val="bottom"/>
          </w:tcPr>
          <w:p>
            <w:pPr>
              <w:ind w:left="360"/>
              <w:spacing w:after="0"/>
              <w:rPr>
                <w:sz w:val="20"/>
                <w:szCs w:val="20"/>
                <w:color w:val="auto"/>
              </w:rPr>
            </w:pPr>
            <w:r>
              <w:rPr>
                <w:rFonts w:ascii="Arial" w:cs="Arial" w:eastAsia="Arial" w:hAnsi="Arial"/>
                <w:sz w:val="17"/>
                <w:szCs w:val="17"/>
                <w:color w:val="auto"/>
              </w:rPr>
              <w:t>XBRL Taxonomy Extension Calculation Linkbase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101.DEF</w:t>
            </w:r>
          </w:p>
        </w:tc>
        <w:tc>
          <w:tcPr>
            <w:tcW w:w="9240" w:type="dxa"/>
            <w:vAlign w:val="bottom"/>
          </w:tcPr>
          <w:p>
            <w:pPr>
              <w:ind w:left="360"/>
              <w:spacing w:after="0"/>
              <w:rPr>
                <w:sz w:val="20"/>
                <w:szCs w:val="20"/>
                <w:color w:val="auto"/>
              </w:rPr>
            </w:pPr>
            <w:r>
              <w:rPr>
                <w:rFonts w:ascii="Arial" w:cs="Arial" w:eastAsia="Arial" w:hAnsi="Arial"/>
                <w:sz w:val="17"/>
                <w:szCs w:val="17"/>
                <w:color w:val="auto"/>
              </w:rPr>
              <w:t>XBRL Taxonomy Extension Definition Linkbase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101.LAB</w:t>
            </w:r>
          </w:p>
        </w:tc>
        <w:tc>
          <w:tcPr>
            <w:tcW w:w="9240" w:type="dxa"/>
            <w:vAlign w:val="bottom"/>
          </w:tcPr>
          <w:p>
            <w:pPr>
              <w:ind w:left="360"/>
              <w:spacing w:after="0"/>
              <w:rPr>
                <w:sz w:val="20"/>
                <w:szCs w:val="20"/>
                <w:color w:val="auto"/>
              </w:rPr>
            </w:pPr>
            <w:r>
              <w:rPr>
                <w:rFonts w:ascii="Arial" w:cs="Arial" w:eastAsia="Arial" w:hAnsi="Arial"/>
                <w:sz w:val="17"/>
                <w:szCs w:val="17"/>
                <w:color w:val="auto"/>
              </w:rPr>
              <w:t>XBRL Taxonomy Extension Label Linkbase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101.PRE</w:t>
            </w:r>
          </w:p>
        </w:tc>
        <w:tc>
          <w:tcPr>
            <w:tcW w:w="9240" w:type="dxa"/>
            <w:vAlign w:val="bottom"/>
          </w:tcPr>
          <w:p>
            <w:pPr>
              <w:ind w:left="36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71"/>
        </w:trPr>
        <w:tc>
          <w:tcPr>
            <w:tcW w:w="1580" w:type="dxa"/>
            <w:vAlign w:val="bottom"/>
            <w:gridSpan w:val="4"/>
          </w:tcPr>
          <w:p>
            <w:pPr>
              <w:ind w:left="20"/>
              <w:spacing w:after="0"/>
              <w:rPr>
                <w:sz w:val="20"/>
                <w:szCs w:val="20"/>
                <w:color w:val="auto"/>
              </w:rPr>
            </w:pPr>
            <w:r>
              <w:rPr>
                <w:rFonts w:ascii="Arial" w:cs="Arial" w:eastAsia="Arial" w:hAnsi="Arial"/>
                <w:sz w:val="17"/>
                <w:szCs w:val="17"/>
                <w:color w:val="auto"/>
              </w:rPr>
              <w:t>Exhibit 104</w:t>
            </w:r>
          </w:p>
        </w:tc>
        <w:tc>
          <w:tcPr>
            <w:tcW w:w="9240" w:type="dxa"/>
            <w:vAlign w:val="bottom"/>
          </w:tcPr>
          <w:p>
            <w:pPr>
              <w:ind w:left="36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820"/>
          </w:cols>
          <w:pgMar w:left="320" w:top="849" w:right="75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CHIEF EXECUTIVE OFFICER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Vivek Jain, certify that:</w:t>
      </w:r>
    </w:p>
    <w:p>
      <w:pPr>
        <w:spacing w:after="0" w:line="244" w:lineRule="exact"/>
        <w:rPr>
          <w:sz w:val="20"/>
          <w:szCs w:val="20"/>
          <w:color w:val="auto"/>
        </w:rPr>
      </w:pPr>
    </w:p>
    <w:p>
      <w:pPr>
        <w:ind w:left="1240" w:hanging="616"/>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ICU Medical, Inc.;</w:t>
      </w:r>
    </w:p>
    <w:p>
      <w:pPr>
        <w:spacing w:after="0" w:line="243" w:lineRule="exact"/>
        <w:rPr>
          <w:rFonts w:ascii="Arial" w:cs="Arial" w:eastAsia="Arial" w:hAnsi="Arial"/>
          <w:sz w:val="17"/>
          <w:szCs w:val="17"/>
          <w:color w:val="auto"/>
        </w:rPr>
      </w:pPr>
    </w:p>
    <w:p>
      <w:pPr>
        <w:ind w:left="1240" w:right="40" w:hanging="616"/>
        <w:spacing w:after="0" w:line="268" w:lineRule="auto"/>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1240" w:right="200" w:hanging="616"/>
        <w:spacing w:after="0" w:line="315"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6"/>
          <w:szCs w:val="16"/>
          <w:color w:val="auto"/>
        </w:rPr>
      </w:pPr>
    </w:p>
    <w:p>
      <w:pPr>
        <w:ind w:left="1240" w:right="160" w:hanging="616"/>
        <w:spacing w:after="0" w:line="296" w:lineRule="auto"/>
        <w:tabs>
          <w:tab w:leader="none" w:pos="12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4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231" w:lineRule="exact"/>
        <w:rPr>
          <w:sz w:val="20"/>
          <w:szCs w:val="20"/>
          <w:color w:val="auto"/>
        </w:rPr>
      </w:pPr>
    </w:p>
    <w:p>
      <w:pPr>
        <w:ind w:left="1240" w:right="240" w:hanging="616"/>
        <w:spacing w:after="0" w:line="268" w:lineRule="auto"/>
        <w:tabs>
          <w:tab w:leader="none" w:pos="1232"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240" w:right="520" w:hanging="616"/>
        <w:spacing w:after="0" w:line="268" w:lineRule="auto"/>
        <w:tabs>
          <w:tab w:leader="none" w:pos="12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240" w:right="680" w:hanging="616"/>
        <w:spacing w:after="0" w:line="353" w:lineRule="auto"/>
        <w:tabs>
          <w:tab w:leader="none" w:pos="1232" w:val="left"/>
        </w:tabs>
        <w:numPr>
          <w:ilvl w:val="0"/>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240" w:right="240" w:hanging="616"/>
        <w:spacing w:after="0" w:line="268" w:lineRule="auto"/>
        <w:tabs>
          <w:tab w:leader="none" w:pos="12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sz w:val="20"/>
          <w:szCs w:val="20"/>
          <w:color w:val="auto"/>
        </w:rPr>
      </w:pPr>
    </w:p>
    <w:p>
      <w:pPr>
        <w:ind w:left="1240" w:right="120" w:hanging="616"/>
        <w:spacing w:after="0" w:line="315" w:lineRule="auto"/>
        <w:tabs>
          <w:tab w:leader="none" w:pos="1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240" w:right="140" w:hanging="616"/>
        <w:spacing w:after="0" w:line="283" w:lineRule="auto"/>
        <w:tabs>
          <w:tab w:leader="none" w:pos="1232"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240" w:right="100" w:hanging="616"/>
        <w:spacing w:after="0" w:line="277" w:lineRule="auto"/>
        <w:tabs>
          <w:tab w:leader="none" w:pos="1228"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1440"/>
        <w:spacing w:after="0"/>
        <w:tabs>
          <w:tab w:leader="none" w:pos="6340" w:val="left"/>
        </w:tabs>
        <w:rPr>
          <w:sz w:val="20"/>
          <w:szCs w:val="20"/>
          <w:color w:val="auto"/>
        </w:rPr>
      </w:pPr>
      <w:r>
        <w:rPr>
          <w:rFonts w:ascii="Arial" w:cs="Arial" w:eastAsia="Arial" w:hAnsi="Arial"/>
          <w:sz w:val="17"/>
          <w:szCs w:val="17"/>
          <w:color w:val="auto"/>
        </w:rPr>
        <w:t>Date: May 7, 2021</w:t>
      </w:r>
      <w:r>
        <w:rPr>
          <w:sz w:val="20"/>
          <w:szCs w:val="20"/>
          <w:color w:val="auto"/>
        </w:rPr>
        <w:tab/>
      </w:r>
      <w:r>
        <w:rPr>
          <w:rFonts w:ascii="Arial" w:cs="Arial" w:eastAsia="Arial" w:hAnsi="Arial"/>
          <w:sz w:val="15"/>
          <w:szCs w:val="15"/>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15240</wp:posOffset>
            </wp:positionV>
            <wp:extent cx="30930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9308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113665</wp:posOffset>
            </wp:positionV>
            <wp:extent cx="712152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1525"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OF CHIEF FINANCIAL OFFICER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Brian M. Bonnell, certify that:</w:t>
      </w:r>
    </w:p>
    <w:p>
      <w:pPr>
        <w:spacing w:after="0" w:line="218" w:lineRule="exact"/>
        <w:rPr>
          <w:sz w:val="20"/>
          <w:szCs w:val="20"/>
          <w:color w:val="auto"/>
        </w:rPr>
      </w:pPr>
    </w:p>
    <w:p>
      <w:pPr>
        <w:ind w:left="1100" w:hanging="554"/>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ICU Medical, Inc.;</w:t>
      </w:r>
    </w:p>
    <w:p>
      <w:pPr>
        <w:spacing w:after="0" w:line="243" w:lineRule="exact"/>
        <w:rPr>
          <w:rFonts w:ascii="Arial" w:cs="Arial" w:eastAsia="Arial" w:hAnsi="Arial"/>
          <w:sz w:val="17"/>
          <w:szCs w:val="17"/>
          <w:color w:val="auto"/>
        </w:rPr>
      </w:pPr>
    </w:p>
    <w:p>
      <w:pPr>
        <w:jc w:val="both"/>
        <w:ind w:left="1080" w:right="140" w:hanging="534"/>
        <w:spacing w:after="0" w:line="26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1080" w:right="60" w:hanging="534"/>
        <w:spacing w:after="0" w:line="315" w:lineRule="auto"/>
        <w:tabs>
          <w:tab w:leader="none" w:pos="11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6"/>
          <w:szCs w:val="16"/>
          <w:color w:val="auto"/>
        </w:rPr>
      </w:pPr>
    </w:p>
    <w:p>
      <w:pPr>
        <w:ind w:left="1080" w:right="120" w:hanging="534"/>
        <w:spacing w:after="0" w:line="26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sz w:val="20"/>
          <w:szCs w:val="20"/>
          <w:color w:val="auto"/>
        </w:rPr>
      </w:pPr>
    </w:p>
    <w:p>
      <w:pPr>
        <w:ind w:left="1080" w:right="380" w:hanging="534"/>
        <w:spacing w:after="0" w:line="268" w:lineRule="auto"/>
        <w:tabs>
          <w:tab w:leader="none" w:pos="1071"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080" w:right="80" w:hanging="534"/>
        <w:spacing w:after="0" w:line="268" w:lineRule="auto"/>
        <w:tabs>
          <w:tab w:leader="none" w:pos="1068"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080" w:right="840" w:hanging="534"/>
        <w:spacing w:after="0" w:line="353" w:lineRule="auto"/>
        <w:tabs>
          <w:tab w:leader="none" w:pos="1071" w:val="left"/>
        </w:tabs>
        <w:numPr>
          <w:ilvl w:val="0"/>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080" w:right="100" w:hanging="534"/>
        <w:spacing w:after="0" w:line="268" w:lineRule="auto"/>
        <w:tabs>
          <w:tab w:leader="none" w:pos="1068"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sz w:val="20"/>
          <w:szCs w:val="20"/>
          <w:color w:val="auto"/>
        </w:rPr>
      </w:pPr>
    </w:p>
    <w:p>
      <w:pPr>
        <w:ind w:left="1080" w:right="240" w:hanging="534"/>
        <w:spacing w:after="0" w:line="315" w:lineRule="auto"/>
        <w:tabs>
          <w:tab w:leader="none" w:pos="112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080" w:right="300" w:hanging="534"/>
        <w:spacing w:after="0" w:line="283" w:lineRule="auto"/>
        <w:tabs>
          <w:tab w:leader="none" w:pos="1071"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080" w:right="260" w:hanging="534"/>
        <w:spacing w:after="0" w:line="283" w:lineRule="auto"/>
        <w:tabs>
          <w:tab w:leader="none" w:pos="1068"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1260"/>
        <w:spacing w:after="0"/>
        <w:tabs>
          <w:tab w:leader="none" w:pos="2280" w:val="left"/>
          <w:tab w:leader="none" w:pos="67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7, 2021</w:t>
      </w:r>
      <w:r>
        <w:rPr>
          <w:sz w:val="20"/>
          <w:szCs w:val="20"/>
          <w:color w:val="auto"/>
        </w:rPr>
        <w:tab/>
      </w:r>
      <w:r>
        <w:rPr>
          <w:rFonts w:ascii="Arial" w:cs="Arial" w:eastAsia="Arial" w:hAnsi="Arial"/>
          <w:sz w:val="16"/>
          <w:szCs w:val="16"/>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15240</wp:posOffset>
            </wp:positionV>
            <wp:extent cx="33096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9620" cy="825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105410</wp:posOffset>
            </wp:positionV>
            <wp:extent cx="680466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Quarterly Report of ICU Medical, Inc. (the “Company”) on Form 10-Q for the period ended March 31, 2021 as filed with the Securities and Exchange Commission on the date hereof (the “Report”), I, Vivek Jain, Chief Executive Officer of the Company, certify, pursuant to 18 U.S.C. § 1350, as adopted pursuant to § 906 of the Sarbanes-Oxley Act of 2002, that:</w:t>
      </w:r>
    </w:p>
    <w:p>
      <w:pPr>
        <w:spacing w:after="0" w:line="172" w:lineRule="exact"/>
        <w:rPr>
          <w:sz w:val="20"/>
          <w:szCs w:val="20"/>
          <w:color w:val="auto"/>
        </w:rPr>
      </w:pPr>
    </w:p>
    <w:p>
      <w:pPr>
        <w:ind w:left="300" w:hanging="297"/>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00" w:hanging="297"/>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340"/>
        <w:spacing w:after="0"/>
        <w:tabs>
          <w:tab w:leader="none" w:pos="5700" w:val="left"/>
        </w:tabs>
        <w:rPr>
          <w:sz w:val="20"/>
          <w:szCs w:val="20"/>
          <w:color w:val="auto"/>
        </w:rPr>
      </w:pPr>
      <w:r>
        <w:rPr>
          <w:rFonts w:ascii="Arial" w:cs="Arial" w:eastAsia="Arial" w:hAnsi="Arial"/>
          <w:sz w:val="17"/>
          <w:szCs w:val="17"/>
          <w:color w:val="auto"/>
        </w:rPr>
        <w:t>May 7, 2021</w:t>
      </w:r>
      <w:r>
        <w:rPr>
          <w:sz w:val="20"/>
          <w:szCs w:val="20"/>
          <w:color w:val="auto"/>
        </w:rPr>
        <w:tab/>
      </w:r>
      <w:r>
        <w:rPr>
          <w:rFonts w:ascii="Arial" w:cs="Arial" w:eastAsia="Arial" w:hAnsi="Arial"/>
          <w:sz w:val="15"/>
          <w:szCs w:val="15"/>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15240</wp:posOffset>
            </wp:positionV>
            <wp:extent cx="3314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Vivek Jain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Quarterly Report of ICU Medical, Inc. (the “Company”) on Form 10-Q for the period ended March 31, 2021 as filed with the Securities and Exchange Commission on the date hereof (the “Report”), I, Brian M. Bonnell, Chief Financial Officer of the Company, certify, pursuant to 18 U.S.C. § 1350, as adopted pursuant to § 906 of the Sarbanes-Oxley Act of 2002, that:</w:t>
      </w:r>
    </w:p>
    <w:p>
      <w:pPr>
        <w:spacing w:after="0" w:line="172" w:lineRule="exact"/>
        <w:rPr>
          <w:sz w:val="20"/>
          <w:szCs w:val="20"/>
          <w:color w:val="auto"/>
        </w:rPr>
      </w:pPr>
    </w:p>
    <w:p>
      <w:pPr>
        <w:ind w:left="300" w:hanging="297"/>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00" w:hanging="297"/>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7"/>
          <w:szCs w:val="17"/>
          <w:color w:val="auto"/>
        </w:rPr>
        <w:t>May 7, 2021</w:t>
      </w:r>
      <w:r>
        <w:rPr>
          <w:sz w:val="20"/>
          <w:szCs w:val="20"/>
          <w:color w:val="auto"/>
        </w:rPr>
        <w:tab/>
      </w:r>
      <w:r>
        <w:rPr>
          <w:rFonts w:ascii="Arial" w:cs="Arial" w:eastAsia="Arial" w:hAnsi="Arial"/>
          <w:sz w:val="16"/>
          <w:szCs w:val="16"/>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15240</wp:posOffset>
            </wp:positionV>
            <wp:extent cx="35032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03295" cy="8255"/>
                    </a:xfrm>
                    <a:prstGeom prst="rect">
                      <a:avLst/>
                    </a:prstGeom>
                    <a:noFill/>
                  </pic:spPr>
                </pic:pic>
              </a:graphicData>
            </a:graphic>
          </wp:anchor>
        </w:drawing>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113665</wp:posOffset>
            </wp:positionV>
            <wp:extent cx="712152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1525" cy="16510"/>
                    </a:xfrm>
                    <a:prstGeom prst="rect">
                      <a:avLst/>
                    </a:prstGeom>
                    <a:noFill/>
                  </pic:spPr>
                </pic:pic>
              </a:graphicData>
            </a:graphic>
          </wp:anchor>
        </w:drawing>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lowerRoman"/>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2021-05-07T12:46:03Z</dcterms:created>
  <dcterms:modified xsi:type="dcterms:W3CDTF">2021-05-07T12:46:03Z</dcterms:modified>
</cp:coreProperties>
</file>