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FORM 10-Q</w:t>
      </w:r>
    </w:p>
    <w:p>
      <w:pPr>
        <w:spacing w:after="0" w:line="163"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06"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For the quarterly period ended: June 30, 2022</w:t>
      </w:r>
    </w:p>
    <w:p>
      <w:pPr>
        <w:spacing w:after="0" w:line="26" w:lineRule="exact"/>
        <w:rPr>
          <w:sz w:val="24"/>
          <w:szCs w:val="24"/>
          <w:color w:val="auto"/>
        </w:rPr>
      </w:pPr>
    </w:p>
    <w:p>
      <w:pPr>
        <w:ind w:left="5580"/>
        <w:spacing w:after="0"/>
        <w:rPr>
          <w:sz w:val="20"/>
          <w:szCs w:val="20"/>
          <w:color w:val="auto"/>
        </w:rPr>
      </w:pPr>
      <w:r>
        <w:rPr>
          <w:rFonts w:ascii="Arial" w:cs="Arial" w:eastAsia="Arial" w:hAnsi="Arial"/>
          <w:sz w:val="15"/>
          <w:szCs w:val="15"/>
          <w:b w:val="1"/>
          <w:bCs w:val="1"/>
          <w:color w:val="auto"/>
        </w:rPr>
        <w:t>or</w:t>
      </w:r>
    </w:p>
    <w:p>
      <w:pPr>
        <w:spacing w:after="0" w:line="11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847" w:right="339" w:bottom="1440" w:gutter="0" w:footer="0" w:header="0"/>
        </w:sectPr>
      </w:pPr>
    </w:p>
    <w:p>
      <w:pPr>
        <w:spacing w:after="0" w:line="286"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20" w:space="540"/>
            <w:col w:w="4380"/>
          </w:cols>
          <w:pgMar w:left="320" w:top="847"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No.: 001-34634</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847" w:right="339" w:bottom="1440" w:gutter="0" w:footer="0" w:header="0"/>
          <w:type w:val="continuous"/>
        </w:sectPr>
      </w:pPr>
    </w:p>
    <w:p>
      <w:pPr>
        <w:spacing w:after="0" w:line="200" w:lineRule="exact"/>
        <w:rPr>
          <w:sz w:val="24"/>
          <w:szCs w:val="24"/>
          <w:color w:val="auto"/>
        </w:rPr>
      </w:pPr>
    </w:p>
    <w:p>
      <w:pPr>
        <w:spacing w:after="0" w:line="227"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2" w:lineRule="exact"/>
        <w:rPr>
          <w:sz w:val="24"/>
          <w:szCs w:val="24"/>
          <w:color w:val="auto"/>
        </w:rPr>
      </w:pPr>
    </w:p>
    <w:p>
      <w:pPr>
        <w:sectPr>
          <w:pgSz w:w="11900" w:h="16838" w:orient="portrait"/>
          <w:cols w:equalWidth="0" w:num="2">
            <w:col w:w="7360" w:space="720"/>
            <w:col w:w="3160"/>
          </w:cols>
          <w:pgMar w:left="320" w:top="847"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5"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7" w:right="339" w:bottom="1440" w:gutter="0" w:footer="0" w:header="0"/>
          <w:type w:val="continuous"/>
        </w:sectPr>
      </w:pPr>
    </w:p>
    <w:p>
      <w:pPr>
        <w:spacing w:after="0" w:line="58"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951 Calle Amanecer ,</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California</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92673</w:t>
      </w:r>
    </w:p>
    <w:p>
      <w:pPr>
        <w:spacing w:after="0" w:line="62" w:lineRule="exact"/>
        <w:rPr>
          <w:sz w:val="24"/>
          <w:szCs w:val="24"/>
          <w:color w:val="auto"/>
        </w:rPr>
      </w:pPr>
    </w:p>
    <w:p>
      <w:pPr>
        <w:sectPr>
          <w:pgSz w:w="11900" w:h="16838" w:orient="portrait"/>
          <w:cols w:equalWidth="0" w:num="4">
            <w:col w:w="2140" w:space="200"/>
            <w:col w:w="920" w:space="200"/>
            <w:col w:w="4100" w:space="720"/>
            <w:col w:w="2960"/>
          </w:cols>
          <w:pgMar w:left="320" w:top="847" w:right="339" w:bottom="1440" w:gutter="0" w:footer="0" w:header="0"/>
          <w:type w:val="continuous"/>
        </w:sectPr>
      </w:pPr>
    </w:p>
    <w:p>
      <w:pPr>
        <w:ind w:left="15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400" w:space="720"/>
            <w:col w:w="3120"/>
          </w:cols>
          <w:pgMar w:left="320" w:top="847"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(949) 366-2183</w:t>
      </w:r>
    </w:p>
    <w:p>
      <w:pPr>
        <w:sectPr>
          <w:pgSz w:w="11900" w:h="16838" w:orient="portrait"/>
          <w:cols w:equalWidth="0" w:num="1">
            <w:col w:w="11240"/>
          </w:cols>
          <w:pgMar w:left="320" w:top="847"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73" w:lineRule="exact"/>
        <w:rPr>
          <w:sz w:val="24"/>
          <w:szCs w:val="24"/>
          <w:color w:val="auto"/>
        </w:rPr>
      </w:pPr>
    </w:p>
    <w:p>
      <w:pPr>
        <w:ind w:right="20" w:firstLine="309"/>
        <w:spacing w:after="0" w:line="32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1" w:lineRule="exact"/>
        <w:rPr>
          <w:sz w:val="24"/>
          <w:szCs w:val="24"/>
          <w:color w:val="auto"/>
        </w:rPr>
      </w:pPr>
    </w:p>
    <w:p>
      <w:pPr>
        <w:ind w:right="580" w:firstLine="309"/>
        <w:spacing w:after="0" w:line="32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340" w:firstLine="309"/>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840" w:type="dxa"/>
        <w:tblCellMar>
          <w:top w:w="0" w:type="dxa"/>
          <w:left w:w="0" w:type="dxa"/>
          <w:bottom w:w="0" w:type="dxa"/>
          <w:right w:w="0" w:type="dxa"/>
        </w:tblCellMar>
      </w:tblPr>
      <w:tr>
        <w:trPr>
          <w:trHeight w:val="269"/>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4"/>
              </w:rPr>
              <w:t>Large accelerated filer</w:t>
            </w:r>
          </w:p>
        </w:tc>
        <w:tc>
          <w:tcPr>
            <w:tcW w:w="2740" w:type="dxa"/>
            <w:vAlign w:val="bottom"/>
          </w:tcPr>
          <w:p>
            <w:pPr>
              <w:jc w:val="center"/>
              <w:ind w:right="1258"/>
              <w:spacing w:after="0"/>
              <w:rPr>
                <w:sz w:val="20"/>
                <w:szCs w:val="20"/>
                <w:color w:val="auto"/>
              </w:rPr>
            </w:pPr>
            <w:r>
              <w:rPr>
                <w:rFonts w:ascii="Arial" w:cs="Arial" w:eastAsia="Arial" w:hAnsi="Arial"/>
                <w:sz w:val="15"/>
                <w:szCs w:val="15"/>
                <w:color w:val="auto"/>
              </w:rPr>
              <w:t>x</w:t>
            </w: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6"/>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5"/>
              </w:rPr>
              <w:t>Non-accelerated filer</w:t>
            </w:r>
          </w:p>
        </w:tc>
        <w:tc>
          <w:tcPr>
            <w:tcW w:w="2740" w:type="dxa"/>
            <w:vAlign w:val="bottom"/>
          </w:tcPr>
          <w:p>
            <w:pPr>
              <w:jc w:val="center"/>
              <w:ind w:right="1258"/>
              <w:spacing w:after="0" w:line="171" w:lineRule="exact"/>
              <w:rPr>
                <w:sz w:val="20"/>
                <w:szCs w:val="20"/>
                <w:color w:val="auto"/>
              </w:rPr>
            </w:pPr>
            <w:r>
              <w:rPr>
                <w:rFonts w:ascii="MS PGothic" w:cs="MS PGothic" w:eastAsia="MS PGothic" w:hAnsi="MS PGothic"/>
                <w:sz w:val="17"/>
                <w:szCs w:val="17"/>
                <w:color w:val="auto"/>
                <w:w w:val="93"/>
              </w:rPr>
              <w:t>☐</w:t>
            </w:r>
          </w:p>
        </w:tc>
        <w:tc>
          <w:tcPr>
            <w:tcW w:w="4380" w:type="dxa"/>
            <w:vAlign w:val="bottom"/>
          </w:tcPr>
          <w:p>
            <w:pPr>
              <w:jc w:val="center"/>
              <w:ind w:left="1123"/>
              <w:spacing w:after="0"/>
              <w:rPr>
                <w:sz w:val="20"/>
                <w:szCs w:val="20"/>
                <w:color w:val="auto"/>
              </w:rPr>
            </w:pPr>
            <w:r>
              <w:rPr>
                <w:rFonts w:ascii="Arial" w:cs="Arial" w:eastAsia="Arial" w:hAnsi="Arial"/>
                <w:sz w:val="15"/>
                <w:szCs w:val="15"/>
                <w:color w:val="auto"/>
                <w:w w:val="94"/>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4"/>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64" w:lineRule="exact"/>
        <w:rPr>
          <w:sz w:val="24"/>
          <w:szCs w:val="24"/>
          <w:color w:val="auto"/>
        </w:rPr>
      </w:pPr>
    </w:p>
    <w:p>
      <w:pPr>
        <w:ind w:right="140" w:firstLine="348"/>
        <w:spacing w:after="0" w:line="28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0" w:lineRule="exact"/>
        <w:rPr>
          <w:sz w:val="24"/>
          <w:szCs w:val="24"/>
          <w:color w:val="auto"/>
        </w:rPr>
      </w:pPr>
    </w:p>
    <w:p>
      <w:pPr>
        <w:ind w:left="320"/>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x</w:t>
      </w:r>
    </w:p>
    <w:p>
      <w:pPr>
        <w:spacing w:after="0" w:line="280" w:lineRule="exact"/>
        <w:rPr>
          <w:sz w:val="24"/>
          <w:szCs w:val="24"/>
          <w:color w:val="auto"/>
        </w:rPr>
      </w:pPr>
    </w:p>
    <w:tbl>
      <w:tblPr>
        <w:tblLayout w:type="fixed"/>
        <w:tblInd w:w="320" w:type="dxa"/>
        <w:tblCellMar>
          <w:top w:w="0" w:type="dxa"/>
          <w:left w:w="0" w:type="dxa"/>
          <w:bottom w:w="0" w:type="dxa"/>
          <w:right w:w="0" w:type="dxa"/>
        </w:tblCellMar>
      </w:tblPr>
      <w:tr>
        <w:trPr>
          <w:trHeight w:val="196"/>
        </w:trPr>
        <w:tc>
          <w:tcPr>
            <w:tcW w:w="452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0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00" w:type="dxa"/>
            <w:vAlign w:val="bottom"/>
            <w:vMerge w:val="restart"/>
          </w:tcPr>
          <w:p>
            <w:pPr>
              <w:jc w:val="center"/>
              <w:ind w:left="463"/>
              <w:spacing w:after="0"/>
              <w:rPr>
                <w:sz w:val="20"/>
                <w:szCs w:val="20"/>
                <w:color w:val="auto"/>
              </w:rPr>
            </w:pPr>
            <w:r>
              <w:rPr>
                <w:rFonts w:ascii="Arial" w:cs="Arial" w:eastAsia="Arial" w:hAnsi="Arial"/>
                <w:sz w:val="15"/>
                <w:szCs w:val="15"/>
                <w:b w:val="1"/>
                <w:bCs w:val="1"/>
                <w:color w:val="auto"/>
                <w:w w:val="89"/>
              </w:rPr>
              <w:t>Title of each class</w:t>
            </w:r>
          </w:p>
        </w:tc>
        <w:tc>
          <w:tcPr>
            <w:tcW w:w="2040" w:type="dxa"/>
            <w:vAlign w:val="bottom"/>
          </w:tcPr>
          <w:p>
            <w:pPr>
              <w:jc w:val="center"/>
              <w:ind w:left="63"/>
              <w:spacing w:after="0"/>
              <w:rPr>
                <w:sz w:val="20"/>
                <w:szCs w:val="20"/>
                <w:color w:val="auto"/>
              </w:rPr>
            </w:pPr>
            <w:r>
              <w:rPr>
                <w:rFonts w:ascii="Arial" w:cs="Arial" w:eastAsia="Arial" w:hAnsi="Arial"/>
                <w:sz w:val="15"/>
                <w:szCs w:val="15"/>
                <w:b w:val="1"/>
                <w:bCs w:val="1"/>
                <w:color w:val="auto"/>
                <w:w w:val="98"/>
              </w:rPr>
              <w:t>Trading</w:t>
            </w:r>
          </w:p>
        </w:tc>
        <w:tc>
          <w:tcPr>
            <w:tcW w:w="4360" w:type="dxa"/>
            <w:vAlign w:val="bottom"/>
            <w:vMerge w:val="restart"/>
          </w:tcPr>
          <w:p>
            <w:pPr>
              <w:jc w:val="center"/>
              <w:ind w:right="43"/>
              <w:spacing w:after="0"/>
              <w:rPr>
                <w:sz w:val="20"/>
                <w:szCs w:val="20"/>
                <w:color w:val="auto"/>
              </w:rPr>
            </w:pPr>
            <w:r>
              <w:rPr>
                <w:rFonts w:ascii="Arial" w:cs="Arial" w:eastAsia="Arial" w:hAnsi="Arial"/>
                <w:sz w:val="15"/>
                <w:szCs w:val="15"/>
                <w:b w:val="1"/>
                <w:bCs w:val="1"/>
                <w:color w:val="auto"/>
                <w:w w:val="90"/>
              </w:rPr>
              <w:t>Name of each exchange on which registered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Symbol</w:t>
            </w:r>
          </w:p>
        </w:tc>
        <w:tc>
          <w:tcPr>
            <w:tcW w:w="4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360" w:type="dxa"/>
            <w:vAlign w:val="bottom"/>
          </w:tcPr>
          <w:p>
            <w:pPr>
              <w:jc w:val="center"/>
              <w:ind w:right="43"/>
              <w:spacing w:after="0"/>
              <w:rPr>
                <w:sz w:val="20"/>
                <w:szCs w:val="20"/>
                <w:color w:val="auto"/>
              </w:rPr>
            </w:pPr>
            <w:r>
              <w:rPr>
                <w:rFonts w:ascii="Arial" w:cs="Arial" w:eastAsia="Arial" w:hAnsi="Arial"/>
                <w:sz w:val="15"/>
                <w:szCs w:val="15"/>
                <w:color w:val="auto"/>
                <w:w w:val="95"/>
              </w:rPr>
              <w:t>The Nasdaq Stock Market LLC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00" w:type="dxa"/>
            <w:vAlign w:val="bottom"/>
          </w:tcPr>
          <w:p>
            <w:pPr>
              <w:jc w:val="center"/>
              <w:ind w:left="483"/>
              <w:spacing w:after="0"/>
              <w:rPr>
                <w:sz w:val="20"/>
                <w:szCs w:val="20"/>
                <w:color w:val="auto"/>
              </w:rPr>
            </w:pPr>
            <w:r>
              <w:rPr>
                <w:rFonts w:ascii="Arial" w:cs="Arial" w:eastAsia="Arial" w:hAnsi="Arial"/>
                <w:sz w:val="15"/>
                <w:szCs w:val="15"/>
                <w:color w:val="auto"/>
                <w:w w:val="92"/>
              </w:rPr>
              <w:t>Common stock, par value $0.10 per share</w:t>
            </w:r>
          </w:p>
        </w:tc>
        <w:tc>
          <w:tcPr>
            <w:tcW w:w="2040" w:type="dxa"/>
            <w:vAlign w:val="bottom"/>
          </w:tcPr>
          <w:p>
            <w:pPr>
              <w:jc w:val="center"/>
              <w:ind w:left="83"/>
              <w:spacing w:after="0"/>
              <w:rPr>
                <w:sz w:val="20"/>
                <w:szCs w:val="20"/>
                <w:color w:val="auto"/>
              </w:rPr>
            </w:pPr>
            <w:r>
              <w:rPr>
                <w:rFonts w:ascii="Arial" w:cs="Arial" w:eastAsia="Arial" w:hAnsi="Arial"/>
                <w:sz w:val="15"/>
                <w:szCs w:val="15"/>
                <w:color w:val="auto"/>
              </w:rPr>
              <w:t>ICUI</w:t>
            </w:r>
          </w:p>
        </w:tc>
        <w:tc>
          <w:tcPr>
            <w:tcW w:w="4360" w:type="dxa"/>
            <w:vAlign w:val="bottom"/>
          </w:tcPr>
          <w:p>
            <w:pPr>
              <w:jc w:val="center"/>
              <w:ind w:right="43"/>
              <w:spacing w:after="0"/>
              <w:rPr>
                <w:sz w:val="20"/>
                <w:szCs w:val="20"/>
                <w:color w:val="auto"/>
              </w:rPr>
            </w:pPr>
            <w:r>
              <w:rPr>
                <w:rFonts w:ascii="Arial" w:cs="Arial" w:eastAsia="Arial" w:hAnsi="Arial"/>
                <w:sz w:val="15"/>
                <w:szCs w:val="15"/>
                <w:color w:val="auto"/>
                <w:w w:val="96"/>
              </w:rPr>
              <w:t>(Global Select Market)</w:t>
            </w:r>
          </w:p>
        </w:tc>
        <w:tc>
          <w:tcPr>
            <w:tcW w:w="0" w:type="dxa"/>
            <w:vAlign w:val="bottom"/>
          </w:tcPr>
          <w:p>
            <w:pPr>
              <w:spacing w:after="0"/>
              <w:rPr>
                <w:sz w:val="1"/>
                <w:szCs w:val="1"/>
                <w:color w:val="auto"/>
              </w:rPr>
            </w:pPr>
          </w:p>
        </w:tc>
      </w:tr>
    </w:tbl>
    <w:p>
      <w:pPr>
        <w:spacing w:after="0" w:line="320"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Outstanding at July 31, 2022</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Arial" w:cs="Arial" w:eastAsia="Arial" w:hAnsi="Arial"/>
                <w:sz w:val="15"/>
                <w:szCs w:val="15"/>
                <w:color w:val="auto"/>
                <w:w w:val="95"/>
              </w:rPr>
              <w:t>Common</w:t>
            </w:r>
          </w:p>
        </w:tc>
        <w:tc>
          <w:tcPr>
            <w:tcW w:w="4760" w:type="dxa"/>
            <w:vAlign w:val="bottom"/>
          </w:tcPr>
          <w:p>
            <w:pPr>
              <w:jc w:val="right"/>
              <w:ind w:right="1963"/>
              <w:spacing w:after="0"/>
              <w:rPr>
                <w:sz w:val="20"/>
                <w:szCs w:val="20"/>
                <w:color w:val="auto"/>
              </w:rPr>
            </w:pPr>
            <w:r>
              <w:rPr>
                <w:rFonts w:ascii="Arial" w:cs="Arial" w:eastAsia="Arial" w:hAnsi="Arial"/>
                <w:sz w:val="15"/>
                <w:szCs w:val="15"/>
                <w:color w:val="auto"/>
              </w:rPr>
              <w:t>23,899,381</w:t>
            </w:r>
          </w:p>
        </w:tc>
        <w:tc>
          <w:tcPr>
            <w:tcW w:w="160" w:type="dxa"/>
            <w:vAlign w:val="bottom"/>
          </w:tcPr>
          <w:p>
            <w:pPr>
              <w:spacing w:after="0"/>
              <w:rPr>
                <w:sz w:val="17"/>
                <w:szCs w:val="17"/>
                <w:color w:val="auto"/>
              </w:rPr>
            </w:pPr>
          </w:p>
        </w:tc>
      </w:tr>
      <w:tr>
        <w:trPr>
          <w:trHeight w:val="862"/>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15"/>
                <w:szCs w:val="15"/>
                <w:color w:val="auto"/>
              </w:rPr>
            </w:pPr>
          </w:p>
        </w:tc>
        <w:tc>
          <w:tcPr>
            <w:tcW w:w="1620" w:type="dxa"/>
            <w:vAlign w:val="bottom"/>
            <w:tcBorders>
              <w:bottom w:val="single" w:sz="8" w:color="0000FF"/>
            </w:tcBorders>
            <w:gridSpan w:val="9"/>
          </w:tcPr>
          <w:p>
            <w:pPr>
              <w:spacing w:after="0" w:line="180" w:lineRule="exact"/>
              <w:rPr>
                <w:rFonts w:ascii="Arial" w:cs="Arial" w:eastAsia="Arial" w:hAnsi="Arial"/>
                <w:sz w:val="17"/>
                <w:szCs w:val="17"/>
                <w:b w:val="1"/>
                <w:bCs w:val="1"/>
                <w:color w:val="0000FF"/>
                <w:w w:val="93"/>
              </w:rPr>
            </w:pPr>
            <w:hyperlink w:anchor="page2">
              <w:r>
                <w:rPr>
                  <w:rFonts w:ascii="Arial" w:cs="Arial" w:eastAsia="Arial" w:hAnsi="Arial"/>
                  <w:sz w:val="17"/>
                  <w:szCs w:val="17"/>
                  <w:b w:val="1"/>
                  <w:bCs w:val="1"/>
                  <w:color w:val="0000FF"/>
                  <w:w w:val="93"/>
                </w:rPr>
                <w:t>Financial Information</w:t>
              </w:r>
            </w:hyperlink>
          </w:p>
        </w:tc>
        <w:tc>
          <w:tcPr>
            <w:tcW w:w="6380" w:type="dxa"/>
            <w:vAlign w:val="bottom"/>
            <w:gridSpan w:val="15"/>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1.</w:t>
            </w:r>
          </w:p>
        </w:tc>
        <w:tc>
          <w:tcPr>
            <w:tcW w:w="8000" w:type="dxa"/>
            <w:vAlign w:val="bottom"/>
            <w:gridSpan w:val="24"/>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3"/>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 at June 30, 2022 and December 31, 2021</w:t>
              </w:r>
            </w:hyperlink>
          </w:p>
        </w:tc>
        <w:tc>
          <w:tcPr>
            <w:tcW w:w="138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3"/>
          </w:tcPr>
          <w:p>
            <w:pPr>
              <w:spacing w:after="0"/>
              <w:rPr>
                <w:rFonts w:ascii="Arial" w:cs="Arial" w:eastAsia="Arial" w:hAnsi="Arial"/>
                <w:sz w:val="17"/>
                <w:szCs w:val="17"/>
                <w:color w:val="0000FF"/>
                <w:w w:val="97"/>
              </w:rPr>
            </w:pPr>
            <w:hyperlink w:anchor="page3">
              <w:r>
                <w:rPr>
                  <w:rFonts w:ascii="Arial" w:cs="Arial" w:eastAsia="Arial" w:hAnsi="Arial"/>
                  <w:sz w:val="17"/>
                  <w:szCs w:val="17"/>
                  <w:color w:val="0000FF"/>
                  <w:w w:val="97"/>
                </w:rPr>
                <w:t>Condensed Consolidated Statements of Operations for the Three and Six Months Ended June 30, 2022 and</w:t>
              </w:r>
            </w:hyperlink>
          </w:p>
        </w:tc>
        <w:tc>
          <w:tcPr>
            <w:tcW w:w="126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2021</w:t>
              </w:r>
            </w:hyperlink>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3"/>
          </w:tcPr>
          <w:p>
            <w:pPr>
              <w:spacing w:after="0"/>
              <w:rPr>
                <w:rFonts w:ascii="Arial" w:cs="Arial" w:eastAsia="Arial" w:hAnsi="Arial"/>
                <w:sz w:val="17"/>
                <w:szCs w:val="17"/>
                <w:color w:val="0000FF"/>
                <w:w w:val="96"/>
              </w:rPr>
            </w:pPr>
            <w:hyperlink w:anchor="page4">
              <w:r>
                <w:rPr>
                  <w:rFonts w:ascii="Arial" w:cs="Arial" w:eastAsia="Arial" w:hAnsi="Arial"/>
                  <w:sz w:val="17"/>
                  <w:szCs w:val="17"/>
                  <w:color w:val="0000FF"/>
                  <w:w w:val="96"/>
                </w:rPr>
                <w:t xml:space="preserve">Condensed Consolidated Statements of Comprehensive (Loss) Income for the Three and </w:t>
              </w:r>
            </w:hyperlink>
            <w:r>
              <w:rPr>
                <w:rFonts w:ascii="Arial" w:cs="Arial" w:eastAsia="Arial" w:hAnsi="Arial"/>
                <w:sz w:val="17"/>
                <w:szCs w:val="17"/>
                <w:color w:val="0000FF"/>
                <w:w w:val="96"/>
              </w:rPr>
              <w:t xml:space="preserve">Six </w:t>
            </w:r>
            <w:hyperlink w:anchor="page4">
              <w:r>
                <w:rPr>
                  <w:rFonts w:ascii="Arial" w:cs="Arial" w:eastAsia="Arial" w:hAnsi="Arial"/>
                  <w:sz w:val="17"/>
                  <w:szCs w:val="17"/>
                  <w:color w:val="0000FF"/>
                  <w:w w:val="96"/>
                </w:rPr>
                <w:t>Months Ended</w:t>
              </w:r>
            </w:hyperlink>
          </w:p>
        </w:tc>
        <w:tc>
          <w:tcPr>
            <w:tcW w:w="126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June 30, 2022 and 2021</w:t>
              </w:r>
            </w:hyperlink>
          </w:p>
        </w:tc>
        <w:tc>
          <w:tcPr>
            <w:tcW w:w="5760" w:type="dxa"/>
            <w:vAlign w:val="bottom"/>
            <w:tcBorders>
              <w:top w:val="single" w:sz="8" w:color="0000FF"/>
            </w:tcBorders>
            <w:gridSpan w:val="12"/>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00" w:type="dxa"/>
            <w:vAlign w:val="bottom"/>
            <w:gridSpan w:val="23"/>
          </w:tcPr>
          <w:p>
            <w:pPr>
              <w:spacing w:after="0"/>
              <w:rPr>
                <w:rFonts w:ascii="Arial" w:cs="Arial" w:eastAsia="Arial" w:hAnsi="Arial"/>
                <w:sz w:val="17"/>
                <w:szCs w:val="17"/>
                <w:color w:val="0000FF"/>
                <w:w w:val="97"/>
              </w:rPr>
            </w:pPr>
            <w:hyperlink w:anchor="page5">
              <w:r>
                <w:rPr>
                  <w:rFonts w:ascii="Arial" w:cs="Arial" w:eastAsia="Arial" w:hAnsi="Arial"/>
                  <w:sz w:val="17"/>
                  <w:szCs w:val="17"/>
                  <w:color w:val="0000FF"/>
                  <w:w w:val="97"/>
                </w:rPr>
                <w:t>Condensed Consolidated Statements of Stockholders' Equity for the Three and Six Months Ended June 30,</w:t>
              </w:r>
            </w:hyperlink>
          </w:p>
        </w:tc>
        <w:tc>
          <w:tcPr>
            <w:tcW w:w="1260" w:type="dxa"/>
            <w:vAlign w:val="bottom"/>
            <w:gridSpan w:val="2"/>
            <w:vMerge w:val="restart"/>
          </w:tcPr>
          <w:p>
            <w:pPr>
              <w:spacing w:after="0"/>
              <w:rPr>
                <w:sz w:val="20"/>
                <w:szCs w:val="20"/>
                <w:color w:val="auto"/>
              </w:rPr>
            </w:pPr>
          </w:p>
        </w:tc>
        <w:tc>
          <w:tcPr>
            <w:tcW w:w="100" w:type="dxa"/>
            <w:vAlign w:val="bottom"/>
            <w:vMerge w:val="restart"/>
          </w:tcPr>
          <w:p>
            <w:pPr>
              <w:jc w:val="right"/>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2022 and 2021</w:t>
              </w:r>
            </w:hyperlink>
          </w:p>
        </w:tc>
        <w:tc>
          <w:tcPr>
            <w:tcW w:w="52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560" w:type="dxa"/>
            <w:vAlign w:val="bottom"/>
            <w:gridSpan w:val="3"/>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40" w:type="dxa"/>
            <w:vAlign w:val="bottom"/>
            <w:tcBorders>
              <w:bottom w:val="single" w:sz="8" w:color="0000FF"/>
            </w:tcBorders>
            <w:gridSpan w:val="19"/>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Condensed Consolidated Statements of Cash Flows for the Six Months Ended June 30, 2022 and 2021</w:t>
              </w:r>
            </w:hyperlink>
          </w:p>
        </w:tc>
        <w:tc>
          <w:tcPr>
            <w:tcW w:w="860" w:type="dxa"/>
            <w:vAlign w:val="bottom"/>
            <w:gridSpan w:val="4"/>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3"/>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Notes to Condensed Consolidated Financial Statements</w:t>
              </w:r>
            </w:hyperlink>
          </w:p>
        </w:tc>
        <w:tc>
          <w:tcPr>
            <w:tcW w:w="1380" w:type="dxa"/>
            <w:vAlign w:val="bottom"/>
            <w:gridSpan w:val="4"/>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6160" w:type="dxa"/>
            <w:vAlign w:val="bottom"/>
            <w:tcBorders>
              <w:bottom w:val="single" w:sz="8" w:color="0000FF"/>
            </w:tcBorders>
            <w:gridSpan w:val="17"/>
          </w:tcPr>
          <w:p>
            <w:pPr>
              <w:spacing w:after="0"/>
              <w:rPr>
                <w:rFonts w:ascii="Arial" w:cs="Arial" w:eastAsia="Arial" w:hAnsi="Arial"/>
                <w:sz w:val="17"/>
                <w:szCs w:val="17"/>
                <w:color w:val="0000FF"/>
                <w:w w:val="91"/>
              </w:rPr>
            </w:pPr>
            <w:hyperlink w:anchor="page37">
              <w:r>
                <w:rPr>
                  <w:rFonts w:ascii="Arial" w:cs="Arial" w:eastAsia="Arial" w:hAnsi="Arial"/>
                  <w:sz w:val="17"/>
                  <w:szCs w:val="17"/>
                  <w:color w:val="0000FF"/>
                  <w:w w:val="91"/>
                </w:rPr>
                <w:t>Management’s Discussion and Analysis of Financial Condition and Results of Operations</w:t>
              </w:r>
            </w:hyperlink>
          </w:p>
        </w:tc>
        <w:tc>
          <w:tcPr>
            <w:tcW w:w="184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8000" w:type="dxa"/>
            <w:vAlign w:val="bottom"/>
            <w:tcBorders>
              <w:bottom w:val="single" w:sz="8" w:color="0000FF"/>
            </w:tcBorders>
            <w:gridSpan w:val="24"/>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Quantitative and Qualitative Disclosures About Market Risk</w:t>
              </w:r>
            </w:hyperlink>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54">
              <w:r>
                <w:rPr>
                  <w:rFonts w:ascii="Arial" w:cs="Arial" w:eastAsia="Arial" w:hAnsi="Arial"/>
                  <w:sz w:val="17"/>
                  <w:szCs w:val="17"/>
                  <w:color w:val="0000FF"/>
                  <w:w w:val="84"/>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8000" w:type="dxa"/>
            <w:vAlign w:val="bottom"/>
            <w:gridSpan w:val="24"/>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Controls and Procedures</w:t>
              </w:r>
            </w:hyperlink>
          </w:p>
        </w:tc>
        <w:tc>
          <w:tcPr>
            <w:tcW w:w="1360" w:type="dxa"/>
            <w:vAlign w:val="bottom"/>
            <w:gridSpan w:val="3"/>
          </w:tcPr>
          <w:p>
            <w:pPr>
              <w:jc w:val="right"/>
              <w:spacing w:after="0"/>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1680" w:type="dxa"/>
            <w:vAlign w:val="bottom"/>
            <w:tcBorders>
              <w:top w:val="single" w:sz="8" w:color="0000FF"/>
            </w:tcBorders>
            <w:gridSpan w:val="10"/>
          </w:tcPr>
          <w:p>
            <w:pPr>
              <w:spacing w:after="0"/>
              <w:rPr>
                <w:rFonts w:ascii="Arial" w:cs="Arial" w:eastAsia="Arial" w:hAnsi="Arial"/>
                <w:sz w:val="17"/>
                <w:szCs w:val="17"/>
                <w:b w:val="1"/>
                <w:bCs w:val="1"/>
                <w:color w:val="0000FF"/>
              </w:rPr>
            </w:pPr>
            <w:hyperlink w:anchor="page56">
              <w:r>
                <w:rPr>
                  <w:rFonts w:ascii="Arial" w:cs="Arial" w:eastAsia="Arial" w:hAnsi="Arial"/>
                  <w:sz w:val="17"/>
                  <w:szCs w:val="17"/>
                  <w:b w:val="1"/>
                  <w:bCs w:val="1"/>
                  <w:color w:val="0000FF"/>
                </w:rPr>
                <w:t>Other Information</w:t>
              </w:r>
            </w:hyperlink>
          </w:p>
        </w:tc>
        <w:tc>
          <w:tcPr>
            <w:tcW w:w="6320" w:type="dxa"/>
            <w:vAlign w:val="bottom"/>
            <w:gridSpan w:val="14"/>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17"/>
                <w:szCs w:val="17"/>
                <w:color w:val="auto"/>
              </w:rPr>
            </w:pPr>
          </w:p>
        </w:tc>
        <w:tc>
          <w:tcPr>
            <w:tcW w:w="1360" w:type="dxa"/>
            <w:vAlign w:val="bottom"/>
            <w:tcBorders>
              <w:top w:val="single" w:sz="8" w:color="0000FF"/>
            </w:tcBorders>
            <w:gridSpan w:val="8"/>
          </w:tcPr>
          <w:p>
            <w:pPr>
              <w:spacing w:after="0"/>
              <w:rPr>
                <w:rFonts w:ascii="Arial" w:cs="Arial" w:eastAsia="Arial" w:hAnsi="Arial"/>
                <w:sz w:val="17"/>
                <w:szCs w:val="17"/>
                <w:color w:val="0000FF"/>
                <w:w w:val="95"/>
              </w:rPr>
            </w:pPr>
            <w:hyperlink w:anchor="page56">
              <w:r>
                <w:rPr>
                  <w:rFonts w:ascii="Arial" w:cs="Arial" w:eastAsia="Arial" w:hAnsi="Arial"/>
                  <w:sz w:val="17"/>
                  <w:szCs w:val="17"/>
                  <w:color w:val="0000FF"/>
                  <w:w w:val="95"/>
                </w:rPr>
                <w:t>Legal Proceedings</w:t>
              </w:r>
            </w:hyperlink>
          </w:p>
        </w:tc>
        <w:tc>
          <w:tcPr>
            <w:tcW w:w="6640" w:type="dxa"/>
            <w:vAlign w:val="bottom"/>
            <w:gridSpan w:val="16"/>
          </w:tcPr>
          <w:p>
            <w:pPr>
              <w:spacing w:after="0"/>
              <w:rPr>
                <w:sz w:val="17"/>
                <w:szCs w:val="17"/>
                <w:color w:val="auto"/>
              </w:rPr>
            </w:pPr>
          </w:p>
        </w:tc>
        <w:tc>
          <w:tcPr>
            <w:tcW w:w="1360" w:type="dxa"/>
            <w:vAlign w:val="bottom"/>
            <w:gridSpan w:val="3"/>
          </w:tcPr>
          <w:p>
            <w:pPr>
              <w:jc w:val="right"/>
              <w:spacing w:after="0"/>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86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88"/>
              </w:rPr>
            </w:pPr>
            <w:hyperlink w:anchor="page56">
              <w:r>
                <w:rPr>
                  <w:rFonts w:ascii="Arial" w:cs="Arial" w:eastAsia="Arial" w:hAnsi="Arial"/>
                  <w:sz w:val="17"/>
                  <w:szCs w:val="17"/>
                  <w:color w:val="0000FF"/>
                  <w:w w:val="88"/>
                </w:rPr>
                <w:t>Risk Factors</w:t>
              </w:r>
            </w:hyperlink>
          </w:p>
        </w:tc>
        <w:tc>
          <w:tcPr>
            <w:tcW w:w="400" w:type="dxa"/>
            <w:vAlign w:val="bottom"/>
            <w:tcBorders>
              <w:top w:val="single" w:sz="8" w:color="0000FF"/>
            </w:tcBorders>
            <w:gridSpan w:val="2"/>
          </w:tcPr>
          <w:p>
            <w:pPr>
              <w:spacing w:after="0"/>
              <w:rPr>
                <w:sz w:val="24"/>
                <w:szCs w:val="24"/>
                <w:color w:val="auto"/>
              </w:rPr>
            </w:pPr>
          </w:p>
        </w:tc>
        <w:tc>
          <w:tcPr>
            <w:tcW w:w="6740" w:type="dxa"/>
            <w:vAlign w:val="bottom"/>
            <w:gridSpan w:val="17"/>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84"/>
              </w:rPr>
            </w:pPr>
            <w:hyperlink w:anchor="page56">
              <w:r>
                <w:rPr>
                  <w:rFonts w:ascii="Arial" w:cs="Arial" w:eastAsia="Arial" w:hAnsi="Arial"/>
                  <w:sz w:val="17"/>
                  <w:szCs w:val="17"/>
                  <w:color w:val="0000FF"/>
                  <w:w w:val="84"/>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8000" w:type="dxa"/>
            <w:vAlign w:val="bottom"/>
            <w:gridSpan w:val="24"/>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Unregistered Sales of Equity Securities and Use of Proceeds</w:t>
              </w:r>
            </w:hyperlink>
          </w:p>
        </w:tc>
        <w:tc>
          <w:tcPr>
            <w:tcW w:w="1360" w:type="dxa"/>
            <w:vAlign w:val="bottom"/>
            <w:gridSpan w:val="3"/>
          </w:tcPr>
          <w:p>
            <w:pPr>
              <w:jc w:val="right"/>
              <w:spacing w:after="0"/>
              <w:rPr>
                <w:rFonts w:ascii="Arial" w:cs="Arial" w:eastAsia="Arial" w:hAnsi="Arial"/>
                <w:sz w:val="17"/>
                <w:szCs w:val="17"/>
                <w:color w:val="0000FF"/>
              </w:rPr>
            </w:pPr>
            <w:hyperlink w:anchor="page57">
              <w:r>
                <w:rPr>
                  <w:rFonts w:ascii="Arial" w:cs="Arial" w:eastAsia="Arial" w:hAnsi="Arial"/>
                  <w:sz w:val="17"/>
                  <w:szCs w:val="17"/>
                  <w:color w:val="0000FF"/>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4140" w:type="dxa"/>
            <w:vAlign w:val="bottom"/>
            <w:tcBorders>
              <w:top w:val="single" w:sz="8" w:color="0000FF"/>
            </w:tcBorders>
            <w:gridSpan w:val="14"/>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Exhibits</w:t>
              </w:r>
            </w:hyperlink>
          </w:p>
        </w:tc>
        <w:tc>
          <w:tcPr>
            <w:tcW w:w="3860" w:type="dxa"/>
            <w:vAlign w:val="bottom"/>
            <w:gridSpan w:val="10"/>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58">
              <w:r>
                <w:rPr>
                  <w:rFonts w:ascii="Arial" w:cs="Arial" w:eastAsia="Arial" w:hAnsi="Arial"/>
                  <w:sz w:val="17"/>
                  <w:szCs w:val="17"/>
                  <w:color w:val="0000FF"/>
                  <w:w w:val="84"/>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360" w:type="dxa"/>
            <w:vAlign w:val="bottom"/>
            <w:gridSpan w:val="2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0" w:type="dxa"/>
            <w:vAlign w:val="bottom"/>
            <w:gridSpan w:val="24"/>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Signature</w:t>
              </w:r>
            </w:hyperlink>
          </w:p>
        </w:tc>
        <w:tc>
          <w:tcPr>
            <w:tcW w:w="1360" w:type="dxa"/>
            <w:vAlign w:val="bottom"/>
            <w:gridSpan w:val="3"/>
          </w:tcPr>
          <w:p>
            <w:pPr>
              <w:jc w:val="right"/>
              <w:spacing w:after="0"/>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Borders>
              <w:top w:val="single" w:sz="8" w:color="0000FF"/>
            </w:tcBorders>
            <w:gridSpan w:val="4"/>
          </w:tcPr>
          <w:p>
            <w:pPr>
              <w:spacing w:after="0"/>
              <w:rPr>
                <w:sz w:val="24"/>
                <w:szCs w:val="24"/>
                <w:color w:val="auto"/>
              </w:rPr>
            </w:pPr>
          </w:p>
        </w:tc>
        <w:tc>
          <w:tcPr>
            <w:tcW w:w="3260" w:type="dxa"/>
            <w:vAlign w:val="bottom"/>
            <w:gridSpan w:val="9"/>
          </w:tcPr>
          <w:p>
            <w:pPr>
              <w:jc w:val="right"/>
              <w:ind w:right="10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thousands, except par value data)</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7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388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552,827</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14,420</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SHORT-TERM INVESTMENT SECURITIES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567,247</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of $7,557 at June 30, 2022 and $7,038 at December 31, 2021</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216,124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105,894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290,235</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19,586</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94,663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46,847</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1,189,837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1,029,809</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667,783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468,365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39,847</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43,439</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1,080,329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188,311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42,604</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101,728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63,743</w:t>
            </w:r>
          </w:p>
        </w:tc>
        <w:tc>
          <w:tcPr>
            <w:tcW w:w="0" w:type="dxa"/>
            <w:vAlign w:val="bottom"/>
          </w:tcPr>
          <w:p>
            <w:pPr>
              <w:spacing w:after="0"/>
              <w:rPr>
                <w:sz w:val="1"/>
                <w:szCs w:val="1"/>
                <w:color w:val="auto"/>
              </w:rPr>
            </w:pPr>
          </w:p>
        </w:tc>
      </w:tr>
      <w:tr>
        <w:trPr>
          <w:trHeight w:val="201"/>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4,589,995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247,656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118,195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Income tax payable</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earn-out liability</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485,985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200,777</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CONTINGENT EARN-OUT LIABILITY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2,589</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1,636,029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41,830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INCOME TAX LIABILITY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18,021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19)</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 $1.00 par value; Authorized — 500 shares; Issued and outstanding — none</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line="129" w:lineRule="exact"/>
              <w:rPr>
                <w:sz w:val="20"/>
                <w:szCs w:val="20"/>
                <w:color w:val="auto"/>
              </w:rPr>
            </w:pPr>
            <w:r>
              <w:rPr>
                <w:rFonts w:ascii="Arial" w:cs="Arial" w:eastAsia="Arial" w:hAnsi="Arial"/>
                <w:sz w:val="14"/>
                <w:szCs w:val="14"/>
                <w:color w:val="auto"/>
                <w:w w:val="88"/>
              </w:rPr>
              <w:t>Common stock, $0.10 par value; Authorized — 80,000 shares; Issued — 23,899 shares at June 30, 2022 and 21,280 shares at December 31, 2021;</w:t>
            </w:r>
          </w:p>
        </w:tc>
        <w:tc>
          <w:tcPr>
            <w:tcW w:w="2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and outstanding — 23,898 shares at June 30, 2022 and 21,280 shares at December 31, 2021</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1,309,598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721,412</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Treasury stock, at cost (406 and 119 shares, respectively)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911,787</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(19,269)</w:t>
            </w: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2,085,866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1,616,031</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4,589,995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2021 balances were derived from audited consolidated financial statements.</w:t>
      </w:r>
    </w:p>
    <w:p>
      <w:pPr>
        <w:spacing w:after="0" w:line="97"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560" w:type="dxa"/>
            <w:vAlign w:val="bottom"/>
            <w:gridSpan w:val="5"/>
          </w:tcPr>
          <w:p>
            <w:pPr>
              <w:jc w:val="center"/>
              <w:ind w:left="14"/>
              <w:spacing w:after="0"/>
              <w:rPr>
                <w:sz w:val="20"/>
                <w:szCs w:val="20"/>
                <w:color w:val="auto"/>
              </w:rPr>
            </w:pPr>
            <w:r>
              <w:rPr>
                <w:rFonts w:ascii="Arial" w:cs="Arial" w:eastAsia="Arial" w:hAnsi="Arial"/>
                <w:sz w:val="17"/>
                <w:szCs w:val="17"/>
                <w:b w:val="1"/>
                <w:bCs w:val="1"/>
                <w:color w:val="auto"/>
              </w:rPr>
              <w:t>ICU MEDICAL, INC.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7580" w:type="dxa"/>
            <w:vAlign w:val="bottom"/>
            <w:gridSpan w:val="9"/>
          </w:tcPr>
          <w:p>
            <w:pPr>
              <w:jc w:val="center"/>
              <w:ind w:left="113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40" w:type="dxa"/>
            <w:vAlign w:val="bottom"/>
            <w:gridSpan w:val="4"/>
          </w:tcPr>
          <w:p>
            <w:pPr>
              <w:jc w:val="center"/>
              <w:ind w:left="414"/>
              <w:spacing w:after="0"/>
              <w:rPr>
                <w:sz w:val="20"/>
                <w:szCs w:val="20"/>
                <w:color w:val="auto"/>
              </w:rPr>
            </w:pPr>
            <w:r>
              <w:rPr>
                <w:rFonts w:ascii="Arial" w:cs="Arial" w:eastAsia="Arial" w:hAnsi="Arial"/>
                <w:sz w:val="17"/>
                <w:szCs w:val="17"/>
                <w:color w:val="auto"/>
                <w:w w:val="89"/>
              </w:rPr>
              <w:t>(In thousands, except per share data)</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91"/>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400" w:type="dxa"/>
            <w:vAlign w:val="bottom"/>
          </w:tcPr>
          <w:p>
            <w:pPr>
              <w:spacing w:after="0"/>
              <w:rPr>
                <w:sz w:val="24"/>
                <w:szCs w:val="24"/>
                <w:color w:val="auto"/>
              </w:rPr>
            </w:pPr>
          </w:p>
        </w:tc>
        <w:tc>
          <w:tcPr>
            <w:tcW w:w="24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Six months ended</w:t>
            </w: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r>
      <w:tr>
        <w:trPr>
          <w:trHeight w:val="21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561,004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639,723</w:t>
            </w: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1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393,411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198,148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767,706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403,514</w:t>
            </w:r>
          </w:p>
        </w:tc>
      </w:tr>
      <w:tr>
        <w:trPr>
          <w:trHeight w:val="21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167,593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336,420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236,209</w:t>
            </w:r>
          </w:p>
        </w:tc>
      </w:tr>
      <w:tr>
        <w:trPr>
          <w:trHeight w:val="19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146,312</w:t>
            </w:r>
          </w:p>
        </w:tc>
      </w:tr>
      <w:tr>
        <w:trPr>
          <w:trHeight w:val="218"/>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11,385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46,433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22,094</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Restructuring, strategic transaction and integration</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6,636</w:t>
            </w:r>
          </w:p>
        </w:tc>
      </w:tr>
      <w:tr>
        <w:trPr>
          <w:trHeight w:val="218"/>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(27,194)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1"/>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167,641</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89,059</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378,629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175,169</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OPERATIONS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61,040</w:t>
            </w: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(16,273)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(29,917)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w:t>
            </w:r>
          </w:p>
        </w:tc>
      </w:tr>
      <w:tr>
        <w:trPr>
          <w:trHeight w:val="211"/>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(LOSS) INCOME BEFORE INCOME TAXES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34,832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61,924</w:t>
            </w: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1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(9,795)</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NET (LOSS) INCOME</w:t>
            </w:r>
          </w:p>
        </w:tc>
        <w:tc>
          <w:tcPr>
            <w:tcW w:w="1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(7,474)</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28,398</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(45,542)</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52,129</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38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NET (LOSS) INCOME PER SHARE</w:t>
            </w:r>
          </w:p>
        </w:tc>
        <w:tc>
          <w:tcPr>
            <w:tcW w:w="1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8"/>
        </w:trPr>
        <w:tc>
          <w:tcPr>
            <w:tcW w:w="3800" w:type="dxa"/>
            <w:vAlign w:val="bottom"/>
            <w:gridSpan w:val="2"/>
          </w:tcPr>
          <w:p>
            <w:pPr>
              <w:ind w:left="320"/>
              <w:spacing w:after="0"/>
              <w:rPr>
                <w:sz w:val="20"/>
                <w:szCs w:val="20"/>
                <w:color w:val="auto"/>
              </w:rPr>
            </w:pPr>
            <w:r>
              <w:rPr>
                <w:rFonts w:ascii="Arial" w:cs="Arial" w:eastAsia="Arial" w:hAnsi="Arial"/>
                <w:sz w:val="17"/>
                <w:szCs w:val="17"/>
                <w:color w:val="auto"/>
              </w:rPr>
              <w:t>Basic</w:t>
            </w:r>
          </w:p>
        </w:tc>
        <w:tc>
          <w:tcPr>
            <w:tcW w:w="1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20"/>
        </w:trPr>
        <w:tc>
          <w:tcPr>
            <w:tcW w:w="3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3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21,176</w:t>
            </w:r>
          </w:p>
        </w:tc>
      </w:tr>
      <w:tr>
        <w:trPr>
          <w:trHeight w:val="218"/>
        </w:trPr>
        <w:tc>
          <w:tcPr>
            <w:tcW w:w="3800" w:type="dxa"/>
            <w:vAlign w:val="bottom"/>
            <w:gridSpan w:val="2"/>
          </w:tcPr>
          <w:p>
            <w:pPr>
              <w:ind w:left="320"/>
              <w:spacing w:after="0"/>
              <w:rPr>
                <w:sz w:val="20"/>
                <w:szCs w:val="20"/>
                <w:color w:val="auto"/>
              </w:rPr>
            </w:pPr>
            <w:r>
              <w:rPr>
                <w:rFonts w:ascii="Arial" w:cs="Arial" w:eastAsia="Arial" w:hAnsi="Arial"/>
                <w:sz w:val="17"/>
                <w:szCs w:val="17"/>
                <w:color w:val="auto"/>
              </w:rPr>
              <w:t>Diluted</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23,897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21,703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23,787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21,718</w:t>
            </w: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46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6140" w:type="dxa"/>
            <w:vAlign w:val="bottom"/>
            <w:gridSpan w:val="5"/>
          </w:tcPr>
          <w:p>
            <w:pPr>
              <w:jc w:val="center"/>
              <w:ind w:left="2594"/>
              <w:spacing w:after="0"/>
              <w:rPr>
                <w:sz w:val="20"/>
                <w:szCs w:val="20"/>
                <w:color w:val="auto"/>
              </w:rPr>
            </w:pPr>
            <w:r>
              <w:rPr>
                <w:rFonts w:ascii="Arial" w:cs="Arial" w:eastAsia="Arial" w:hAnsi="Arial"/>
                <w:sz w:val="17"/>
                <w:szCs w:val="17"/>
                <w:b w:val="1"/>
                <w:bCs w:val="1"/>
                <w:color w:val="auto"/>
              </w:rPr>
              <w:t>ICU MEDICAL, INC.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8660" w:type="dxa"/>
            <w:vAlign w:val="bottom"/>
            <w:gridSpan w:val="10"/>
          </w:tcPr>
          <w:p>
            <w:pPr>
              <w:jc w:val="center"/>
              <w:ind w:left="74"/>
              <w:spacing w:after="0"/>
              <w:rPr>
                <w:sz w:val="20"/>
                <w:szCs w:val="20"/>
                <w:color w:val="auto"/>
              </w:rPr>
            </w:pPr>
            <w:r>
              <w:rPr>
                <w:rFonts w:ascii="Arial" w:cs="Arial" w:eastAsia="Arial" w:hAnsi="Arial"/>
                <w:sz w:val="17"/>
                <w:szCs w:val="17"/>
                <w:b w:val="1"/>
                <w:bCs w:val="1"/>
                <w:color w:val="auto"/>
              </w:rPr>
              <w:t>CONDENSED CONSOLIDATED STATEMENTS OF COMPREHENSIVE (LOSS) INCOME (Unaudited)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720" w:type="dxa"/>
            <w:vAlign w:val="bottom"/>
            <w:gridSpan w:val="4"/>
          </w:tcPr>
          <w:p>
            <w:pPr>
              <w:jc w:val="center"/>
              <w:ind w:left="3014"/>
              <w:spacing w:after="0"/>
              <w:rPr>
                <w:sz w:val="20"/>
                <w:szCs w:val="20"/>
                <w:color w:val="auto"/>
              </w:rPr>
            </w:pPr>
            <w:r>
              <w:rPr>
                <w:rFonts w:ascii="Arial" w:cs="Arial" w:eastAsia="Arial" w:hAnsi="Arial"/>
                <w:sz w:val="17"/>
                <w:szCs w:val="17"/>
                <w:color w:val="auto"/>
                <w:w w:val="90"/>
              </w:rPr>
              <w:t>(In thousands)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1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520" w:type="dxa"/>
            <w:vAlign w:val="bottom"/>
            <w:gridSpan w:val="4"/>
          </w:tcPr>
          <w:p>
            <w:pPr>
              <w:jc w:val="right"/>
              <w:ind w:right="701"/>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52,129</w:t>
            </w:r>
          </w:p>
        </w:tc>
        <w:tc>
          <w:tcPr>
            <w:tcW w:w="0" w:type="dxa"/>
            <w:vAlign w:val="bottom"/>
          </w:tcPr>
          <w:p>
            <w:pPr>
              <w:spacing w:after="0"/>
              <w:rPr>
                <w:sz w:val="1"/>
                <w:szCs w:val="1"/>
                <w:color w:val="auto"/>
              </w:rPr>
            </w:pPr>
          </w:p>
        </w:tc>
      </w:tr>
      <w:tr>
        <w:trPr>
          <w:trHeight w:val="218"/>
        </w:trPr>
        <w:tc>
          <w:tcPr>
            <w:tcW w:w="546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w w:val="94"/>
              </w:rPr>
              <w:t>Cash flow hedge adjustments, net of tax of $4,370 and $(111) for the three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w w:val="90"/>
              </w:rPr>
              <w:t>months ended June 30, 2022 and 2021, respectively, and $11,681 and $(409)</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8,144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 the six months ended June 30, 2022 and 2021, respectively.</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w:t>
            </w:r>
          </w:p>
        </w:tc>
        <w:tc>
          <w:tcPr>
            <w:tcW w:w="0" w:type="dxa"/>
            <w:vAlign w:val="bottom"/>
          </w:tcPr>
          <w:p>
            <w:pPr>
              <w:spacing w:after="0"/>
              <w:rPr>
                <w:sz w:val="1"/>
                <w:szCs w:val="1"/>
                <w:color w:val="auto"/>
              </w:rPr>
            </w:pPr>
          </w:p>
        </w:tc>
      </w:tr>
      <w:tr>
        <w:trPr>
          <w:trHeight w:val="218"/>
        </w:trPr>
        <w:tc>
          <w:tcPr>
            <w:tcW w:w="5460" w:type="dxa"/>
            <w:vAlign w:val="bottom"/>
            <w:gridSpan w:val="2"/>
          </w:tcPr>
          <w:p>
            <w:pPr>
              <w:ind w:left="140"/>
              <w:spacing w:after="0"/>
              <w:rPr>
                <w:sz w:val="20"/>
                <w:szCs w:val="20"/>
                <w:color w:val="auto"/>
              </w:rPr>
            </w:pPr>
            <w:r>
              <w:rPr>
                <w:rFonts w:ascii="Arial" w:cs="Arial" w:eastAsia="Arial" w:hAnsi="Arial"/>
                <w:sz w:val="17"/>
                <w:szCs w:val="17"/>
                <w:color w:val="auto"/>
              </w:rPr>
              <w:t>Foreign currency translation adjustment, net of tax of $0 for all periods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(99,805)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(104,751)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(6,156)</w:t>
            </w:r>
          </w:p>
        </w:tc>
        <w:tc>
          <w:tcPr>
            <w:tcW w:w="0" w:type="dxa"/>
            <w:vAlign w:val="bottom"/>
          </w:tcPr>
          <w:p>
            <w:pPr>
              <w:spacing w:after="0"/>
              <w:rPr>
                <w:sz w:val="1"/>
                <w:szCs w:val="1"/>
                <w:color w:val="auto"/>
              </w:rPr>
            </w:pPr>
          </w:p>
        </w:tc>
      </w:tr>
      <w:tr>
        <w:trPr>
          <w:trHeight w:val="220"/>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(7,429)</w:t>
            </w:r>
          </w:p>
        </w:tc>
        <w:tc>
          <w:tcPr>
            <w:tcW w:w="0" w:type="dxa"/>
            <w:vAlign w:val="bottom"/>
          </w:tcPr>
          <w:p>
            <w:pPr>
              <w:spacing w:after="0"/>
              <w:rPr>
                <w:sz w:val="1"/>
                <w:szCs w:val="1"/>
                <w:color w:val="auto"/>
              </w:rPr>
            </w:pPr>
          </w:p>
        </w:tc>
      </w:tr>
      <w:tr>
        <w:trPr>
          <w:trHeight w:val="238"/>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(99,121)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44,700</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620" w:type="dxa"/>
            <w:vAlign w:val="bottom"/>
            <w:gridSpan w:val="4"/>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00" w:type="dxa"/>
            <w:vAlign w:val="bottom"/>
            <w:gridSpan w:val="2"/>
          </w:tcPr>
          <w:p>
            <w:pPr>
              <w:jc w:val="right"/>
              <w:ind w:right="200"/>
              <w:spacing w:after="0" w:line="97" w:lineRule="exact"/>
              <w:rPr>
                <w:sz w:val="20"/>
                <w:szCs w:val="20"/>
                <w:color w:val="auto"/>
              </w:rPr>
            </w:pPr>
            <w:r>
              <w:rPr>
                <w:rFonts w:ascii="Arial" w:cs="Arial" w:eastAsia="Arial" w:hAnsi="Arial"/>
                <w:sz w:val="11"/>
                <w:szCs w:val="11"/>
                <w:b w:val="1"/>
                <w:bCs w:val="1"/>
                <w:color w:val="auto"/>
              </w:rPr>
              <w:t>Treasury</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60"/>
              <w:spacing w:after="0" w:line="97"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10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721,412</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(27)</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911,787</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1,616,031</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(8,743)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575,725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575,975</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18,641</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0" w:type="dxa"/>
            <w:vAlign w:val="bottom"/>
          </w:tcPr>
          <w:p>
            <w:pPr>
              <w:spacing w:after="0"/>
              <w:rPr>
                <w:sz w:val="1"/>
                <w:szCs w:val="1"/>
                <w:color w:val="auto"/>
              </w:rPr>
            </w:pPr>
          </w:p>
        </w:tc>
      </w:tr>
      <w:tr>
        <w:trPr>
          <w:trHeight w:val="172"/>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March 31, 2022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23,897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2,390</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1,306,264</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(2,843)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873,719</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(628)</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2,178,902</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(91,647)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(91,647)</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w:t>
            </w:r>
          </w:p>
        </w:tc>
        <w:tc>
          <w:tcPr>
            <w:tcW w:w="0" w:type="dxa"/>
            <w:vAlign w:val="bottom"/>
          </w:tcPr>
          <w:p>
            <w:pPr>
              <w:spacing w:after="0"/>
              <w:rPr>
                <w:sz w:val="1"/>
                <w:szCs w:val="1"/>
                <w:color w:val="auto"/>
              </w:rPr>
            </w:pPr>
          </w:p>
        </w:tc>
      </w:tr>
      <w:tr>
        <w:trPr>
          <w:trHeight w:val="173"/>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23,899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1,309,598</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866,245</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(92,275)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2,085,866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620" w:type="dxa"/>
            <w:vAlign w:val="bottom"/>
            <w:gridSpan w:val="4"/>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00" w:type="dxa"/>
            <w:vAlign w:val="bottom"/>
            <w:gridSpan w:val="2"/>
          </w:tcPr>
          <w:p>
            <w:pPr>
              <w:jc w:val="right"/>
              <w:ind w:right="220"/>
              <w:spacing w:after="0" w:line="97" w:lineRule="exact"/>
              <w:rPr>
                <w:sz w:val="20"/>
                <w:szCs w:val="20"/>
                <w:color w:val="auto"/>
              </w:rPr>
            </w:pPr>
            <w:r>
              <w:rPr>
                <w:rFonts w:ascii="Arial" w:cs="Arial" w:eastAsia="Arial" w:hAnsi="Arial"/>
                <w:sz w:val="11"/>
                <w:szCs w:val="11"/>
                <w:b w:val="1"/>
                <w:bCs w:val="1"/>
                <w:color w:val="auto"/>
              </w:rPr>
              <w:t>Treasury</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20"/>
              <w:spacing w:after="0" w:line="97"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10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693,068</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808,652</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1,502,265</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23,731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23,731</w:t>
            </w:r>
          </w:p>
        </w:tc>
        <w:tc>
          <w:tcPr>
            <w:tcW w:w="0" w:type="dxa"/>
            <w:vAlign w:val="bottom"/>
          </w:tcPr>
          <w:p>
            <w:pPr>
              <w:spacing w:after="0"/>
              <w:rPr>
                <w:sz w:val="1"/>
                <w:szCs w:val="1"/>
                <w:color w:val="auto"/>
              </w:rPr>
            </w:pPr>
          </w:p>
        </w:tc>
      </w:tr>
      <w:tr>
        <w:trPr>
          <w:trHeight w:val="176"/>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701,586</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(5,410)</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832,383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1,520,768</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28,398</w:t>
            </w:r>
          </w:p>
        </w:tc>
        <w:tc>
          <w:tcPr>
            <w:tcW w:w="0" w:type="dxa"/>
            <w:vAlign w:val="bottom"/>
          </w:tcPr>
          <w:p>
            <w:pPr>
              <w:spacing w:after="0"/>
              <w:rPr>
                <w:sz w:val="1"/>
                <w:szCs w:val="1"/>
                <w:color w:val="auto"/>
              </w:rPr>
            </w:pPr>
          </w:p>
        </w:tc>
      </w:tr>
      <w:tr>
        <w:trPr>
          <w:trHeight w:val="201"/>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705,582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860,781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1,557,265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 (Unaudited)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thousands)</w:t>
      </w:r>
    </w:p>
    <w:p>
      <w:pPr>
        <w:spacing w:after="0" w:line="34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Six months ended</w:t>
      </w:r>
    </w:p>
    <w:p>
      <w:pPr>
        <w:ind w:left="9500"/>
        <w:spacing w:after="0"/>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7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(45,542)</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52,129</w:t>
            </w: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(used in) provided by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119,697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44,319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inventory step-up</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Noncash lease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4,780</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warranty and returns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12,703</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Loss on disposal of property, plant and equipment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Bond premium amortization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Debt issuance costs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contingent earn-out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Usage of spare parts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13,368</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(7,632)</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(17,068)</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w:t>
            </w:r>
          </w:p>
        </w:tc>
      </w:tr>
      <w:tr>
        <w:trPr>
          <w:trHeight w:val="17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(62,727)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106,082</w:t>
            </w:r>
          </w:p>
        </w:tc>
      </w:tr>
      <w:tr>
        <w:trPr>
          <w:trHeight w:val="17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(48,039)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(29,693)</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Business acquisitions, net of cash acquired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(1,844,164)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 additions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investment securities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(10,034)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and maturities of investment securities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7,000</w:t>
            </w:r>
          </w:p>
        </w:tc>
      </w:tr>
      <w:tr>
        <w:trPr>
          <w:trHeight w:val="17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(1,872,942)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(36,660)</w:t>
            </w:r>
          </w:p>
        </w:tc>
      </w:tr>
      <w:tr>
        <w:trPr>
          <w:trHeight w:val="17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issuance of long-term debt, net of lender debt issuance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1,672,631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long-term debt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Payment of third-party debt issuance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Payments on finance leases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(7,819)</w:t>
            </w:r>
          </w:p>
        </w:tc>
      </w:tr>
      <w:tr>
        <w:trPr>
          <w:trHeight w:val="17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1,644,887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(2,699)</w:t>
            </w:r>
          </w:p>
        </w:tc>
      </w:tr>
      <w:tr>
        <w:trPr>
          <w:trHeight w:val="17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r>
      <w:tr>
        <w:trPr>
          <w:trHeight w:val="170"/>
        </w:trPr>
        <w:tc>
          <w:tcPr>
            <w:tcW w:w="824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(297,129)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65,940</w:t>
            </w:r>
          </w:p>
        </w:tc>
      </w:tr>
      <w:tr>
        <w:trPr>
          <w:trHeight w:val="18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396,097</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255,698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462,037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 (Unaudited) - 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83"/>
              <w:spacing w:after="0"/>
              <w:rPr>
                <w:sz w:val="20"/>
                <w:szCs w:val="20"/>
                <w:color w:val="auto"/>
              </w:rPr>
            </w:pPr>
            <w:r>
              <w:rPr>
                <w:rFonts w:ascii="Arial" w:cs="Arial" w:eastAsia="Arial" w:hAnsi="Arial"/>
                <w:sz w:val="17"/>
                <w:szCs w:val="17"/>
                <w:b w:val="1"/>
                <w:bCs w:val="1"/>
                <w:color w:val="auto"/>
                <w:w w:val="88"/>
              </w:rPr>
              <w:t>Six months ended</w:t>
            </w:r>
          </w:p>
        </w:tc>
      </w:tr>
      <w:tr>
        <w:trPr>
          <w:trHeight w:val="219"/>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7"/>
                <w:szCs w:val="17"/>
                <w:b w:val="1"/>
                <w:bCs w:val="1"/>
                <w:color w:val="auto"/>
                <w:w w:val="91"/>
              </w:rPr>
              <w:t>June 30,</w:t>
            </w:r>
          </w:p>
        </w:tc>
        <w:tc>
          <w:tcPr>
            <w:tcW w:w="980" w:type="dxa"/>
            <w:vAlign w:val="bottom"/>
            <w:tcBorders>
              <w:bottom w:val="single" w:sz="8" w:color="auto"/>
            </w:tcBorders>
          </w:tcPr>
          <w:p>
            <w:pPr>
              <w:spacing w:after="0"/>
              <w:rPr>
                <w:sz w:val="19"/>
                <w:szCs w:val="19"/>
                <w:color w:val="auto"/>
              </w:rPr>
            </w:pPr>
          </w:p>
        </w:tc>
      </w:tr>
      <w:tr>
        <w:trPr>
          <w:trHeight w:val="197"/>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8300" w:type="dxa"/>
            <w:vAlign w:val="bottom"/>
          </w:tcPr>
          <w:p>
            <w:pPr>
              <w:ind w:left="80"/>
              <w:spacing w:after="0"/>
              <w:rPr>
                <w:sz w:val="20"/>
                <w:szCs w:val="20"/>
                <w:color w:val="auto"/>
              </w:rPr>
            </w:pPr>
            <w:r>
              <w:rPr>
                <w:rFonts w:ascii="Arial" w:cs="Arial" w:eastAsia="Arial" w:hAnsi="Arial"/>
                <w:sz w:val="15"/>
                <w:szCs w:val="15"/>
                <w:color w:val="auto"/>
              </w:rPr>
              <w:t>Accounts payable for property, plant and equipment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5,539</w:t>
            </w:r>
          </w:p>
        </w:tc>
        <w:tc>
          <w:tcPr>
            <w:tcW w:w="5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1,857</w:t>
            </w:r>
          </w:p>
        </w:tc>
      </w:tr>
      <w:tr>
        <w:trPr>
          <w:trHeight w:val="248"/>
        </w:trPr>
        <w:tc>
          <w:tcPr>
            <w:tcW w:w="8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Detail of assets acquired and liabilities assumed in acquisitions*: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Fair value of assets acquired</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1,658,692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(1,844,164)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consideration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(575,975)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Contingent consideration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(55,158)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Goodwill, acquired during period</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1,437,811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8300" w:type="dxa"/>
            <w:vAlign w:val="bottom"/>
          </w:tcPr>
          <w:p>
            <w:pPr>
              <w:ind w:left="420"/>
              <w:spacing w:after="0"/>
              <w:rPr>
                <w:sz w:val="20"/>
                <w:szCs w:val="20"/>
                <w:color w:val="auto"/>
              </w:rPr>
            </w:pPr>
            <w:r>
              <w:rPr>
                <w:rFonts w:ascii="Arial" w:cs="Arial" w:eastAsia="Arial" w:hAnsi="Arial"/>
                <w:sz w:val="15"/>
                <w:szCs w:val="15"/>
                <w:color w:val="auto"/>
              </w:rPr>
              <w:t>Liabilities assumed/Adjustments to liabilities assumed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(621,206)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56"/>
        </w:trPr>
        <w:tc>
          <w:tcPr>
            <w:tcW w:w="83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5" w:lineRule="exact"/>
        <w:rPr>
          <w:sz w:val="20"/>
          <w:szCs w:val="20"/>
          <w:color w:val="auto"/>
        </w:rPr>
      </w:pPr>
    </w:p>
    <w:p>
      <w:pPr>
        <w:ind w:left="80" w:right="2920"/>
        <w:spacing w:after="0" w:line="247" w:lineRule="auto"/>
        <w:rPr>
          <w:sz w:val="20"/>
          <w:szCs w:val="20"/>
          <w:color w:val="auto"/>
        </w:rPr>
      </w:pPr>
      <w:r>
        <w:rPr>
          <w:rFonts w:ascii="Arial" w:cs="Arial" w:eastAsia="Arial" w:hAnsi="Arial"/>
          <w:sz w:val="15"/>
          <w:szCs w:val="15"/>
          <w:color w:val="auto"/>
        </w:rPr>
        <w:t>*Includes amounts related to the acquisition of Smiths Medical 2020 Limited and measurement period adjustments related to a 2021 acquisition of a small foreign infusion systems supplier.</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2021.</w:t>
      </w:r>
    </w:p>
    <w:p>
      <w:pPr>
        <w:spacing w:after="0" w:line="182"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We are engaged in the development, manufacturing and sale of innovative medical products used in infusion therapy and critical care applications.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9" w:lineRule="exact"/>
        <w:rPr>
          <w:sz w:val="20"/>
          <w:szCs w:val="20"/>
          <w:color w:val="auto"/>
        </w:rPr>
      </w:pPr>
    </w:p>
    <w:p>
      <w:pPr>
        <w:jc w:val="both"/>
        <w:ind w:right="180" w:firstLine="619"/>
        <w:spacing w:after="0" w:line="266" w:lineRule="auto"/>
        <w:rPr>
          <w:sz w:val="20"/>
          <w:szCs w:val="20"/>
          <w:color w:val="auto"/>
        </w:rPr>
      </w:pPr>
      <w:r>
        <w:rPr>
          <w:rFonts w:ascii="Arial" w:cs="Arial" w:eastAsia="Arial" w:hAnsi="Arial"/>
          <w:sz w:val="17"/>
          <w:szCs w:val="17"/>
          <w:color w:val="auto"/>
        </w:rPr>
        <w:t>On January 6, 2022, we acquired Smiths Medical 2020 Limited ("Smiths Medical"), see Note 3: Acquisitions. Our condensed consolidated statement of operations includes the results of operations for Smiths Medical from January 7, 2022 through June 25, 2022, which is the current end of their 4-4-5 accounting period.</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3" w:lineRule="exact"/>
        <w:rPr>
          <w:sz w:val="20"/>
          <w:szCs w:val="20"/>
          <w:color w:val="auto"/>
        </w:rPr>
      </w:pPr>
    </w:p>
    <w:p>
      <w:pPr>
        <w:ind w:firstLine="172"/>
        <w:spacing w:after="0" w:line="271" w:lineRule="auto"/>
        <w:rPr>
          <w:sz w:val="20"/>
          <w:szCs w:val="20"/>
          <w:color w:val="auto"/>
        </w:rPr>
      </w:pPr>
      <w:r>
        <w:rPr>
          <w:rFonts w:ascii="Arial" w:cs="Arial" w:eastAsia="Arial" w:hAnsi="Arial"/>
          <w:sz w:val="16"/>
          <w:szCs w:val="16"/>
          <w:color w:val="auto"/>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4"/>
          <w:szCs w:val="14"/>
          <w:b w:val="1"/>
          <w:bCs w:val="1"/>
          <w:color w:val="auto"/>
        </w:rPr>
        <w:t>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Acquisition</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On January 6, 2022, we acquired 100.0%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spacing w:after="0" w:line="204"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243" w:lineRule="exact"/>
        <w:rPr>
          <w:sz w:val="20"/>
          <w:szCs w:val="20"/>
          <w:color w:val="auto"/>
        </w:rPr>
      </w:pPr>
    </w:p>
    <w:p>
      <w:pPr>
        <w:ind w:right="460" w:firstLine="619"/>
        <w:spacing w:after="0" w:line="279" w:lineRule="auto"/>
        <w:rPr>
          <w:sz w:val="20"/>
          <w:szCs w:val="20"/>
          <w:color w:val="auto"/>
        </w:rPr>
      </w:pPr>
      <w:r>
        <w:rPr>
          <w:rFonts w:ascii="Arial" w:cs="Arial" w:eastAsia="Arial" w:hAnsi="Arial"/>
          <w:sz w:val="17"/>
          <w:szCs w:val="17"/>
          <w:color w:val="auto"/>
        </w:rPr>
        <w:t>The following table summarizes the estimated purchase price and the preliminary allocation of the purchase price related to the assets acquired and liabilities assumed (in thousands):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ind w:left="234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Estimated cash consideration for acquired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Preliminary fair value of contingent consideration payable to Smiths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ICU Medical, Inc.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Number of shares issued to Smiths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Price per share (ICU's opening market price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 of ICU shares issued to Smiths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estimated consideration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Preliminary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Inventories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right-of-use assets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Intangible assets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Other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Accounts payable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liabilities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Other long-term liabilities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10" w:hanging="1010"/>
        <w:spacing w:after="0"/>
        <w:tabs>
          <w:tab w:leader="none" w:pos="1010" w:val="left"/>
        </w:tabs>
        <w:numPr>
          <w:ilvl w:val="0"/>
          <w:numId w:val="3"/>
        </w:numPr>
        <w:rPr>
          <w:rFonts w:ascii="Arial" w:cs="Arial" w:eastAsia="Arial" w:hAnsi="Arial"/>
          <w:sz w:val="16"/>
          <w:szCs w:val="16"/>
          <w:color w:val="auto"/>
        </w:rPr>
      </w:pPr>
      <w:r>
        <w:rPr>
          <w:rFonts w:ascii="Arial" w:cs="Arial" w:eastAsia="Arial" w:hAnsi="Arial"/>
          <w:sz w:val="16"/>
          <w:szCs w:val="16"/>
          <w:color w:val="auto"/>
        </w:rPr>
        <w:t>1,922,955</w:t>
      </w:r>
    </w:p>
    <w:p>
      <w:pPr>
        <w:spacing w:after="0" w:line="35" w:lineRule="exact"/>
        <w:rPr>
          <w:rFonts w:ascii="Arial" w:cs="Arial" w:eastAsia="Arial" w:hAnsi="Arial"/>
          <w:sz w:val="16"/>
          <w:szCs w:val="16"/>
          <w:color w:val="auto"/>
        </w:rPr>
      </w:pPr>
    </w:p>
    <w:p>
      <w:pPr>
        <w:ind w:left="1230"/>
        <w:spacing w:after="0"/>
        <w:rPr>
          <w:rFonts w:ascii="Arial" w:cs="Arial" w:eastAsia="Arial" w:hAnsi="Arial"/>
          <w:sz w:val="16"/>
          <w:szCs w:val="16"/>
          <w:color w:val="auto"/>
        </w:rPr>
      </w:pPr>
      <w:r>
        <w:rPr>
          <w:rFonts w:ascii="Arial" w:cs="Arial" w:eastAsia="Arial" w:hAnsi="Arial"/>
          <w:sz w:val="17"/>
          <w:szCs w:val="17"/>
          <w:color w:val="auto"/>
        </w:rPr>
        <w:t>53,520</w:t>
      </w:r>
    </w:p>
    <w:p>
      <w:pPr>
        <w:spacing w:after="0" w:line="200" w:lineRule="exact"/>
        <w:rPr>
          <w:sz w:val="20"/>
          <w:szCs w:val="20"/>
          <w:color w:val="auto"/>
        </w:rPr>
      </w:pPr>
    </w:p>
    <w:p>
      <w:pPr>
        <w:spacing w:after="0" w:line="301" w:lineRule="exact"/>
        <w:rPr>
          <w:sz w:val="20"/>
          <w:szCs w:val="20"/>
          <w:color w:val="auto"/>
        </w:rPr>
      </w:pPr>
    </w:p>
    <w:p>
      <w:pPr>
        <w:ind w:left="1310"/>
        <w:spacing w:after="0"/>
        <w:rPr>
          <w:sz w:val="20"/>
          <w:szCs w:val="20"/>
          <w:color w:val="auto"/>
        </w:rPr>
      </w:pPr>
      <w:r>
        <w:rPr>
          <w:rFonts w:ascii="Arial" w:cs="Arial" w:eastAsia="Arial" w:hAnsi="Arial"/>
          <w:sz w:val="17"/>
          <w:szCs w:val="17"/>
          <w:color w:val="auto"/>
        </w:rPr>
        <w:t>2,500</w:t>
      </w:r>
    </w:p>
    <w:p>
      <w:pPr>
        <w:spacing w:after="0" w:line="24" w:lineRule="exact"/>
        <w:rPr>
          <w:sz w:val="20"/>
          <w:szCs w:val="20"/>
          <w:color w:val="auto"/>
        </w:rPr>
      </w:pPr>
    </w:p>
    <w:p>
      <w:pPr>
        <w:ind w:left="1230" w:hanging="1230"/>
        <w:spacing w:after="0"/>
        <w:tabs>
          <w:tab w:leader="none" w:pos="1230" w:val="left"/>
        </w:tabs>
        <w:numPr>
          <w:ilvl w:val="0"/>
          <w:numId w:val="4"/>
        </w:numPr>
        <w:rPr>
          <w:rFonts w:ascii="Arial" w:cs="Arial" w:eastAsia="Arial" w:hAnsi="Arial"/>
          <w:sz w:val="17"/>
          <w:szCs w:val="17"/>
          <w:color w:val="auto"/>
        </w:rPr>
      </w:pPr>
      <w:r>
        <w:rPr>
          <w:rFonts w:ascii="Arial" w:cs="Arial" w:eastAsia="Arial" w:hAnsi="Arial"/>
          <w:sz w:val="17"/>
          <w:szCs w:val="17"/>
          <w:color w:val="auto"/>
        </w:rPr>
        <w:t>230.39</w:t>
      </w:r>
    </w:p>
    <w:p>
      <w:pPr>
        <w:spacing w:after="0" w:line="37" w:lineRule="exact"/>
        <w:rPr>
          <w:sz w:val="20"/>
          <w:szCs w:val="20"/>
          <w:color w:val="auto"/>
        </w:rPr>
      </w:pPr>
    </w:p>
    <w:p>
      <w:pPr>
        <w:ind w:left="1150" w:hanging="1150"/>
        <w:spacing w:after="0"/>
        <w:tabs>
          <w:tab w:leader="none" w:pos="1150" w:val="left"/>
        </w:tabs>
        <w:numPr>
          <w:ilvl w:val="0"/>
          <w:numId w:val="5"/>
        </w:numPr>
        <w:rPr>
          <w:rFonts w:ascii="Arial" w:cs="Arial" w:eastAsia="Arial" w:hAnsi="Arial"/>
          <w:sz w:val="16"/>
          <w:szCs w:val="16"/>
          <w:color w:val="auto"/>
        </w:rPr>
      </w:pPr>
      <w:r>
        <w:rPr>
          <w:rFonts w:ascii="Arial" w:cs="Arial" w:eastAsia="Arial" w:hAnsi="Arial"/>
          <w:sz w:val="16"/>
          <w:szCs w:val="16"/>
          <w:color w:val="auto"/>
        </w:rPr>
        <w:t>575,975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8" w:lineRule="exact"/>
        <w:rPr>
          <w:sz w:val="20"/>
          <w:szCs w:val="20"/>
          <w:color w:val="auto"/>
        </w:rPr>
      </w:pPr>
    </w:p>
    <w:p>
      <w:pPr>
        <w:ind w:left="1010" w:hanging="1010"/>
        <w:spacing w:after="0"/>
        <w:tabs>
          <w:tab w:leader="none" w:pos="1010" w:val="left"/>
        </w:tabs>
        <w:numPr>
          <w:ilvl w:val="0"/>
          <w:numId w:val="6"/>
        </w:numPr>
        <w:rPr>
          <w:rFonts w:ascii="Arial" w:cs="Arial" w:eastAsia="Arial" w:hAnsi="Arial"/>
          <w:sz w:val="16"/>
          <w:szCs w:val="16"/>
          <w:color w:val="auto"/>
        </w:rPr>
      </w:pPr>
      <w:r>
        <w:rPr>
          <w:rFonts w:ascii="Arial" w:cs="Arial" w:eastAsia="Arial" w:hAnsi="Arial"/>
          <w:sz w:val="16"/>
          <w:szCs w:val="16"/>
          <w:color w:val="auto"/>
        </w:rPr>
        <w:t>2,552,450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230" w:hanging="1230"/>
        <w:spacing w:after="0"/>
        <w:tabs>
          <w:tab w:leader="none" w:pos="1230" w:val="left"/>
        </w:tabs>
        <w:numPr>
          <w:ilvl w:val="0"/>
          <w:numId w:val="7"/>
        </w:numPr>
        <w:rPr>
          <w:rFonts w:ascii="Arial" w:cs="Arial" w:eastAsia="Arial" w:hAnsi="Arial"/>
          <w:sz w:val="17"/>
          <w:szCs w:val="17"/>
          <w:color w:val="auto"/>
        </w:rPr>
      </w:pPr>
      <w:r>
        <w:rPr>
          <w:rFonts w:ascii="Arial" w:cs="Arial" w:eastAsia="Arial" w:hAnsi="Arial"/>
          <w:sz w:val="17"/>
          <w:szCs w:val="17"/>
          <w:color w:val="auto"/>
        </w:rPr>
        <w:t>78,791</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118,277</w:t>
      </w:r>
    </w:p>
    <w:p>
      <w:pPr>
        <w:spacing w:after="0" w:line="35"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226,196</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53,554</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210,000</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55,161</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975,000</w:t>
      </w:r>
    </w:p>
    <w:p>
      <w:pPr>
        <w:spacing w:after="0" w:line="35" w:lineRule="exact"/>
        <w:rPr>
          <w:rFonts w:ascii="Arial" w:cs="Arial" w:eastAsia="Arial" w:hAnsi="Arial"/>
          <w:sz w:val="17"/>
          <w:szCs w:val="17"/>
          <w:color w:val="auto"/>
        </w:rPr>
      </w:pPr>
    </w:p>
    <w:p>
      <w:pPr>
        <w:ind w:left="1310"/>
        <w:spacing w:after="0"/>
        <w:rPr>
          <w:rFonts w:ascii="Arial" w:cs="Arial" w:eastAsia="Arial" w:hAnsi="Arial"/>
          <w:sz w:val="17"/>
          <w:szCs w:val="17"/>
          <w:color w:val="auto"/>
        </w:rPr>
      </w:pPr>
      <w:r>
        <w:rPr>
          <w:rFonts w:ascii="Arial" w:cs="Arial" w:eastAsia="Arial" w:hAnsi="Arial"/>
          <w:sz w:val="17"/>
          <w:szCs w:val="17"/>
          <w:color w:val="auto"/>
        </w:rPr>
        <w:t>9,303</w:t>
      </w:r>
    </w:p>
    <w:p>
      <w:pPr>
        <w:spacing w:after="0" w:line="23" w:lineRule="exact"/>
        <w:rPr>
          <w:rFonts w:ascii="Arial" w:cs="Arial" w:eastAsia="Arial" w:hAnsi="Arial"/>
          <w:sz w:val="17"/>
          <w:szCs w:val="17"/>
          <w:color w:val="auto"/>
        </w:rPr>
      </w:pPr>
    </w:p>
    <w:p>
      <w:pPr>
        <w:ind w:left="1450"/>
        <w:spacing w:after="0"/>
        <w:rPr>
          <w:rFonts w:ascii="Arial" w:cs="Arial" w:eastAsia="Arial" w:hAnsi="Arial"/>
          <w:sz w:val="17"/>
          <w:szCs w:val="17"/>
          <w:color w:val="auto"/>
        </w:rPr>
      </w:pPr>
      <w:r>
        <w:rPr>
          <w:rFonts w:ascii="Arial" w:cs="Arial" w:eastAsia="Arial" w:hAnsi="Arial"/>
          <w:sz w:val="17"/>
          <w:szCs w:val="17"/>
          <w:color w:val="auto"/>
        </w:rPr>
        <w:t>379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(105,291)</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(175,099)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(24,332)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(85,739)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(228,689)</w:t>
      </w:r>
    </w:p>
    <w:p>
      <w:pPr>
        <w:spacing w:after="0" w:line="21" w:lineRule="exact"/>
        <w:rPr>
          <w:sz w:val="20"/>
          <w:szCs w:val="20"/>
          <w:color w:val="auto"/>
        </w:rPr>
      </w:pPr>
    </w:p>
    <w:p>
      <w:pPr>
        <w:sectPr>
          <w:pgSz w:w="11900" w:h="16838" w:orient="portrait"/>
          <w:cols w:equalWidth="0" w:num="2">
            <w:col w:w="8900" w:space="570"/>
            <w:col w:w="177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4"/>
        </w:trPr>
        <w:tc>
          <w:tcPr>
            <w:tcW w:w="9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identifiable net assets acquired</w:t>
            </w: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1,107,511</w:t>
            </w:r>
          </w:p>
        </w:tc>
      </w:tr>
      <w:tr>
        <w:trPr>
          <w:trHeight w:val="211"/>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 - not tax deductible</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1,444,939</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Estimated Purchase Consideration</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2,552,450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7" w:lineRule="exact"/>
        <w:rPr>
          <w:sz w:val="20"/>
          <w:szCs w:val="20"/>
          <w:color w:val="auto"/>
        </w:rPr>
      </w:pPr>
    </w:p>
    <w:p>
      <w:pPr>
        <w:ind w:left="320" w:right="20" w:hanging="317"/>
        <w:spacing w:after="0" w:line="236" w:lineRule="auto"/>
        <w:tabs>
          <w:tab w:leader="none" w:pos="22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Estimated identifiable intangible assets include $540.0 million of customer relationships, $400.0 million of developed technology, $30.0 million of internally developed software, and $5.0 million of trade 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 mark.</w:t>
      </w:r>
    </w:p>
    <w:p>
      <w:pPr>
        <w:spacing w:after="0" w:line="38" w:lineRule="exact"/>
        <w:rPr>
          <w:rFonts w:ascii="Arial" w:cs="Arial" w:eastAsia="Arial" w:hAnsi="Arial"/>
          <w:sz w:val="20"/>
          <w:szCs w:val="20"/>
          <w:color w:val="auto"/>
          <w:vertAlign w:val="superscript"/>
        </w:rPr>
      </w:pPr>
    </w:p>
    <w:p>
      <w:pPr>
        <w:ind w:left="320" w:right="20" w:hanging="317"/>
        <w:spacing w:after="0" w:line="224" w:lineRule="auto"/>
        <w:tabs>
          <w:tab w:leader="none" w:pos="22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Estimated accrued liabilities includes, among other things, accrued warranty reserves, accrued restructuring initiatives, accrued salaries and related benefits, deferred revenue and accrued sales and use taxes.</w:t>
      </w:r>
    </w:p>
    <w:p>
      <w:pPr>
        <w:spacing w:after="0" w:line="213"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above purchase price and purchase price allocation are preliminary and subject to future revision as the acquired assets and liabilities assumed are dependent upon the finalization of the related valuations.</w:t>
      </w:r>
    </w:p>
    <w:p>
      <w:pPr>
        <w:spacing w:after="0" w:line="177" w:lineRule="exact"/>
        <w:rPr>
          <w:sz w:val="20"/>
          <w:szCs w:val="20"/>
          <w:color w:val="auto"/>
        </w:rPr>
      </w:pPr>
    </w:p>
    <w:p>
      <w:pPr>
        <w:ind w:right="120" w:firstLine="619"/>
        <w:spacing w:after="0"/>
        <w:rPr>
          <w:sz w:val="20"/>
          <w:szCs w:val="20"/>
          <w:color w:val="auto"/>
        </w:rPr>
      </w:pPr>
      <w:r>
        <w:rPr>
          <w:rFonts w:ascii="Arial" w:cs="Arial" w:eastAsia="Arial" w:hAnsi="Arial"/>
          <w:sz w:val="16"/>
          <w:szCs w:val="16"/>
          <w:color w:val="auto"/>
        </w:rPr>
        <w:t>The identifiable intangible assets and other long-lived assets acquired have been valued as Level 3 assets at fair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Unaudited Pro Forma Information</w:t>
      </w:r>
    </w:p>
    <w:p>
      <w:pPr>
        <w:spacing w:after="0" w:line="243" w:lineRule="exact"/>
        <w:rPr>
          <w:sz w:val="20"/>
          <w:szCs w:val="20"/>
          <w:color w:val="auto"/>
        </w:rPr>
      </w:pPr>
    </w:p>
    <w:p>
      <w:pPr>
        <w:ind w:right="240" w:firstLine="619"/>
        <w:spacing w:after="0" w:line="276" w:lineRule="auto"/>
        <w:rPr>
          <w:sz w:val="20"/>
          <w:szCs w:val="20"/>
          <w:color w:val="auto"/>
        </w:rPr>
      </w:pPr>
      <w:r>
        <w:rPr>
          <w:rFonts w:ascii="Arial" w:cs="Arial" w:eastAsia="Arial" w:hAnsi="Arial"/>
          <w:sz w:val="16"/>
          <w:szCs w:val="16"/>
          <w:color w:val="auto"/>
        </w:rPr>
        <w:t>Smiths Medical is included in our consolidated results beginning on January 7, 2022. Total revenues and net loss attributable to Smiths Medical for the period from January 7, 2022 to June 30, 2022 were $437.8 million and $65.5 million, respectively, and for the three months ended June 30, 2022 were</w:t>
      </w:r>
    </w:p>
    <w:p>
      <w:pPr>
        <w:jc w:val="both"/>
        <w:spacing w:after="0" w:line="310" w:lineRule="auto"/>
        <w:rPr>
          <w:sz w:val="20"/>
          <w:szCs w:val="20"/>
          <w:color w:val="auto"/>
        </w:rPr>
      </w:pPr>
      <w:r>
        <w:rPr>
          <w:rFonts w:ascii="Arial" w:cs="Arial" w:eastAsia="Arial" w:hAnsi="Arial"/>
          <w:sz w:val="15"/>
          <w:szCs w:val="15"/>
          <w:color w:val="auto"/>
        </w:rPr>
        <w:t>$222.9 million and $26.0 million.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3100" w:type="dxa"/>
            <w:vAlign w:val="bottom"/>
            <w:gridSpan w:val="4"/>
          </w:tcPr>
          <w:p>
            <w:pPr>
              <w:jc w:val="right"/>
              <w:ind w:right="137"/>
              <w:spacing w:after="0"/>
              <w:rPr>
                <w:sz w:val="20"/>
                <w:szCs w:val="20"/>
                <w:color w:val="auto"/>
              </w:rPr>
            </w:pPr>
            <w:r>
              <w:rPr>
                <w:rFonts w:ascii="Arial" w:cs="Arial" w:eastAsia="Arial" w:hAnsi="Arial"/>
                <w:sz w:val="15"/>
                <w:szCs w:val="15"/>
                <w:b w:val="1"/>
                <w:bCs w:val="1"/>
                <w:color w:val="auto"/>
              </w:rPr>
              <w:t>Three months ended 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4"/>
          </w:tcPr>
          <w:p>
            <w:pPr>
              <w:jc w:val="right"/>
              <w:ind w:right="937"/>
              <w:spacing w:after="0"/>
              <w:rPr>
                <w:sz w:val="20"/>
                <w:szCs w:val="20"/>
                <w:color w:val="auto"/>
              </w:rPr>
            </w:pPr>
            <w:r>
              <w:rPr>
                <w:rFonts w:ascii="Arial" w:cs="Arial" w:eastAsia="Arial" w:hAnsi="Arial"/>
                <w:sz w:val="15"/>
                <w:szCs w:val="15"/>
                <w:b w:val="1"/>
                <w:bCs w:val="1"/>
                <w:color w:val="auto"/>
              </w:rPr>
              <w:t>Six months ended June 30,</w:t>
            </w:r>
          </w:p>
        </w:tc>
      </w:tr>
      <w:tr>
        <w:trPr>
          <w:trHeight w:val="20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5"/>
                <w:szCs w:val="15"/>
                <w:b w:val="1"/>
                <w:bCs w:val="1"/>
                <w:color w:val="auto"/>
              </w:rPr>
              <w:t>2021</w:t>
            </w:r>
          </w:p>
        </w:tc>
      </w:tr>
      <w:tr>
        <w:trPr>
          <w:trHeight w:val="215"/>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561,004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625,942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1,124,823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1,227,502</w:t>
            </w:r>
          </w:p>
        </w:tc>
      </w:tr>
      <w:tr>
        <w:trPr>
          <w:trHeight w:val="218"/>
        </w:trPr>
        <w:tc>
          <w:tcPr>
            <w:tcW w:w="35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60" w:type="dxa"/>
            <w:vAlign w:val="bottom"/>
          </w:tcPr>
          <w:p>
            <w:pPr>
              <w:jc w:val="right"/>
              <w:ind w:right="958"/>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(7,474)</w:t>
            </w:r>
          </w:p>
        </w:tc>
        <w:tc>
          <w:tcPr>
            <w:tcW w:w="100" w:type="dxa"/>
            <w:vAlign w:val="bottom"/>
          </w:tcPr>
          <w:p>
            <w:pPr>
              <w:spacing w:after="0"/>
              <w:rPr>
                <w:sz w:val="18"/>
                <w:szCs w:val="18"/>
                <w:color w:val="auto"/>
              </w:rPr>
            </w:pP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34,244</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(59,425)</w:t>
            </w:r>
          </w:p>
        </w:tc>
        <w:tc>
          <w:tcPr>
            <w:tcW w:w="8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31,447</w:t>
            </w:r>
          </w:p>
        </w:tc>
      </w:tr>
    </w:tbl>
    <w:p>
      <w:pPr>
        <w:spacing w:after="0" w:line="311"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The unaudited pro forma results presented above include the impact of the following adjustments: incremental amortization expense on intangible assets acquired of $1.3 million and $55.5 million for the six months ended June 30, 2022 and 2021, respectively, incremental interest expense, including amortization of debt discount and debt issuance costs, on the Credit Facilities of $0.8 million and $25.4 million for the six months ended June 30, 2022 and 2021, respectively; and a $27.4 million expense related to the increase in fair value of inventory for the six months ended June 30, 2021. In addition, there were non-recurring adjustments directly attributable to the business combination, including acquisition-related cost of $13.5 million for the six months ended June 30, 2021 and adjustments related to the extinguishment of related party loans receivable and payable equal to $80.7 million and $45.0 million for the six months ended June 30, 2022 and 2021, respectively. The unaudited pro forma results include IFRS to U.S. GAAP adjustments for Smiths Medical historical results and adjustments for accounting policy alignment, which were materially similar to the Company. Any differences in accounting policies were adjusted to reflect the accounting policies of the Company in the unaudited pro forma results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Acquisition</w:t>
      </w:r>
    </w:p>
    <w:p>
      <w:pPr>
        <w:spacing w:after="0" w:line="24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During November 2021, we acquired a small foreign infusion systems supplier and paid an initial gross cash payment of approximately $15.4 million. In addition to the initial cash consideration, total consideration for the acquisition includes an additional holdback of $0.5 million, to be paid two years from the completion date of the acquisition, and also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June 30, 2022, the total consideration which includes the acquisition date fair value of the contingent consideration was $17.1 million.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Restructuring, Strategic Transaction and Integration</w:t>
      </w:r>
    </w:p>
    <w:p>
      <w:pPr>
        <w:spacing w:after="0" w:line="249" w:lineRule="exact"/>
        <w:rPr>
          <w:sz w:val="20"/>
          <w:szCs w:val="20"/>
          <w:color w:val="auto"/>
        </w:rPr>
      </w:pPr>
    </w:p>
    <w:p>
      <w:pPr>
        <w:ind w:right="800" w:firstLine="172"/>
        <w:spacing w:after="0" w:line="279" w:lineRule="auto"/>
        <w:rPr>
          <w:sz w:val="20"/>
          <w:szCs w:val="20"/>
          <w:color w:val="auto"/>
        </w:rPr>
      </w:pPr>
      <w:r>
        <w:rPr>
          <w:rFonts w:ascii="Arial" w:cs="Arial" w:eastAsia="Arial" w:hAnsi="Arial"/>
          <w:sz w:val="17"/>
          <w:szCs w:val="17"/>
          <w:color w:val="auto"/>
        </w:rPr>
        <w:t>Restructuring, strategic transaction and integration expenses were $13.5 million and $3.8 million for the three months ended June 30, 2022 and 2021, respectively, and $47.4 million and $6.6 million for six months ended June 30, 2022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3" w:lineRule="exact"/>
        <w:rPr>
          <w:sz w:val="20"/>
          <w:szCs w:val="20"/>
          <w:color w:val="auto"/>
        </w:rPr>
      </w:pPr>
    </w:p>
    <w:p>
      <w:pPr>
        <w:ind w:right="420" w:firstLine="172"/>
        <w:spacing w:after="0" w:line="279" w:lineRule="auto"/>
        <w:rPr>
          <w:sz w:val="20"/>
          <w:szCs w:val="20"/>
          <w:color w:val="auto"/>
        </w:rPr>
      </w:pPr>
      <w:r>
        <w:rPr>
          <w:rFonts w:ascii="Arial" w:cs="Arial" w:eastAsia="Arial" w:hAnsi="Arial"/>
          <w:sz w:val="17"/>
          <w:szCs w:val="17"/>
          <w:color w:val="auto"/>
        </w:rPr>
        <w:t>During the three and six months ended June 30, 2022, restructuring charges were $1.7 million and $4.9 million, respectively, and were related to severance costs. Restructuring charges during the three and six months ended June 30, 2021 were not material.</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activity in our restructuring-related accrual by major type of cost for the period ended June 30, 2022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Severance Pay and</w:t>
            </w:r>
          </w:p>
        </w:tc>
        <w:tc>
          <w:tcPr>
            <w:tcW w:w="12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Retention and Facility</w:t>
            </w:r>
          </w:p>
        </w:tc>
        <w:tc>
          <w:tcPr>
            <w:tcW w:w="400" w:type="dxa"/>
            <w:vAlign w:val="bottom"/>
          </w:tcPr>
          <w:p>
            <w:pPr>
              <w:spacing w:after="0"/>
              <w:rPr>
                <w:sz w:val="14"/>
                <w:szCs w:val="14"/>
                <w:color w:val="auto"/>
              </w:rPr>
            </w:pPr>
          </w:p>
        </w:tc>
        <w:tc>
          <w:tcPr>
            <w:tcW w:w="1380" w:type="dxa"/>
            <w:vAlign w:val="bottom"/>
            <w:vMerge w:val="restart"/>
          </w:tcPr>
          <w:p>
            <w:pPr>
              <w:jc w:val="right"/>
              <w:ind w:right="63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Acquired restructuring liabilities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7,536</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Charges incurred</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1"/>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Accrued balance,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9,205</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Charges incurred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(3,564)</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translation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Other adjustments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3" w:lineRule="exact"/>
        <w:rPr>
          <w:sz w:val="20"/>
          <w:szCs w:val="20"/>
          <w:color w:val="auto"/>
        </w:rPr>
      </w:pPr>
    </w:p>
    <w:p>
      <w:pPr>
        <w:ind w:right="100" w:firstLine="169"/>
        <w:spacing w:after="0" w:line="275" w:lineRule="auto"/>
        <w:rPr>
          <w:sz w:val="20"/>
          <w:szCs w:val="20"/>
          <w:color w:val="auto"/>
        </w:rPr>
      </w:pPr>
      <w:r>
        <w:rPr>
          <w:rFonts w:ascii="Arial" w:cs="Arial" w:eastAsia="Arial" w:hAnsi="Arial"/>
          <w:sz w:val="16"/>
          <w:szCs w:val="16"/>
          <w:color w:val="auto"/>
        </w:rPr>
        <w:t>We incurred and expensed $11.8 million and $3.7 million in strategic transaction and integration expenses during the three months ended June 30, 2022 and 2021, respectively, and we incurred and expensed $42.5 million and $6.5 million in strategic transaction and integration expenses during the six months ended June 30, 2022 and 2021, respectively, which are included in restructuring, strategic transaction and integration expenses in our condensed consolidated statements of operations. The strategic transaction and integration expenses during the three and six months ended June 30, 2022 were primarily related to transaction and integration expenses associated with our acquisition of Smiths Medical on January 6, 2022 (see Note 3: Acquisitions) which primarily included legal expenses, bank fees and employee costs. The six months ended June 30, 2022 also included a United Kingdom stamp tax. The strategic transaction and integration expenses for the three and six months ended June 30, 2021 were primarily related to integration costs associated with acquisitions, the Hospira Infusion Systems ("HIS") earn-out dispute with Pfizer and one-time costs incurred to comply with regulatory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Revenue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ind w:right="60" w:firstLine="172"/>
        <w:spacing w:after="0" w:line="259" w:lineRule="auto"/>
        <w:rPr>
          <w:sz w:val="20"/>
          <w:szCs w:val="20"/>
          <w:color w:val="auto"/>
        </w:rPr>
      </w:pPr>
      <w:r>
        <w:rPr>
          <w:rFonts w:ascii="Arial" w:cs="Arial" w:eastAsia="Arial" w:hAnsi="Arial"/>
          <w:sz w:val="17"/>
          <w:szCs w:val="17"/>
          <w:color w:val="auto"/>
        </w:rPr>
        <w:t>Following our acquisition of Smiths Medical, our primary product lines are Infusion Consumables, Infusion Systems, IV Solutions, Critical Care, Infusion Systems-Smiths Medical, Vascular Access-Smiths Medical and Vital Care-Smiths Medical.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160" w:firstLine="172"/>
        <w:spacing w:after="0" w:line="297"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2" w:lineRule="exact"/>
        <w:rPr>
          <w:sz w:val="20"/>
          <w:szCs w:val="20"/>
          <w:color w:val="auto"/>
        </w:rPr>
      </w:pPr>
    </w:p>
    <w:p>
      <w:pPr>
        <w:ind w:right="340" w:firstLine="169"/>
        <w:spacing w:after="0" w:line="259"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disaggregated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our revenues disaggregated by product line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140" w:type="dxa"/>
            <w:vAlign w:val="bottom"/>
          </w:tcPr>
          <w:p>
            <w:pPr>
              <w:spacing w:after="0"/>
              <w:rPr>
                <w:sz w:val="16"/>
                <w:szCs w:val="16"/>
                <w:color w:val="auto"/>
              </w:rPr>
            </w:pPr>
          </w:p>
        </w:tc>
      </w:tr>
      <w:tr>
        <w:trPr>
          <w:trHeight w:val="219"/>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7"/>
                <w:szCs w:val="17"/>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140" w:type="dxa"/>
            <w:vAlign w:val="bottom"/>
            <w:tcBorders>
              <w:bottom w:val="single" w:sz="8" w:color="auto"/>
            </w:tcBorders>
          </w:tcPr>
          <w:p>
            <w:pPr>
              <w:spacing w:after="0"/>
              <w:rPr>
                <w:sz w:val="19"/>
                <w:szCs w:val="19"/>
                <w:color w:val="auto"/>
              </w:rPr>
            </w:pPr>
          </w:p>
        </w:tc>
      </w:tr>
      <w:tr>
        <w:trPr>
          <w:trHeight w:val="212"/>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Infusion Consumables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144,456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136,200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284,977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262,569</w:t>
            </w:r>
          </w:p>
        </w:tc>
      </w:tr>
      <w:tr>
        <w:trPr>
          <w:trHeight w:val="218"/>
        </w:trPr>
        <w:tc>
          <w:tcPr>
            <w:tcW w:w="380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87,253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84,661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174,265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168,995</w:t>
            </w:r>
          </w:p>
        </w:tc>
      </w:tr>
      <w:tr>
        <w:trPr>
          <w:trHeight w:val="220"/>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IV Solutions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182,597</w:t>
            </w:r>
          </w:p>
        </w:tc>
      </w:tr>
      <w:tr>
        <w:trPr>
          <w:trHeight w:val="218"/>
        </w:trPr>
        <w:tc>
          <w:tcPr>
            <w:tcW w:w="3800" w:type="dxa"/>
            <w:vAlign w:val="bottom"/>
          </w:tcPr>
          <w:p>
            <w:pPr>
              <w:ind w:left="140"/>
              <w:spacing w:after="0"/>
              <w:rPr>
                <w:sz w:val="20"/>
                <w:szCs w:val="20"/>
                <w:color w:val="auto"/>
              </w:rPr>
            </w:pPr>
            <w:r>
              <w:rPr>
                <w:rFonts w:ascii="Arial" w:cs="Arial" w:eastAsia="Arial" w:hAnsi="Arial"/>
                <w:sz w:val="17"/>
                <w:szCs w:val="17"/>
                <w:color w:val="auto"/>
              </w:rPr>
              <w:t>Critical Care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12,373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12,395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24,530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25,562</w:t>
            </w:r>
          </w:p>
        </w:tc>
      </w:tr>
      <w:tr>
        <w:trPr>
          <w:trHeight w:val="220"/>
        </w:trPr>
        <w:tc>
          <w:tcPr>
            <w:tcW w:w="3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Infusion Systems-Smiths Medical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144,102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800" w:type="dxa"/>
            <w:vAlign w:val="bottom"/>
          </w:tcPr>
          <w:p>
            <w:pPr>
              <w:ind w:left="120"/>
              <w:spacing w:after="0"/>
              <w:rPr>
                <w:sz w:val="20"/>
                <w:szCs w:val="20"/>
                <w:color w:val="auto"/>
              </w:rPr>
            </w:pPr>
            <w:r>
              <w:rPr>
                <w:rFonts w:ascii="Arial" w:cs="Arial" w:eastAsia="Arial" w:hAnsi="Arial"/>
                <w:sz w:val="17"/>
                <w:szCs w:val="17"/>
                <w:color w:val="auto"/>
              </w:rPr>
              <w:t>Vascular Access-Smiths Medical</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77,058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156,066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Vital Care-Smiths Medical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561,004</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321,677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1,104,126</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639,723</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00" w:firstLine="619"/>
        <w:spacing w:after="0" w:line="279" w:lineRule="auto"/>
        <w:rPr>
          <w:sz w:val="20"/>
          <w:szCs w:val="20"/>
          <w:color w:val="auto"/>
        </w:rPr>
      </w:pPr>
      <w:r>
        <w:rPr>
          <w:rFonts w:ascii="Arial" w:cs="Arial" w:eastAsia="Arial" w:hAnsi="Arial"/>
          <w:sz w:val="17"/>
          <w:szCs w:val="17"/>
          <w:color w:val="auto"/>
        </w:rPr>
        <w:t>Infusion Systems-Smiths Medical, Vascular Access-Smiths Medical and Vital Care-Smiths Medical represent our newly integrated product lines following our acquisition of Smiths Medical on January 6, 2022.</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represents our revenues disaggregated by geography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140" w:type="dxa"/>
            <w:vAlign w:val="bottom"/>
          </w:tcPr>
          <w:p>
            <w:pPr>
              <w:spacing w:after="0"/>
              <w:rPr>
                <w:sz w:val="16"/>
                <w:szCs w:val="16"/>
                <w:color w:val="auto"/>
              </w:rPr>
            </w:pPr>
          </w:p>
        </w:tc>
      </w:tr>
      <w:tr>
        <w:trPr>
          <w:trHeight w:val="219"/>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7"/>
                <w:szCs w:val="17"/>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140" w:type="dxa"/>
            <w:vAlign w:val="bottom"/>
            <w:tcBorders>
              <w:bottom w:val="single" w:sz="8" w:color="auto"/>
            </w:tcBorders>
          </w:tcPr>
          <w:p>
            <w:pPr>
              <w:spacing w:after="0"/>
              <w:rPr>
                <w:sz w:val="19"/>
                <w:szCs w:val="19"/>
                <w:color w:val="auto"/>
              </w:rPr>
            </w:pPr>
          </w:p>
        </w:tc>
      </w:tr>
      <w:tr>
        <w:trPr>
          <w:trHeight w:val="212"/>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 the Middle East and Africa</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173,619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72,560</w:t>
            </w:r>
          </w:p>
        </w:tc>
      </w:tr>
      <w:tr>
        <w:trPr>
          <w:trHeight w:val="218"/>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109,723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218,850</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115,145</w:t>
            </w: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197,138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392,469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187,705</w:t>
            </w:r>
          </w:p>
        </w:tc>
      </w:tr>
      <w:tr>
        <w:trPr>
          <w:trHeight w:val="218"/>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United States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363,866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224,667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711,657</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452,018</w:t>
            </w: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561,004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321,677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1,104,126</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639,723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changes in our contract balances for the six months ended June 30, 2022 and 2021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January 1, 2022</w:t>
            </w: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Fair value of acquired deferred revenue</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(51,245)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(7,349)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(9,067)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 grant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Government grant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deferred revenue recognized</w:t>
            </w:r>
          </w:p>
        </w:tc>
        <w:tc>
          <w:tcPr>
            <w:tcW w:w="4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June 30, 2022</w:t>
            </w:r>
          </w:p>
        </w:tc>
        <w:tc>
          <w:tcPr>
            <w:tcW w:w="4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January 1, 2021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4,754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7"/>
                <w:szCs w:val="17"/>
                <w:b w:val="1"/>
                <w:bCs w:val="1"/>
                <w:color w:val="auto"/>
              </w:rPr>
              <w:t>Ending balance, June 30, 2021</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(4,968)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40"/>
              <w:spacing w:after="0"/>
              <w:rPr>
                <w:sz w:val="20"/>
                <w:szCs w:val="20"/>
                <w:color w:val="auto"/>
              </w:rPr>
            </w:pPr>
            <w:r>
              <w:rPr>
                <w:rFonts w:ascii="Arial" w:cs="Arial" w:eastAsia="Arial" w:hAnsi="Arial"/>
                <w:sz w:val="17"/>
                <w:szCs w:val="17"/>
                <w:color w:val="auto"/>
              </w:rPr>
              <w:t>As of June 30, 2022, revenue from remaining performance obligations is as follows:</w:t>
            </w: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340" w:type="dxa"/>
            <w:vAlign w:val="bottom"/>
            <w:tcBorders>
              <w:bottom w:val="single" w:sz="8" w:color="auto"/>
            </w:tcBorders>
            <w:gridSpan w:val="5"/>
            <w:shd w:val="clear" w:color="auto" w:fill="CCEEFF"/>
          </w:tcPr>
          <w:p>
            <w:pPr>
              <w:jc w:val="right"/>
              <w:ind w:right="1554"/>
              <w:spacing w:after="0"/>
              <w:rPr>
                <w:sz w:val="20"/>
                <w:szCs w:val="20"/>
                <w:color w:val="auto"/>
              </w:rPr>
            </w:pPr>
            <w:r>
              <w:rPr>
                <w:rFonts w:ascii="Arial" w:cs="Arial" w:eastAsia="Arial" w:hAnsi="Arial"/>
                <w:sz w:val="17"/>
                <w:szCs w:val="17"/>
                <w:b w:val="1"/>
                <w:bCs w:val="1"/>
                <w:color w:val="auto"/>
              </w:rPr>
              <w:t>Recognition Timing</w:t>
            </w:r>
          </w:p>
        </w:tc>
        <w:tc>
          <w:tcPr>
            <w:tcW w:w="0" w:type="dxa"/>
            <w:vAlign w:val="bottom"/>
          </w:tcPr>
          <w:p>
            <w:pPr>
              <w:spacing w:after="0"/>
              <w:rPr>
                <w:sz w:val="1"/>
                <w:szCs w:val="1"/>
                <w:color w:val="auto"/>
              </w:rPr>
            </w:pPr>
          </w:p>
        </w:tc>
      </w:tr>
      <w:tr>
        <w:trPr>
          <w:trHeight w:val="212"/>
        </w:trPr>
        <w:tc>
          <w:tcPr>
            <w:tcW w:w="65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millions)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Arial" w:cs="Arial" w:eastAsia="Arial" w:hAnsi="Arial"/>
                <w:sz w:val="17"/>
                <w:szCs w:val="17"/>
                <w:b w:val="1"/>
                <w:bCs w:val="1"/>
                <w:color w:val="auto"/>
              </w:rPr>
              <w:t>&lt; 12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614"/>
              <w:spacing w:after="0"/>
              <w:rPr>
                <w:sz w:val="20"/>
                <w:szCs w:val="20"/>
                <w:color w:val="auto"/>
              </w:rPr>
            </w:pPr>
            <w:r>
              <w:rPr>
                <w:rFonts w:ascii="Arial" w:cs="Arial" w:eastAsia="Arial" w:hAnsi="Arial"/>
                <w:sz w:val="17"/>
                <w:szCs w:val="17"/>
                <w:b w:val="1"/>
                <w:bCs w:val="1"/>
                <w:color w:val="auto"/>
              </w:rPr>
              <w:t>&gt; 12 Months</w:t>
            </w:r>
          </w:p>
        </w:tc>
        <w:tc>
          <w:tcPr>
            <w:tcW w:w="0" w:type="dxa"/>
            <w:vAlign w:val="bottom"/>
          </w:tcPr>
          <w:p>
            <w:pPr>
              <w:spacing w:after="0"/>
              <w:rPr>
                <w:sz w:val="1"/>
                <w:szCs w:val="1"/>
                <w:color w:val="auto"/>
              </w:rPr>
            </w:pPr>
          </w:p>
        </w:tc>
      </w:tr>
      <w:tr>
        <w:trPr>
          <w:trHeight w:val="212"/>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Equipment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500" w:type="dxa"/>
            <w:vAlign w:val="bottom"/>
            <w:gridSpan w:val="2"/>
          </w:tcPr>
          <w:p>
            <w:pPr>
              <w:ind w:left="20"/>
              <w:spacing w:after="0"/>
              <w:rPr>
                <w:sz w:val="20"/>
                <w:szCs w:val="20"/>
                <w:color w:val="auto"/>
              </w:rPr>
            </w:pPr>
            <w:r>
              <w:rPr>
                <w:rFonts w:ascii="Arial" w:cs="Arial" w:eastAsia="Arial" w:hAnsi="Arial"/>
                <w:sz w:val="17"/>
                <w:szCs w:val="17"/>
                <w:color w:val="auto"/>
              </w:rPr>
              <w:t>Software revenue</w:t>
            </w: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2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Government grant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(13,569)</w:t>
            </w:r>
          </w:p>
        </w:tc>
        <w:tc>
          <w:tcPr>
            <w:tcW w:w="0" w:type="dxa"/>
            <w:vAlign w:val="bottom"/>
          </w:tcPr>
          <w:p>
            <w:pPr>
              <w:spacing w:after="0"/>
              <w:rPr>
                <w:sz w:val="1"/>
                <w:szCs w:val="1"/>
                <w:color w:val="auto"/>
              </w:rPr>
            </w:pPr>
          </w:p>
        </w:tc>
      </w:tr>
      <w:tr>
        <w:trPr>
          <w:trHeight w:val="218"/>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revenue*</w:t>
            </w: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(7,278)</w:t>
            </w:r>
          </w:p>
        </w:tc>
        <w:tc>
          <w:tcPr>
            <w:tcW w:w="0" w:type="dxa"/>
            <w:vAlign w:val="bottom"/>
          </w:tcPr>
          <w:p>
            <w:pPr>
              <w:spacing w:after="0"/>
              <w:rPr>
                <w:sz w:val="1"/>
                <w:szCs w:val="1"/>
                <w:color w:val="auto"/>
              </w:rPr>
            </w:pPr>
          </w:p>
        </w:tc>
      </w:tr>
      <w:tr>
        <w:trPr>
          <w:trHeight w:val="238"/>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50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*Other deferred revenue includes pump development programs, purchased training and extended warranty.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Leases</w:t>
      </w:r>
    </w:p>
    <w:p>
      <w:pPr>
        <w:spacing w:after="0" w:line="206" w:lineRule="exact"/>
        <w:rPr>
          <w:sz w:val="20"/>
          <w:szCs w:val="20"/>
          <w:color w:val="auto"/>
        </w:rPr>
      </w:pPr>
    </w:p>
    <w:p>
      <w:pPr>
        <w:ind w:right="220" w:firstLine="172"/>
        <w:spacing w:after="0" w:line="262"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4"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stated lease payments, which may include fixed rental increases. Lease expense for minimum lease payments is recognized on a straight-line basis over the lease term.</w:t>
      </w:r>
    </w:p>
    <w:p>
      <w:pPr>
        <w:spacing w:after="0" w:line="164" w:lineRule="exact"/>
        <w:rPr>
          <w:sz w:val="20"/>
          <w:szCs w:val="20"/>
          <w:color w:val="auto"/>
        </w:rPr>
      </w:pPr>
    </w:p>
    <w:p>
      <w:pPr>
        <w:ind w:right="220" w:firstLine="172"/>
        <w:spacing w:after="0" w:line="318" w:lineRule="auto"/>
        <w:rPr>
          <w:sz w:val="20"/>
          <w:szCs w:val="20"/>
          <w:color w:val="auto"/>
        </w:rPr>
      </w:pPr>
      <w:r>
        <w:rPr>
          <w:rFonts w:ascii="Arial" w:cs="Arial" w:eastAsia="Arial" w:hAnsi="Arial"/>
          <w:sz w:val="15"/>
          <w:szCs w:val="15"/>
          <w:color w:val="auto"/>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920" w:type="dxa"/>
            <w:vAlign w:val="bottom"/>
          </w:tcPr>
          <w:p>
            <w:pPr>
              <w:spacing w:after="0"/>
              <w:rPr>
                <w:sz w:val="16"/>
                <w:szCs w:val="16"/>
                <w:color w:val="auto"/>
              </w:rPr>
            </w:pPr>
          </w:p>
        </w:tc>
      </w:tr>
      <w:tr>
        <w:trPr>
          <w:trHeight w:val="219"/>
        </w:trPr>
        <w:tc>
          <w:tcPr>
            <w:tcW w:w="4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12"/>
        </w:trPr>
        <w:tc>
          <w:tcPr>
            <w:tcW w:w="40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w w:val="84"/>
              </w:rPr>
              <w:t>2021</w:t>
            </w: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r>
      <w:tr>
        <w:trPr>
          <w:trHeight w:val="218"/>
        </w:trPr>
        <w:tc>
          <w:tcPr>
            <w:tcW w:w="4080" w:type="dxa"/>
            <w:vAlign w:val="bottom"/>
          </w:tcPr>
          <w:p>
            <w:pPr>
              <w:spacing w:after="0"/>
              <w:rPr>
                <w:sz w:val="20"/>
                <w:szCs w:val="20"/>
                <w:color w:val="auto"/>
              </w:rPr>
            </w:pPr>
            <w:r>
              <w:rPr>
                <w:rFonts w:ascii="Arial" w:cs="Arial" w:eastAsia="Arial" w:hAnsi="Arial"/>
                <w:sz w:val="17"/>
                <w:szCs w:val="17"/>
                <w:color w:val="auto"/>
              </w:rPr>
              <w:t>Finance lease cost — interest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Finance lease cost — reduction of ROU asset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8"/>
        </w:trPr>
        <w:tc>
          <w:tcPr>
            <w:tcW w:w="4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Short-term lease cost</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lease cost</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Interest expense on our finance leases is included in other income (expense), net in our condensed consolidated statements of operations. The reduction of the operating and finance ROU assets is included as noncash lease expense in selling, general and administrative expenses in our condensed consolidated statements of operations.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26"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Six months ended</w:t>
      </w:r>
    </w:p>
    <w:p>
      <w:pPr>
        <w:ind w:left="9100"/>
        <w:spacing w:after="0"/>
        <w:rPr>
          <w:sz w:val="20"/>
          <w:szCs w:val="20"/>
          <w:color w:val="auto"/>
        </w:rPr>
      </w:pPr>
      <w:r>
        <w:rPr>
          <w:rFonts w:ascii="Arial" w:cs="Arial" w:eastAsia="Arial" w:hAnsi="Arial"/>
          <w:sz w:val="17"/>
          <w:szCs w:val="17"/>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19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12,887</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5,657</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3,829</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1,282</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2022</w:t>
            </w: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 2021</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83,323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39,847</w:t>
            </w:r>
          </w:p>
        </w:tc>
        <w:tc>
          <w:tcPr>
            <w:tcW w:w="2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Accrued liabilities</w:t>
            </w: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19,929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9,009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68,491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33,971</w:t>
            </w:r>
          </w:p>
        </w:tc>
        <w:tc>
          <w:tcPr>
            <w:tcW w:w="20" w:type="dxa"/>
            <w:vAlign w:val="bottom"/>
            <w:tcBorders>
              <w:bottom w:val="single" w:sz="8" w:color="auto"/>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7"/>
                <w:szCs w:val="17"/>
                <w:color w:val="auto"/>
              </w:rPr>
              <w:t>Total operating lease liabilities</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88,420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42,980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Weighted-Average Remaining Lease Term</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6.3 years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w w:val="91"/>
              </w:rPr>
              <w:t>5.9 years</w:t>
            </w: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4.39 %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4.98 %</w:t>
            </w:r>
          </w:p>
        </w:tc>
        <w:tc>
          <w:tcPr>
            <w:tcW w:w="20" w:type="dxa"/>
            <w:vAlign w:val="bottom"/>
          </w:tcPr>
          <w:p>
            <w:pPr>
              <w:spacing w:after="0"/>
              <w:rPr>
                <w:sz w:val="18"/>
                <w:szCs w:val="18"/>
                <w:color w:val="auto"/>
              </w:rPr>
            </w:pPr>
          </w:p>
        </w:tc>
      </w:tr>
      <w:tr>
        <w:trPr>
          <w:trHeight w:val="490"/>
        </w:trPr>
        <w:tc>
          <w:tcPr>
            <w:tcW w:w="20" w:type="dxa"/>
            <w:vAlign w:val="bottom"/>
          </w:tcPr>
          <w:p>
            <w:pPr>
              <w:spacing w:after="0"/>
              <w:rPr>
                <w:sz w:val="24"/>
                <w:szCs w:val="24"/>
                <w:color w:val="auto"/>
              </w:rPr>
            </w:pPr>
          </w:p>
        </w:tc>
        <w:tc>
          <w:tcPr>
            <w:tcW w:w="11240" w:type="dxa"/>
            <w:vAlign w:val="bottom"/>
            <w:gridSpan w:val="8"/>
          </w:tcPr>
          <w:p>
            <w:pPr>
              <w:ind w:left="600"/>
              <w:spacing w:after="0"/>
              <w:rPr>
                <w:sz w:val="20"/>
                <w:szCs w:val="20"/>
                <w:color w:val="auto"/>
              </w:rPr>
            </w:pPr>
            <w:r>
              <w:rPr>
                <w:rFonts w:ascii="Arial" w:cs="Arial" w:eastAsia="Arial" w:hAnsi="Arial"/>
                <w:sz w:val="17"/>
                <w:szCs w:val="17"/>
                <w:color w:val="auto"/>
                <w:w w:val="91"/>
              </w:rPr>
              <w:t>The following table presents the supplemental balance sheet information related to our finance leases (in thousands, except lease term and discount rate):</w:t>
            </w:r>
          </w:p>
        </w:tc>
      </w:tr>
      <w:tr>
        <w:trPr>
          <w:trHeight w:val="32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2022</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Arial" w:cs="Arial" w:eastAsia="Arial" w:hAnsi="Arial"/>
                <w:sz w:val="15"/>
                <w:szCs w:val="15"/>
                <w:b w:val="1"/>
                <w:bCs w:val="1"/>
                <w:color w:val="auto"/>
                <w:w w:val="97"/>
              </w:rPr>
              <w:t>December 31, 2021</w:t>
            </w:r>
          </w:p>
        </w:tc>
        <w:tc>
          <w:tcPr>
            <w:tcW w:w="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leases</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7"/>
                <w:szCs w:val="17"/>
                <w:color w:val="auto"/>
              </w:rPr>
              <w:t>Finance lease right-of-use assets</w:t>
            </w: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2,335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2,673</w:t>
            </w:r>
          </w:p>
        </w:tc>
        <w:tc>
          <w:tcPr>
            <w:tcW w:w="20" w:type="dxa"/>
            <w:vAlign w:val="bottom"/>
          </w:tcPr>
          <w:p>
            <w:pPr>
              <w:spacing w:after="0"/>
              <w:rPr>
                <w:sz w:val="18"/>
                <w:szCs w:val="18"/>
                <w:color w:val="auto"/>
              </w:rPr>
            </w:pPr>
          </w:p>
        </w:tc>
      </w:tr>
      <w:tr>
        <w:trPr>
          <w:trHeight w:val="259"/>
        </w:trPr>
        <w:tc>
          <w:tcPr>
            <w:tcW w:w="20" w:type="dxa"/>
            <w:vAlign w:val="bottom"/>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643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2,067</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7"/>
                <w:szCs w:val="17"/>
                <w:color w:val="auto"/>
              </w:rPr>
              <w:t>Total finance lease liabilities</w:t>
            </w: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2,391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2,710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7"/>
                <w:szCs w:val="17"/>
                <w:b w:val="1"/>
                <w:bCs w:val="1"/>
                <w:color w:val="auto"/>
              </w:rPr>
              <w:t>Weighted-Average Remaining Lease Term</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5.3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years</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7"/>
                <w:szCs w:val="17"/>
                <w:color w:val="auto"/>
              </w:rPr>
              <w:t>Finance leases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4.27 %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4.28 %</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June 30, 2022, the maturities of our operating and finance lease liabilities for each of the next five years are approximately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w w:val="94"/>
              </w:rPr>
              <w:t>Finance Leases</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12,546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21,260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742</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12,361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2027</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99,652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2,676</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88,420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2,391</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Net Income Per Share</w:t>
      </w:r>
    </w:p>
    <w:p>
      <w:pPr>
        <w:spacing w:after="0" w:line="223" w:lineRule="exact"/>
        <w:rPr>
          <w:sz w:val="20"/>
          <w:szCs w:val="20"/>
          <w:color w:val="auto"/>
        </w:rPr>
      </w:pPr>
    </w:p>
    <w:p>
      <w:pPr>
        <w:ind w:right="160" w:firstLine="619"/>
        <w:spacing w:after="0" w:line="297" w:lineRule="auto"/>
        <w:rPr>
          <w:sz w:val="20"/>
          <w:szCs w:val="20"/>
          <w:color w:val="auto"/>
        </w:rPr>
      </w:pPr>
      <w:r>
        <w:rPr>
          <w:rFonts w:ascii="Arial" w:cs="Arial" w:eastAsia="Arial" w:hAnsi="Arial"/>
          <w:sz w:val="15"/>
          <w:szCs w:val="15"/>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three and six months ended June 30 2022, any potentially common shares were not included in the computation of diluted earnings per share as they would have had an anti-dilutive effect, therefore basic and diluted net loss per share are equal for the period. There were 12,107 and 12,080 anti-dilutive securities for the three and six months ended June 30, 2021, respectively.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w w:val="89"/>
              </w:rPr>
              <w:t>2021</w:t>
            </w:r>
          </w:p>
        </w:tc>
        <w:tc>
          <w:tcPr>
            <w:tcW w:w="0" w:type="dxa"/>
            <w:vAlign w:val="bottom"/>
          </w:tcPr>
          <w:p>
            <w:pPr>
              <w:spacing w:after="0"/>
              <w:rPr>
                <w:sz w:val="1"/>
                <w:szCs w:val="1"/>
                <w:color w:val="auto"/>
              </w:rPr>
            </w:pPr>
          </w:p>
        </w:tc>
      </w:tr>
      <w:tr>
        <w:trPr>
          <w:trHeight w:val="214"/>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52,129</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w w:val="93"/>
              </w:rPr>
              <w:t>Weighted-average number of common shares outstanding (basic)</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23,897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23,787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21,176</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Dilutive securities</w:t>
            </w:r>
            <w:r>
              <w:rPr>
                <w:rFonts w:ascii="Arial" w:cs="Arial" w:eastAsia="Arial" w:hAnsi="Arial"/>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148"/>
        </w:trPr>
        <w:tc>
          <w:tcPr>
            <w:tcW w:w="4640" w:type="dxa"/>
            <w:vAlign w:val="bottom"/>
          </w:tcPr>
          <w:p>
            <w:pPr>
              <w:ind w:left="20"/>
              <w:spacing w:after="0" w:line="148" w:lineRule="exact"/>
              <w:rPr>
                <w:sz w:val="20"/>
                <w:szCs w:val="20"/>
                <w:color w:val="auto"/>
              </w:rPr>
            </w:pPr>
            <w:r>
              <w:rPr>
                <w:rFonts w:ascii="Arial" w:cs="Arial" w:eastAsia="Arial" w:hAnsi="Arial"/>
                <w:sz w:val="17"/>
                <w:szCs w:val="17"/>
                <w:color w:val="auto"/>
              </w:rPr>
              <w:t>Weighted-average common and common equivalent shares</w:t>
            </w: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23,897</w:t>
            </w: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21,703</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23,787</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21,718</w:t>
            </w:r>
          </w:p>
        </w:tc>
        <w:tc>
          <w:tcPr>
            <w:tcW w:w="0" w:type="dxa"/>
            <w:vAlign w:val="bottom"/>
          </w:tcPr>
          <w:p>
            <w:pPr>
              <w:spacing w:after="0"/>
              <w:rPr>
                <w:sz w:val="1"/>
                <w:szCs w:val="1"/>
                <w:color w:val="auto"/>
              </w:rPr>
            </w:pPr>
          </w:p>
        </w:tc>
      </w:tr>
      <w:tr>
        <w:trPr>
          <w:trHeight w:val="193"/>
        </w:trPr>
        <w:tc>
          <w:tcPr>
            <w:tcW w:w="4640" w:type="dxa"/>
            <w:vAlign w:val="bottom"/>
          </w:tcPr>
          <w:p>
            <w:pPr>
              <w:ind w:left="20"/>
              <w:spacing w:after="0" w:line="193" w:lineRule="exact"/>
              <w:rPr>
                <w:sz w:val="20"/>
                <w:szCs w:val="20"/>
                <w:color w:val="auto"/>
              </w:rPr>
            </w:pPr>
            <w:r>
              <w:rPr>
                <w:rFonts w:ascii="Arial" w:cs="Arial" w:eastAsia="Arial" w:hAnsi="Arial"/>
                <w:sz w:val="17"/>
                <w:szCs w:val="17"/>
                <w:color w:val="auto"/>
              </w:rPr>
              <w:t>outstanding (diluted)</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18"/>
                <w:szCs w:val="18"/>
                <w:color w:val="auto"/>
              </w:rPr>
            </w:pPr>
          </w:p>
        </w:tc>
        <w:tc>
          <w:tcPr>
            <w:tcW w:w="680" w:type="dxa"/>
            <w:vAlign w:val="bottom"/>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No dilutive effect for the three and six months ended June 30, 2022; therefore, zero incremental shares included for the period.</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Derivatives and Hedging Activities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3" w:lineRule="exact"/>
        <w:rPr>
          <w:sz w:val="20"/>
          <w:szCs w:val="20"/>
          <w:color w:val="auto"/>
        </w:rPr>
      </w:pPr>
    </w:p>
    <w:p>
      <w:pPr>
        <w:ind w:right="240" w:firstLine="215"/>
        <w:spacing w:after="0" w:line="266" w:lineRule="auto"/>
        <w:rPr>
          <w:sz w:val="20"/>
          <w:szCs w:val="20"/>
          <w:color w:val="auto"/>
        </w:rPr>
      </w:pPr>
      <w:r>
        <w:rPr>
          <w:rFonts w:ascii="Arial" w:cs="Arial" w:eastAsia="Arial" w:hAnsi="Arial"/>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40" w:firstLine="169"/>
        <w:spacing w:after="0" w:line="297" w:lineRule="auto"/>
        <w:rPr>
          <w:sz w:val="20"/>
          <w:szCs w:val="20"/>
          <w:color w:val="auto"/>
        </w:rPr>
      </w:pPr>
      <w:r>
        <w:rPr>
          <w:rFonts w:ascii="Arial" w:cs="Arial" w:eastAsia="Arial" w:hAnsi="Arial"/>
          <w:sz w:val="15"/>
          <w:szCs w:val="15"/>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Foreign Exchange Forward Contracts</w:t>
      </w:r>
    </w:p>
    <w:p>
      <w:pPr>
        <w:spacing w:after="0" w:line="243" w:lineRule="exact"/>
        <w:rPr>
          <w:sz w:val="20"/>
          <w:szCs w:val="20"/>
          <w:color w:val="auto"/>
        </w:rPr>
      </w:pPr>
    </w:p>
    <w:p>
      <w:pPr>
        <w:ind w:right="100" w:firstLine="619"/>
        <w:spacing w:after="0" w:line="297" w:lineRule="auto"/>
        <w:rPr>
          <w:sz w:val="20"/>
          <w:szCs w:val="20"/>
          <w:color w:val="auto"/>
        </w:rPr>
      </w:pPr>
      <w:r>
        <w:rPr>
          <w:rFonts w:ascii="Arial" w:cs="Arial" w:eastAsia="Arial" w:hAnsi="Arial"/>
          <w:sz w:val="15"/>
          <w:szCs w:val="15"/>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U.S. Dollar ("USD") and Chinese Renminbi ("CNH") and have varying maturities with an average term of approximately twelve months. The total notional amount of these outstanding derivative contracts as of June 30, 2022 was $209.2 million, which included the notional equivalent of $43.1 million in MXN, $39.7 million in Euros, $18.3 million in CZK, $18.8 million in JPY, $19.3 million in CNH, $36.3 million in USD and $33.9 million in other foreign currencies, with terms currently through July 2023. We did not have such derivative contracts as of December 31, 2021.</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Cross-currency Par Forward Contracts</w:t>
      </w:r>
    </w:p>
    <w:p>
      <w:pPr>
        <w:spacing w:after="0" w:line="243"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We enter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June 30, 2022 and December 31, 2021 was approximately 208.2 million MXN and 413.1 million MXN, respectively. The derivative instrument matures in equal monthly amounts at a fixed forward rate of 21.60 MXN/USD. Preceding this contract we had a one-year cross-currency par forward contract with a term from November 3, 2020 to December 1, 2021 that matured in equal monthly amounts at a fixed forward rate of 24.26 MXN/USD.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Floating Interest Rate Risk</w:t>
      </w:r>
    </w:p>
    <w:p>
      <w:pPr>
        <w:spacing w:after="0" w:line="2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 USD SOFR or 0.35%. These swaps effectively convert the relevant portion of the floating-rate term loans to fixed rates.</w:t>
      </w:r>
    </w:p>
    <w:p>
      <w:pPr>
        <w:spacing w:after="0" w:line="37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gridSpan w:val="5"/>
          </w:tcPr>
          <w:p>
            <w:pPr>
              <w:ind w:left="140"/>
              <w:spacing w:after="0"/>
              <w:rPr>
                <w:sz w:val="20"/>
                <w:szCs w:val="20"/>
                <w:color w:val="auto"/>
              </w:rPr>
            </w:pPr>
            <w:r>
              <w:rPr>
                <w:rFonts w:ascii="Arial" w:cs="Arial" w:eastAsia="Arial" w:hAnsi="Arial"/>
                <w:sz w:val="15"/>
                <w:szCs w:val="15"/>
                <w:b w:val="1"/>
                <w:bCs w:val="1"/>
                <w:color w:val="auto"/>
              </w:rPr>
              <w:t>Derivatives Designated as Cash Flow Hedging</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Condensed Consolidated Balance Sheet Location</w:t>
            </w:r>
          </w:p>
        </w:tc>
        <w:tc>
          <w:tcPr>
            <w:tcW w:w="200" w:type="dxa"/>
            <w:vAlign w:val="bottom"/>
          </w:tcPr>
          <w:p>
            <w:pPr>
              <w:spacing w:after="0"/>
              <w:rPr>
                <w:sz w:val="13"/>
                <w:szCs w:val="13"/>
                <w:color w:val="auto"/>
              </w:rPr>
            </w:pPr>
          </w:p>
        </w:tc>
        <w:tc>
          <w:tcPr>
            <w:tcW w:w="1700" w:type="dxa"/>
            <w:vAlign w:val="bottom"/>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w w:val="92"/>
              </w:rPr>
              <w:t>Foreign Exchange</w:t>
            </w:r>
          </w:p>
        </w:tc>
        <w:tc>
          <w:tcPr>
            <w:tcW w:w="160" w:type="dxa"/>
            <w:vAlign w:val="bottom"/>
          </w:tcPr>
          <w:p>
            <w:pPr>
              <w:spacing w:after="0"/>
              <w:rPr>
                <w:sz w:val="13"/>
                <w:szCs w:val="13"/>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Interest Rate Swaps</w:t>
            </w:r>
          </w:p>
        </w:tc>
        <w:tc>
          <w:tcPr>
            <w:tcW w:w="200" w:type="dxa"/>
            <w:vAlign w:val="bottom"/>
          </w:tcPr>
          <w:p>
            <w:pPr>
              <w:spacing w:after="0"/>
              <w:rPr>
                <w:sz w:val="13"/>
                <w:szCs w:val="13"/>
                <w:color w:val="auto"/>
              </w:rPr>
            </w:pPr>
          </w:p>
        </w:tc>
        <w:tc>
          <w:tcPr>
            <w:tcW w:w="158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w w:val="98"/>
              </w:rPr>
              <w:t>Gross Derivatives</w:t>
            </w:r>
          </w:p>
        </w:tc>
        <w:tc>
          <w:tcPr>
            <w:tcW w:w="0" w:type="dxa"/>
            <w:vAlign w:val="bottom"/>
          </w:tcPr>
          <w:p>
            <w:pPr>
              <w:spacing w:after="0"/>
              <w:rPr>
                <w:sz w:val="1"/>
                <w:szCs w:val="1"/>
                <w:color w:val="auto"/>
              </w:rPr>
            </w:pPr>
          </w:p>
        </w:tc>
      </w:tr>
      <w:tr>
        <w:trPr>
          <w:trHeight w:val="204"/>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 of June 30, 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24,870</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23,834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23,946</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39,241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48,816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 of December 31, 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1,480</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1,480</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1,480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recognized the following gains on our derivative instruments designated as cash flow hedges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ind w:right="283"/>
              <w:spacing w:after="0"/>
              <w:rPr>
                <w:sz w:val="20"/>
                <w:szCs w:val="20"/>
                <w:color w:val="auto"/>
              </w:rPr>
            </w:pPr>
            <w:r>
              <w:rPr>
                <w:rFonts w:ascii="Arial" w:cs="Arial" w:eastAsia="Arial" w:hAnsi="Arial"/>
                <w:sz w:val="15"/>
                <w:szCs w:val="15"/>
                <w:b w:val="1"/>
                <w:bCs w:val="1"/>
                <w:color w:val="auto"/>
              </w:rPr>
              <w:t>Gain Recognized in Other Comprehensive Income</w:t>
            </w:r>
          </w:p>
        </w:tc>
        <w:tc>
          <w:tcPr>
            <w:tcW w:w="840" w:type="dxa"/>
            <w:vAlign w:val="bottom"/>
            <w:tcBorders>
              <w:bottom w:val="single" w:sz="8" w:color="auto"/>
            </w:tcBorders>
          </w:tcPr>
          <w:p>
            <w:pPr>
              <w:spacing w:after="0"/>
              <w:rPr>
                <w:sz w:val="17"/>
                <w:szCs w:val="17"/>
                <w:color w:val="auto"/>
              </w:rPr>
            </w:pPr>
          </w:p>
        </w:tc>
      </w:tr>
      <w:tr>
        <w:trPr>
          <w:trHeight w:val="150"/>
        </w:trPr>
        <w:tc>
          <w:tcPr>
            <w:tcW w:w="5520" w:type="dxa"/>
            <w:vAlign w:val="bottom"/>
          </w:tcPr>
          <w:p>
            <w:pPr>
              <w:spacing w:after="0"/>
              <w:rPr>
                <w:sz w:val="13"/>
                <w:szCs w:val="13"/>
                <w:color w:val="auto"/>
              </w:rPr>
            </w:pPr>
          </w:p>
        </w:tc>
        <w:tc>
          <w:tcPr>
            <w:tcW w:w="2380" w:type="dxa"/>
            <w:vAlign w:val="bottom"/>
            <w:gridSpan w:val="4"/>
          </w:tcPr>
          <w:p>
            <w:pPr>
              <w:jc w:val="right"/>
              <w:ind w:right="243"/>
              <w:spacing w:after="0" w:line="151" w:lineRule="exact"/>
              <w:rPr>
                <w:sz w:val="20"/>
                <w:szCs w:val="20"/>
                <w:color w:val="auto"/>
              </w:rPr>
            </w:pPr>
            <w:r>
              <w:rPr>
                <w:rFonts w:ascii="Arial" w:cs="Arial" w:eastAsia="Arial" w:hAnsi="Arial"/>
                <w:sz w:val="15"/>
                <w:szCs w:val="15"/>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line="151" w:lineRule="exact"/>
              <w:rPr>
                <w:sz w:val="20"/>
                <w:szCs w:val="20"/>
                <w:color w:val="auto"/>
              </w:rPr>
            </w:pPr>
            <w:r>
              <w:rPr>
                <w:rFonts w:ascii="Arial" w:cs="Arial" w:eastAsia="Arial" w:hAnsi="Arial"/>
                <w:sz w:val="15"/>
                <w:szCs w:val="15"/>
                <w:b w:val="1"/>
                <w:bCs w:val="1"/>
                <w:color w:val="auto"/>
              </w:rPr>
              <w:t>Six months ended</w:t>
            </w:r>
          </w:p>
        </w:tc>
        <w:tc>
          <w:tcPr>
            <w:tcW w:w="840" w:type="dxa"/>
            <w:vAlign w:val="bottom"/>
          </w:tcPr>
          <w:p>
            <w:pPr>
              <w:spacing w:after="0"/>
              <w:rPr>
                <w:sz w:val="13"/>
                <w:szCs w:val="13"/>
                <w:color w:val="auto"/>
              </w:rPr>
            </w:pPr>
          </w:p>
        </w:tc>
      </w:tr>
      <w:tr>
        <w:trPr>
          <w:trHeight w:val="204"/>
        </w:trPr>
        <w:tc>
          <w:tcPr>
            <w:tcW w:w="55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5"/>
                <w:szCs w:val="15"/>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9"/>
        </w:trPr>
        <w:tc>
          <w:tcPr>
            <w:tcW w:w="55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w w:val="89"/>
              </w:rPr>
              <w:t>2021</w:t>
            </w:r>
          </w:p>
        </w:tc>
      </w:tr>
      <w:tr>
        <w:trPr>
          <w:trHeight w:val="188"/>
        </w:trPr>
        <w:tc>
          <w:tcPr>
            <w:tcW w:w="55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Derivatives designated as cash flow hedging instruments:</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3"/>
        </w:trPr>
        <w:tc>
          <w:tcPr>
            <w:tcW w:w="552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5,225</w:t>
            </w:r>
          </w:p>
        </w:tc>
        <w:tc>
          <w:tcPr>
            <w:tcW w:w="100" w:type="dxa"/>
            <w:vAlign w:val="bottom"/>
          </w:tcPr>
          <w:p>
            <w:pPr>
              <w:spacing w:after="0"/>
              <w:rPr>
                <w:sz w:val="17"/>
                <w:szCs w:val="17"/>
                <w:color w:val="auto"/>
              </w:rPr>
            </w:pPr>
          </w:p>
        </w:tc>
        <w:tc>
          <w:tcPr>
            <w:tcW w:w="940" w:type="dxa"/>
            <w:vAlign w:val="bottom"/>
          </w:tcPr>
          <w:p>
            <w:pPr>
              <w:jc w:val="right"/>
              <w:ind w:right="783"/>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441</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8,337</w:t>
            </w:r>
          </w:p>
        </w:tc>
        <w:tc>
          <w:tcPr>
            <w:tcW w:w="1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06"/>
        </w:trPr>
        <w:tc>
          <w:tcPr>
            <w:tcW w:w="5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swaps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39,197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5520" w:type="dxa"/>
            <w:vAlign w:val="bottom"/>
          </w:tcPr>
          <w:p>
            <w:pPr>
              <w:ind w:left="20"/>
              <w:spacing w:after="0"/>
              <w:rPr>
                <w:sz w:val="20"/>
                <w:szCs w:val="20"/>
                <w:color w:val="auto"/>
              </w:rPr>
            </w:pPr>
            <w:r>
              <w:rPr>
                <w:rFonts w:ascii="Arial" w:cs="Arial" w:eastAsia="Arial" w:hAnsi="Arial"/>
                <w:sz w:val="15"/>
                <w:szCs w:val="15"/>
                <w:color w:val="auto"/>
              </w:rPr>
              <w:t>Total derivatives designated as cash flow hedging instruments</w:t>
            </w: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14,371</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47,534</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effects of our derivative instruments designated as cash flow hedges on the Condensed Consolidated Statements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Operations (in thousands):</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14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gridSpan w:val="12"/>
          </w:tcPr>
          <w:p>
            <w:pPr>
              <w:jc w:val="right"/>
              <w:ind w:right="543"/>
              <w:spacing w:after="0"/>
              <w:rPr>
                <w:sz w:val="20"/>
                <w:szCs w:val="20"/>
                <w:color w:val="auto"/>
              </w:rPr>
            </w:pPr>
            <w:r>
              <w:rPr>
                <w:rFonts w:ascii="Arial" w:cs="Arial" w:eastAsia="Arial" w:hAnsi="Arial"/>
                <w:sz w:val="15"/>
                <w:szCs w:val="15"/>
                <w:b w:val="1"/>
                <w:bCs w:val="1"/>
                <w:color w:val="auto"/>
                <w:w w:val="92"/>
              </w:rPr>
              <w:t>Gain (Loss) Reclassified From Accumulated Other Comprehensive (Loss) Income into Income</w:t>
            </w: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20" w:type="dxa"/>
            <w:vAlign w:val="bottom"/>
            <w:gridSpan w:val="4"/>
          </w:tcPr>
          <w:p>
            <w:pPr>
              <w:jc w:val="right"/>
              <w:spacing w:after="0" w:line="151" w:lineRule="exact"/>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40" w:type="dxa"/>
            <w:vAlign w:val="bottom"/>
            <w:gridSpan w:val="4"/>
          </w:tcPr>
          <w:p>
            <w:pPr>
              <w:ind w:left="700"/>
              <w:spacing w:after="0" w:line="151" w:lineRule="exact"/>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rPr>
                <w:sz w:val="12"/>
                <w:szCs w:val="12"/>
                <w:color w:val="auto"/>
              </w:rPr>
            </w:pPr>
          </w:p>
        </w:tc>
        <w:tc>
          <w:tcPr>
            <w:tcW w:w="1720" w:type="dxa"/>
            <w:vAlign w:val="bottom"/>
            <w:gridSpan w:val="2"/>
          </w:tcPr>
          <w:p>
            <w:pPr>
              <w:ind w:left="760"/>
              <w:spacing w:after="0" w:line="139" w:lineRule="exact"/>
              <w:rPr>
                <w:sz w:val="20"/>
                <w:szCs w:val="20"/>
                <w:color w:val="auto"/>
              </w:rPr>
            </w:pPr>
            <w:r>
              <w:rPr>
                <w:rFonts w:ascii="Arial" w:cs="Arial" w:eastAsia="Arial" w:hAnsi="Arial"/>
                <w:sz w:val="15"/>
                <w:szCs w:val="15"/>
                <w:b w:val="1"/>
                <w:bCs w:val="1"/>
                <w:color w:val="auto"/>
              </w:rPr>
              <w:t>Location 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720" w:type="dxa"/>
            <w:vAlign w:val="bottom"/>
            <w:gridSpan w:val="2"/>
          </w:tcPr>
          <w:p>
            <w:pPr>
              <w:jc w:val="center"/>
              <w:ind w:right="80"/>
              <w:spacing w:after="0" w:line="155" w:lineRule="exact"/>
              <w:rPr>
                <w:sz w:val="20"/>
                <w:szCs w:val="20"/>
                <w:color w:val="auto"/>
              </w:rPr>
            </w:pPr>
            <w:r>
              <w:rPr>
                <w:rFonts w:ascii="Arial" w:cs="Arial" w:eastAsia="Arial" w:hAnsi="Arial"/>
                <w:sz w:val="15"/>
                <w:szCs w:val="15"/>
                <w:b w:val="1"/>
                <w:bCs w:val="1"/>
                <w:color w:val="auto"/>
                <w:w w:val="91"/>
              </w:rPr>
              <w:t>Gain (Loss) Recognized</w:t>
            </w:r>
          </w:p>
        </w:tc>
        <w:tc>
          <w:tcPr>
            <w:tcW w:w="880" w:type="dxa"/>
            <w:vAlign w:val="bottom"/>
          </w:tcPr>
          <w:p>
            <w:pPr>
              <w:spacing w:after="0"/>
              <w:rPr>
                <w:sz w:val="13"/>
                <w:szCs w:val="13"/>
                <w:color w:val="auto"/>
              </w:rPr>
            </w:pPr>
          </w:p>
        </w:tc>
        <w:tc>
          <w:tcPr>
            <w:tcW w:w="88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in Income</w:t>
            </w:r>
          </w:p>
        </w:tc>
        <w:tc>
          <w:tcPr>
            <w:tcW w:w="8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ind w:left="640"/>
              <w:spacing w:after="0" w:line="142" w:lineRule="exact"/>
              <w:rPr>
                <w:sz w:val="20"/>
                <w:szCs w:val="20"/>
                <w:color w:val="auto"/>
              </w:rPr>
            </w:pPr>
            <w:r>
              <w:rPr>
                <w:rFonts w:ascii="Arial" w:cs="Arial" w:eastAsia="Arial" w:hAnsi="Arial"/>
                <w:sz w:val="15"/>
                <w:szCs w:val="15"/>
                <w:i w:val="1"/>
                <w:iCs w:val="1"/>
                <w:color w:val="auto"/>
              </w:rPr>
              <w:t>Derivatives</w:t>
            </w:r>
          </w:p>
        </w:tc>
        <w:tc>
          <w:tcPr>
            <w:tcW w:w="1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i w:val="1"/>
                <w:iCs w:val="1"/>
                <w:color w:val="auto"/>
                <w:w w:val="96"/>
              </w:rPr>
              <w:t>designated as cash flow hedging</w:t>
            </w: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instruments: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40" w:type="dxa"/>
            <w:vAlign w:val="bottom"/>
          </w:tcPr>
          <w:p>
            <w:pPr>
              <w:ind w:left="760"/>
              <w:spacing w:after="0" w:line="160" w:lineRule="exact"/>
              <w:rPr>
                <w:sz w:val="20"/>
                <w:szCs w:val="20"/>
                <w:color w:val="auto"/>
              </w:rPr>
            </w:pPr>
            <w:r>
              <w:rPr>
                <w:rFonts w:ascii="Arial" w:cs="Arial" w:eastAsia="Arial" w:hAnsi="Arial"/>
                <w:sz w:val="15"/>
                <w:szCs w:val="15"/>
                <w:color w:val="auto"/>
              </w:rPr>
              <w:t>Foreign exchange</w:t>
            </w:r>
          </w:p>
        </w:tc>
        <w:tc>
          <w:tcPr>
            <w:tcW w:w="17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Total revenues</w:t>
            </w: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4,356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ind w:right="5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140" w:type="dxa"/>
            <w:vAlign w:val="bottom"/>
          </w:tcPr>
          <w:p>
            <w:pPr>
              <w:ind w:left="140"/>
              <w:spacing w:after="0"/>
              <w:rPr>
                <w:sz w:val="20"/>
                <w:szCs w:val="20"/>
                <w:color w:val="auto"/>
              </w:rPr>
            </w:pPr>
            <w:r>
              <w:rPr>
                <w:rFonts w:ascii="Arial" w:cs="Arial" w:eastAsia="Arial" w:hAnsi="Arial"/>
                <w:sz w:val="15"/>
                <w:szCs w:val="15"/>
                <w:color w:val="auto"/>
              </w:rPr>
              <w:t>contracts</w:t>
            </w:r>
          </w:p>
        </w:tc>
        <w:tc>
          <w:tcPr>
            <w:tcW w:w="17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760"/>
              <w:spacing w:after="0" w:line="162" w:lineRule="exact"/>
              <w:rPr>
                <w:sz w:val="20"/>
                <w:szCs w:val="20"/>
                <w:color w:val="auto"/>
              </w:rPr>
            </w:pPr>
            <w:r>
              <w:rPr>
                <w:rFonts w:ascii="Arial" w:cs="Arial" w:eastAsia="Arial" w:hAnsi="Arial"/>
                <w:sz w:val="15"/>
                <w:szCs w:val="15"/>
                <w:color w:val="auto"/>
              </w:rPr>
              <w:t>Foreign exchange</w:t>
            </w:r>
          </w:p>
        </w:tc>
        <w:tc>
          <w:tcPr>
            <w:tcW w:w="1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Cost of goods</w:t>
            </w:r>
          </w:p>
        </w:tc>
        <w:tc>
          <w:tcPr>
            <w:tcW w:w="8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contracts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sold</w:t>
            </w:r>
          </w:p>
        </w:tc>
        <w:tc>
          <w:tcPr>
            <w:tcW w:w="8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40" w:type="dxa"/>
            <w:vAlign w:val="bottom"/>
          </w:tcPr>
          <w:p>
            <w:pPr>
              <w:ind w:left="760"/>
              <w:spacing w:after="0" w:line="155" w:lineRule="exact"/>
              <w:rPr>
                <w:sz w:val="20"/>
                <w:szCs w:val="20"/>
                <w:color w:val="auto"/>
              </w:rPr>
            </w:pPr>
            <w:r>
              <w:rPr>
                <w:rFonts w:ascii="Arial" w:cs="Arial" w:eastAsia="Arial" w:hAnsi="Arial"/>
                <w:sz w:val="15"/>
                <w:szCs w:val="15"/>
                <w:color w:val="auto"/>
              </w:rPr>
              <w:t>Foreign exchange</w:t>
            </w:r>
          </w:p>
        </w:tc>
        <w:tc>
          <w:tcPr>
            <w:tcW w:w="172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Interest</w:t>
            </w:r>
          </w:p>
        </w:tc>
        <w:tc>
          <w:tcPr>
            <w:tcW w:w="8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140"/>
              <w:spacing w:after="0"/>
              <w:rPr>
                <w:sz w:val="20"/>
                <w:szCs w:val="20"/>
                <w:color w:val="auto"/>
              </w:rPr>
            </w:pPr>
            <w:r>
              <w:rPr>
                <w:rFonts w:ascii="Arial" w:cs="Arial" w:eastAsia="Arial" w:hAnsi="Arial"/>
                <w:sz w:val="15"/>
                <w:szCs w:val="15"/>
                <w:color w:val="auto"/>
              </w:rPr>
              <w:t>contracts</w:t>
            </w:r>
          </w:p>
        </w:tc>
        <w:tc>
          <w:tcPr>
            <w:tcW w:w="1720" w:type="dxa"/>
            <w:vAlign w:val="bottom"/>
            <w:gridSpan w:val="2"/>
          </w:tcPr>
          <w:p>
            <w:pPr>
              <w:jc w:val="right"/>
              <w:ind w:right="100"/>
              <w:spacing w:after="0" w:line="207" w:lineRule="exact"/>
              <w:rPr>
                <w:sz w:val="20"/>
                <w:szCs w:val="20"/>
                <w:color w:val="auto"/>
              </w:rPr>
            </w:pPr>
            <w:r>
              <w:rPr>
                <w:rFonts w:ascii="Arial" w:cs="Arial" w:eastAsia="Arial" w:hAnsi="Arial"/>
                <w:sz w:val="15"/>
                <w:szCs w:val="15"/>
                <w:color w:val="auto"/>
              </w:rPr>
              <w:t>expense</w:t>
            </w:r>
            <w:r>
              <w:rPr>
                <w:rFonts w:ascii="Arial" w:cs="Arial" w:eastAsia="Arial" w:hAnsi="Arial"/>
                <w:sz w:val="20"/>
                <w:szCs w:val="20"/>
                <w:color w:val="auto"/>
                <w:vertAlign w:val="superscript"/>
              </w:rPr>
              <w:t>(1)</w:t>
            </w:r>
          </w:p>
        </w:tc>
        <w:tc>
          <w:tcPr>
            <w:tcW w:w="8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40" w:type="dxa"/>
            <w:vAlign w:val="bottom"/>
            <w:vMerge w:val="restart"/>
            <w:shd w:val="clear" w:color="auto" w:fill="CCEEFF"/>
          </w:tcPr>
          <w:p>
            <w:pPr>
              <w:ind w:left="760"/>
              <w:spacing w:after="0"/>
              <w:rPr>
                <w:sz w:val="20"/>
                <w:szCs w:val="20"/>
                <w:color w:val="auto"/>
              </w:rPr>
            </w:pPr>
            <w:r>
              <w:rPr>
                <w:rFonts w:ascii="Arial" w:cs="Arial" w:eastAsia="Arial" w:hAnsi="Arial"/>
                <w:sz w:val="15"/>
                <w:szCs w:val="15"/>
                <w:color w:val="auto"/>
              </w:rPr>
              <w:t>Interest rate swaps</w:t>
            </w:r>
          </w:p>
        </w:tc>
        <w:tc>
          <w:tcPr>
            <w:tcW w:w="17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5"/>
                <w:szCs w:val="15"/>
                <w:color w:val="auto"/>
              </w:rPr>
              <w:t>Interest</w:t>
            </w:r>
          </w:p>
        </w:tc>
        <w:tc>
          <w:tcPr>
            <w:tcW w:w="8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14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expense</w:t>
            </w:r>
          </w:p>
        </w:tc>
        <w:tc>
          <w:tcPr>
            <w:tcW w:w="8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140" w:type="dxa"/>
            <w:vAlign w:val="bottom"/>
          </w:tcPr>
          <w:p>
            <w:pPr>
              <w:ind w:left="640"/>
              <w:spacing w:after="0" w:line="140" w:lineRule="exact"/>
              <w:rPr>
                <w:sz w:val="20"/>
                <w:szCs w:val="20"/>
                <w:color w:val="auto"/>
              </w:rPr>
            </w:pPr>
            <w:r>
              <w:rPr>
                <w:rFonts w:ascii="Arial" w:cs="Arial" w:eastAsia="Arial" w:hAnsi="Arial"/>
                <w:sz w:val="15"/>
                <w:szCs w:val="15"/>
                <w:color w:val="auto"/>
              </w:rPr>
              <w:t>Total derivatives</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line="155" w:lineRule="exact"/>
              <w:rPr>
                <w:sz w:val="20"/>
                <w:szCs w:val="20"/>
                <w:color w:val="auto"/>
              </w:rPr>
            </w:pPr>
            <w:r>
              <w:rPr>
                <w:rFonts w:ascii="Arial" w:cs="Arial" w:eastAsia="Arial" w:hAnsi="Arial"/>
                <w:sz w:val="15"/>
                <w:szCs w:val="15"/>
                <w:color w:val="auto"/>
                <w:w w:val="96"/>
              </w:rPr>
              <w:t>designated as cash flow hedging</w:t>
            </w: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1,857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903</w:t>
            </w:r>
          </w:p>
        </w:tc>
        <w:tc>
          <w:tcPr>
            <w:tcW w:w="100" w:type="dxa"/>
            <w:vAlign w:val="bottom"/>
          </w:tcPr>
          <w:p>
            <w:pPr>
              <w:spacing w:after="0"/>
              <w:rPr>
                <w:sz w:val="13"/>
                <w:szCs w:val="13"/>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4,136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ind w:right="5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5"/>
                <w:szCs w:val="15"/>
                <w:color w:val="auto"/>
              </w:rPr>
              <w:t>instruments</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56" w:lineRule="exact"/>
        <w:rPr>
          <w:sz w:val="20"/>
          <w:szCs w:val="20"/>
          <w:color w:val="auto"/>
        </w:rPr>
      </w:pPr>
    </w:p>
    <w:p>
      <w:pPr>
        <w:ind w:left="220" w:hanging="217"/>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location of gain reclassified from accumulated other comprehensive income into income as a result that a forecasted transaction is no longer probable of occurring.</w:t>
      </w:r>
    </w:p>
    <w:p>
      <w:pPr>
        <w:spacing w:after="0" w:line="303"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As of June 30, 2022, we expect an estimated $8.5 million in deferred gains on the outstanding foreign exchange contracts and an estimated $15.7 million in deferred gains on the interest rate swaps will be reclassified from accumulated other comprehensive loss to net income during the next 12 months concurrent with the underlying hedged transactions also being reported in net income.</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Fair Value Measurements</w:t>
      </w:r>
    </w:p>
    <w:p>
      <w:pPr>
        <w:spacing w:after="0" w:line="223" w:lineRule="exact"/>
        <w:rPr>
          <w:sz w:val="20"/>
          <w:szCs w:val="20"/>
          <w:color w:val="auto"/>
        </w:rPr>
      </w:pPr>
    </w:p>
    <w:p>
      <w:pPr>
        <w:ind w:right="520" w:firstLine="172"/>
        <w:spacing w:after="0" w:line="279"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90"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1" w:lineRule="exact"/>
        <w:rPr>
          <w:rFonts w:ascii="Arial" w:cs="Arial" w:eastAsia="Arial" w:hAnsi="Arial"/>
          <w:sz w:val="17"/>
          <w:szCs w:val="17"/>
          <w:color w:val="auto"/>
        </w:rPr>
      </w:pPr>
    </w:p>
    <w:p>
      <w:pPr>
        <w:ind w:left="620" w:right="240" w:hanging="307"/>
        <w:spacing w:after="0" w:line="253"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Earn-out Liabilities</w:t>
      </w:r>
    </w:p>
    <w:p>
      <w:pPr>
        <w:spacing w:after="0" w:line="243" w:lineRule="exact"/>
        <w:rPr>
          <w:sz w:val="20"/>
          <w:szCs w:val="20"/>
          <w:color w:val="auto"/>
        </w:rPr>
      </w:pPr>
    </w:p>
    <w:p>
      <w:pPr>
        <w:ind w:right="100" w:firstLine="619"/>
        <w:spacing w:after="0" w:line="293" w:lineRule="auto"/>
        <w:rPr>
          <w:sz w:val="20"/>
          <w:szCs w:val="20"/>
          <w:color w:val="auto"/>
        </w:rPr>
      </w:pPr>
      <w:r>
        <w:rPr>
          <w:rFonts w:ascii="Arial" w:cs="Arial" w:eastAsia="Arial" w:hAnsi="Arial"/>
          <w:sz w:val="15"/>
          <w:szCs w:val="15"/>
          <w:color w:val="auto"/>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will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June 30, 2022, the estimated fair value of the contingent earn-out is $26.1 million.</w:t>
      </w: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June 30, 2022, the estimated fair value of the total contingent earn-out is $1.7 million.</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August 2021, we entered into an agreement with one of our international distributors whereby that distributor would not compete with us in a</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specific territory for a three-year period that will end in September 2024. The terms of the agreement include a contingent earn-out payment. The contingent earn-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out payment shall not exceed $6.0 million, which will be earned based on certain revenue targets over a twelve-month measurement period determined by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highest four consecutive quarters commencing over a two-year period starting on the closing date of the agreement and provided that the distributor is in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its obligations under the agreement. As of both June 30, 2022 and December 31, 2021, the estimated fair value of the contingent earn-out 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$2.6 million. The estimated fair value of the contingent earn-out is calculated using a probability-weighted cash flow model based on historical revenue streams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and the likelihood that the revenue targets will be met.</w:t>
      </w:r>
    </w:p>
    <w:p>
      <w:pPr>
        <w:spacing w:after="0" w:line="232" w:lineRule="exact"/>
        <w:rPr>
          <w:sz w:val="20"/>
          <w:szCs w:val="20"/>
          <w:color w:val="auto"/>
        </w:rPr>
      </w:pPr>
    </w:p>
    <w:p>
      <w:pPr>
        <w:ind w:right="60" w:firstLine="172"/>
        <w:spacing w:after="0" w:line="293" w:lineRule="auto"/>
        <w:rPr>
          <w:sz w:val="20"/>
          <w:szCs w:val="20"/>
          <w:color w:val="auto"/>
        </w:rPr>
      </w:pPr>
      <w:r>
        <w:rPr>
          <w:rFonts w:ascii="Arial" w:cs="Arial" w:eastAsia="Arial" w:hAnsi="Arial"/>
          <w:sz w:val="15"/>
          <w:szCs w:val="15"/>
          <w:color w:val="auto"/>
        </w:rPr>
        <w:t>During the fourth quarter of 2019, we recognized an earn-out liability related to the acquisition of Pursuit Vascular, Inc. ("Pursuit").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contingent earn-out liabilities are separately stated on our condensed consolidated balance sheets.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Acquisition date fair value estimate of earn-out</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55,158</w:t>
            </w:r>
          </w:p>
        </w:tc>
      </w:tr>
      <w:tr>
        <w:trPr>
          <w:trHeight w:val="219"/>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1"/>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Accrued balance, March 31, 2022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57,701</w:t>
            </w:r>
          </w:p>
        </w:tc>
      </w:tr>
      <w:tr>
        <w:trPr>
          <w:trHeight w:val="220"/>
        </w:trPr>
        <w:tc>
          <w:tcPr>
            <w:tcW w:w="946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(27,194)</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30,409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7" w:lineRule="exact"/>
        <w:rPr>
          <w:sz w:val="20"/>
          <w:szCs w:val="20"/>
          <w:color w:val="auto"/>
        </w:rPr>
      </w:pPr>
    </w:p>
    <w:p>
      <w:pPr>
        <w:ind w:left="320" w:right="140" w:hanging="317"/>
        <w:spacing w:after="0" w:line="212" w:lineRule="auto"/>
        <w:tabs>
          <w:tab w:leader="none" w:pos="295" w:val="left"/>
        </w:tabs>
        <w:numPr>
          <w:ilvl w:val="0"/>
          <w:numId w:val="12"/>
        </w:numPr>
        <w:rPr>
          <w:rFonts w:ascii="Arial" w:cs="Arial" w:eastAsia="Arial" w:hAnsi="Arial"/>
          <w:sz w:val="22"/>
          <w:szCs w:val="22"/>
          <w:color w:val="auto"/>
          <w:vertAlign w:val="superscript"/>
        </w:rPr>
      </w:pPr>
      <w:r>
        <w:rPr>
          <w:rFonts w:ascii="Arial" w:cs="Arial" w:eastAsia="Arial" w:hAnsi="Arial"/>
          <w:sz w:val="15"/>
          <w:szCs w:val="15"/>
          <w:color w:val="auto"/>
        </w:rPr>
        <w:t>$53.5 million relates to our acquisition of Smiths Medical and $1.6 million relates to our acquisition of a small foreign infusions systems supplier in the fourth quarter of 2021 (see Note 3: Acquisitions).</w:t>
      </w:r>
    </w:p>
    <w:p>
      <w:pPr>
        <w:spacing w:after="0" w:line="2"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Primarily relates to the change in fair value of the Smiths Medical earn-out.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 related to Smiths Medical and Pursuit: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Smiths Medical Earn-out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Simulation Input</w:t>
            </w:r>
          </w:p>
        </w:tc>
        <w:tc>
          <w:tcPr>
            <w:tcW w:w="80" w:type="dxa"/>
            <w:vAlign w:val="bottom"/>
            <w:vMerge w:val="restart"/>
          </w:tcPr>
          <w:p>
            <w:pPr>
              <w:spacing w:after="0"/>
              <w:rPr>
                <w:sz w:val="14"/>
                <w:szCs w:val="14"/>
                <w:color w:val="auto"/>
              </w:rPr>
            </w:pPr>
          </w:p>
        </w:tc>
        <w:tc>
          <w:tcPr>
            <w:tcW w:w="1880" w:type="dxa"/>
            <w:vAlign w:val="bottom"/>
            <w:gridSpan w:val="2"/>
          </w:tcPr>
          <w:p>
            <w:pPr>
              <w:ind w:left="700"/>
              <w:spacing w:after="0"/>
              <w:rPr>
                <w:sz w:val="20"/>
                <w:szCs w:val="20"/>
                <w:color w:val="auto"/>
              </w:rPr>
            </w:pPr>
            <w:r>
              <w:rPr>
                <w:rFonts w:ascii="Arial" w:cs="Arial" w:eastAsia="Arial" w:hAnsi="Arial"/>
                <w:sz w:val="15"/>
                <w:szCs w:val="15"/>
                <w:b w:val="1"/>
                <w:bCs w:val="1"/>
                <w:color w:val="auto"/>
              </w:rPr>
              <w:t>As of</w:t>
            </w:r>
          </w:p>
        </w:tc>
        <w:tc>
          <w:tcPr>
            <w:tcW w:w="1780" w:type="dxa"/>
            <w:vAlign w:val="bottom"/>
          </w:tcPr>
          <w:p>
            <w:pPr>
              <w:jc w:val="right"/>
              <w:ind w:right="343"/>
              <w:spacing w:after="0"/>
              <w:rPr>
                <w:sz w:val="20"/>
                <w:szCs w:val="20"/>
                <w:color w:val="auto"/>
              </w:rPr>
            </w:pPr>
            <w:r>
              <w:rPr>
                <w:rFonts w:ascii="Arial" w:cs="Arial" w:eastAsia="Arial" w:hAnsi="Arial"/>
                <w:sz w:val="15"/>
                <w:szCs w:val="15"/>
                <w:b w:val="1"/>
                <w:bCs w:val="1"/>
                <w:color w:val="auto"/>
              </w:rPr>
              <w:t>At Acquisition</w:t>
            </w:r>
          </w:p>
        </w:tc>
        <w:tc>
          <w:tcPr>
            <w:tcW w:w="0" w:type="dxa"/>
            <w:vAlign w:val="bottom"/>
          </w:tcPr>
          <w:p>
            <w:pPr>
              <w:spacing w:after="0"/>
              <w:rPr>
                <w:sz w:val="1"/>
                <w:szCs w:val="1"/>
                <w:color w:val="auto"/>
              </w:rPr>
            </w:pPr>
          </w:p>
        </w:tc>
      </w:tr>
      <w:tr>
        <w:trPr>
          <w:trHeight w:val="204"/>
        </w:trPr>
        <w:tc>
          <w:tcPr>
            <w:tcW w:w="75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7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June 30, 2022</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January 6, 2022</w:t>
            </w:r>
          </w:p>
        </w:tc>
        <w:tc>
          <w:tcPr>
            <w:tcW w:w="0" w:type="dxa"/>
            <w:vAlign w:val="bottom"/>
          </w:tcPr>
          <w:p>
            <w:pPr>
              <w:spacing w:after="0"/>
              <w:rPr>
                <w:sz w:val="1"/>
                <w:szCs w:val="1"/>
                <w:color w:val="auto"/>
              </w:rPr>
            </w:pPr>
          </w:p>
        </w:tc>
      </w:tr>
      <w:tr>
        <w:trPr>
          <w:trHeight w:val="20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Volatility</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40.00 %</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37.00 %</w:t>
            </w:r>
          </w:p>
        </w:tc>
        <w:tc>
          <w:tcPr>
            <w:tcW w:w="0" w:type="dxa"/>
            <w:vAlign w:val="bottom"/>
          </w:tcPr>
          <w:p>
            <w:pPr>
              <w:spacing w:after="0"/>
              <w:rPr>
                <w:sz w:val="1"/>
                <w:szCs w:val="1"/>
                <w:color w:val="auto"/>
              </w:rPr>
            </w:pPr>
          </w:p>
        </w:tc>
      </w:tr>
      <w:tr>
        <w:trPr>
          <w:trHeight w:val="201"/>
        </w:trPr>
        <w:tc>
          <w:tcPr>
            <w:tcW w:w="7580" w:type="dxa"/>
            <w:vAlign w:val="bottom"/>
            <w:gridSpan w:val="2"/>
          </w:tcPr>
          <w:p>
            <w:pPr>
              <w:ind w:left="20"/>
              <w:spacing w:after="0"/>
              <w:rPr>
                <w:sz w:val="20"/>
                <w:szCs w:val="20"/>
                <w:color w:val="auto"/>
              </w:rPr>
            </w:pPr>
            <w:r>
              <w:rPr>
                <w:rFonts w:ascii="Arial" w:cs="Arial" w:eastAsia="Arial" w:hAnsi="Arial"/>
                <w:sz w:val="15"/>
                <w:szCs w:val="15"/>
                <w:color w:val="auto"/>
              </w:rPr>
              <w:t>Risk-Free Rate</w:t>
            </w:r>
          </w:p>
        </w:tc>
        <w:tc>
          <w:tcPr>
            <w:tcW w:w="1780" w:type="dxa"/>
            <w:vAlign w:val="bottom"/>
          </w:tcPr>
          <w:p>
            <w:pPr>
              <w:jc w:val="right"/>
              <w:spacing w:after="0"/>
              <w:rPr>
                <w:sz w:val="20"/>
                <w:szCs w:val="20"/>
                <w:color w:val="auto"/>
              </w:rPr>
            </w:pPr>
            <w:r>
              <w:rPr>
                <w:rFonts w:ascii="Arial" w:cs="Arial" w:eastAsia="Arial" w:hAnsi="Arial"/>
                <w:sz w:val="15"/>
                <w:szCs w:val="15"/>
                <w:color w:val="auto"/>
              </w:rPr>
              <w:t>2.97 %</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1.31 %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Pursuit Earn-out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Simulation Input</w:t>
            </w:r>
          </w:p>
        </w:tc>
        <w:tc>
          <w:tcPr>
            <w:tcW w:w="100" w:type="dxa"/>
            <w:vAlign w:val="bottom"/>
            <w:vMerge w:val="restart"/>
          </w:tcPr>
          <w:p>
            <w:pPr>
              <w:spacing w:after="0"/>
              <w:rPr>
                <w:sz w:val="14"/>
                <w:szCs w:val="14"/>
                <w:color w:val="auto"/>
              </w:rPr>
            </w:pPr>
          </w:p>
        </w:tc>
        <w:tc>
          <w:tcPr>
            <w:tcW w:w="2340" w:type="dxa"/>
            <w:vAlign w:val="bottom"/>
          </w:tcPr>
          <w:p>
            <w:pPr>
              <w:jc w:val="right"/>
              <w:ind w:right="943"/>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4"/>
        </w:trPr>
        <w:tc>
          <w:tcPr>
            <w:tcW w:w="8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34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June 30, 2021</w:t>
            </w:r>
          </w:p>
        </w:tc>
        <w:tc>
          <w:tcPr>
            <w:tcW w:w="0" w:type="dxa"/>
            <w:vAlign w:val="bottom"/>
          </w:tcPr>
          <w:p>
            <w:pPr>
              <w:spacing w:after="0"/>
              <w:rPr>
                <w:sz w:val="1"/>
                <w:szCs w:val="1"/>
                <w:color w:val="auto"/>
              </w:rPr>
            </w:pPr>
          </w:p>
        </w:tc>
      </w:tr>
      <w:tr>
        <w:trPr>
          <w:trHeight w:val="20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Revenue/Gross Profit Volatility</w:t>
            </w:r>
          </w:p>
        </w:tc>
        <w:tc>
          <w:tcPr>
            <w:tcW w:w="2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25.00 %</w:t>
            </w:r>
          </w:p>
        </w:tc>
        <w:tc>
          <w:tcPr>
            <w:tcW w:w="0" w:type="dxa"/>
            <w:vAlign w:val="bottom"/>
          </w:tcPr>
          <w:p>
            <w:pPr>
              <w:spacing w:after="0"/>
              <w:rPr>
                <w:sz w:val="1"/>
                <w:szCs w:val="1"/>
                <w:color w:val="auto"/>
              </w:rPr>
            </w:pPr>
          </w:p>
        </w:tc>
      </w:tr>
      <w:tr>
        <w:trPr>
          <w:trHeight w:val="203"/>
        </w:trPr>
        <w:tc>
          <w:tcPr>
            <w:tcW w:w="8900" w:type="dxa"/>
            <w:vAlign w:val="bottom"/>
            <w:gridSpan w:val="2"/>
          </w:tcPr>
          <w:p>
            <w:pPr>
              <w:ind w:left="20"/>
              <w:spacing w:after="0"/>
              <w:rPr>
                <w:sz w:val="20"/>
                <w:szCs w:val="20"/>
                <w:color w:val="auto"/>
              </w:rPr>
            </w:pPr>
            <w:r>
              <w:rPr>
                <w:rFonts w:ascii="Arial" w:cs="Arial" w:eastAsia="Arial" w:hAnsi="Arial"/>
                <w:sz w:val="15"/>
                <w:szCs w:val="15"/>
                <w:color w:val="auto"/>
              </w:rPr>
              <w:t>Discount Rate</w:t>
            </w:r>
          </w:p>
        </w:tc>
        <w:tc>
          <w:tcPr>
            <w:tcW w:w="2340" w:type="dxa"/>
            <w:vAlign w:val="bottom"/>
          </w:tcPr>
          <w:p>
            <w:pPr>
              <w:jc w:val="right"/>
              <w:spacing w:after="0"/>
              <w:rPr>
                <w:sz w:val="20"/>
                <w:szCs w:val="20"/>
                <w:color w:val="auto"/>
              </w:rPr>
            </w:pPr>
            <w:r>
              <w:rPr>
                <w:rFonts w:ascii="Arial" w:cs="Arial" w:eastAsia="Arial" w:hAnsi="Arial"/>
                <w:sz w:val="15"/>
                <w:szCs w:val="15"/>
                <w:color w:val="auto"/>
              </w:rPr>
              <w:t>12.50 %</w:t>
            </w:r>
          </w:p>
        </w:tc>
        <w:tc>
          <w:tcPr>
            <w:tcW w:w="0" w:type="dxa"/>
            <w:vAlign w:val="bottom"/>
          </w:tcPr>
          <w:p>
            <w:pPr>
              <w:spacing w:after="0"/>
              <w:rPr>
                <w:sz w:val="1"/>
                <w:szCs w:val="1"/>
                <w:color w:val="auto"/>
              </w:rPr>
            </w:pPr>
          </w:p>
        </w:tc>
      </w:tr>
      <w:tr>
        <w:trPr>
          <w:trHeight w:val="20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Risk-Free Rate</w:t>
            </w:r>
          </w:p>
        </w:tc>
        <w:tc>
          <w:tcPr>
            <w:tcW w:w="2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0.09 %</w:t>
            </w:r>
          </w:p>
        </w:tc>
        <w:tc>
          <w:tcPr>
            <w:tcW w:w="0" w:type="dxa"/>
            <w:vAlign w:val="bottom"/>
          </w:tcPr>
          <w:p>
            <w:pPr>
              <w:spacing w:after="0"/>
              <w:rPr>
                <w:sz w:val="1"/>
                <w:szCs w:val="1"/>
                <w:color w:val="auto"/>
              </w:rPr>
            </w:pPr>
          </w:p>
        </w:tc>
      </w:tr>
      <w:tr>
        <w:trPr>
          <w:trHeight w:val="201"/>
        </w:trPr>
        <w:tc>
          <w:tcPr>
            <w:tcW w:w="8900" w:type="dxa"/>
            <w:vAlign w:val="bottom"/>
            <w:gridSpan w:val="2"/>
          </w:tcPr>
          <w:p>
            <w:pPr>
              <w:ind w:left="20"/>
              <w:spacing w:after="0"/>
              <w:rPr>
                <w:sz w:val="20"/>
                <w:szCs w:val="20"/>
                <w:color w:val="auto"/>
              </w:rPr>
            </w:pPr>
            <w:r>
              <w:rPr>
                <w:rFonts w:ascii="Arial" w:cs="Arial" w:eastAsia="Arial" w:hAnsi="Arial"/>
                <w:sz w:val="15"/>
                <w:szCs w:val="15"/>
                <w:color w:val="auto"/>
              </w:rPr>
              <w:t>Counter Party Risk</w:t>
            </w:r>
          </w:p>
        </w:tc>
        <w:tc>
          <w:tcPr>
            <w:tcW w:w="2340" w:type="dxa"/>
            <w:vAlign w:val="bottom"/>
          </w:tcPr>
          <w:p>
            <w:pPr>
              <w:jc w:val="right"/>
              <w:spacing w:after="0"/>
              <w:rPr>
                <w:sz w:val="20"/>
                <w:szCs w:val="20"/>
                <w:color w:val="auto"/>
              </w:rPr>
            </w:pPr>
            <w:r>
              <w:rPr>
                <w:rFonts w:ascii="Arial" w:cs="Arial" w:eastAsia="Arial" w:hAnsi="Arial"/>
                <w:sz w:val="15"/>
                <w:szCs w:val="15"/>
                <w:color w:val="auto"/>
              </w:rPr>
              <w:t>3.10 %</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Foreign Exchange Contracts and Interest Rate Contracts</w:t>
      </w:r>
    </w:p>
    <w:p>
      <w:pPr>
        <w:spacing w:after="0" w:line="243" w:lineRule="exact"/>
        <w:rPr>
          <w:sz w:val="20"/>
          <w:szCs w:val="20"/>
          <w:color w:val="auto"/>
        </w:rPr>
      </w:pPr>
    </w:p>
    <w:p>
      <w:pPr>
        <w:ind w:right="60" w:firstLine="172"/>
        <w:spacing w:after="0" w:line="266" w:lineRule="auto"/>
        <w:rPr>
          <w:sz w:val="20"/>
          <w:szCs w:val="20"/>
          <w:color w:val="auto"/>
        </w:rPr>
      </w:pPr>
      <w:r>
        <w:rPr>
          <w:rFonts w:ascii="Arial" w:cs="Arial" w:eastAsia="Arial" w:hAnsi="Arial"/>
          <w:sz w:val="17"/>
          <w:szCs w:val="17"/>
          <w:color w:val="auto"/>
        </w:rPr>
        <w:t>Our investments consist of corporate bonds and U.S treasury securities. The fair value of our corporate bonds is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spacing w:after="0" w:line="201" w:lineRule="exact"/>
        <w:rPr>
          <w:sz w:val="20"/>
          <w:szCs w:val="20"/>
          <w:color w:val="auto"/>
        </w:rPr>
      </w:pPr>
    </w:p>
    <w:p>
      <w:pPr>
        <w:ind w:right="80" w:firstLine="169"/>
        <w:spacing w:after="0" w:line="266" w:lineRule="auto"/>
        <w:rPr>
          <w:sz w:val="20"/>
          <w:szCs w:val="20"/>
          <w:color w:val="auto"/>
        </w:rPr>
      </w:pPr>
      <w:r>
        <w:rPr>
          <w:rFonts w:ascii="Arial" w:cs="Arial" w:eastAsia="Arial" w:hAnsi="Arial"/>
          <w:sz w:val="17"/>
          <w:szCs w:val="17"/>
          <w:color w:val="auto"/>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201"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11"/>
          </w:tcPr>
          <w:p>
            <w:pPr>
              <w:ind w:left="20"/>
              <w:spacing w:after="0"/>
              <w:rPr>
                <w:sz w:val="20"/>
                <w:szCs w:val="20"/>
                <w:color w:val="auto"/>
              </w:rPr>
            </w:pPr>
            <w:r>
              <w:rPr>
                <w:rFonts w:ascii="Arial" w:cs="Arial" w:eastAsia="Arial" w:hAnsi="Arial"/>
                <w:sz w:val="17"/>
                <w:szCs w:val="17"/>
                <w:b w:val="1"/>
                <w:bCs w:val="1"/>
                <w:color w:val="auto"/>
                <w:w w:val="92"/>
              </w:rPr>
              <w:t>Fair value measurements as of June 30, 2022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88"/>
              </w:rPr>
              <w:t>in active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294"/>
              <w:spacing w:after="0"/>
              <w:rPr>
                <w:sz w:val="20"/>
                <w:szCs w:val="20"/>
                <w:color w:val="auto"/>
              </w:rPr>
            </w:pPr>
            <w:r>
              <w:rPr>
                <w:rFonts w:ascii="Arial" w:cs="Arial" w:eastAsia="Arial" w:hAnsi="Arial"/>
                <w:sz w:val="17"/>
                <w:szCs w:val="17"/>
                <w:b w:val="1"/>
                <w:bCs w:val="1"/>
                <w:color w:val="auto"/>
                <w:w w:val="92"/>
              </w:rPr>
              <w:t>Total 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94"/>
              </w:rPr>
              <w:t>markets for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92"/>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14"/>
              <w:spacing w:after="0"/>
              <w:rPr>
                <w:sz w:val="20"/>
                <w:szCs w:val="20"/>
                <w:color w:val="auto"/>
              </w:rPr>
            </w:pPr>
            <w:r>
              <w:rPr>
                <w:rFonts w:ascii="Arial" w:cs="Arial" w:eastAsia="Arial" w:hAnsi="Arial"/>
                <w:sz w:val="17"/>
                <w:szCs w:val="17"/>
                <w:b w:val="1"/>
                <w:bCs w:val="1"/>
                <w:color w:val="auto"/>
              </w:rPr>
              <w:t>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5"/>
              </w:rPr>
              <w:t>assets (level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corporate bonds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11,787</w:t>
            </w:r>
          </w:p>
        </w:tc>
        <w:tc>
          <w:tcPr>
            <w:tcW w:w="1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Short-term 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Long-term corporate bonds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contracts: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Interest rate 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23,834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23,834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63,844</w:t>
            </w:r>
          </w:p>
        </w:tc>
        <w:tc>
          <w:tcPr>
            <w:tcW w:w="1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62,440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Contingent earn-out liability - ST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8"/>
                <w:szCs w:val="18"/>
                <w:color w:val="auto"/>
              </w:rPr>
            </w:pPr>
          </w:p>
        </w:tc>
        <w:tc>
          <w:tcPr>
            <w:tcW w:w="24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earn-out liability - LT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30,119</w:t>
            </w: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Foreign exchange 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31,036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30,409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jc w:val="right"/>
              <w:spacing w:after="0"/>
              <w:rPr>
                <w:sz w:val="20"/>
                <w:szCs w:val="20"/>
                <w:color w:val="auto"/>
              </w:rPr>
            </w:pPr>
            <w:r>
              <w:rPr>
                <w:rFonts w:ascii="Arial" w:cs="Arial" w:eastAsia="Arial" w:hAnsi="Arial"/>
                <w:sz w:val="17"/>
                <w:szCs w:val="17"/>
                <w:b w:val="1"/>
                <w:bCs w:val="1"/>
                <w:color w:val="auto"/>
                <w:w w:val="89"/>
              </w:rPr>
              <w:t>Fair value measurements as of December 31, 2021</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restart"/>
          </w:tcPr>
          <w:p>
            <w:pPr>
              <w:jc w:val="center"/>
              <w:ind w:right="260"/>
              <w:spacing w:after="0"/>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88"/>
              </w:rPr>
              <w:t>in active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74"/>
              <w:spacing w:after="0"/>
              <w:rPr>
                <w:sz w:val="20"/>
                <w:szCs w:val="20"/>
                <w:color w:val="auto"/>
              </w:rPr>
            </w:pPr>
            <w:r>
              <w:rPr>
                <w:rFonts w:ascii="Arial" w:cs="Arial" w:eastAsia="Arial" w:hAnsi="Arial"/>
                <w:sz w:val="17"/>
                <w:szCs w:val="17"/>
                <w:b w:val="1"/>
                <w:bCs w:val="1"/>
                <w:color w:val="auto"/>
              </w:rPr>
              <w:t>Total 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94"/>
              </w:rPr>
              <w:t>markets for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6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92"/>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60"/>
              <w:spacing w:after="0" w:line="167"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94"/>
              <w:spacing w:after="0"/>
              <w:rPr>
                <w:sz w:val="20"/>
                <w:szCs w:val="20"/>
                <w:color w:val="auto"/>
              </w:rPr>
            </w:pPr>
            <w:r>
              <w:rPr>
                <w:rFonts w:ascii="Arial" w:cs="Arial" w:eastAsia="Arial" w:hAnsi="Arial"/>
                <w:sz w:val="17"/>
                <w:szCs w:val="17"/>
                <w:b w:val="1"/>
                <w:bCs w:val="1"/>
                <w:color w:val="auto"/>
              </w:rPr>
              <w:t>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5"/>
              </w:rPr>
              <w:t>assets (level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corporate bonds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Long-term corporate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4,620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Cross-currency par forward contract: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20,101</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Contingent earn-out liability - LT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2,589</w:t>
            </w:r>
          </w:p>
        </w:tc>
        <w:tc>
          <w:tcPr>
            <w:tcW w:w="2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2,589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Forward-starting interest rate swaps: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4,069</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Investment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Available-for-sale Securities</w:t>
      </w:r>
    </w:p>
    <w:p>
      <w:pPr>
        <w:spacing w:after="0" w:line="243" w:lineRule="exact"/>
        <w:rPr>
          <w:sz w:val="20"/>
          <w:szCs w:val="20"/>
          <w:color w:val="auto"/>
        </w:rPr>
      </w:pPr>
    </w:p>
    <w:p>
      <w:pPr>
        <w:ind w:right="40" w:firstLine="172"/>
        <w:spacing w:after="0" w:line="275" w:lineRule="auto"/>
        <w:rPr>
          <w:sz w:val="20"/>
          <w:szCs w:val="20"/>
          <w:color w:val="auto"/>
        </w:rPr>
      </w:pPr>
      <w:r>
        <w:rPr>
          <w:rFonts w:ascii="Arial" w:cs="Arial" w:eastAsia="Arial" w:hAnsi="Arial"/>
          <w:sz w:val="16"/>
          <w:szCs w:val="16"/>
          <w:color w:val="auto"/>
        </w:rPr>
        <w:t>Our available-for-sale investment securities currently consist of short-term and long-term corporate bonds and short-term U.S. treasury securities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June 30, 2022 or December 31, 2021.</w:t>
      </w:r>
    </w:p>
    <w:p>
      <w:pPr>
        <w:spacing w:after="0" w:line="196"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The amortized cost of the debt securities are adjusted for the amortization of premiums computed under the effective interest method. Such amortization is included in other income, net in our condensed consolidated statements of operations. Realized gains and losses are accounted for on the specific identification method. There have been no realized gains or losses on the disposal of these investments. The scheduled maturities of the debt securities are between 2022 and 2024. All short-term investment securities are callable within one year.</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short-term and long-term investments in available-for-sale securities consist of the following (in thousands):</w:t>
      </w:r>
    </w:p>
    <w:p>
      <w:pPr>
        <w:spacing w:after="0" w:line="138" w:lineRule="exact"/>
        <w:rPr>
          <w:sz w:val="20"/>
          <w:szCs w:val="20"/>
          <w:color w:val="auto"/>
        </w:rPr>
      </w:pPr>
    </w:p>
    <w:p>
      <w:pPr>
        <w:ind w:left="7560"/>
        <w:spacing w:after="0"/>
        <w:rPr>
          <w:sz w:val="20"/>
          <w:szCs w:val="20"/>
          <w:color w:val="auto"/>
        </w:rPr>
      </w:pPr>
      <w:r>
        <w:rPr>
          <w:rFonts w:ascii="Arial" w:cs="Arial" w:eastAsia="Arial" w:hAnsi="Arial"/>
          <w:sz w:val="15"/>
          <w:szCs w:val="15"/>
          <w:b w:val="1"/>
          <w:bCs w:val="1"/>
          <w:color w:val="auto"/>
        </w:rPr>
        <w:t>As of June 30, 2022</w:t>
      </w:r>
    </w:p>
    <w:p>
      <w:pPr>
        <w:spacing w:after="0" w:line="29" w:lineRule="exact"/>
        <w:rPr>
          <w:sz w:val="20"/>
          <w:szCs w:val="20"/>
          <w:color w:val="auto"/>
        </w:rPr>
      </w:pPr>
    </w:p>
    <w:tbl>
      <w:tblPr>
        <w:tblLayout w:type="fixed"/>
        <w:tblInd w:w="5160" w:type="dxa"/>
        <w:tblCellMar>
          <w:top w:w="0" w:type="dxa"/>
          <w:left w:w="0" w:type="dxa"/>
          <w:bottom w:w="0" w:type="dxa"/>
          <w:right w:w="0" w:type="dxa"/>
        </w:tblCellMar>
      </w:tblPr>
      <w:tr>
        <w:trPr>
          <w:trHeight w:val="153"/>
        </w:trPr>
        <w:tc>
          <w:tcPr>
            <w:tcW w:w="1940" w:type="dxa"/>
            <w:vAlign w:val="bottom"/>
            <w:tcBorders>
              <w:top w:val="single" w:sz="8" w:color="auto"/>
            </w:tcBorders>
            <w:vMerge w:val="restart"/>
          </w:tcPr>
          <w:p>
            <w:pPr>
              <w:ind w:left="460"/>
              <w:spacing w:after="0"/>
              <w:rPr>
                <w:sz w:val="20"/>
                <w:szCs w:val="20"/>
                <w:color w:val="auto"/>
              </w:rPr>
            </w:pPr>
            <w:r>
              <w:rPr>
                <w:rFonts w:ascii="Arial" w:cs="Arial" w:eastAsia="Arial" w:hAnsi="Arial"/>
                <w:sz w:val="15"/>
                <w:szCs w:val="15"/>
                <w:b w:val="1"/>
                <w:bCs w:val="1"/>
                <w:color w:val="auto"/>
              </w:rPr>
              <w:t>Amortized Cost</w:t>
            </w:r>
          </w:p>
        </w:tc>
        <w:tc>
          <w:tcPr>
            <w:tcW w:w="2280" w:type="dxa"/>
            <w:vAlign w:val="bottom"/>
            <w:tcBorders>
              <w:top w:val="single" w:sz="8" w:color="auto"/>
            </w:tcBorders>
          </w:tcPr>
          <w:p>
            <w:pPr>
              <w:jc w:val="center"/>
              <w:ind w:right="43"/>
              <w:spacing w:after="0" w:line="154" w:lineRule="exact"/>
              <w:rPr>
                <w:sz w:val="20"/>
                <w:szCs w:val="20"/>
                <w:color w:val="auto"/>
              </w:rPr>
            </w:pPr>
            <w:r>
              <w:rPr>
                <w:rFonts w:ascii="Arial" w:cs="Arial" w:eastAsia="Arial" w:hAnsi="Arial"/>
                <w:sz w:val="15"/>
                <w:szCs w:val="15"/>
                <w:b w:val="1"/>
                <w:bCs w:val="1"/>
                <w:color w:val="auto"/>
                <w:w w:val="94"/>
              </w:rPr>
              <w:t>Unrealized Holding</w:t>
            </w:r>
          </w:p>
        </w:tc>
        <w:tc>
          <w:tcPr>
            <w:tcW w:w="1860" w:type="dxa"/>
            <w:vAlign w:val="bottom"/>
            <w:tcBorders>
              <w:top w:val="single" w:sz="8" w:color="auto"/>
            </w:tcBorders>
            <w:vMerge w:val="restart"/>
          </w:tcPr>
          <w:p>
            <w:pPr>
              <w:ind w:left="5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1940" w:type="dxa"/>
            <w:vAlign w:val="bottom"/>
            <w:vMerge w:val="continue"/>
          </w:tcPr>
          <w:p>
            <w:pPr>
              <w:spacing w:after="0"/>
              <w:rPr>
                <w:sz w:val="17"/>
                <w:szCs w:val="17"/>
                <w:color w:val="auto"/>
              </w:rPr>
            </w:pPr>
          </w:p>
        </w:tc>
        <w:tc>
          <w:tcPr>
            <w:tcW w:w="2280" w:type="dxa"/>
            <w:vAlign w:val="bottom"/>
          </w:tcPr>
          <w:p>
            <w:pPr>
              <w:jc w:val="center"/>
              <w:ind w:right="3"/>
              <w:spacing w:after="0"/>
              <w:rPr>
                <w:sz w:val="20"/>
                <w:szCs w:val="20"/>
                <w:color w:val="auto"/>
              </w:rPr>
            </w:pPr>
            <w:r>
              <w:rPr>
                <w:rFonts w:ascii="Arial" w:cs="Arial" w:eastAsia="Arial" w:hAnsi="Arial"/>
                <w:sz w:val="15"/>
                <w:szCs w:val="15"/>
                <w:b w:val="1"/>
                <w:bCs w:val="1"/>
                <w:color w:val="auto"/>
                <w:w w:val="89"/>
              </w:rPr>
              <w:t>Gains (Losses)</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3867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Short-term corporate bonds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U.S. treasury securities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Long-term corporate bonds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investment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11,787</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gridSpan w:val="2"/>
          </w:tcPr>
          <w:p>
            <w:pPr>
              <w:ind w:left="8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11,787</w:t>
            </w:r>
          </w:p>
        </w:tc>
      </w:tr>
      <w:tr>
        <w:trPr>
          <w:trHeight w:val="217"/>
        </w:trPr>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1,404</w:t>
            </w:r>
          </w:p>
        </w:tc>
      </w:tr>
      <w:tr>
        <w:trPr>
          <w:trHeight w:val="220"/>
        </w:trPr>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w:t>
            </w:r>
          </w:p>
        </w:tc>
      </w:tr>
      <w:tr>
        <w:trPr>
          <w:trHeight w:val="212"/>
        </w:trPr>
        <w:tc>
          <w:tcPr>
            <w:tcW w:w="760" w:type="dxa"/>
            <w:vAlign w:val="bottom"/>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15,028</w:t>
            </w:r>
          </w:p>
        </w:tc>
        <w:tc>
          <w:tcPr>
            <w:tcW w:w="100" w:type="dxa"/>
            <w:vAlign w:val="bottom"/>
          </w:tcPr>
          <w:p>
            <w:pPr>
              <w:spacing w:after="0"/>
              <w:rPr>
                <w:sz w:val="18"/>
                <w:szCs w:val="18"/>
                <w:color w:val="auto"/>
              </w:rPr>
            </w:pPr>
          </w:p>
        </w:tc>
        <w:tc>
          <w:tcPr>
            <w:tcW w:w="920" w:type="dxa"/>
            <w:vAlign w:val="bottom"/>
          </w:tcPr>
          <w:p>
            <w:pPr>
              <w:jc w:val="right"/>
              <w:ind w:right="73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15,028</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-318770</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As of December 31,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40" w:type="dxa"/>
            <w:vAlign w:val="bottom"/>
            <w:tcBorders>
              <w:top w:val="single" w:sz="8" w:color="auto"/>
            </w:tcBorders>
            <w:vMerge w:val="restart"/>
          </w:tcPr>
          <w:p>
            <w:pPr>
              <w:ind w:left="460"/>
              <w:spacing w:after="0"/>
              <w:rPr>
                <w:sz w:val="20"/>
                <w:szCs w:val="20"/>
                <w:color w:val="auto"/>
              </w:rPr>
            </w:pPr>
            <w:r>
              <w:rPr>
                <w:rFonts w:ascii="Arial" w:cs="Arial" w:eastAsia="Arial" w:hAnsi="Arial"/>
                <w:sz w:val="15"/>
                <w:szCs w:val="15"/>
                <w:b w:val="1"/>
                <w:bCs w:val="1"/>
                <w:color w:val="auto"/>
              </w:rPr>
              <w:t>Amortized Cost</w:t>
            </w:r>
          </w:p>
        </w:tc>
        <w:tc>
          <w:tcPr>
            <w:tcW w:w="2280" w:type="dxa"/>
            <w:vAlign w:val="bottom"/>
            <w:tcBorders>
              <w:top w:val="single" w:sz="8" w:color="auto"/>
            </w:tcBorders>
          </w:tcPr>
          <w:p>
            <w:pPr>
              <w:jc w:val="center"/>
              <w:ind w:right="3"/>
              <w:spacing w:after="0" w:line="154" w:lineRule="exact"/>
              <w:rPr>
                <w:sz w:val="20"/>
                <w:szCs w:val="20"/>
                <w:color w:val="auto"/>
              </w:rPr>
            </w:pPr>
            <w:r>
              <w:rPr>
                <w:rFonts w:ascii="Arial" w:cs="Arial" w:eastAsia="Arial" w:hAnsi="Arial"/>
                <w:sz w:val="15"/>
                <w:szCs w:val="15"/>
                <w:b w:val="1"/>
                <w:bCs w:val="1"/>
                <w:color w:val="auto"/>
                <w:w w:val="94"/>
              </w:rPr>
              <w:t>Unrealized Holding</w:t>
            </w:r>
          </w:p>
        </w:tc>
        <w:tc>
          <w:tcPr>
            <w:tcW w:w="1860" w:type="dxa"/>
            <w:vAlign w:val="bottom"/>
            <w:tcBorders>
              <w:top w:val="single" w:sz="8" w:color="auto"/>
            </w:tcBorders>
            <w:vMerge w:val="restart"/>
          </w:tcPr>
          <w:p>
            <w:pPr>
              <w:ind w:left="5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1940" w:type="dxa"/>
            <w:vAlign w:val="bottom"/>
            <w:vMerge w:val="continue"/>
          </w:tcPr>
          <w:p>
            <w:pPr>
              <w:spacing w:after="0"/>
              <w:rPr>
                <w:sz w:val="17"/>
                <w:szCs w:val="17"/>
                <w:color w:val="auto"/>
              </w:rPr>
            </w:pPr>
          </w:p>
        </w:tc>
        <w:tc>
          <w:tcPr>
            <w:tcW w:w="2280" w:type="dxa"/>
            <w:vAlign w:val="bottom"/>
          </w:tcPr>
          <w:p>
            <w:pPr>
              <w:jc w:val="center"/>
              <w:ind w:right="3"/>
              <w:spacing w:after="0"/>
              <w:rPr>
                <w:sz w:val="20"/>
                <w:szCs w:val="20"/>
                <w:color w:val="auto"/>
              </w:rPr>
            </w:pPr>
            <w:r>
              <w:rPr>
                <w:rFonts w:ascii="Arial" w:cs="Arial" w:eastAsia="Arial" w:hAnsi="Arial"/>
                <w:sz w:val="15"/>
                <w:szCs w:val="15"/>
                <w:b w:val="1"/>
                <w:bCs w:val="1"/>
                <w:color w:val="auto"/>
                <w:w w:val="89"/>
              </w:rPr>
              <w:t>Gains (Losses)</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440" w:space="720"/>
            <w:col w:w="6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14,420</w:t>
            </w:r>
          </w:p>
        </w:tc>
      </w:tr>
      <w:tr>
        <w:trPr>
          <w:trHeight w:val="21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4,620</w:t>
            </w:r>
          </w:p>
        </w:tc>
      </w:tr>
      <w:tr>
        <w:trPr>
          <w:trHeight w:val="23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Non-Marketable Equity Securities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During the third quarter of 2021, we acquired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204" w:lineRule="exact"/>
        <w:rPr>
          <w:sz w:val="20"/>
          <w:szCs w:val="20"/>
          <w:color w:val="auto"/>
        </w:rPr>
      </w:pPr>
    </w:p>
    <w:p>
      <w:pPr>
        <w:ind w:right="360" w:firstLine="619"/>
        <w:spacing w:after="0" w:line="276" w:lineRule="auto"/>
        <w:rPr>
          <w:sz w:val="20"/>
          <w:szCs w:val="20"/>
          <w:color w:val="auto"/>
        </w:rPr>
      </w:pPr>
      <w:r>
        <w:rPr>
          <w:rFonts w:ascii="Arial" w:cs="Arial" w:eastAsia="Arial" w:hAnsi="Arial"/>
          <w:sz w:val="16"/>
          <w:szCs w:val="16"/>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condensed consolidated balance sheets (see Note 11: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six months ended June 30, 2022. We did not receive any dividend distributions from this investment during the three and six months ended June 30, 2022.</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non-marketable equity method investment consists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method investment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non-marketable debt securities</w:t>
      </w:r>
    </w:p>
    <w:p>
      <w:pPr>
        <w:spacing w:after="0" w:line="243"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During the second quarter 2022, we received $19.0 million in proceeds from a promissory note related to an acquired investment as part of the Smiths Medical acquisition.</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Prepaid Expenses and Other Current Assets and Other Assets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Prepaid vendor expenses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5,655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costs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12,746</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Prepaid insurance and property taxes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6,310</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VAT/GST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4,156</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tax charge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4,241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Other assets consist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Pump lease receivables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25,941</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Spare parts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28,538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investments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debt issuance costs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2,827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right-of-use 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23,834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63,743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Inventories</w:t>
      </w:r>
    </w:p>
    <w:p>
      <w:pPr>
        <w:spacing w:after="0" w:line="223" w:lineRule="exact"/>
        <w:rPr>
          <w:sz w:val="20"/>
          <w:szCs w:val="20"/>
          <w:color w:val="auto"/>
        </w:rPr>
      </w:pPr>
    </w:p>
    <w:p>
      <w:pPr>
        <w:ind w:right="80" w:firstLine="172"/>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240,804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135,528</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71,101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36,490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118,217</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583,050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290,235</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right="40" w:firstLine="619"/>
        <w:spacing w:after="0" w:line="279" w:lineRule="auto"/>
        <w:rPr>
          <w:sz w:val="20"/>
          <w:szCs w:val="20"/>
          <w:color w:val="auto"/>
        </w:rPr>
      </w:pPr>
      <w:r>
        <w:rPr>
          <w:rFonts w:ascii="Arial" w:cs="Arial" w:eastAsia="Arial" w:hAnsi="Arial"/>
          <w:sz w:val="17"/>
          <w:szCs w:val="17"/>
          <w:color w:val="auto"/>
        </w:rPr>
        <w:t xml:space="preserve">During 2022, inventories increased significantly due to the acquisition of Smiths Medical. All acquired inventory was recorded at fair value on January 6, 2022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(see Note 3: Acquisitions).</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Property, Plant and Equipment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plant and equipment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407,580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321,078</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271,723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243,377</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60,463</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115,371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102,979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110,592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97,384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72,153</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property, plant and equipment, cost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1,147,292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905,104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(436,739)</w:t>
            </w:r>
          </w:p>
        </w:tc>
      </w:tr>
      <w:tr>
        <w:trPr>
          <w:trHeight w:val="213"/>
        </w:trPr>
        <w:tc>
          <w:tcPr>
            <w:tcW w:w="7560" w:type="dxa"/>
            <w:vAlign w:val="bottom"/>
          </w:tcPr>
          <w:p>
            <w:pPr>
              <w:ind w:left="1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667,783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468,365</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48"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12"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Depreciation expense was $24.9 million and $46.4 million for the three and six months ended June 30, 2022, respectively. Depreciation expense was $16.3 million and $32.7 million for the three and six months ended June 30, 2021 and 2021, respectively.</w:t>
      </w:r>
    </w:p>
    <w:p>
      <w:pPr>
        <w:spacing w:after="0" w:line="190"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During the three and six months ended June 30, 2022, property, plant and equipment and related depreciation expense increased significantly due to the acquisition of Smiths Medical (see Note 3: Acquisitions).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6"/>
        </w:trPr>
        <w:tc>
          <w:tcPr>
            <w:tcW w:w="9460" w:type="dxa"/>
            <w:vAlign w:val="bottom"/>
          </w:tcPr>
          <w:p>
            <w:pPr>
              <w:ind w:left="3980"/>
              <w:spacing w:after="0"/>
              <w:rPr>
                <w:sz w:val="20"/>
                <w:szCs w:val="20"/>
                <w:color w:val="auto"/>
              </w:rPr>
            </w:pPr>
            <w:r>
              <w:rPr>
                <w:rFonts w:ascii="Arial" w:cs="Arial" w:eastAsia="Arial" w:hAnsi="Arial"/>
                <w:sz w:val="17"/>
                <w:szCs w:val="17"/>
                <w:b w:val="1"/>
                <w:bCs w:val="1"/>
                <w:color w:val="auto"/>
              </w:rPr>
              <w:t>ICU MEDICAL, INC. AND SUBSIDIARIES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3"/>
        </w:trPr>
        <w:tc>
          <w:tcPr>
            <w:tcW w:w="9460" w:type="dxa"/>
            <w:vAlign w:val="bottom"/>
          </w:tcPr>
          <w:p>
            <w:pPr>
              <w:ind w:left="2340"/>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722"/>
        </w:trPr>
        <w:tc>
          <w:tcPr>
            <w:tcW w:w="9460" w:type="dxa"/>
            <w:vAlign w:val="bottom"/>
          </w:tcPr>
          <w:p>
            <w:pPr>
              <w:spacing w:after="0"/>
              <w:rPr>
                <w:sz w:val="20"/>
                <w:szCs w:val="20"/>
                <w:color w:val="auto"/>
              </w:rPr>
            </w:pPr>
            <w:r>
              <w:rPr>
                <w:rFonts w:ascii="Arial" w:cs="Arial" w:eastAsia="Arial" w:hAnsi="Arial"/>
                <w:sz w:val="17"/>
                <w:szCs w:val="17"/>
                <w:b w:val="1"/>
                <w:bCs w:val="1"/>
                <w:color w:val="auto"/>
              </w:rPr>
              <w:t>Note 14: Goodwill and Intangible Assets, Net</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spacing w:after="0"/>
              <w:rPr>
                <w:sz w:val="20"/>
                <w:szCs w:val="20"/>
                <w:color w:val="auto"/>
              </w:rPr>
            </w:pPr>
            <w:r>
              <w:rPr>
                <w:rFonts w:ascii="Arial" w:cs="Arial" w:eastAsia="Arial" w:hAnsi="Arial"/>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6"/>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Total</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43,439</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 xml:space="preserve">Goodwill acquired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1,444,939</w:t>
            </w:r>
          </w:p>
        </w:tc>
      </w:tr>
      <w:tr>
        <w:trPr>
          <w:trHeight w:val="219"/>
        </w:trPr>
        <w:tc>
          <w:tcPr>
            <w:tcW w:w="946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(7,128)</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Currency translation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(60,034)</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2022</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1,421,216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10"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22"/>
          <w:szCs w:val="22"/>
          <w:color w:val="auto"/>
          <w:vertAlign w:val="superscript"/>
        </w:rPr>
      </w:pPr>
      <w:r>
        <w:rPr>
          <w:rFonts w:ascii="Arial" w:cs="Arial" w:eastAsia="Arial" w:hAnsi="Arial"/>
          <w:sz w:val="15"/>
          <w:szCs w:val="15"/>
          <w:color w:val="auto"/>
        </w:rPr>
        <w:t>Relates to Smiths Medical acquired on January 6, 2022.</w:t>
      </w:r>
    </w:p>
    <w:p>
      <w:pPr>
        <w:spacing w:after="0" w:line="48" w:lineRule="exact"/>
        <w:rPr>
          <w:rFonts w:ascii="Arial" w:cs="Arial" w:eastAsia="Arial" w:hAnsi="Arial"/>
          <w:sz w:val="22"/>
          <w:szCs w:val="22"/>
          <w:color w:val="auto"/>
          <w:vertAlign w:val="superscript"/>
        </w:rPr>
      </w:pPr>
    </w:p>
    <w:p>
      <w:pPr>
        <w:ind w:left="280" w:hanging="277"/>
        <w:spacing w:after="0" w:line="191" w:lineRule="auto"/>
        <w:tabs>
          <w:tab w:leader="none" w:pos="28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Other reflects measurement period adjustments related to a 2021 acquisition of a small foreign infusion systems supplier.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2022</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95"/>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17,669</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10,934</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3,830</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513,437</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12,910</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584,070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78,703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505,367</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5,228</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1,237,260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185,554</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1,051,706</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28,623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28,623</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1,265,883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185,554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1,080,329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0" w:hanging="117"/>
        <w:spacing w:after="0"/>
        <w:tabs>
          <w:tab w:leader="none" w:pos="120" w:val="left"/>
        </w:tabs>
        <w:numPr>
          <w:ilvl w:val="0"/>
          <w:numId w:val="15"/>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3"/>
              </w:rPr>
              <w:t>December 31, 2021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6"/>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16,764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10,665</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4,216</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152,893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49,406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103,487</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6,744</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275,835</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112,882</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162,953</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25,358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301,193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112,882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188,311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0" w:hanging="117"/>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26"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Intangible assets with definite lives are amortized on a straight-line basis over their estimated useful lives. During the three months ended June 30, 2022 and 2021, intangible asset amortization expense was $41.6 million and $5.8 million, respectively. During the six months ended June 30, 2022 and 2021, intangible asset amortization expense was $73.3 million and $11.6 million, respectively.</w:t>
      </w:r>
    </w:p>
    <w:p>
      <w:pPr>
        <w:spacing w:after="0" w:line="201"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During the three and six months ended June 30, 2022, intangible assets and related amortization expense increased significantly due to the acquisition of Smiths Medical (see Note 3: Acquisitions).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2022 estimated annual amortization for our intangible assets for each of the next five years is approximately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65,893</w:t>
            </w: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2023</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136,217</w:t>
            </w:r>
          </w:p>
        </w:tc>
      </w:tr>
      <w:tr>
        <w:trPr>
          <w:trHeight w:val="220"/>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135,578</w:t>
            </w: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2025</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127,922</w:t>
            </w:r>
          </w:p>
        </w:tc>
      </w:tr>
      <w:tr>
        <w:trPr>
          <w:trHeight w:val="220"/>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127,384</w:t>
            </w: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2027</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119,279</w:t>
            </w:r>
          </w:p>
        </w:tc>
      </w:t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339,433</w:t>
            </w:r>
          </w:p>
        </w:tc>
      </w:tr>
      <w:tr>
        <w:trPr>
          <w:trHeight w:val="213"/>
        </w:trPr>
        <w:tc>
          <w:tcPr>
            <w:tcW w:w="9460" w:type="dxa"/>
            <w:vAlign w:val="bottom"/>
          </w:tcPr>
          <w:p>
            <w:pPr>
              <w:ind w:left="14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1,051,706</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Accrued Liabilities and Other Long-Term Liabilities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27,304</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16,632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33,107</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9,009</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1,980</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12,646</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accrual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Distribution fees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24,634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5,645</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Warranties and returns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Field service corrective action</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30,529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freight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9,194</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audit fees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Defined benefit plan</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8,099</w:t>
            </w:r>
          </w:p>
        </w:tc>
      </w:t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247,656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118,195</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05" w:lineRule="exact"/>
        <w:rPr>
          <w:sz w:val="20"/>
          <w:szCs w:val="20"/>
          <w:color w:val="auto"/>
        </w:rPr>
      </w:pPr>
    </w:p>
    <w:p>
      <w:pPr>
        <w:ind w:left="320" w:right="100" w:hanging="317"/>
        <w:spacing w:after="0" w:line="224" w:lineRule="auto"/>
        <w:tabs>
          <w:tab w:leader="none" w:pos="253"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Relates to field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68,491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33,971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Benefits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6,895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1,369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Contract liabilities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Forward-starting interest rate swaps</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liability-LT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Field service corrective action</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41,830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33" w:lineRule="exact"/>
        <w:rPr>
          <w:sz w:val="20"/>
          <w:szCs w:val="20"/>
          <w:color w:val="auto"/>
        </w:rPr>
      </w:pPr>
    </w:p>
    <w:p>
      <w:pPr>
        <w:ind w:left="220" w:hanging="217"/>
        <w:spacing w:after="0"/>
        <w:tabs>
          <w:tab w:leader="none" w:pos="22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Consists of contracts with customers and suppliers that were valued at below market at the time of the Hospira Infusion Systems acquisition.</w:t>
      </w:r>
    </w:p>
    <w:p>
      <w:pPr>
        <w:spacing w:after="0" w:line="48" w:lineRule="exact"/>
        <w:rPr>
          <w:rFonts w:ascii="Arial" w:cs="Arial" w:eastAsia="Arial" w:hAnsi="Arial"/>
          <w:sz w:val="20"/>
          <w:szCs w:val="20"/>
          <w:color w:val="auto"/>
          <w:vertAlign w:val="superscript"/>
        </w:rPr>
      </w:pPr>
    </w:p>
    <w:p>
      <w:pPr>
        <w:ind w:left="320" w:right="100" w:hanging="317"/>
        <w:spacing w:after="0" w:line="217" w:lineRule="auto"/>
        <w:tabs>
          <w:tab w:leader="none" w:pos="253"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Relates to field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Income Taxes</w:t>
      </w:r>
    </w:p>
    <w:p>
      <w:pPr>
        <w:spacing w:after="0" w:line="223"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Income taxes were accrued at an estimated effective tax rate of 56% and 36% for the three and six months ended June 30, 2022, respectively, as compared to 18% and 16% for the three and six months ended June 30, 2021, respectively.</w:t>
      </w:r>
    </w:p>
    <w:p>
      <w:pPr>
        <w:spacing w:after="0" w:line="190" w:lineRule="exact"/>
        <w:rPr>
          <w:sz w:val="20"/>
          <w:szCs w:val="20"/>
          <w:color w:val="auto"/>
        </w:rPr>
      </w:pPr>
    </w:p>
    <w:p>
      <w:pPr>
        <w:ind w:right="60" w:firstLine="169"/>
        <w:spacing w:after="0" w:line="266" w:lineRule="auto"/>
        <w:rPr>
          <w:sz w:val="20"/>
          <w:szCs w:val="20"/>
          <w:color w:val="auto"/>
        </w:rPr>
      </w:pPr>
      <w:r>
        <w:rPr>
          <w:rFonts w:ascii="Arial" w:cs="Arial" w:eastAsia="Arial" w:hAnsi="Arial"/>
          <w:sz w:val="17"/>
          <w:szCs w:val="17"/>
          <w:color w:val="auto"/>
        </w:rPr>
        <w:t>The effective tax rate for the three and six months ended June 30, 2022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spacing w:after="0" w:line="201" w:lineRule="exact"/>
        <w:rPr>
          <w:sz w:val="20"/>
          <w:szCs w:val="20"/>
          <w:color w:val="auto"/>
        </w:rPr>
      </w:pPr>
    </w:p>
    <w:p>
      <w:pPr>
        <w:ind w:left="620" w:right="140" w:hanging="307"/>
        <w:spacing w:after="0" w:line="25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three and six months ended June 30, 2022 of $0.0 million and $2.6 million, respectively.</w:t>
      </w:r>
    </w:p>
    <w:p>
      <w:pPr>
        <w:spacing w:after="0" w:line="1" w:lineRule="exact"/>
        <w:rPr>
          <w:rFonts w:ascii="Arial" w:cs="Arial" w:eastAsia="Arial" w:hAnsi="Arial"/>
          <w:sz w:val="17"/>
          <w:szCs w:val="17"/>
          <w:color w:val="auto"/>
        </w:rPr>
      </w:pPr>
    </w:p>
    <w:p>
      <w:pPr>
        <w:ind w:left="620" w:right="600" w:hanging="307"/>
        <w:spacing w:after="0" w:line="26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revaluation of the contingent consideration during the three and six months ended June 30, 2022 resulted in a tax expense of $0.0 million and $0.0 million, respectively.</w:t>
      </w:r>
    </w:p>
    <w:p>
      <w:pPr>
        <w:spacing w:after="0" w:line="200" w:lineRule="exact"/>
        <w:rPr>
          <w:sz w:val="20"/>
          <w:szCs w:val="20"/>
          <w:color w:val="auto"/>
        </w:rPr>
      </w:pPr>
    </w:p>
    <w:p>
      <w:pPr>
        <w:jc w:val="both"/>
        <w:ind w:right="40" w:firstLine="169"/>
        <w:spacing w:after="0" w:line="262" w:lineRule="auto"/>
        <w:rPr>
          <w:sz w:val="20"/>
          <w:szCs w:val="20"/>
          <w:color w:val="auto"/>
        </w:rPr>
      </w:pPr>
      <w:r>
        <w:rPr>
          <w:rFonts w:ascii="Arial" w:cs="Arial" w:eastAsia="Arial" w:hAnsi="Arial"/>
          <w:sz w:val="17"/>
          <w:szCs w:val="17"/>
          <w:color w:val="auto"/>
        </w:rPr>
        <w:t>The effective tax rate for the three and six months ended June 30, 2021 differs from the federal statutory rate of 21% principally because of the effect of the mix of U.S. and foreign incomes, state income taxes, global intangible low taxed income ("GILTI"), FDII and tax credits. The effective tax rate during the three and six months ended June 30, 2021 included a discrete tax benefit of $0.4 million and $2.2 million, respectively, related to excess tax benefits recognized on stock option exercises and the vesting of restricted stock units during the period.</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w:t>
      </w:r>
    </w:p>
    <w:p>
      <w:pPr>
        <w:spacing w:after="0" w:line="243"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12"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$8.7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182"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The net funds received from the Term Loan A and the Term Loan B, after deducting debt issuance costs, were $834.2 million and $836.6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Maturity Dates</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Rate Terms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201"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The Base Rate is defined as the highest of (a) the Prime Rate, (b) the Federal Funds Rate plus 0.50% and (c) Adjusted Term SOFR (as defined below) for a one-month period plus, in each case, plus 1.00%.</w:t>
      </w:r>
    </w:p>
    <w:p>
      <w:pPr>
        <w:spacing w:after="0" w:line="190" w:lineRule="exact"/>
        <w:rPr>
          <w:sz w:val="20"/>
          <w:szCs w:val="20"/>
          <w:color w:val="auto"/>
        </w:rPr>
      </w:pPr>
    </w:p>
    <w:p>
      <w:pPr>
        <w:jc w:val="both"/>
        <w:ind w:right="300" w:firstLine="619"/>
        <w:spacing w:after="0" w:line="318" w:lineRule="auto"/>
        <w:rPr>
          <w:sz w:val="20"/>
          <w:szCs w:val="20"/>
          <w:color w:val="auto"/>
        </w:rPr>
      </w:pPr>
      <w:r>
        <w:rPr>
          <w:rFonts w:ascii="Arial" w:cs="Arial" w:eastAsia="Arial" w:hAnsi="Arial"/>
          <w:sz w:val="15"/>
          <w:szCs w:val="15"/>
          <w:color w:val="auto"/>
        </w:rPr>
        <w:t>Adjusted Term SOFR is the rate per annum equal to (a)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Revolving Credit Facility Commitment Fee</w:t>
      </w:r>
    </w:p>
    <w:p>
      <w:pPr>
        <w:spacing w:after="0" w:line="243" w:lineRule="exact"/>
        <w:rPr>
          <w:sz w:val="20"/>
          <w:szCs w:val="20"/>
          <w:color w:val="auto"/>
        </w:rPr>
      </w:pPr>
    </w:p>
    <w:p>
      <w:pPr>
        <w:ind w:right="520" w:firstLine="619"/>
        <w:spacing w:after="0" w:line="290" w:lineRule="auto"/>
        <w:rPr>
          <w:sz w:val="20"/>
          <w:szCs w:val="20"/>
          <w:color w:val="auto"/>
        </w:rPr>
      </w:pPr>
      <w:r>
        <w:rPr>
          <w:rFonts w:ascii="Arial" w:cs="Arial" w:eastAsia="Arial" w:hAnsi="Arial"/>
          <w:sz w:val="16"/>
          <w:szCs w:val="16"/>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Applicable Interest Margins</w:t>
      </w:r>
    </w:p>
    <w:p>
      <w:pPr>
        <w:spacing w:after="0" w:line="243"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The Term Loan A and borrowings under the Revolving Credit Facility have an initial applicable margin of 0.75% per annum for Base Rate Loans and 1.75% per annum for Term SOFR Loans.</w:t>
      </w:r>
    </w:p>
    <w:p>
      <w:pPr>
        <w:spacing w:after="0" w:line="190"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680" w:type="dxa"/>
            <w:vAlign w:val="bottom"/>
            <w:vMerge w:val="restart"/>
          </w:tcPr>
          <w:p>
            <w:pPr>
              <w:ind w:left="2040"/>
              <w:spacing w:after="0"/>
              <w:rPr>
                <w:sz w:val="20"/>
                <w:szCs w:val="20"/>
                <w:color w:val="auto"/>
              </w:rPr>
            </w:pPr>
            <w:r>
              <w:rPr>
                <w:rFonts w:ascii="Arial" w:cs="Arial" w:eastAsia="Arial" w:hAnsi="Arial"/>
                <w:sz w:val="17"/>
                <w:szCs w:val="17"/>
                <w:b w:val="1"/>
                <w:bCs w:val="1"/>
                <w:color w:val="auto"/>
              </w:rPr>
              <w:t>Leverage Ratio</w:t>
            </w:r>
          </w:p>
        </w:tc>
        <w:tc>
          <w:tcPr>
            <w:tcW w:w="2260" w:type="dxa"/>
            <w:vAlign w:val="bottom"/>
          </w:tcPr>
          <w:p>
            <w:pPr>
              <w:jc w:val="center"/>
              <w:ind w:left="314"/>
              <w:spacing w:after="0"/>
              <w:rPr>
                <w:sz w:val="20"/>
                <w:szCs w:val="20"/>
                <w:color w:val="auto"/>
              </w:rPr>
            </w:pPr>
            <w:r>
              <w:rPr>
                <w:rFonts w:ascii="Arial" w:cs="Arial" w:eastAsia="Arial" w:hAnsi="Arial"/>
                <w:sz w:val="17"/>
                <w:szCs w:val="17"/>
                <w:b w:val="1"/>
                <w:bCs w:val="1"/>
                <w:color w:val="auto"/>
                <w:w w:val="94"/>
              </w:rPr>
              <w:t>Applicable Margin</w:t>
            </w:r>
          </w:p>
        </w:tc>
        <w:tc>
          <w:tcPr>
            <w:tcW w:w="2420" w:type="dxa"/>
            <w:vAlign w:val="bottom"/>
          </w:tcPr>
          <w:p>
            <w:pPr>
              <w:jc w:val="center"/>
              <w:ind w:left="74"/>
              <w:spacing w:after="0"/>
              <w:rPr>
                <w:sz w:val="20"/>
                <w:szCs w:val="20"/>
                <w:color w:val="auto"/>
              </w:rPr>
            </w:pPr>
            <w:r>
              <w:rPr>
                <w:rFonts w:ascii="Arial" w:cs="Arial" w:eastAsia="Arial" w:hAnsi="Arial"/>
                <w:sz w:val="17"/>
                <w:szCs w:val="17"/>
                <w:b w:val="1"/>
                <w:bCs w:val="1"/>
                <w:color w:val="auto"/>
                <w:w w:val="94"/>
              </w:rPr>
              <w:t>Applicable Margin</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Commitmen</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for Term SOFR Loans</w:t>
            </w:r>
          </w:p>
        </w:tc>
        <w:tc>
          <w:tcPr>
            <w:tcW w:w="242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for Base Rate Loans</w:t>
            </w: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Rate</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Greater than 4.00 to 1.0</w:t>
            </w:r>
          </w:p>
        </w:tc>
        <w:tc>
          <w:tcPr>
            <w:tcW w:w="226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5"/>
              </w:rPr>
              <w:t>2.25%</w:t>
            </w:r>
          </w:p>
        </w:tc>
        <w:tc>
          <w:tcPr>
            <w:tcW w:w="242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1"/>
              </w:rPr>
              <w:t>1.25%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168"/>
        </w:trPr>
        <w:tc>
          <w:tcPr>
            <w:tcW w:w="4680" w:type="dxa"/>
            <w:vAlign w:val="bottom"/>
          </w:tcPr>
          <w:p>
            <w:pPr>
              <w:ind w:left="640"/>
              <w:spacing w:after="0" w:line="168" w:lineRule="exact"/>
              <w:rPr>
                <w:sz w:val="20"/>
                <w:szCs w:val="20"/>
                <w:color w:val="auto"/>
              </w:rPr>
            </w:pPr>
            <w:r>
              <w:rPr>
                <w:rFonts w:ascii="Arial" w:cs="Arial" w:eastAsia="Arial" w:hAnsi="Arial"/>
                <w:sz w:val="17"/>
                <w:szCs w:val="17"/>
                <w:color w:val="auto"/>
                <w:w w:val="94"/>
              </w:rPr>
              <w:t>Less than or equal to 4.00 to 1.0 but greater than 3.00 to</w:t>
            </w:r>
          </w:p>
        </w:tc>
        <w:tc>
          <w:tcPr>
            <w:tcW w:w="2260" w:type="dxa"/>
            <w:vAlign w:val="bottom"/>
            <w:vMerge w:val="restart"/>
          </w:tcPr>
          <w:p>
            <w:pPr>
              <w:jc w:val="center"/>
              <w:ind w:left="314"/>
              <w:spacing w:after="0"/>
              <w:rPr>
                <w:sz w:val="20"/>
                <w:szCs w:val="20"/>
                <w:color w:val="auto"/>
              </w:rPr>
            </w:pPr>
            <w:r>
              <w:rPr>
                <w:rFonts w:ascii="Arial" w:cs="Arial" w:eastAsia="Arial" w:hAnsi="Arial"/>
                <w:sz w:val="17"/>
                <w:szCs w:val="17"/>
                <w:color w:val="auto"/>
                <w:w w:val="95"/>
              </w:rPr>
              <w:t>2.00%</w:t>
            </w:r>
          </w:p>
        </w:tc>
        <w:tc>
          <w:tcPr>
            <w:tcW w:w="2420" w:type="dxa"/>
            <w:vAlign w:val="bottom"/>
            <w:vMerge w:val="restart"/>
          </w:tcPr>
          <w:p>
            <w:pPr>
              <w:jc w:val="center"/>
              <w:ind w:left="54"/>
              <w:spacing w:after="0"/>
              <w:rPr>
                <w:sz w:val="20"/>
                <w:szCs w:val="20"/>
                <w:color w:val="auto"/>
              </w:rPr>
            </w:pPr>
            <w:r>
              <w:rPr>
                <w:rFonts w:ascii="Arial" w:cs="Arial" w:eastAsia="Arial" w:hAnsi="Arial"/>
                <w:sz w:val="17"/>
                <w:szCs w:val="17"/>
                <w:color w:val="auto"/>
                <w:w w:val="91"/>
              </w:rPr>
              <w:t>1.00%</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127"/>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640"/>
              <w:spacing w:after="0" w:line="169" w:lineRule="exact"/>
              <w:rPr>
                <w:sz w:val="20"/>
                <w:szCs w:val="20"/>
                <w:color w:val="auto"/>
              </w:rPr>
            </w:pPr>
            <w:r>
              <w:rPr>
                <w:rFonts w:ascii="Arial" w:cs="Arial" w:eastAsia="Arial" w:hAnsi="Arial"/>
                <w:sz w:val="17"/>
                <w:szCs w:val="17"/>
                <w:color w:val="auto"/>
                <w:w w:val="94"/>
              </w:rPr>
              <w:t>Less than or equal to 3.00 to 1.0 but greater than 2.50 to</w:t>
            </w:r>
          </w:p>
        </w:tc>
        <w:tc>
          <w:tcPr>
            <w:tcW w:w="2260" w:type="dxa"/>
            <w:vAlign w:val="bottom"/>
            <w:vMerge w:val="restart"/>
            <w:shd w:val="clear" w:color="auto" w:fill="CCEEFF"/>
          </w:tcPr>
          <w:p>
            <w:pPr>
              <w:jc w:val="center"/>
              <w:ind w:left="314"/>
              <w:spacing w:after="0"/>
              <w:rPr>
                <w:sz w:val="20"/>
                <w:szCs w:val="20"/>
                <w:color w:val="auto"/>
              </w:rPr>
            </w:pPr>
            <w:r>
              <w:rPr>
                <w:rFonts w:ascii="Arial" w:cs="Arial" w:eastAsia="Arial" w:hAnsi="Arial"/>
                <w:sz w:val="17"/>
                <w:szCs w:val="17"/>
                <w:color w:val="auto"/>
                <w:w w:val="95"/>
              </w:rPr>
              <w:t>1.75%</w:t>
            </w:r>
          </w:p>
        </w:tc>
        <w:tc>
          <w:tcPr>
            <w:tcW w:w="2420" w:type="dxa"/>
            <w:vAlign w:val="bottom"/>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91"/>
              </w:rPr>
              <w:t>0.75%</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127"/>
        </w:trPr>
        <w:tc>
          <w:tcPr>
            <w:tcW w:w="46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shd w:val="clear" w:color="auto" w:fill="CCEEFF"/>
          </w:tcPr>
          <w:p>
            <w:pPr>
              <w:spacing w:after="0"/>
              <w:rPr>
                <w:sz w:val="11"/>
                <w:szCs w:val="11"/>
                <w:color w:val="auto"/>
              </w:rPr>
            </w:pPr>
          </w:p>
        </w:tc>
        <w:tc>
          <w:tcPr>
            <w:tcW w:w="242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680" w:type="dxa"/>
            <w:vAlign w:val="bottom"/>
            <w:vMerge w:val="continue"/>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640"/>
              <w:spacing w:after="0" w:line="168" w:lineRule="exact"/>
              <w:rPr>
                <w:sz w:val="20"/>
                <w:szCs w:val="20"/>
                <w:color w:val="auto"/>
              </w:rPr>
            </w:pPr>
            <w:r>
              <w:rPr>
                <w:rFonts w:ascii="Arial" w:cs="Arial" w:eastAsia="Arial" w:hAnsi="Arial"/>
                <w:sz w:val="17"/>
                <w:szCs w:val="17"/>
                <w:color w:val="auto"/>
                <w:w w:val="94"/>
              </w:rPr>
              <w:t>Less than or equal to 2.50 to 1.0 but greater than 2.00 to</w:t>
            </w:r>
          </w:p>
        </w:tc>
        <w:tc>
          <w:tcPr>
            <w:tcW w:w="2260" w:type="dxa"/>
            <w:vAlign w:val="bottom"/>
            <w:vMerge w:val="restart"/>
          </w:tcPr>
          <w:p>
            <w:pPr>
              <w:jc w:val="center"/>
              <w:ind w:left="314"/>
              <w:spacing w:after="0"/>
              <w:rPr>
                <w:sz w:val="20"/>
                <w:szCs w:val="20"/>
                <w:color w:val="auto"/>
              </w:rPr>
            </w:pPr>
            <w:r>
              <w:rPr>
                <w:rFonts w:ascii="Arial" w:cs="Arial" w:eastAsia="Arial" w:hAnsi="Arial"/>
                <w:sz w:val="17"/>
                <w:szCs w:val="17"/>
                <w:color w:val="auto"/>
                <w:w w:val="95"/>
              </w:rPr>
              <w:t>1.50%</w:t>
            </w:r>
          </w:p>
        </w:tc>
        <w:tc>
          <w:tcPr>
            <w:tcW w:w="2420" w:type="dxa"/>
            <w:vAlign w:val="bottom"/>
            <w:vMerge w:val="restart"/>
          </w:tcPr>
          <w:p>
            <w:pPr>
              <w:jc w:val="center"/>
              <w:ind w:left="54"/>
              <w:spacing w:after="0"/>
              <w:rPr>
                <w:sz w:val="20"/>
                <w:szCs w:val="20"/>
                <w:color w:val="auto"/>
              </w:rPr>
            </w:pPr>
            <w:r>
              <w:rPr>
                <w:rFonts w:ascii="Arial" w:cs="Arial" w:eastAsia="Arial" w:hAnsi="Arial"/>
                <w:sz w:val="17"/>
                <w:szCs w:val="17"/>
                <w:color w:val="auto"/>
                <w:w w:val="91"/>
              </w:rPr>
              <w:t>0.50%</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127"/>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Less than or equal to 2.00 to 1.0</w:t>
            </w:r>
          </w:p>
        </w:tc>
        <w:tc>
          <w:tcPr>
            <w:tcW w:w="226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5"/>
              </w:rPr>
              <w:t>1.25%</w:t>
            </w:r>
          </w:p>
        </w:tc>
        <w:tc>
          <w:tcPr>
            <w:tcW w:w="242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1"/>
              </w:rPr>
              <w:t>0.25%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20" w:firstLine="619"/>
        <w:spacing w:after="0" w:line="312" w:lineRule="auto"/>
        <w:rPr>
          <w:sz w:val="20"/>
          <w:szCs w:val="20"/>
          <w:color w:val="auto"/>
        </w:rPr>
      </w:pPr>
      <w:r>
        <w:rPr>
          <w:rFonts w:ascii="Arial" w:cs="Arial" w:eastAsia="Arial" w:hAnsi="Arial"/>
          <w:sz w:val="16"/>
          <w:szCs w:val="16"/>
          <w:color w:val="auto"/>
        </w:rPr>
        <w:t>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vMerge w:val="restart"/>
          </w:tcPr>
          <w:p>
            <w:pPr>
              <w:ind w:left="2840"/>
              <w:spacing w:after="0"/>
              <w:rPr>
                <w:sz w:val="20"/>
                <w:szCs w:val="20"/>
                <w:color w:val="auto"/>
              </w:rPr>
            </w:pPr>
            <w:r>
              <w:rPr>
                <w:rFonts w:ascii="Arial" w:cs="Arial" w:eastAsia="Arial" w:hAnsi="Arial"/>
                <w:sz w:val="17"/>
                <w:szCs w:val="17"/>
                <w:b w:val="1"/>
                <w:bCs w:val="1"/>
                <w:color w:val="auto"/>
              </w:rPr>
              <w:t>Leverage Ratio</w:t>
            </w:r>
          </w:p>
        </w:tc>
        <w:tc>
          <w:tcPr>
            <w:tcW w:w="3620" w:type="dxa"/>
            <w:vAlign w:val="bottom"/>
          </w:tcPr>
          <w:p>
            <w:pPr>
              <w:jc w:val="center"/>
              <w:ind w:left="1274"/>
              <w:spacing w:after="0"/>
              <w:rPr>
                <w:sz w:val="20"/>
                <w:szCs w:val="20"/>
                <w:color w:val="auto"/>
              </w:rPr>
            </w:pPr>
            <w:r>
              <w:rPr>
                <w:rFonts w:ascii="Arial" w:cs="Arial" w:eastAsia="Arial" w:hAnsi="Arial"/>
                <w:sz w:val="17"/>
                <w:szCs w:val="17"/>
                <w:b w:val="1"/>
                <w:bCs w:val="1"/>
                <w:color w:val="auto"/>
                <w:w w:val="95"/>
              </w:rPr>
              <w:t>Applicable Margin for Term</w:t>
            </w:r>
          </w:p>
        </w:tc>
        <w:tc>
          <w:tcPr>
            <w:tcW w:w="2200" w:type="dxa"/>
            <w:vAlign w:val="bottom"/>
          </w:tcPr>
          <w:p>
            <w:pPr>
              <w:jc w:val="center"/>
              <w:spacing w:after="0"/>
              <w:rPr>
                <w:sz w:val="20"/>
                <w:szCs w:val="20"/>
                <w:color w:val="auto"/>
              </w:rPr>
            </w:pPr>
            <w:r>
              <w:rPr>
                <w:rFonts w:ascii="Arial" w:cs="Arial" w:eastAsia="Arial" w:hAnsi="Arial"/>
                <w:sz w:val="17"/>
                <w:szCs w:val="17"/>
                <w:b w:val="1"/>
                <w:bCs w:val="1"/>
                <w:color w:val="auto"/>
                <w:w w:val="92"/>
              </w:rPr>
              <w:t>Applicable Margin for Base</w:t>
            </w:r>
          </w:p>
        </w:tc>
        <w:tc>
          <w:tcPr>
            <w:tcW w:w="0" w:type="dxa"/>
            <w:vAlign w:val="bottom"/>
          </w:tcPr>
          <w:p>
            <w:pPr>
              <w:spacing w:after="0"/>
              <w:rPr>
                <w:sz w:val="1"/>
                <w:szCs w:val="1"/>
                <w:color w:val="auto"/>
              </w:rPr>
            </w:pPr>
          </w:p>
        </w:tc>
      </w:tr>
      <w:tr>
        <w:trPr>
          <w:trHeight w:val="219"/>
        </w:trPr>
        <w:tc>
          <w:tcPr>
            <w:tcW w:w="5400" w:type="dxa"/>
            <w:vAlign w:val="bottom"/>
            <w:tcBorders>
              <w:bottom w:val="single" w:sz="8" w:color="auto"/>
            </w:tcBorders>
            <w:vMerge w:val="continue"/>
          </w:tcPr>
          <w:p>
            <w:pPr>
              <w:spacing w:after="0"/>
              <w:rPr>
                <w:sz w:val="19"/>
                <w:szCs w:val="19"/>
                <w:color w:val="auto"/>
              </w:rPr>
            </w:pPr>
          </w:p>
        </w:tc>
        <w:tc>
          <w:tcPr>
            <w:tcW w:w="3620" w:type="dxa"/>
            <w:vAlign w:val="bottom"/>
            <w:tcBorders>
              <w:bottom w:val="single" w:sz="8" w:color="auto"/>
            </w:tcBorders>
          </w:tcPr>
          <w:p>
            <w:pPr>
              <w:jc w:val="center"/>
              <w:ind w:left="1274"/>
              <w:spacing w:after="0"/>
              <w:rPr>
                <w:sz w:val="20"/>
                <w:szCs w:val="20"/>
                <w:color w:val="auto"/>
              </w:rPr>
            </w:pPr>
            <w:r>
              <w:rPr>
                <w:rFonts w:ascii="Arial" w:cs="Arial" w:eastAsia="Arial" w:hAnsi="Arial"/>
                <w:sz w:val="17"/>
                <w:szCs w:val="17"/>
                <w:b w:val="1"/>
                <w:bCs w:val="1"/>
                <w:color w:val="auto"/>
                <w:w w:val="92"/>
              </w:rPr>
              <w:t>SOFR Loans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Arial" w:cs="Arial" w:eastAsia="Arial" w:hAnsi="Arial"/>
                <w:sz w:val="17"/>
                <w:szCs w:val="17"/>
                <w:color w:val="auto"/>
                <w:w w:val="91"/>
              </w:rPr>
              <w:t>2.50%</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1.50%</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Less than 2.75 to 1.0</w:t>
            </w:r>
          </w:p>
        </w:tc>
        <w:tc>
          <w:tcPr>
            <w:tcW w:w="3620" w:type="dxa"/>
            <w:vAlign w:val="bottom"/>
          </w:tcPr>
          <w:p>
            <w:pPr>
              <w:jc w:val="center"/>
              <w:ind w:left="1294"/>
              <w:spacing w:after="0"/>
              <w:rPr>
                <w:sz w:val="20"/>
                <w:szCs w:val="20"/>
                <w:color w:val="auto"/>
              </w:rPr>
            </w:pPr>
            <w:r>
              <w:rPr>
                <w:rFonts w:ascii="Arial" w:cs="Arial" w:eastAsia="Arial" w:hAnsi="Arial"/>
                <w:sz w:val="17"/>
                <w:szCs w:val="17"/>
                <w:color w:val="auto"/>
                <w:w w:val="91"/>
              </w:rPr>
              <w:t>2.25%</w:t>
            </w:r>
          </w:p>
        </w:tc>
        <w:tc>
          <w:tcPr>
            <w:tcW w:w="2200" w:type="dxa"/>
            <w:vAlign w:val="bottom"/>
          </w:tcPr>
          <w:p>
            <w:pPr>
              <w:jc w:val="center"/>
              <w:spacing w:after="0"/>
              <w:rPr>
                <w:sz w:val="20"/>
                <w:szCs w:val="20"/>
                <w:color w:val="auto"/>
              </w:rPr>
            </w:pPr>
            <w:r>
              <w:rPr>
                <w:rFonts w:ascii="Arial" w:cs="Arial" w:eastAsia="Arial" w:hAnsi="Arial"/>
                <w:sz w:val="17"/>
                <w:szCs w:val="17"/>
                <w:color w:val="auto"/>
                <w:w w:val="95"/>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Principal Payments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201"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90" w:lineRule="exact"/>
        <w:rPr>
          <w:sz w:val="20"/>
          <w:szCs w:val="20"/>
          <w:color w:val="auto"/>
        </w:rPr>
      </w:pPr>
    </w:p>
    <w:p>
      <w:pPr>
        <w:ind w:right="820" w:firstLine="619"/>
        <w:spacing w:after="0" w:line="279" w:lineRule="auto"/>
        <w:rPr>
          <w:sz w:val="20"/>
          <w:szCs w:val="20"/>
          <w:color w:val="auto"/>
        </w:rPr>
      </w:pPr>
      <w:r>
        <w:rPr>
          <w:rFonts w:ascii="Arial" w:cs="Arial" w:eastAsia="Arial" w:hAnsi="Arial"/>
          <w:sz w:val="17"/>
          <w:szCs w:val="17"/>
          <w:color w:val="auto"/>
        </w:rPr>
        <w:t>We may borrow, prepay and re-borrow amounts under the Revolving Credit Facility, in accordance with the terms and conditions of the Credit Agreement, with all outstanding amounts due at maturity.</w:t>
      </w:r>
    </w:p>
    <w:p>
      <w:pPr>
        <w:spacing w:after="0" w:line="190"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During March 2022, we prepaid $16.0 million in principal payments on the Term Loan A principal balance. During 2022, we paid $18.1 million in principal payments.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Payments</w:t>
      </w:r>
    </w:p>
    <w:p>
      <w:pPr>
        <w:spacing w:after="0" w:line="243"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spacing w:after="0" w:line="204" w:lineRule="exact"/>
        <w:rPr>
          <w:sz w:val="20"/>
          <w:szCs w:val="20"/>
          <w:color w:val="auto"/>
        </w:rPr>
      </w:pPr>
    </w:p>
    <w:p>
      <w:pPr>
        <w:ind w:right="380" w:firstLine="619"/>
        <w:spacing w:after="0" w:line="276" w:lineRule="auto"/>
        <w:rPr>
          <w:sz w:val="20"/>
          <w:szCs w:val="20"/>
          <w:color w:val="auto"/>
        </w:rPr>
      </w:pPr>
      <w:r>
        <w:rPr>
          <w:rFonts w:ascii="Arial" w:cs="Arial" w:eastAsia="Arial" w:hAnsi="Arial"/>
          <w:sz w:val="16"/>
          <w:szCs w:val="16"/>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ind w:left="620"/>
        <w:spacing w:after="0"/>
        <w:rPr>
          <w:sz w:val="20"/>
          <w:szCs w:val="20"/>
          <w:color w:val="auto"/>
        </w:rPr>
      </w:pPr>
      <w:r>
        <w:rPr>
          <w:rFonts w:ascii="Arial" w:cs="Arial" w:eastAsia="Arial" w:hAnsi="Arial"/>
          <w:sz w:val="17"/>
          <w:szCs w:val="17"/>
          <w:i w:val="1"/>
          <w:iCs w:val="1"/>
          <w:color w:val="auto"/>
        </w:rPr>
        <w:t>Guarantors and Collateral</w:t>
      </w:r>
    </w:p>
    <w:p>
      <w:pPr>
        <w:spacing w:after="0" w:line="232"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Our obligations under the Credit Agreement are unconditionally guaranteed, on a joint and several basis, by ICU Medical, Inc. and certain of our existing subsidiaries.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Debt Covenants</w:t>
      </w:r>
    </w:p>
    <w:p>
      <w:pPr>
        <w:spacing w:after="0" w:line="243"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204"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financial covenants include the Senior Secured Leverage Ratio and the Interest Coverage Ratio, both defined below, and pertain to the Term Loan A and the Revolving Credit Facility.</w:t>
      </w:r>
    </w:p>
    <w:p>
      <w:pPr>
        <w:spacing w:after="0" w:line="190" w:lineRule="exact"/>
        <w:rPr>
          <w:sz w:val="20"/>
          <w:szCs w:val="20"/>
          <w:color w:val="auto"/>
        </w:rPr>
      </w:pPr>
    </w:p>
    <w:p>
      <w:pPr>
        <w:ind w:right="20" w:firstLine="619"/>
        <w:spacing w:after="0" w:line="307" w:lineRule="auto"/>
        <w:rPr>
          <w:sz w:val="20"/>
          <w:szCs w:val="20"/>
          <w:color w:val="auto"/>
        </w:rPr>
      </w:pPr>
      <w:r>
        <w:rPr>
          <w:rFonts w:ascii="Arial" w:cs="Arial" w:eastAsia="Arial" w:hAnsi="Arial"/>
          <w:sz w:val="15"/>
          <w:szCs w:val="15"/>
          <w:color w:val="auto"/>
        </w:rPr>
        <w:t>The Senior Secured Leverage Ratio is defined, at any such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75"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Interest Coverage ratio is defined, at any such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in compliance with all financial covenants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Credit Facility</w:t>
      </w:r>
    </w:p>
    <w:p>
      <w:pPr>
        <w:spacing w:after="0" w:line="243" w:lineRule="exact"/>
        <w:rPr>
          <w:sz w:val="20"/>
          <w:szCs w:val="20"/>
          <w:color w:val="auto"/>
        </w:rPr>
      </w:pPr>
    </w:p>
    <w:p>
      <w:pPr>
        <w:ind w:right="180" w:firstLine="172"/>
        <w:spacing w:after="0" w:line="258" w:lineRule="auto"/>
        <w:rPr>
          <w:sz w:val="20"/>
          <w:szCs w:val="20"/>
          <w:color w:val="auto"/>
        </w:rPr>
      </w:pPr>
      <w:r>
        <w:rPr>
          <w:rFonts w:ascii="Arial" w:cs="Arial" w:eastAsia="Arial" w:hAnsi="Arial"/>
          <w:sz w:val="17"/>
          <w:szCs w:val="17"/>
          <w:color w:val="auto"/>
        </w:rPr>
        <w:t>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 There were no borrowings outstanding under the Prior Credit Facility at that date or at December 31, 2021. The remaining unamortized deferred debt issuance costs related to the Prior Credit Facility were not material and were expensed in connection with its termination. See further details of the terms of the Prior Credit Facility in Note 11 in Part II, Item 8, of our 2021 Annual Report on Form 10-K.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values of our long-term debt consist of the following (in thousands):</w:t>
      </w:r>
    </w:p>
    <w:p>
      <w:pPr>
        <w:spacing w:after="0" w:line="39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2500" w:type="dxa"/>
            <w:vAlign w:val="bottom"/>
            <w:gridSpan w:val="3"/>
            <w:vMerge w:val="restart"/>
          </w:tcPr>
          <w:p>
            <w:pPr>
              <w:ind w:left="760"/>
              <w:spacing w:after="0"/>
              <w:rPr>
                <w:sz w:val="20"/>
                <w:szCs w:val="20"/>
                <w:color w:val="auto"/>
              </w:rPr>
            </w:pPr>
            <w:r>
              <w:rPr>
                <w:rFonts w:ascii="Arial" w:cs="Arial" w:eastAsia="Arial" w:hAnsi="Arial"/>
                <w:sz w:val="15"/>
                <w:szCs w:val="15"/>
                <w:b w:val="1"/>
                <w:bCs w:val="1"/>
                <w:color w:val="auto"/>
              </w:rPr>
              <w:t>Effective Interest Rate</w:t>
            </w:r>
          </w:p>
        </w:tc>
        <w:tc>
          <w:tcPr>
            <w:tcW w:w="7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4"/>
        </w:trPr>
        <w:tc>
          <w:tcPr>
            <w:tcW w:w="638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ind w:right="117"/>
              <w:spacing w:after="0"/>
              <w:rPr>
                <w:sz w:val="20"/>
                <w:szCs w:val="20"/>
                <w:color w:val="auto"/>
              </w:rPr>
            </w:pPr>
            <w:r>
              <w:rPr>
                <w:rFonts w:ascii="Arial" w:cs="Arial" w:eastAsia="Arial" w:hAnsi="Arial"/>
                <w:sz w:val="15"/>
                <w:szCs w:val="15"/>
                <w:b w:val="1"/>
                <w:bCs w:val="1"/>
                <w:color w:val="auto"/>
                <w:w w:val="90"/>
              </w:rPr>
              <w:t>June 30, 2022</w:t>
            </w:r>
          </w:p>
        </w:tc>
        <w:tc>
          <w:tcPr>
            <w:tcW w:w="0" w:type="dxa"/>
            <w:vAlign w:val="bottom"/>
          </w:tcPr>
          <w:p>
            <w:pPr>
              <w:spacing w:after="0"/>
              <w:rPr>
                <w:sz w:val="1"/>
                <w:szCs w:val="1"/>
                <w:color w:val="auto"/>
              </w:rPr>
            </w:pPr>
          </w:p>
        </w:tc>
      </w:tr>
      <w:tr>
        <w:trPr>
          <w:trHeight w:val="201"/>
        </w:trPr>
        <w:tc>
          <w:tcPr>
            <w:tcW w:w="63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i w:val="1"/>
                <w:iCs w:val="1"/>
                <w:color w:val="auto"/>
              </w:rPr>
              <w:t>Senior Secured Credit Facilities:</w:t>
            </w:r>
          </w:p>
        </w:tc>
        <w:tc>
          <w:tcPr>
            <w:tcW w:w="1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740"/>
              <w:spacing w:after="0"/>
              <w:rPr>
                <w:sz w:val="20"/>
                <w:szCs w:val="20"/>
                <w:color w:val="auto"/>
              </w:rPr>
            </w:pPr>
            <w:r>
              <w:rPr>
                <w:rFonts w:ascii="Arial" w:cs="Arial" w:eastAsia="Arial" w:hAnsi="Arial"/>
                <w:sz w:val="17"/>
                <w:szCs w:val="17"/>
                <w:color w:val="auto"/>
              </w:rPr>
              <w:t>Term Loan A — principal</w:t>
            </w:r>
          </w:p>
        </w:tc>
        <w:tc>
          <w:tcPr>
            <w:tcW w:w="1900" w:type="dxa"/>
            <w:vAlign w:val="bottom"/>
          </w:tcPr>
          <w:p>
            <w:pPr>
              <w:jc w:val="right"/>
              <w:ind w:right="236"/>
              <w:spacing w:after="0"/>
              <w:rPr>
                <w:sz w:val="20"/>
                <w:szCs w:val="20"/>
                <w:color w:val="auto"/>
              </w:rPr>
            </w:pPr>
            <w:r>
              <w:rPr>
                <w:rFonts w:ascii="Arial" w:cs="Arial" w:eastAsia="Arial" w:hAnsi="Arial"/>
                <w:sz w:val="17"/>
                <w:szCs w:val="17"/>
                <w:color w:val="auto"/>
              </w:rPr>
              <w:t>4.44</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Term Loan B — principal</w:t>
            </w:r>
          </w:p>
        </w:tc>
        <w:tc>
          <w:tcPr>
            <w:tcW w:w="19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5.11</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6380" w:type="dxa"/>
            <w:vAlign w:val="bottom"/>
          </w:tcPr>
          <w:p>
            <w:pPr>
              <w:ind w:left="740"/>
              <w:spacing w:after="0"/>
              <w:rPr>
                <w:sz w:val="20"/>
                <w:szCs w:val="20"/>
                <w:color w:val="auto"/>
              </w:rPr>
            </w:pPr>
            <w:r>
              <w:rPr>
                <w:rFonts w:ascii="Arial" w:cs="Arial" w:eastAsia="Arial" w:hAnsi="Arial"/>
                <w:sz w:val="17"/>
                <w:szCs w:val="17"/>
                <w:color w:val="auto"/>
              </w:rPr>
              <w:t>Revolving Credit Facility — principal</w:t>
            </w:r>
          </w:p>
        </w:tc>
        <w:tc>
          <w:tcPr>
            <w:tcW w:w="190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840"/>
              <w:spacing w:after="0" w:line="220" w:lineRule="exact"/>
              <w:rPr>
                <w:sz w:val="20"/>
                <w:szCs w:val="20"/>
                <w:color w:val="auto"/>
              </w:rPr>
            </w:pPr>
            <w:r>
              <w:rPr>
                <w:rFonts w:ascii="Arial" w:cs="Arial" w:eastAsia="Arial" w:hAnsi="Arial"/>
                <w:sz w:val="17"/>
                <w:szCs w:val="17"/>
                <w:color w:val="auto"/>
              </w:rPr>
              <w:t>Less unamortized debt issuance costs</w:t>
            </w:r>
            <w:r>
              <w:rPr>
                <w:rFonts w:ascii="Arial" w:cs="Arial" w:eastAsia="Arial" w:hAnsi="Arial"/>
                <w:sz w:val="22"/>
                <w:szCs w:val="22"/>
                <w:color w:val="auto"/>
                <w:vertAlign w:val="superscript"/>
              </w:rPr>
              <w:t>(1)</w:t>
            </w:r>
          </w:p>
        </w:tc>
        <w:tc>
          <w:tcPr>
            <w:tcW w:w="1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80" w:type="dxa"/>
            <w:vAlign w:val="bottom"/>
          </w:tcPr>
          <w:p>
            <w:pPr>
              <w:ind w:left="740"/>
              <w:spacing w:after="0"/>
              <w:rPr>
                <w:sz w:val="20"/>
                <w:szCs w:val="20"/>
                <w:color w:val="auto"/>
              </w:rPr>
            </w:pPr>
            <w:r>
              <w:rPr>
                <w:rFonts w:ascii="Arial" w:cs="Arial" w:eastAsia="Arial" w:hAnsi="Arial"/>
                <w:sz w:val="17"/>
                <w:szCs w:val="17"/>
                <w:color w:val="auto"/>
              </w:rPr>
              <w:t>Total carrying value of long-term debt</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Less current portion of long-term debt</w:t>
            </w:r>
          </w:p>
        </w:tc>
        <w:tc>
          <w:tcPr>
            <w:tcW w:w="1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740"/>
              <w:spacing w:after="0"/>
              <w:rPr>
                <w:sz w:val="20"/>
                <w:szCs w:val="20"/>
                <w:color w:val="auto"/>
              </w:rPr>
            </w:pPr>
            <w:r>
              <w:rPr>
                <w:rFonts w:ascii="Arial" w:cs="Arial" w:eastAsia="Arial" w:hAnsi="Arial"/>
                <w:sz w:val="17"/>
                <w:szCs w:val="17"/>
                <w:color w:val="auto"/>
              </w:rPr>
              <w:t>Long-term debt, net</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50"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20"/>
          <w:szCs w:val="20"/>
          <w:color w:val="auto"/>
          <w:vertAlign w:val="superscript"/>
        </w:rPr>
      </w:pPr>
      <w:r>
        <w:rPr>
          <w:rFonts w:ascii="Arial" w:cs="Arial" w:eastAsia="Arial" w:hAnsi="Arial"/>
          <w:sz w:val="17"/>
          <w:szCs w:val="17"/>
          <w:color w:val="auto"/>
        </w:rPr>
        <w:t>Comprised of $14.2 million and $12.6 million relating to the Term Loan A and the Term Loan B, respectively.</w:t>
      </w:r>
    </w:p>
    <w:p>
      <w:pPr>
        <w:spacing w:after="0" w:line="221"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As of June 30, 2022, the aggregate amount of principal repayments of our long-term debt (including any current portion) for each of the next five years is approximately (in thousands):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8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Remainder of 2022</w:t>
            </w:r>
          </w:p>
        </w:tc>
        <w:tc>
          <w:tcPr>
            <w:tcW w:w="11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9"/>
                <w:szCs w:val="19"/>
                <w:color w:val="auto"/>
              </w:rPr>
            </w:pPr>
          </w:p>
        </w:tc>
      </w:tr>
      <w:tr>
        <w:trPr>
          <w:trHeight w:val="218"/>
        </w:trPr>
        <w:tc>
          <w:tcPr>
            <w:tcW w:w="8840" w:type="dxa"/>
            <w:vAlign w:val="bottom"/>
          </w:tcPr>
          <w:p>
            <w:pPr>
              <w:ind w:left="640"/>
              <w:spacing w:after="0"/>
              <w:rPr>
                <w:sz w:val="20"/>
                <w:szCs w:val="20"/>
                <w:color w:val="auto"/>
              </w:rPr>
            </w:pPr>
            <w:r>
              <w:rPr>
                <w:rFonts w:ascii="Arial" w:cs="Arial" w:eastAsia="Arial" w:hAnsi="Arial"/>
                <w:sz w:val="17"/>
                <w:szCs w:val="17"/>
                <w:color w:val="auto"/>
              </w:rPr>
              <w:t>2023</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8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2024</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8"/>
        </w:trPr>
        <w:tc>
          <w:tcPr>
            <w:tcW w:w="8840" w:type="dxa"/>
            <w:vAlign w:val="bottom"/>
          </w:tcPr>
          <w:p>
            <w:pPr>
              <w:ind w:left="640"/>
              <w:spacing w:after="0"/>
              <w:rPr>
                <w:sz w:val="20"/>
                <w:szCs w:val="20"/>
                <w:color w:val="auto"/>
              </w:rPr>
            </w:pPr>
            <w:r>
              <w:rPr>
                <w:rFonts w:ascii="Arial" w:cs="Arial" w:eastAsia="Arial" w:hAnsi="Arial"/>
                <w:sz w:val="17"/>
                <w:szCs w:val="17"/>
                <w:color w:val="auto"/>
              </w:rPr>
              <w:t>2025</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8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2026</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8"/>
        </w:trPr>
        <w:tc>
          <w:tcPr>
            <w:tcW w:w="8840" w:type="dxa"/>
            <w:vAlign w:val="bottom"/>
          </w:tcPr>
          <w:p>
            <w:pPr>
              <w:ind w:left="640"/>
              <w:spacing w:after="0"/>
              <w:rPr>
                <w:sz w:val="20"/>
                <w:szCs w:val="20"/>
                <w:color w:val="auto"/>
              </w:rPr>
            </w:pPr>
            <w:r>
              <w:rPr>
                <w:rFonts w:ascii="Arial" w:cs="Arial" w:eastAsia="Arial" w:hAnsi="Arial"/>
                <w:sz w:val="17"/>
                <w:szCs w:val="17"/>
                <w:color w:val="auto"/>
              </w:rPr>
              <w:t>2027</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9"/>
        </w:trPr>
        <w:tc>
          <w:tcPr>
            <w:tcW w:w="8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Thereafter</w:t>
            </w:r>
          </w:p>
        </w:tc>
        <w:tc>
          <w:tcPr>
            <w:tcW w:w="1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3"/>
        </w:trPr>
        <w:tc>
          <w:tcPr>
            <w:tcW w:w="8840" w:type="dxa"/>
            <w:vAlign w:val="bottom"/>
          </w:tcPr>
          <w:p>
            <w:pPr>
              <w:ind w:left="76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8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total interest expense related to our long-term debt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4" w:name="page35"/>
    <w:bookmarkEnd w:id="34"/>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20" w:type="dxa"/>
            <w:vAlign w:val="bottom"/>
            <w:gridSpan w:val="4"/>
          </w:tcPr>
          <w:p>
            <w:pPr>
              <w:jc w:val="right"/>
              <w:ind w:right="14"/>
              <w:spacing w:after="0"/>
              <w:rPr>
                <w:sz w:val="20"/>
                <w:szCs w:val="20"/>
                <w:color w:val="auto"/>
              </w:rPr>
            </w:pPr>
            <w:r>
              <w:rPr>
                <w:rFonts w:ascii="Arial" w:cs="Arial" w:eastAsia="Arial" w:hAnsi="Arial"/>
                <w:sz w:val="17"/>
                <w:szCs w:val="17"/>
                <w:b w:val="1"/>
                <w:bCs w:val="1"/>
                <w:color w:val="auto"/>
                <w:w w:val="95"/>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40" w:type="dxa"/>
            <w:vAlign w:val="bottom"/>
            <w:gridSpan w:val="4"/>
          </w:tcPr>
          <w:p>
            <w:pPr>
              <w:jc w:val="right"/>
              <w:ind w:right="578"/>
              <w:spacing w:after="0"/>
              <w:rPr>
                <w:sz w:val="20"/>
                <w:szCs w:val="20"/>
                <w:color w:val="auto"/>
              </w:rPr>
            </w:pPr>
            <w:r>
              <w:rPr>
                <w:rFonts w:ascii="Arial" w:cs="Arial" w:eastAsia="Arial" w:hAnsi="Arial"/>
                <w:sz w:val="17"/>
                <w:szCs w:val="17"/>
                <w:b w:val="1"/>
                <w:bCs w:val="1"/>
                <w:color w:val="auto"/>
                <w:w w:val="99"/>
              </w:rPr>
              <w:t>Six months ended</w:t>
            </w: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7"/>
                <w:szCs w:val="17"/>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Contractual interest</w:t>
            </w:r>
          </w:p>
        </w:tc>
        <w:tc>
          <w:tcPr>
            <w:tcW w:w="156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22,639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tcPr>
          <w:p>
            <w:pPr>
              <w:ind w:left="640"/>
              <w:spacing w:after="0" w:line="168" w:lineRule="exact"/>
              <w:rPr>
                <w:sz w:val="20"/>
                <w:szCs w:val="20"/>
                <w:color w:val="auto"/>
              </w:rPr>
            </w:pPr>
            <w:r>
              <w:rPr>
                <w:rFonts w:ascii="Arial" w:cs="Arial" w:eastAsia="Arial" w:hAnsi="Arial"/>
                <w:sz w:val="17"/>
                <w:szCs w:val="17"/>
                <w:color w:val="auto"/>
              </w:rPr>
              <w:t>Amortization of debt</w:t>
            </w:r>
          </w:p>
        </w:tc>
        <w:tc>
          <w:tcPr>
            <w:tcW w:w="15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1,799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3,442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Arial" w:cs="Arial" w:eastAsia="Arial" w:hAnsi="Arial"/>
                <w:sz w:val="17"/>
                <w:szCs w:val="17"/>
                <w:color w:val="auto"/>
              </w:rPr>
              <w:t>issuance costs</w:t>
            </w:r>
          </w:p>
        </w:tc>
        <w:tc>
          <w:tcPr>
            <w:tcW w:w="1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640"/>
              <w:spacing w:after="0" w:line="169" w:lineRule="exact"/>
              <w:rPr>
                <w:sz w:val="20"/>
                <w:szCs w:val="20"/>
                <w:color w:val="auto"/>
              </w:rPr>
            </w:pPr>
            <w:r>
              <w:rPr>
                <w:rFonts w:ascii="Arial" w:cs="Arial" w:eastAsia="Arial" w:hAnsi="Arial"/>
                <w:sz w:val="17"/>
                <w:szCs w:val="17"/>
                <w:color w:val="auto"/>
              </w:rPr>
              <w:t>Commitment fee —</w:t>
            </w:r>
          </w:p>
        </w:tc>
        <w:tc>
          <w:tcPr>
            <w:tcW w:w="15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1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740"/>
              <w:spacing w:after="0"/>
              <w:rPr>
                <w:sz w:val="20"/>
                <w:szCs w:val="20"/>
                <w:color w:val="auto"/>
              </w:rPr>
            </w:pPr>
            <w:r>
              <w:rPr>
                <w:rFonts w:ascii="Arial" w:cs="Arial" w:eastAsia="Arial" w:hAnsi="Arial"/>
                <w:sz w:val="17"/>
                <w:szCs w:val="17"/>
                <w:color w:val="auto"/>
              </w:rPr>
              <w:t>Total interest expense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14,730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26,742</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Agreement</w:t>
      </w:r>
    </w:p>
    <w:p>
      <w:pPr>
        <w:spacing w:after="0" w:line="243" w:lineRule="exact"/>
        <w:rPr>
          <w:sz w:val="20"/>
          <w:szCs w:val="20"/>
          <w:color w:val="auto"/>
        </w:rPr>
      </w:pPr>
    </w:p>
    <w:p>
      <w:pPr>
        <w:ind w:right="200" w:firstLine="619"/>
        <w:spacing w:after="0" w:line="256" w:lineRule="auto"/>
        <w:rPr>
          <w:sz w:val="20"/>
          <w:szCs w:val="20"/>
          <w:color w:val="auto"/>
        </w:rPr>
      </w:pPr>
      <w:r>
        <w:rPr>
          <w:rFonts w:ascii="Arial" w:cs="Arial" w:eastAsia="Arial" w:hAnsi="Arial"/>
          <w:sz w:val="17"/>
          <w:szCs w:val="17"/>
          <w:color w:val="auto"/>
        </w:rPr>
        <w:t>At the completion of the Smiths Medical acquisition on January 6, 2022, Smiths owns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transaction and (ii) to certain of our competitors and certain other parties, as well as customary standstill limitations. The Shareholders Agreement also permits Smiths to designate one individual for election to our Board of Directors (the "Board") so long as Smiths beneficially owns at least 5.0% of the total outstanding shares of our common stock. On February 1, 2022, our Board appointed a new director designated by Smiths pursuant to the Shareholders Agreement who was elected to the Board at the 2022 Annual Meeting of Stockholders held in May 2022. This appointment expands the size of our Board from eight to nine members. See our Current Report on Form 8-K filed on February 1, 2022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ind w:right="100" w:firstLine="172"/>
        <w:spacing w:after="0" w:line="262" w:lineRule="auto"/>
        <w:rPr>
          <w:sz w:val="20"/>
          <w:szCs w:val="20"/>
          <w:color w:val="auto"/>
        </w:rPr>
      </w:pPr>
      <w:r>
        <w:rPr>
          <w:rFonts w:ascii="Arial" w:cs="Arial" w:eastAsia="Arial" w:hAnsi="Arial"/>
          <w:sz w:val="17"/>
          <w:szCs w:val="17"/>
          <w:color w:val="auto"/>
        </w:rPr>
        <w:t>In August 2019, our Board approved a share purchase plan to purchase up to $100.0 million of our common stock. This plan has no expiration date. During the three months ended June 30, 2022, we did not purchase any shares of our common stock under our share purchase plan. As of June 30, 2022, all of the $100.0 million available for purchase was remaining under the plan. We are currently limited on share purchases in accordance with the terms and conditions of our Credit Agreement (see Note 17: Long-Term Debt).</w:t>
      </w:r>
    </w:p>
    <w:p>
      <w:pPr>
        <w:spacing w:after="0" w:line="204" w:lineRule="exact"/>
        <w:rPr>
          <w:sz w:val="20"/>
          <w:szCs w:val="20"/>
          <w:color w:val="auto"/>
        </w:rPr>
      </w:pPr>
    </w:p>
    <w:p>
      <w:pPr>
        <w:ind w:right="100" w:firstLine="172"/>
        <w:spacing w:after="0" w:line="307" w:lineRule="auto"/>
        <w:rPr>
          <w:sz w:val="20"/>
          <w:szCs w:val="20"/>
          <w:color w:val="auto"/>
        </w:rPr>
      </w:pPr>
      <w:r>
        <w:rPr>
          <w:rFonts w:ascii="Arial" w:cs="Arial" w:eastAsia="Arial" w:hAnsi="Arial"/>
          <w:sz w:val="15"/>
          <w:szCs w:val="15"/>
          <w:color w:val="auto"/>
        </w:rPr>
        <w:t>For the six months ended June 30, 2022, we withheld 44,759 shares of our common stock from employee vested restricted stock units in consideration for $10.4 million in payments made on the employees' behalf for their minimum statutory income tax withholding obligations. For the three months ended June 30, 2021, we withheld 37,882 shares of our common stock from employee vested restricted stock units in consideration for $7.8 million in payments made on the employees' behalf for their minimum statutory income tax withholding obligations. Treasury stock is used to issue shares for stock option exercises and restricted stock grants.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 Income ("AOCI")</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components of AOCI, net of tax, were as follows (in thousands):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Unrealized (Losses)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tcPr>
          <w:p>
            <w:pPr>
              <w:jc w:val="center"/>
              <w:ind w:right="120"/>
              <w:spacing w:after="0" w:line="167" w:lineRule="exact"/>
              <w:rPr>
                <w:sz w:val="20"/>
                <w:szCs w:val="20"/>
                <w:color w:val="auto"/>
              </w:rPr>
            </w:pPr>
            <w:r>
              <w:rPr>
                <w:rFonts w:ascii="Arial" w:cs="Arial" w:eastAsia="Arial" w:hAnsi="Arial"/>
                <w:sz w:val="17"/>
                <w:szCs w:val="17"/>
                <w:b w:val="1"/>
                <w:bCs w:val="1"/>
                <w:color w:val="auto"/>
                <w:w w:val="91"/>
              </w:rPr>
              <w:t>Gains on Cash Flow</w:t>
            </w:r>
          </w:p>
        </w:tc>
        <w:tc>
          <w:tcPr>
            <w:tcW w:w="16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30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4"/>
              </w:rPr>
              <w:t>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(19,269)</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25,782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20,851</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23,572</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(99,805)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10,245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(89,546)</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(99,805)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8,144</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(91,647)</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(92,275)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Unrealized Gains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87"/>
              </w:rPr>
              <w:t>(Losses) on Cash</w:t>
            </w:r>
          </w:p>
        </w:tc>
        <w:tc>
          <w:tcPr>
            <w:tcW w:w="16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1,302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335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17"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Although we can provide no assurances, we have never incurred, nor do we expect to incur, any material liability for indemnification.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On January 6, 2022, we acquired Smiths Medical. Total consideration for the acquisition includes a potential earn-out payment of $100.0 million in cash contingent on our common stock achieving a certain volume-weighted average price from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closing date to either the third or fourth anniversary of closing. As of June 30, 2022, the estimated fair value of the contingent earn-out is $26.1 million (see Note 9: Fair Value Measurements).</w:t>
      </w:r>
    </w:p>
    <w:p>
      <w:pPr>
        <w:spacing w:after="0" w:line="190" w:lineRule="exact"/>
        <w:rPr>
          <w:sz w:val="20"/>
          <w:szCs w:val="20"/>
          <w:color w:val="auto"/>
        </w:rPr>
      </w:pPr>
    </w:p>
    <w:p>
      <w:pPr>
        <w:ind w:right="160" w:firstLine="619"/>
        <w:spacing w:after="0" w:line="277" w:lineRule="auto"/>
        <w:rPr>
          <w:sz w:val="20"/>
          <w:szCs w:val="20"/>
          <w:color w:val="auto"/>
        </w:rPr>
      </w:pPr>
      <w:r>
        <w:rPr>
          <w:rFonts w:ascii="Arial" w:cs="Arial" w:eastAsia="Arial" w:hAnsi="Arial"/>
          <w:sz w:val="16"/>
          <w:szCs w:val="16"/>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June 30, 2022 is $53.9 million.</w:t>
      </w:r>
    </w:p>
    <w:p>
      <w:pPr>
        <w:spacing w:after="0" w:line="196"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June 30, 2022, the estimated fair value of the contingent earn-out is $1.7 million (see Note 9: Fair Value Measurements).</w:t>
      </w:r>
    </w:p>
    <w:p>
      <w:pPr>
        <w:spacing w:after="0" w:line="189"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During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June 30, 2022, the estimated fair value of the contingent earn-out is $2.6 million (see Note 9: Fair Value Measurements).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non-cancelable operating lease agreements where we are contractually obligated to pay certain lease payment amounts (see Note 6: Leases).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5"/>
          <w:szCs w:val="15"/>
          <w:b w:val="1"/>
          <w:bCs w:val="1"/>
          <w:color w:val="auto"/>
        </w:rPr>
        <w:t>Collaborative and Other Arrangements</w:t>
      </w:r>
    </w:p>
    <w:p>
      <w:pPr>
        <w:spacing w:after="0" w:line="249" w:lineRule="exact"/>
        <w:rPr>
          <w:sz w:val="20"/>
          <w:szCs w:val="20"/>
          <w:color w:val="auto"/>
        </w:rPr>
      </w:pPr>
    </w:p>
    <w:p>
      <w:pPr>
        <w:ind w:firstLine="172"/>
        <w:spacing w:after="0" w:line="272" w:lineRule="auto"/>
        <w:rPr>
          <w:sz w:val="20"/>
          <w:szCs w:val="20"/>
          <w:color w:val="auto"/>
        </w:rPr>
      </w:pPr>
      <w:r>
        <w:rPr>
          <w:rFonts w:ascii="Arial" w:cs="Arial" w:eastAsia="Arial" w:hAnsi="Arial"/>
          <w:sz w:val="16"/>
          <w:szCs w:val="16"/>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 minimum purchase obligation of $29.6 million and expires on November 30, 2022. As of March 31, 2022, we had satisfied the minimum purchase obligations under the Product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3" w:lineRule="exact"/>
        <w:rPr>
          <w:sz w:val="20"/>
          <w:szCs w:val="20"/>
          <w:color w:val="auto"/>
        </w:rPr>
      </w:pPr>
    </w:p>
    <w:p>
      <w:pPr>
        <w:ind w:right="120" w:firstLine="169"/>
        <w:spacing w:after="0" w:line="349"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2021 included in our Annual Report on Form 10-K.</w:t>
      </w:r>
    </w:p>
    <w:p>
      <w:pPr>
        <w:spacing w:after="0" w:line="117" w:lineRule="exact"/>
        <w:rPr>
          <w:sz w:val="20"/>
          <w:szCs w:val="20"/>
          <w:color w:val="auto"/>
        </w:rPr>
      </w:pPr>
    </w:p>
    <w:p>
      <w:pPr>
        <w:ind w:right="560" w:firstLine="169"/>
        <w:spacing w:after="0" w:line="279" w:lineRule="auto"/>
        <w:rPr>
          <w:sz w:val="20"/>
          <w:szCs w:val="20"/>
          <w:color w:val="auto"/>
        </w:rPr>
      </w:pPr>
      <w:r>
        <w:rPr>
          <w:rFonts w:ascii="Arial" w:cs="Arial" w:eastAsia="Arial" w:hAnsi="Arial"/>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On January 6, 2022 we completed the acquisition of Smiths Medical 2020 Limited ("Smiths Medical"), the holding company of Smiths Group plc's global medical device business. See "Acquisitions" below for additional detail regarding the acquisition transaction. Smiths Medical is engaged in the development, manufacture and sale of syringe and ambulatory infusion devices, vascular access, and vital care products used in hospital, emergency, home and alternative care settings. Our acquisition of Smiths Medical was strategic and increases our focus and scale in infusion therapy globally which we believe will enhance our competitive position as a leader within the industry.</w:t>
      </w:r>
    </w:p>
    <w:p>
      <w:pPr>
        <w:spacing w:after="0" w:line="209"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The combination of ICU and Smiths Medical brings together two highly complementary product portfolios to create a comprehensive range of offerings utilized in the infusion therapy care continuum. Our existing product portfolio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 The acquisition of Smiths Medical broadened our product portfolio to include syringe and ambulatory pumps, peripheral IV catheters, fluid warming and respiratory devices, silicone and PVC tracheotomy tubes, among other products.</w:t>
      </w:r>
    </w:p>
    <w:p>
      <w:pPr>
        <w:spacing w:after="0" w:line="196"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Following the Smiths Medical acquisition, we are initially presenting the following product lines in addition to our legacy product lines: Infusion Systems-Smiths Medical, Vascular Access-Smiths Medical and Vital Care-Smiths Medical. See "Products" in the remainder of this item for a list of our primary products included in each line.</w:t>
      </w:r>
    </w:p>
    <w:p>
      <w:pPr>
        <w:spacing w:after="0" w:line="201" w:lineRule="exact"/>
        <w:rPr>
          <w:sz w:val="20"/>
          <w:szCs w:val="20"/>
          <w:color w:val="auto"/>
        </w:rPr>
      </w:pPr>
    </w:p>
    <w:p>
      <w:pPr>
        <w:ind w:right="260" w:firstLine="619"/>
        <w:spacing w:after="0" w:line="312" w:lineRule="auto"/>
        <w:rPr>
          <w:sz w:val="20"/>
          <w:szCs w:val="20"/>
          <w:color w:val="auto"/>
        </w:rPr>
      </w:pPr>
      <w:r>
        <w:rPr>
          <w:rFonts w:ascii="Arial" w:cs="Arial" w:eastAsia="Arial" w:hAnsi="Arial"/>
          <w:sz w:val="16"/>
          <w:szCs w:val="16"/>
          <w:color w:val="auto"/>
        </w:rPr>
        <w:t>Our primary customers are acute care hospitals, wholesalers, ambulatory clinics and alternate site facilities, such as clinics, home health care providers and long-term care facilities. With the addition of Smiths Medical we sell our products in more than 90 countries throughout the world.</w:t>
      </w:r>
    </w:p>
    <w:p>
      <w:pPr>
        <w:spacing w:after="0" w:line="166"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following information is additional to and not a substitute for the Business section under Part I, Item 1 of our Annual Report on Form 10-K for the year ended December 31, 2021 and should be read in conjunction with that filing:</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Manufacturing Changes</w:t>
      </w:r>
    </w:p>
    <w:p>
      <w:pPr>
        <w:spacing w:after="0" w:line="243"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With the acquisition of the Smiths Medical business, we now operate additional manufacturing facilities including five facilities in the United States ("U.S."), two facilities in Mexico and two in the UK, and one facility in the Czech Republic, Italy and China.</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Service Centers</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With the acquisition of the Smiths Medical business, we now operate additional service and repair facilities in the U.S., Canada, two locations in Europe and four locations in Asia.</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Distribution Changes</w:t>
      </w:r>
    </w:p>
    <w:p>
      <w:pPr>
        <w:spacing w:after="0" w:line="243"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Following the Smiths Medical acquisition, we operate two additional main distribution centers, one in the U.S. supporting the Americas and International and one in the Netherlands mainly supporting EMEA. We have a further eleven smaller distribution centers globally three of which are in the U.S., two centers in EMEA and China, and one center in Canada, the U.K., Japan and India.</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Competition Changes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Infusion Systems product line of Smiths Medical competes with many of the same competitors as those referenced in Part I, Item 1. "Business" of our 2021 Annual Report on Form 10-K as well as additional competitors such as Moog Medical and Fresenius.</w:t>
      </w:r>
    </w:p>
    <w:p>
      <w:pPr>
        <w:spacing w:after="0" w:line="177" w:lineRule="exact"/>
        <w:rPr>
          <w:sz w:val="20"/>
          <w:szCs w:val="20"/>
          <w:color w:val="auto"/>
        </w:rPr>
      </w:pPr>
    </w:p>
    <w:p>
      <w:pPr>
        <w:ind w:right="80" w:firstLine="619"/>
        <w:spacing w:after="0" w:line="232" w:lineRule="auto"/>
        <w:rPr>
          <w:sz w:val="20"/>
          <w:szCs w:val="20"/>
          <w:color w:val="auto"/>
        </w:rPr>
      </w:pPr>
      <w:r>
        <w:rPr>
          <w:rFonts w:ascii="Arial" w:cs="Arial" w:eastAsia="Arial" w:hAnsi="Arial"/>
          <w:sz w:val="17"/>
          <w:szCs w:val="17"/>
          <w:color w:val="auto"/>
        </w:rPr>
        <w:t>The Vascular Access product line of Smiths Medical competes with many of the same competitors as those referenced in Part I, Item 1. "Business" of our 2021 Annual Report on Form 10-K as well as additional competitors such Angio Dynamics, Greiner Bio-One, and Teleflex Incorporated. Our ability to remain competitive in this market will depend on our ability to focus on demonstrable patient outcomes by differentiating our products by improving device functionality and by providing successful customer training programs on the use and maintenance of our products.</w:t>
      </w:r>
    </w:p>
    <w:p>
      <w:pPr>
        <w:spacing w:after="0" w:line="198" w:lineRule="exact"/>
        <w:rPr>
          <w:sz w:val="20"/>
          <w:szCs w:val="20"/>
          <w:color w:val="auto"/>
        </w:rPr>
      </w:pPr>
    </w:p>
    <w:p>
      <w:pPr>
        <w:ind w:right="160" w:firstLine="619"/>
        <w:spacing w:after="0" w:line="232" w:lineRule="auto"/>
        <w:rPr>
          <w:sz w:val="20"/>
          <w:szCs w:val="20"/>
          <w:color w:val="auto"/>
        </w:rPr>
      </w:pPr>
      <w:r>
        <w:rPr>
          <w:rFonts w:ascii="Arial" w:cs="Arial" w:eastAsia="Arial" w:hAnsi="Arial"/>
          <w:sz w:val="17"/>
          <w:szCs w:val="17"/>
          <w:color w:val="auto"/>
        </w:rPr>
        <w:t>The Vital Care product line of Smiths Medical competes with numerous competitors due to its wide range of business. Those include multinational competitors such as Medtronic and Philips Healthcare as well as smaller more focused competitors such as Belmont and Intersurgical plc. Our ability to compete in this market will depend on our ability to continue to make technological advances to our products, thereby increasing customer efficiency and by providing product support that improves clinical decision-making that ultimately enhances patient safety.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49"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As of June 30, 2022, our primary product offerings by product line are listed below. We have presented our financial results in accordance with these product lines: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3"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90" w:lineRule="exact"/>
        <w:rPr>
          <w:sz w:val="20"/>
          <w:szCs w:val="20"/>
          <w:color w:val="auto"/>
        </w:rPr>
      </w:pPr>
    </w:p>
    <w:p>
      <w:pPr>
        <w:ind w:left="1240" w:right="260" w:hanging="309"/>
        <w:spacing w:after="0" w:line="266" w:lineRule="auto"/>
        <w:tabs>
          <w:tab w:leader="none" w:pos="1236"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Clave™ needlefree products</w:t>
      </w:r>
      <w:r>
        <w:rPr>
          <w:rFonts w:ascii="Arial" w:cs="Arial" w:eastAsia="Arial" w:hAnsi="Arial"/>
          <w:sz w:val="17"/>
          <w:szCs w:val="17"/>
          <w:color w:val="auto"/>
        </w:rPr>
        <w:t>, including the MicroClave, MicroClave Clear, and NanoClave™ 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200" w:lineRule="exact"/>
        <w:rPr>
          <w:rFonts w:ascii="Arial" w:cs="Arial" w:eastAsia="Arial" w:hAnsi="Arial"/>
          <w:sz w:val="17"/>
          <w:szCs w:val="17"/>
          <w:i w:val="1"/>
          <w:iCs w:val="1"/>
          <w:color w:val="auto"/>
        </w:rPr>
      </w:pPr>
    </w:p>
    <w:p>
      <w:pPr>
        <w:ind w:left="1240" w:right="20" w:hanging="309"/>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and SwabTip disinfecting caps, used to protect and disinfect any needlefree connector, including competitive brands of connectors,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male luers;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ClearGuard HD </w:t>
      </w:r>
      <w:r>
        <w:rPr>
          <w:rFonts w:ascii="Arial" w:cs="Arial" w:eastAsia="Arial" w:hAnsi="Arial"/>
          <w:sz w:val="17"/>
          <w:szCs w:val="17"/>
          <w:color w:val="auto"/>
        </w:rPr>
        <w:t>antimicrobial barrier caps for hemodialysis catheters; and</w:t>
      </w:r>
    </w:p>
    <w:p>
      <w:pPr>
        <w:spacing w:after="0" w:line="236"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Tego</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hemodialysis connector used to cap and protect hemodialysis central venous catheter hubs.</w:t>
      </w:r>
    </w:p>
    <w:p>
      <w:pPr>
        <w:spacing w:after="0" w:line="192" w:lineRule="exact"/>
        <w:rPr>
          <w:sz w:val="20"/>
          <w:szCs w:val="20"/>
          <w:color w:val="auto"/>
        </w:rPr>
      </w:pPr>
    </w:p>
    <w:p>
      <w:pPr>
        <w:ind w:right="220" w:firstLine="172"/>
        <w:spacing w:after="0" w:line="31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chemotherapy, which, if released, can have harmful effects on the healthcare worker and environment. Our products are:</w:t>
      </w:r>
    </w:p>
    <w:p>
      <w:pPr>
        <w:spacing w:after="0" w:line="159" w:lineRule="exact"/>
        <w:rPr>
          <w:sz w:val="20"/>
          <w:szCs w:val="20"/>
          <w:color w:val="auto"/>
        </w:rPr>
      </w:pPr>
    </w:p>
    <w:p>
      <w:pPr>
        <w:ind w:left="1240" w:right="140" w:hanging="309"/>
        <w:spacing w:after="0" w:line="237"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5" w:lineRule="exact"/>
        <w:rPr>
          <w:rFonts w:ascii="Arial" w:cs="Arial" w:eastAsia="Arial" w:hAnsi="Arial"/>
          <w:sz w:val="17"/>
          <w:szCs w:val="17"/>
          <w:color w:val="auto"/>
        </w:rPr>
      </w:pPr>
    </w:p>
    <w:p>
      <w:pPr>
        <w:ind w:left="1240" w:right="140" w:hanging="309"/>
        <w:spacing w:after="0" w:line="241"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40" w:right="40" w:hanging="309"/>
        <w:spacing w:after="0" w:line="241"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Diana</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drug compounding system, an automated sterile compounding system that incorporates ChemoClave and ChemoLock CSTD</w:t>
      </w:r>
      <w:r>
        <w:rPr>
          <w:rFonts w:ascii="Arial" w:cs="Arial" w:eastAsia="Arial" w:hAnsi="Arial"/>
          <w:sz w:val="17"/>
          <w:szCs w:val="17"/>
          <w:i w:val="1"/>
          <w:iCs w:val="1"/>
          <w:color w:val="auto"/>
        </w:rPr>
        <w:t xml:space="preserve"> </w:t>
      </w:r>
      <w:r>
        <w:rPr>
          <w:rFonts w:ascii="Arial" w:cs="Arial" w:eastAsia="Arial" w:hAnsi="Arial"/>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1"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right="20" w:firstLine="169"/>
        <w:spacing w:after="0" w:line="279" w:lineRule="auto"/>
        <w:rPr>
          <w:sz w:val="20"/>
          <w:szCs w:val="20"/>
          <w:color w:val="auto"/>
        </w:rPr>
      </w:pPr>
      <w:r>
        <w:rPr>
          <w:rFonts w:ascii="Arial" w:cs="Arial" w:eastAsia="Arial" w:hAnsi="Arial"/>
          <w:sz w:val="17"/>
          <w:szCs w:val="17"/>
          <w:color w:val="auto"/>
        </w:rPr>
        <w:t>We offer a wide range of infusion pumps, dedicated IV sets, software and professional services. Our primary Infusion System products are dedicated IV sets and the following:</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Pump Hardware:</w:t>
      </w:r>
    </w:p>
    <w:p>
      <w:pPr>
        <w:spacing w:after="0" w:line="243" w:lineRule="exact"/>
        <w:rPr>
          <w:sz w:val="20"/>
          <w:szCs w:val="20"/>
          <w:color w:val="auto"/>
        </w:rPr>
      </w:pPr>
    </w:p>
    <w:p>
      <w:pPr>
        <w:ind w:left="1240" w:right="20" w:hanging="309"/>
        <w:spacing w:after="0" w:line="262"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 library and</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capability. Plum 360 was named the 2018, 2019 and 2020 Best in KLAS winner as top-performing IV smart pump and was the first medical device to be awarded UL Cybersecurity Assurance Program Certification. Also, in 2021 and 2022, the Plum 360 won the award as the top-performing Smart Pump EMR-Integrated; and</w:t>
      </w:r>
    </w:p>
    <w:p>
      <w:pPr>
        <w:spacing w:after="0" w:line="203" w:lineRule="exact"/>
        <w:rPr>
          <w:rFonts w:ascii="Arial" w:cs="Arial" w:eastAsia="Arial" w:hAnsi="Arial"/>
          <w:sz w:val="17"/>
          <w:szCs w:val="17"/>
          <w:color w:val="auto"/>
        </w:rPr>
      </w:pPr>
    </w:p>
    <w:p>
      <w:pPr>
        <w:ind w:left="1240" w:right="160" w:hanging="309"/>
        <w:spacing w:after="0" w:line="279"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IV Electronic Health Record ("IV-EHR") interoperability since 2016.</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Medication Safety Software:</w:t>
      </w:r>
    </w:p>
    <w:p>
      <w:pPr>
        <w:spacing w:after="0" w:line="243" w:lineRule="exact"/>
        <w:rPr>
          <w:sz w:val="20"/>
          <w:szCs w:val="20"/>
          <w:color w:val="auto"/>
        </w:rPr>
      </w:pPr>
    </w:p>
    <w:p>
      <w:pPr>
        <w:ind w:left="1240" w:right="20" w:hanging="309"/>
        <w:spacing w:after="0" w:line="262"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3" w:lineRule="exact"/>
        <w:rPr>
          <w:sz w:val="20"/>
          <w:szCs w:val="20"/>
          <w:color w:val="auto"/>
        </w:rPr>
      </w:pPr>
    </w:p>
    <w:p>
      <w:pPr>
        <w:ind w:left="1240" w:hanging="309"/>
        <w:spacing w:after="0" w:line="266" w:lineRule="auto"/>
        <w:tabs>
          <w:tab w:leader="none" w:pos="12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3" w:lineRule="exact"/>
        <w:rPr>
          <w:sz w:val="20"/>
          <w:szCs w:val="20"/>
          <w:color w:val="auto"/>
        </w:rPr>
      </w:pPr>
    </w:p>
    <w:p>
      <w:pPr>
        <w:ind w:right="160" w:firstLine="169"/>
        <w:spacing w:after="0" w:line="279" w:lineRule="auto"/>
        <w:rPr>
          <w:sz w:val="20"/>
          <w:szCs w:val="20"/>
          <w:color w:val="auto"/>
        </w:rPr>
      </w:pPr>
      <w:r>
        <w:rPr>
          <w:rFonts w:ascii="Arial" w:cs="Arial" w:eastAsia="Arial" w:hAnsi="Arial"/>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Therapy and Diluents:</w:t>
      </w:r>
    </w:p>
    <w:p>
      <w:pPr>
        <w:spacing w:after="0" w:line="243" w:lineRule="exact"/>
        <w:rPr>
          <w:sz w:val="20"/>
          <w:szCs w:val="20"/>
          <w:color w:val="auto"/>
        </w:rPr>
      </w:pPr>
    </w:p>
    <w:p>
      <w:pPr>
        <w:ind w:left="1240" w:right="320" w:hanging="309"/>
        <w:spacing w:after="0" w:line="279"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Irrigation: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400" w:hanging="309"/>
        <w:spacing w:after="0" w:line="279"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3" w:lineRule="exact"/>
        <w:rPr>
          <w:sz w:val="20"/>
          <w:szCs w:val="20"/>
          <w:color w:val="auto"/>
        </w:rPr>
      </w:pPr>
    </w:p>
    <w:p>
      <w:pPr>
        <w:ind w:right="20" w:firstLine="172"/>
        <w:spacing w:after="0" w:line="26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201" w:lineRule="exact"/>
        <w:rPr>
          <w:sz w:val="20"/>
          <w:szCs w:val="20"/>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0" w:lineRule="exact"/>
        <w:rPr>
          <w:rFonts w:ascii="Arial" w:cs="Arial" w:eastAsia="Arial" w:hAnsi="Arial"/>
          <w:sz w:val="17"/>
          <w:szCs w:val="17"/>
          <w:color w:val="auto"/>
        </w:rPr>
      </w:pPr>
    </w:p>
    <w:p>
      <w:pPr>
        <w:ind w:left="1240" w:hanging="309"/>
        <w:spacing w:after="0" w:line="198"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Systems-Smiths Medical</w:t>
      </w:r>
    </w:p>
    <w:p>
      <w:pPr>
        <w:spacing w:after="0" w:line="243" w:lineRule="exact"/>
        <w:rPr>
          <w:sz w:val="20"/>
          <w:szCs w:val="20"/>
          <w:color w:val="auto"/>
        </w:rPr>
      </w:pPr>
    </w:p>
    <w:p>
      <w:pPr>
        <w:ind w:right="360" w:firstLine="619"/>
        <w:spacing w:after="0" w:line="312" w:lineRule="auto"/>
        <w:rPr>
          <w:sz w:val="20"/>
          <w:szCs w:val="20"/>
          <w:color w:val="auto"/>
        </w:rPr>
      </w:pPr>
      <w:r>
        <w:rPr>
          <w:rFonts w:ascii="Arial" w:cs="Arial" w:eastAsia="Arial" w:hAnsi="Arial"/>
          <w:sz w:val="16"/>
          <w:szCs w:val="16"/>
          <w:color w:val="auto"/>
        </w:rPr>
        <w:t>We offer a wide range of infusion pumps, disposables and safety software for use in both hospital and home settings. These products participate in adjacent categories to the legacy ICU Medical Infusion Systems segment. The primary Infusion Systems-Smith Medical products are:</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Ambulatory Infusion Hardware:</w:t>
      </w:r>
    </w:p>
    <w:p>
      <w:pPr>
        <w:spacing w:after="0" w:line="236" w:lineRule="exact"/>
        <w:rPr>
          <w:sz w:val="20"/>
          <w:szCs w:val="20"/>
          <w:color w:val="auto"/>
        </w:rPr>
      </w:pPr>
    </w:p>
    <w:p>
      <w:pPr>
        <w:ind w:left="620" w:right="360" w:hanging="307"/>
        <w:spacing w:after="0" w:line="230"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CADD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ambulatory infusion pumps and disposables, including administration sets and medication cassette reservoirs, support a variety of IV pain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therapies across clinical care areas from hospital to outpatient treatment.</w:t>
      </w:r>
    </w:p>
    <w:p>
      <w:pPr>
        <w:spacing w:after="0" w:line="22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i w:val="1"/>
          <w:iCs w:val="1"/>
          <w:color w:val="auto"/>
        </w:rPr>
        <w:t>Syringe Infusion Hardware:</w:t>
      </w:r>
    </w:p>
    <w:p>
      <w:pPr>
        <w:spacing w:after="0" w:line="236" w:lineRule="exact"/>
        <w:rPr>
          <w:rFonts w:ascii="Arial" w:cs="Arial" w:eastAsia="Arial" w:hAnsi="Arial"/>
          <w:sz w:val="17"/>
          <w:szCs w:val="17"/>
          <w:color w:val="auto"/>
        </w:rPr>
      </w:pPr>
    </w:p>
    <w:p>
      <w:pPr>
        <w:ind w:left="620" w:right="180" w:hanging="307"/>
        <w:spacing w:after="0" w:line="230"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syringe infusion pumps are designed for the administration of fluids and medication requiring precisely controlled infusion rates from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syringe sizes in acute care settings.</w:t>
      </w:r>
    </w:p>
    <w:p>
      <w:pPr>
        <w:spacing w:after="0" w:line="22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i w:val="1"/>
          <w:iCs w:val="1"/>
          <w:color w:val="auto"/>
        </w:rPr>
        <w:t>Infusion Software:</w:t>
      </w:r>
    </w:p>
    <w:p>
      <w:pPr>
        <w:spacing w:after="0" w:line="223" w:lineRule="exact"/>
        <w:rPr>
          <w:rFonts w:ascii="Arial" w:cs="Arial" w:eastAsia="Arial" w:hAnsi="Arial"/>
          <w:sz w:val="17"/>
          <w:szCs w:val="17"/>
          <w:color w:val="auto"/>
        </w:rPr>
      </w:pPr>
    </w:p>
    <w:p>
      <w:pPr>
        <w:ind w:left="620" w:hanging="307"/>
        <w:spacing w:after="0" w:line="216"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PharmGuard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Medication Safety Software </w:t>
      </w:r>
      <w:r>
        <w:rPr>
          <w:rFonts w:ascii="Arial" w:cs="Arial" w:eastAsia="Arial" w:hAnsi="Arial"/>
          <w:sz w:val="17"/>
          <w:szCs w:val="17"/>
          <w:color w:val="auto"/>
        </w:rPr>
        <w:t>for</w:t>
      </w:r>
      <w:r>
        <w:rPr>
          <w:rFonts w:ascii="Arial" w:cs="Arial" w:eastAsia="Arial" w:hAnsi="Arial"/>
          <w:sz w:val="17"/>
          <w:szCs w:val="17"/>
          <w:i w:val="1"/>
          <w:iCs w:val="1"/>
          <w:color w:val="auto"/>
        </w:rPr>
        <w:t xml:space="preserve"> 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4000 syringe and CADD™ Solis pumps allows for customized drug libraries to support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standardization of protocols for medication administration throughout the facility.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Vascular Access-Smiths Medical</w:t>
      </w:r>
    </w:p>
    <w:p>
      <w:pPr>
        <w:spacing w:after="0" w:line="243"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Our Vascular Access-Smiths Medical products allow clinicians to safely access the patients' bloodstream to deliver fluids and medication or to obtain blood samples. Vascular Access products are often used in conjunction with Consumables and Infusion Systems devices. Our primary Vascular Access products are:</w:t>
      </w:r>
    </w:p>
    <w:p>
      <w:pPr>
        <w:spacing w:after="0" w:line="194" w:lineRule="exact"/>
        <w:rPr>
          <w:sz w:val="20"/>
          <w:szCs w:val="20"/>
          <w:color w:val="auto"/>
        </w:rPr>
      </w:pPr>
    </w:p>
    <w:p>
      <w:pPr>
        <w:ind w:left="1240" w:right="60" w:hanging="309"/>
        <w:spacing w:after="0" w:line="237" w:lineRule="auto"/>
        <w:tabs>
          <w:tab w:leader="none" w:pos="1236"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Jelco</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and conventional peripheral IV catheters, sharps safety devices for hypodermic injection, and venipuncture blood collection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peripheral IV catheters designed to help prevent needlestick injury and to reduce the risks associated with blood exposure and contamination while reducing patients' risk of infection;</w:t>
      </w:r>
    </w:p>
    <w:p>
      <w:pPr>
        <w:spacing w:after="0" w:line="215" w:lineRule="exact"/>
        <w:rPr>
          <w:rFonts w:ascii="Arial" w:cs="Arial" w:eastAsia="Arial" w:hAnsi="Arial"/>
          <w:sz w:val="17"/>
          <w:szCs w:val="17"/>
          <w:i w:val="1"/>
          <w:iCs w:val="1"/>
          <w:color w:val="auto"/>
        </w:rPr>
      </w:pPr>
    </w:p>
    <w:p>
      <w:pPr>
        <w:ind w:left="1240" w:hanging="309"/>
        <w:spacing w:after="0"/>
        <w:tabs>
          <w:tab w:leader="none" w:pos="12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DELTEC</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implantable ports and</w:t>
      </w:r>
      <w:r>
        <w:rPr>
          <w:rFonts w:ascii="Arial" w:cs="Arial" w:eastAsia="Arial" w:hAnsi="Arial"/>
          <w:sz w:val="17"/>
          <w:szCs w:val="17"/>
          <w:i w:val="1"/>
          <w:iCs w:val="1"/>
          <w:color w:val="auto"/>
        </w:rPr>
        <w:t xml:space="preserve"> GRIPPER</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non-coring needles for portal access;</w:t>
      </w:r>
    </w:p>
    <w:p>
      <w:pPr>
        <w:spacing w:after="0" w:line="185" w:lineRule="exact"/>
        <w:rPr>
          <w:rFonts w:ascii="Arial" w:cs="Arial" w:eastAsia="Arial" w:hAnsi="Arial"/>
          <w:sz w:val="17"/>
          <w:szCs w:val="17"/>
          <w:i w:val="1"/>
          <w:iCs w:val="1"/>
          <w:color w:val="auto"/>
        </w:rPr>
      </w:pPr>
    </w:p>
    <w:p>
      <w:pPr>
        <w:ind w:left="1240" w:hanging="30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arterial blood sampling syringes, anesthesia trays and kits for pain management;</w:t>
      </w:r>
    </w:p>
    <w:p>
      <w:pPr>
        <w:spacing w:after="0" w:line="224" w:lineRule="exact"/>
        <w:rPr>
          <w:rFonts w:ascii="Arial" w:cs="Arial" w:eastAsia="Arial" w:hAnsi="Arial"/>
          <w:sz w:val="17"/>
          <w:szCs w:val="17"/>
          <w:color w:val="auto"/>
        </w:rPr>
      </w:pPr>
    </w:p>
    <w:p>
      <w:pPr>
        <w:ind w:left="1240" w:hanging="309"/>
        <w:spacing w:after="0"/>
        <w:tabs>
          <w:tab w:leader="none" w:pos="1240" w:val="left"/>
        </w:tabs>
        <w:numPr>
          <w:ilvl w:val="0"/>
          <w:numId w:val="31"/>
        </w:numPr>
        <w:rPr>
          <w:rFonts w:ascii="Arial" w:cs="Arial" w:eastAsia="Arial" w:hAnsi="Arial"/>
          <w:sz w:val="21"/>
          <w:szCs w:val="21"/>
          <w:color w:val="auto"/>
        </w:rPr>
      </w:pPr>
      <w:r>
        <w:rPr>
          <w:rFonts w:ascii="Arial" w:cs="Arial" w:eastAsia="Arial" w:hAnsi="Arial"/>
          <w:sz w:val="17"/>
          <w:szCs w:val="17"/>
          <w:i w:val="1"/>
          <w:iCs w:val="1"/>
          <w:color w:val="auto"/>
        </w:rPr>
        <w:t>Powerwand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midline catheters; and</w:t>
      </w:r>
    </w:p>
    <w:p>
      <w:pPr>
        <w:spacing w:after="0" w:line="224" w:lineRule="exact"/>
        <w:rPr>
          <w:rFonts w:ascii="Arial" w:cs="Arial" w:eastAsia="Arial" w:hAnsi="Arial"/>
          <w:sz w:val="21"/>
          <w:szCs w:val="21"/>
          <w:color w:val="auto"/>
        </w:rPr>
      </w:pPr>
    </w:p>
    <w:p>
      <w:pPr>
        <w:ind w:left="1240" w:hanging="309"/>
        <w:spacing w:after="0"/>
        <w:tabs>
          <w:tab w:leader="none" w:pos="1240" w:val="left"/>
        </w:tabs>
        <w:numPr>
          <w:ilvl w:val="0"/>
          <w:numId w:val="31"/>
        </w:numPr>
        <w:rPr>
          <w:rFonts w:ascii="Arial" w:cs="Arial" w:eastAsia="Arial" w:hAnsi="Arial"/>
          <w:sz w:val="21"/>
          <w:szCs w:val="21"/>
          <w:color w:val="auto"/>
        </w:rPr>
      </w:pPr>
      <w:r>
        <w:rPr>
          <w:rFonts w:ascii="Arial" w:cs="Arial" w:eastAsia="Arial" w:hAnsi="Arial"/>
          <w:sz w:val="17"/>
          <w:szCs w:val="17"/>
          <w:i w:val="1"/>
          <w:iCs w:val="1"/>
          <w:color w:val="auto"/>
        </w:rPr>
        <w:t>MEDEX</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LogiCal</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Pressure Monitoring System and components.</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Care-Smiths Medical</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We offer a range of devices and systems to maintain patients' airways and maintain body temperature before, during and after surgery. Our primary Vital Care products are:</w:t>
      </w:r>
    </w:p>
    <w:p>
      <w:pPr>
        <w:spacing w:after="0" w:line="183" w:lineRule="exact"/>
        <w:rPr>
          <w:sz w:val="20"/>
          <w:szCs w:val="20"/>
          <w:color w:val="auto"/>
        </w:rPr>
      </w:pPr>
    </w:p>
    <w:p>
      <w:pPr>
        <w:ind w:left="1240" w:right="500" w:hanging="309"/>
        <w:spacing w:after="0" w:line="230"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Level 1</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temperature management systems used in perioperative and critical care settings to help monitor and regulate patient temperature</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rapid infusion, routine blood and fluid warming, irrigation warming and convective warming.</w:t>
      </w:r>
    </w:p>
    <w:p>
      <w:pPr>
        <w:spacing w:after="0" w:line="214" w:lineRule="exact"/>
        <w:rPr>
          <w:rFonts w:ascii="Arial" w:cs="Arial" w:eastAsia="Arial" w:hAnsi="Arial"/>
          <w:sz w:val="17"/>
          <w:szCs w:val="17"/>
          <w:color w:val="auto"/>
        </w:rPr>
      </w:pPr>
    </w:p>
    <w:p>
      <w:pPr>
        <w:ind w:left="1240" w:right="60" w:hanging="309"/>
        <w:spacing w:after="0" w:line="230" w:lineRule="auto"/>
        <w:tabs>
          <w:tab w:leader="none" w:pos="1236"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acapella</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bronchial hygiene products used to mobilize pulmonary secretions to facilitate the opening of airways in patients with chronic</w:t>
      </w:r>
      <w:r>
        <w:rPr>
          <w:rFonts w:ascii="Arial" w:cs="Arial" w:eastAsia="Arial" w:hAnsi="Arial"/>
          <w:sz w:val="17"/>
          <w:szCs w:val="17"/>
          <w:i w:val="1"/>
          <w:iCs w:val="1"/>
          <w:color w:val="auto"/>
        </w:rPr>
        <w:t xml:space="preserve"> </w:t>
      </w:r>
      <w:r>
        <w:rPr>
          <w:rFonts w:ascii="Arial" w:cs="Arial" w:eastAsia="Arial" w:hAnsi="Arial"/>
          <w:sz w:val="17"/>
          <w:szCs w:val="17"/>
          <w:color w:val="auto"/>
        </w:rPr>
        <w:t>respiratory diseases such as chronic obstructive pulmonary disease, or COPD, asthma and cystic fibrosis.</w:t>
      </w:r>
    </w:p>
    <w:p>
      <w:pPr>
        <w:spacing w:after="0" w:line="214" w:lineRule="exact"/>
        <w:rPr>
          <w:rFonts w:ascii="Arial" w:cs="Arial" w:eastAsia="Arial" w:hAnsi="Arial"/>
          <w:sz w:val="17"/>
          <w:szCs w:val="17"/>
          <w:i w:val="1"/>
          <w:iCs w:val="1"/>
          <w:color w:val="auto"/>
        </w:rPr>
      </w:pPr>
    </w:p>
    <w:p>
      <w:pPr>
        <w:ind w:left="1240" w:right="780" w:hanging="309"/>
        <w:spacing w:after="0" w:line="246" w:lineRule="auto"/>
        <w:tabs>
          <w:tab w:leader="none" w:pos="1236"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Portex</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Bivona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tracheostomy tubes in PVC and silicone construction that provide a secure airway for both surgical and percutaneous</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Our silicone tracheostomy tubes are customizable to accommodate unique patient requirements.</w:t>
      </w:r>
    </w:p>
    <w:p>
      <w:pPr>
        <w:spacing w:after="0" w:line="215"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68"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Seasonality/Quarterly Results</w:t>
      </w:r>
    </w:p>
    <w:p>
      <w:pPr>
        <w:spacing w:after="0" w:line="249" w:lineRule="exact"/>
        <w:rPr>
          <w:sz w:val="20"/>
          <w:szCs w:val="20"/>
          <w:color w:val="auto"/>
        </w:rPr>
      </w:pPr>
    </w:p>
    <w:p>
      <w:pPr>
        <w:ind w:right="100" w:firstLine="169"/>
        <w:spacing w:after="0" w:line="283"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the novel coronavirus and its variants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w:t>
      </w:r>
    </w:p>
    <w:p>
      <w:pPr>
        <w:spacing w:after="0" w:line="24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On January 6, 2022, we acquired 100% of the equity interests in Smiths Medical from Smiths Group International Holdings Limited (“Smiths”) for cash consideration of $1.9 billion and the issuance of 2.5 million shares of our common stock valued at $576.0 million. We funded the cash portion of the consideration paid with a combination of proceeds from a Credit Agreement dated January 6, 2022 (the "Credit Agreement") and our cash and cash equivalents. The fair value of the common shares issued to Smiths was determined based on the opening market price of our common stock on the acquisition date. Smiths may be entitled to a potential contingent earn-out payment of $100.0 million based on our common stock achieving certain price targets on or prior to the third or fourth anniversary of closing. See Note 3, Acquisitions in our accompanying condensed consolidated financial statements for further details on the acquisition. See "Liquidity and Capital Resources" in the remainder of this item and Note 17 in our accompanying condensed consolidated financial statements for additional information regarding the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firstLine="172"/>
        <w:spacing w:after="0" w:line="266" w:lineRule="auto"/>
        <w:rPr>
          <w:sz w:val="20"/>
          <w:szCs w:val="20"/>
          <w:color w:val="auto"/>
        </w:rPr>
      </w:pPr>
      <w:r>
        <w:rPr>
          <w:rFonts w:ascii="Arial" w:cs="Arial" w:eastAsia="Arial" w:hAnsi="Arial"/>
          <w:sz w:val="17"/>
          <w:szCs w:val="17"/>
          <w:color w:val="auto"/>
        </w:rPr>
        <w:t>COVID-19 continues to have an impact on our business operations. Our manufacturing, distribution and pump service facilities continue to operate under our business continuity plan and our precautionary safety measures implemented to maximize the safety of our employees and mitigate disruption to our business remain in effect.</w:t>
      </w:r>
    </w:p>
    <w:p>
      <w:pPr>
        <w:spacing w:after="0" w:line="201"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 uncertain and cannot as yet be quantified. For discussion of the risks and uncertainties we face associated with the COVID-19 pandemic, see Part I, Item 1A. "Risk Factors" of our 2021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49" w:lineRule="exact"/>
        <w:rPr>
          <w:sz w:val="20"/>
          <w:szCs w:val="20"/>
          <w:color w:val="auto"/>
        </w:rPr>
      </w:pPr>
    </w:p>
    <w:p>
      <w:pPr>
        <w:ind w:right="260" w:firstLine="169"/>
        <w:spacing w:after="0" w:line="279" w:lineRule="auto"/>
        <w:rPr>
          <w:sz w:val="20"/>
          <w:szCs w:val="20"/>
          <w:color w:val="auto"/>
        </w:rPr>
      </w:pPr>
      <w:r>
        <w:rPr>
          <w:rFonts w:ascii="Arial" w:cs="Arial" w:eastAsia="Arial" w:hAnsi="Arial"/>
          <w:sz w:val="17"/>
          <w:szCs w:val="17"/>
          <w:color w:val="auto"/>
        </w:rPr>
        <w:t>We present income statement data in Part I, Item 1. "Financial Statements." The following table shows, for the three and six months ended June 30, 2022 and 2021, the percentages of each income statement caption in relation to total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460" w:type="dxa"/>
            <w:vAlign w:val="bottom"/>
            <w:gridSpan w:val="4"/>
          </w:tcPr>
          <w:p>
            <w:pPr>
              <w:jc w:val="center"/>
              <w:ind w:left="374"/>
              <w:spacing w:after="0"/>
              <w:rPr>
                <w:sz w:val="20"/>
                <w:szCs w:val="20"/>
                <w:color w:val="auto"/>
              </w:rPr>
            </w:pPr>
            <w:r>
              <w:rPr>
                <w:rFonts w:ascii="Arial" w:cs="Arial" w:eastAsia="Arial" w:hAnsi="Arial"/>
                <w:sz w:val="17"/>
                <w:szCs w:val="17"/>
                <w:b w:val="1"/>
                <w:bCs w:val="1"/>
                <w:color w:val="auto"/>
                <w:w w:val="90"/>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8"/>
              </w:rPr>
              <w:t>Six months ended</w:t>
            </w:r>
          </w:p>
        </w:tc>
      </w:tr>
      <w:tr>
        <w:trPr>
          <w:trHeight w:val="219"/>
        </w:trPr>
        <w:tc>
          <w:tcPr>
            <w:tcW w:w="5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7"/>
                <w:szCs w:val="17"/>
                <w:b w:val="1"/>
                <w:bCs w:val="1"/>
                <w:color w:val="auto"/>
                <w:w w:val="88"/>
              </w:rPr>
              <w:t>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954"/>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50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18"/>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strategic transaction and integration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18"/>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5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r>
      <w:tr>
        <w:trPr>
          <w:trHeight w:val="21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8"/>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(Loss) income before income taxes</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Net (loss) income</w:t>
            </w:r>
          </w:p>
        </w:tc>
        <w:tc>
          <w:tcPr>
            <w:tcW w:w="1540" w:type="dxa"/>
            <w:vAlign w:val="bottom"/>
            <w:gridSpan w:val="3"/>
          </w:tcPr>
          <w:p>
            <w:pPr>
              <w:jc w:val="right"/>
              <w:ind w:right="974"/>
              <w:spacing w:after="0"/>
              <w:rPr>
                <w:sz w:val="20"/>
                <w:szCs w:val="20"/>
                <w:color w:val="auto"/>
              </w:rPr>
            </w:pPr>
            <w:r>
              <w:rPr>
                <w:rFonts w:ascii="Arial" w:cs="Arial" w:eastAsia="Arial" w:hAnsi="Arial"/>
                <w:sz w:val="17"/>
                <w:szCs w:val="17"/>
                <w:color w:val="auto"/>
              </w:rPr>
              <w:t>— %</w:t>
            </w:r>
          </w:p>
        </w:tc>
        <w:tc>
          <w:tcPr>
            <w:tcW w:w="52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0"/>
        </w:trPr>
        <w:tc>
          <w:tcPr>
            <w:tcW w:w="5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140" w:firstLine="619"/>
        <w:spacing w:after="0" w:line="302" w:lineRule="auto"/>
        <w:rPr>
          <w:sz w:val="20"/>
          <w:szCs w:val="20"/>
          <w:color w:val="auto"/>
        </w:rPr>
      </w:pPr>
      <w:r>
        <w:rPr>
          <w:rFonts w:ascii="Arial" w:cs="Arial" w:eastAsia="Arial" w:hAnsi="Arial"/>
          <w:sz w:val="15"/>
          <w:szCs w:val="15"/>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Consumables revenue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1"/>
              </w:rPr>
              <w:t>Six months ended</w:t>
            </w:r>
          </w:p>
        </w:tc>
        <w:tc>
          <w:tcPr>
            <w:tcW w:w="1160" w:type="dxa"/>
            <w:vAlign w:val="bottom"/>
          </w:tcPr>
          <w:p>
            <w:pPr>
              <w:spacing w:after="0"/>
              <w:rPr>
                <w:sz w:val="15"/>
                <w:szCs w:val="15"/>
                <w:color w:val="auto"/>
              </w:rPr>
            </w:pPr>
          </w:p>
        </w:tc>
      </w:tr>
      <w:tr>
        <w:trPr>
          <w:trHeight w:val="204"/>
        </w:trPr>
        <w:tc>
          <w:tcPr>
            <w:tcW w:w="1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5"/>
                <w:szCs w:val="15"/>
                <w:b w:val="1"/>
                <w:bCs w:val="1"/>
                <w:color w:val="auto"/>
                <w:w w:val="93"/>
              </w:rPr>
              <w:t>June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89"/>
              </w:rPr>
              <w:t>June 30,</w:t>
            </w:r>
          </w:p>
        </w:tc>
        <w:tc>
          <w:tcPr>
            <w:tcW w:w="1160" w:type="dxa"/>
            <w:vAlign w:val="bottom"/>
            <w:tcBorders>
              <w:bottom w:val="single" w:sz="8" w:color="auto"/>
            </w:tcBorders>
          </w:tcPr>
          <w:p>
            <w:pPr>
              <w:spacing w:after="0"/>
              <w:rPr>
                <w:sz w:val="17"/>
                <w:szCs w:val="17"/>
                <w:color w:val="auto"/>
              </w:rPr>
            </w:pPr>
          </w:p>
        </w:tc>
      </w:tr>
      <w:tr>
        <w:trPr>
          <w:trHeight w:val="199"/>
        </w:trPr>
        <w:tc>
          <w:tcPr>
            <w:tcW w:w="1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7"/>
              </w:rPr>
              <w:t>$ Change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Infusion Consumables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6.1 %  $</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619"/>
        <w:spacing w:after="0" w:line="232" w:lineRule="auto"/>
        <w:rPr>
          <w:sz w:val="20"/>
          <w:szCs w:val="20"/>
          <w:color w:val="auto"/>
        </w:rPr>
      </w:pPr>
      <w:r>
        <w:rPr>
          <w:rFonts w:ascii="Arial" w:cs="Arial" w:eastAsia="Arial" w:hAnsi="Arial"/>
          <w:sz w:val="17"/>
          <w:szCs w:val="17"/>
          <w:color w:val="auto"/>
        </w:rPr>
        <w:t>Infusion Consumables revenue increased for the three and six months ended June 30, 2022, as compared to the same periods in the prior year, due to increased customer demand in our global core infusion, global oncology and renal products. On a constant currency basis, Infusion Consumables revenue would have been $148.6 million, an increase of $12.4 million or 9.1% and $291.1 million, an increase of $28.5 million or 10.9%, for the three and six months ended June 30, 2022, respectively, as compared to the same periods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1"/>
              </w:rPr>
              <w:t>Six months ended</w:t>
            </w:r>
          </w:p>
        </w:tc>
        <w:tc>
          <w:tcPr>
            <w:tcW w:w="1200" w:type="dxa"/>
            <w:vAlign w:val="bottom"/>
          </w:tcPr>
          <w:p>
            <w:pPr>
              <w:spacing w:after="0"/>
              <w:rPr>
                <w:sz w:val="14"/>
                <w:szCs w:val="14"/>
                <w:color w:val="auto"/>
              </w:rPr>
            </w:pPr>
          </w:p>
        </w:tc>
      </w:tr>
      <w:tr>
        <w:trPr>
          <w:trHeight w:val="204"/>
        </w:trPr>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5"/>
                <w:szCs w:val="15"/>
                <w:b w:val="1"/>
                <w:bCs w:val="1"/>
                <w:color w:val="auto"/>
                <w:w w:val="93"/>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89"/>
              </w:rPr>
              <w:t>June 30,</w:t>
            </w: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Infusion Systems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3.1 %  $</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r>
    </w:tbl>
    <w:p>
      <w:pPr>
        <w:spacing w:after="0" w:line="271" w:lineRule="exact"/>
        <w:rPr>
          <w:sz w:val="20"/>
          <w:szCs w:val="20"/>
          <w:color w:val="auto"/>
        </w:rPr>
      </w:pPr>
    </w:p>
    <w:p>
      <w:pPr>
        <w:ind w:right="20" w:firstLine="619"/>
        <w:spacing w:after="0" w:line="249" w:lineRule="auto"/>
        <w:rPr>
          <w:sz w:val="20"/>
          <w:szCs w:val="20"/>
          <w:color w:val="auto"/>
        </w:rPr>
      </w:pPr>
      <w:r>
        <w:rPr>
          <w:rFonts w:ascii="Arial" w:cs="Arial" w:eastAsia="Arial" w:hAnsi="Arial"/>
          <w:sz w:val="16"/>
          <w:szCs w:val="16"/>
          <w:color w:val="auto"/>
        </w:rPr>
        <w:t>Infusion Systems revenue increased for the three and six months ended June 30, 2022, as compared to the same periods in the prior year, due to higher large volume pump ("LVP") dedicated set sales driven by larger install base of LVPs, offset partially by lower sales related to our non-LVP products. On a constant currency basis, Infusion Systems revenue would have been $90.0 million, an increase of $5.3 million or 6.3%, and $178.7 million, an increase of $9.7 million or 5.7%, for the three and six months ended June 30, 2022, respectively, as compared to the same periods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IV Solutions revenue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1"/>
              </w:rPr>
              <w:t>Six months ended</w:t>
            </w:r>
          </w:p>
        </w:tc>
        <w:tc>
          <w:tcPr>
            <w:tcW w:w="1200" w:type="dxa"/>
            <w:vAlign w:val="bottom"/>
          </w:tcPr>
          <w:p>
            <w:pPr>
              <w:spacing w:after="0"/>
              <w:rPr>
                <w:sz w:val="14"/>
                <w:szCs w:val="14"/>
                <w:color w:val="auto"/>
              </w:rPr>
            </w:pPr>
          </w:p>
        </w:tc>
      </w:tr>
      <w:tr>
        <w:trPr>
          <w:trHeight w:val="204"/>
        </w:trPr>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5"/>
                <w:szCs w:val="15"/>
                <w:b w:val="1"/>
                <w:bCs w:val="1"/>
                <w:color w:val="auto"/>
                <w:w w:val="93"/>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89"/>
              </w:rPr>
              <w:t>June 30,</w:t>
            </w: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IV Solutions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6.4 %  $</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ind w:left="860"/>
              <w:spacing w:after="0"/>
              <w:rPr>
                <w:sz w:val="20"/>
                <w:szCs w:val="20"/>
                <w:color w:val="auto"/>
              </w:rPr>
            </w:pPr>
            <w:r>
              <w:rPr>
                <w:rFonts w:ascii="Arial" w:cs="Arial" w:eastAsia="Arial" w:hAnsi="Arial"/>
                <w:sz w:val="15"/>
                <w:szCs w:val="15"/>
                <w:color w:val="auto"/>
                <w:w w:val="98"/>
              </w:rPr>
              <w:t>— %</w:t>
            </w:r>
          </w:p>
        </w:tc>
      </w:tr>
    </w:tbl>
    <w:p>
      <w:pPr>
        <w:spacing w:after="0" w:line="284"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IV Solutions revenue increased for the three months ended June 30, 2022, as compared to the same period in the prior year, primarily due to an increase in contract manufacturing sales to Pfizer. For the six months ended June 30, 2022, IV Solutions revenue was flat as compared to the same period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Critical Care revenue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jc w:val="center"/>
              <w:ind w:left="423"/>
              <w:spacing w:after="0"/>
              <w:rPr>
                <w:sz w:val="20"/>
                <w:szCs w:val="20"/>
                <w:color w:val="auto"/>
              </w:rPr>
            </w:pPr>
            <w:r>
              <w:rPr>
                <w:rFonts w:ascii="Arial" w:cs="Arial" w:eastAsia="Arial" w:hAnsi="Arial"/>
                <w:sz w:val="15"/>
                <w:szCs w:val="15"/>
                <w:b w:val="1"/>
                <w:bCs w:val="1"/>
                <w:color w:val="auto"/>
                <w:w w:val="89"/>
              </w:rPr>
              <w:t>Six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5"/>
                <w:szCs w:val="15"/>
                <w:b w:val="1"/>
                <w:bCs w:val="1"/>
                <w:color w:val="auto"/>
                <w:w w:val="93"/>
              </w:rPr>
              <w:t>June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5"/>
                <w:szCs w:val="15"/>
                <w:b w:val="1"/>
                <w:bCs w:val="1"/>
                <w:color w:val="auto"/>
                <w:w w:val="93"/>
              </w:rPr>
              <w:t>June 30,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18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Critical Care</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24.5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25.5</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Critical Care revenue decreased slightly for the three and six months ended June 30, 2022, as compared to the same periods in the prior year.</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Systems-Smiths Medical</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Systems-Smiths Medical revenue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b w:val="1"/>
                <w:bCs w:val="1"/>
                <w:color w:val="auto"/>
              </w:rPr>
              <w:t>Six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142"/>
        </w:trPr>
        <w:tc>
          <w:tcPr>
            <w:tcW w:w="180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Infusion Systems-Smiths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77.8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77.8</w:t>
            </w: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5"/>
              </w:rPr>
              <w:t>nm</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144.1</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Medical</w:t>
            </w: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Infusion Systems-Smiths Medical revenue is a result of the acquisition of Smiths Medical. The year-to-date amount in the table above represents approximately six months of revenue from the closing date of the transaction to the end of the current quarter ended June 30, 2022. Revenues in the current periods are lower than historical results due to operational challenges caused by supply chain and fulfillment constraints.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Vascular Access-Smiths Medical</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Vascular Access revenue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b w:val="1"/>
                <w:bCs w:val="1"/>
                <w:color w:val="auto"/>
              </w:rPr>
              <w:t>Six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142"/>
        </w:trPr>
        <w:tc>
          <w:tcPr>
            <w:tcW w:w="180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Vascular Access-Smiths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5"/>
              </w:rPr>
              <w:t>nm</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Medical</w:t>
            </w: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420" w:firstLine="619"/>
        <w:spacing w:after="0" w:line="266" w:lineRule="auto"/>
        <w:rPr>
          <w:sz w:val="20"/>
          <w:szCs w:val="20"/>
          <w:color w:val="auto"/>
        </w:rPr>
      </w:pPr>
      <w:r>
        <w:rPr>
          <w:rFonts w:ascii="Arial" w:cs="Arial" w:eastAsia="Arial" w:hAnsi="Arial"/>
          <w:sz w:val="17"/>
          <w:szCs w:val="17"/>
          <w:color w:val="auto"/>
        </w:rPr>
        <w:t>The Vascular Access-Smiths Medical revenue is a result of the acquisition of Smiths Medical. The year-to-date amount in the table above represents approximately six months of revenue from the closing date of the transaction to the end of the current quarter. Revenues in the current periods are lower than historical results due to operational challenges caused by supply chain and fulfillment constraints.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Care-Smiths Medical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b w:val="1"/>
                <w:bCs w:val="1"/>
                <w:color w:val="auto"/>
              </w:rPr>
              <w:t>Six months ended</w:t>
            </w:r>
          </w:p>
        </w:tc>
        <w:tc>
          <w:tcPr>
            <w:tcW w:w="1100" w:type="dxa"/>
            <w:vAlign w:val="bottom"/>
          </w:tcPr>
          <w:p>
            <w:pPr>
              <w:spacing w:after="0"/>
              <w:rPr>
                <w:sz w:val="14"/>
                <w:szCs w:val="14"/>
                <w:color w:val="auto"/>
              </w:rPr>
            </w:pPr>
          </w:p>
        </w:tc>
      </w:tr>
      <w:tr>
        <w:trPr>
          <w:trHeight w:val="204"/>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89"/>
              </w:rPr>
              <w:t>June 30,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88"/>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01"/>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Vital Care-Smiths Medical  $</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nm</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r>
    </w:tbl>
    <w:p>
      <w:pPr>
        <w:spacing w:after="0" w:line="297" w:lineRule="exact"/>
        <w:rPr>
          <w:sz w:val="20"/>
          <w:szCs w:val="20"/>
          <w:color w:val="auto"/>
        </w:rPr>
      </w:pPr>
    </w:p>
    <w:p>
      <w:pPr>
        <w:ind w:right="440" w:firstLine="619"/>
        <w:spacing w:after="0" w:line="266" w:lineRule="auto"/>
        <w:rPr>
          <w:sz w:val="20"/>
          <w:szCs w:val="20"/>
          <w:color w:val="auto"/>
        </w:rPr>
      </w:pPr>
      <w:r>
        <w:rPr>
          <w:rFonts w:ascii="Arial" w:cs="Arial" w:eastAsia="Arial" w:hAnsi="Arial"/>
          <w:sz w:val="17"/>
          <w:szCs w:val="17"/>
          <w:color w:val="auto"/>
        </w:rPr>
        <w:t>The Vital Care-Smiths Medical revenue is a result of the acquisition of Smiths Medical. The year-to-date amount in the table above represents approximately six months of revenue from the closing date of the transaction to the end of the current quarter. Revenues in the current periods are lower than historical results due to operational challenges caused by supply chain and fulfillment constraints.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30" w:lineRule="exact"/>
        <w:rPr>
          <w:sz w:val="20"/>
          <w:szCs w:val="20"/>
          <w:color w:val="auto"/>
        </w:rPr>
      </w:pPr>
    </w:p>
    <w:p>
      <w:pPr>
        <w:ind w:right="20" w:firstLine="172"/>
        <w:spacing w:after="0" w:line="242" w:lineRule="auto"/>
        <w:rPr>
          <w:sz w:val="20"/>
          <w:szCs w:val="20"/>
          <w:color w:val="auto"/>
        </w:rPr>
      </w:pPr>
      <w:r>
        <w:rPr>
          <w:rFonts w:ascii="Arial" w:cs="Arial" w:eastAsia="Arial" w:hAnsi="Arial"/>
          <w:sz w:val="16"/>
          <w:szCs w:val="16"/>
          <w:color w:val="auto"/>
        </w:rPr>
        <w:t>For the three months ended June 30, 2022 and 2021, gross margins were 29.9% and 38.4%, respectively. For the six months ended June 30, 2022 and 2021, gross margins were 30.5% and 36.9%, respectively. The decrease in gross margins for the three and six months ended June 30, 2022, as compared to the same period in the prior year, was driven by the acquisition of Smiths Medical, inflationary cost increases in our supply chain, and lower manufacturing absorption due to supply chain disruptions. Smiths Medical gross margins are lower than historical ICU margins for the current quarter and year-to-date period due primarily to spending on quality systems and product-related remediation, the cost recognition of the purchase accounting write-up of inventory and freight costs. The inflationary cost increases during 2022 notably impacted our freight rates as well as, labor and materials costs. Partially offsetting the decreases to gross margins in the current periods was the impact from increased sales of higher margin consumables.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1"/>
              </w:rPr>
              <w:t>Six months ended</w:t>
            </w:r>
          </w:p>
        </w:tc>
        <w:tc>
          <w:tcPr>
            <w:tcW w:w="1200" w:type="dxa"/>
            <w:vAlign w:val="bottom"/>
          </w:tcPr>
          <w:p>
            <w:pPr>
              <w:spacing w:after="0"/>
              <w:rPr>
                <w:sz w:val="15"/>
                <w:szCs w:val="15"/>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5"/>
                <w:szCs w:val="15"/>
                <w:b w:val="1"/>
                <w:bCs w:val="1"/>
                <w:color w:val="auto"/>
                <w:w w:val="93"/>
              </w:rPr>
              <w:t>June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89"/>
              </w:rPr>
              <w:t>June 30,</w:t>
            </w:r>
          </w:p>
        </w:tc>
        <w:tc>
          <w:tcPr>
            <w:tcW w:w="1200" w:type="dxa"/>
            <w:vAlign w:val="bottom"/>
            <w:tcBorders>
              <w:bottom w:val="single" w:sz="8" w:color="auto"/>
            </w:tcBorders>
          </w:tcPr>
          <w:p>
            <w:pPr>
              <w:spacing w:after="0"/>
              <w:rPr>
                <w:sz w:val="17"/>
                <w:szCs w:val="17"/>
                <w:color w:val="auto"/>
              </w:rPr>
            </w:pPr>
          </w:p>
        </w:tc>
      </w:tr>
      <w:tr>
        <w:trPr>
          <w:trHeight w:val="199"/>
        </w:trPr>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SG&amp;A</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84.8</w:t>
            </w: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114.7 %  $</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113.3 %</w:t>
            </w:r>
          </w:p>
        </w:tc>
      </w:tr>
    </w:tbl>
    <w:p>
      <w:pPr>
        <w:spacing w:after="0" w:line="284" w:lineRule="exact"/>
        <w:rPr>
          <w:sz w:val="20"/>
          <w:szCs w:val="20"/>
          <w:color w:val="auto"/>
        </w:rPr>
      </w:pPr>
    </w:p>
    <w:p>
      <w:pPr>
        <w:ind w:right="400" w:firstLine="619"/>
        <w:spacing w:after="0" w:line="262" w:lineRule="auto"/>
        <w:rPr>
          <w:sz w:val="20"/>
          <w:szCs w:val="20"/>
          <w:color w:val="auto"/>
        </w:rPr>
      </w:pPr>
      <w:r>
        <w:rPr>
          <w:rFonts w:ascii="Arial" w:cs="Arial" w:eastAsia="Arial" w:hAnsi="Arial"/>
          <w:sz w:val="17"/>
          <w:szCs w:val="17"/>
          <w:color w:val="auto"/>
        </w:rPr>
        <w:t>SG&amp;A expenses increased for the three and six months ended June 30, 2022, as compared to the same periods in the prior year. For the three and six months ended June 30, 2022, increases of $83.5 million and $156.3 million, respectively, was due to the impact of the Smiths Medical acquisition. Expense increases related to Smiths Medical included, $28.1 million of salaries and benefits and $33.6 million of depreciation and amortization expense for the three months ended June 30, 2022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$56.2 million of salaries and benefits and $58.8 million of depreciation and amortization expense for the six months ended June 30, 2022.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2"/>
              </w:rPr>
              <w:t>Three months ended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center"/>
              <w:ind w:left="423"/>
              <w:spacing w:after="0"/>
              <w:rPr>
                <w:sz w:val="20"/>
                <w:szCs w:val="20"/>
                <w:color w:val="auto"/>
              </w:rPr>
            </w:pPr>
            <w:r>
              <w:rPr>
                <w:rFonts w:ascii="Arial" w:cs="Arial" w:eastAsia="Arial" w:hAnsi="Arial"/>
                <w:sz w:val="15"/>
                <w:szCs w:val="15"/>
                <w:b w:val="1"/>
                <w:bCs w:val="1"/>
                <w:color w:val="auto"/>
                <w:w w:val="89"/>
              </w:rPr>
              <w:t>Six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5"/>
                <w:szCs w:val="15"/>
                <w:b w:val="1"/>
                <w:bCs w:val="1"/>
                <w:color w:val="auto"/>
                <w:w w:val="93"/>
              </w:rPr>
              <w:t>June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5"/>
                <w:szCs w:val="15"/>
                <w:b w:val="1"/>
                <w:bCs w:val="1"/>
                <w:color w:val="auto"/>
                <w:w w:val="93"/>
              </w:rPr>
              <w:t>June 30,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18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R&amp;D</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98.2 %</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46.4</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22.1</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110.0 %</w:t>
            </w:r>
          </w:p>
        </w:tc>
      </w:tr>
    </w:tbl>
    <w:p>
      <w:pPr>
        <w:spacing w:after="0" w:line="271" w:lineRule="exact"/>
        <w:rPr>
          <w:sz w:val="20"/>
          <w:szCs w:val="20"/>
          <w:color w:val="auto"/>
        </w:rPr>
      </w:pPr>
    </w:p>
    <w:p>
      <w:pPr>
        <w:ind w:right="360" w:firstLine="619"/>
        <w:spacing w:after="0" w:line="318" w:lineRule="auto"/>
        <w:rPr>
          <w:sz w:val="20"/>
          <w:szCs w:val="20"/>
          <w:color w:val="auto"/>
        </w:rPr>
      </w:pPr>
      <w:r>
        <w:rPr>
          <w:rFonts w:ascii="Arial" w:cs="Arial" w:eastAsia="Arial" w:hAnsi="Arial"/>
          <w:sz w:val="15"/>
          <w:szCs w:val="15"/>
          <w:color w:val="auto"/>
        </w:rPr>
        <w:t>R&amp;D expenses increased for the three and six months ended June 30, 2022, as compared to the same periods in the prior year primarily due to the acquisition of Smiths Medical. For the three and six months ended June 30, 2022, the increase included $9.3 million and $21.1 million, respectively, related to Smiths Medical R&amp;D expenses. R&amp;D expenses during both periods primarily relate to compensation and related benefit expenses on current R&amp;D projects.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Strategic Transaction and Integration Expenses</w:t>
      </w:r>
    </w:p>
    <w:p>
      <w:pPr>
        <w:spacing w:after="0" w:line="243" w:lineRule="exact"/>
        <w:rPr>
          <w:sz w:val="20"/>
          <w:szCs w:val="20"/>
          <w:color w:val="auto"/>
        </w:rPr>
      </w:pPr>
    </w:p>
    <w:p>
      <w:pPr>
        <w:ind w:right="860" w:firstLine="172"/>
        <w:spacing w:after="0" w:line="279" w:lineRule="auto"/>
        <w:rPr>
          <w:sz w:val="20"/>
          <w:szCs w:val="20"/>
          <w:color w:val="auto"/>
        </w:rPr>
      </w:pPr>
      <w:r>
        <w:rPr>
          <w:rFonts w:ascii="Arial" w:cs="Arial" w:eastAsia="Arial" w:hAnsi="Arial"/>
          <w:sz w:val="17"/>
          <w:szCs w:val="17"/>
          <w:color w:val="auto"/>
        </w:rPr>
        <w:t>Restructuring, strategic transaction and integration expenses were $13.5 million and $47.4 million for the three and six months ended June 30, 2022, respectively, as compared to $3.8 million and $6.6 million for the three and six months ended June 30,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3"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Restructuring charges were $1.7 million and $4.9 million for the three and six months ended June 30 2022, respectively, and were related to severance costs. We expect to pay unpaid restructuring charges as of June 30, 2022 by the end of 2022. Restructuring charges were $0.1 million for both the three and six months ended June 30, 2021.</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32" w:lineRule="exact"/>
        <w:rPr>
          <w:sz w:val="20"/>
          <w:szCs w:val="20"/>
          <w:color w:val="auto"/>
        </w:rPr>
      </w:pPr>
    </w:p>
    <w:p>
      <w:pPr>
        <w:ind w:right="40" w:firstLine="172"/>
        <w:spacing w:after="0" w:line="299" w:lineRule="auto"/>
        <w:rPr>
          <w:sz w:val="20"/>
          <w:szCs w:val="20"/>
          <w:color w:val="auto"/>
        </w:rPr>
      </w:pPr>
      <w:r>
        <w:rPr>
          <w:rFonts w:ascii="Arial" w:cs="Arial" w:eastAsia="Arial" w:hAnsi="Arial"/>
          <w:sz w:val="15"/>
          <w:szCs w:val="15"/>
          <w:color w:val="auto"/>
        </w:rPr>
        <w:t>Strategic transaction and integration expenses were $11.8 million and $42.5 million for the three and six months ended June 30, 2022, respectively, as compared to $3.7 million and $6.5 million for the three and six months ended June 30, 2021, respectively. The strategic transaction and integration expenses during the three and six months ended June 30, 2022 were primarily related to our acquisition of Smiths Medical which primarily included legal expenses, bank fees and employee costs.The strategic transaction and integration expenses during the six months ended June 30, 2022 also included a United Kingdom stamp tax. The strategic transaction and integration expenses during the three and six months ended June 30, 2021 were primarily related to integration costs associated with acquisitions, the Hospira Infusion Systems ("HIS") earn-out dispute with Pfizer and one-time costs incurred to comply with regulatory initiatives.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Settlement</w:t>
      </w:r>
    </w:p>
    <w:p>
      <w:pPr>
        <w:spacing w:after="0" w:line="243" w:lineRule="exact"/>
        <w:rPr>
          <w:sz w:val="20"/>
          <w:szCs w:val="20"/>
          <w:color w:val="auto"/>
        </w:rPr>
      </w:pPr>
    </w:p>
    <w:p>
      <w:pPr>
        <w:ind w:right="120" w:firstLine="172"/>
        <w:spacing w:after="0" w:line="279" w:lineRule="auto"/>
        <w:rPr>
          <w:sz w:val="20"/>
          <w:szCs w:val="20"/>
          <w:color w:val="auto"/>
        </w:rPr>
      </w:pPr>
      <w:r>
        <w:rPr>
          <w:rFonts w:ascii="Arial" w:cs="Arial" w:eastAsia="Arial" w:hAnsi="Arial"/>
          <w:sz w:val="17"/>
          <w:szCs w:val="17"/>
          <w:color w:val="auto"/>
        </w:rPr>
        <w:t>We did not incur contract settlement expense for the three and six months ended June 30, 2022. For the three and six months ended June 30, 2021, we recorded $0.1 million in contract settlement expense.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3" w:lineRule="exact"/>
        <w:rPr>
          <w:sz w:val="20"/>
          <w:szCs w:val="20"/>
          <w:color w:val="auto"/>
        </w:rPr>
      </w:pPr>
    </w:p>
    <w:p>
      <w:pPr>
        <w:ind w:right="260" w:firstLine="172"/>
        <w:spacing w:after="0" w:line="279" w:lineRule="auto"/>
        <w:rPr>
          <w:sz w:val="20"/>
          <w:szCs w:val="20"/>
          <w:color w:val="auto"/>
        </w:rPr>
      </w:pPr>
      <w:r>
        <w:rPr>
          <w:rFonts w:ascii="Arial" w:cs="Arial" w:eastAsia="Arial" w:hAnsi="Arial"/>
          <w:sz w:val="17"/>
          <w:szCs w:val="17"/>
          <w:color w:val="auto"/>
        </w:rPr>
        <w:t>Interest expense was $16.3 million and $0.2 million for the three months ended June 30, 2022 and 2021, respectively. Interest expense was $29.9 million and $0.3 million for the six months ended June 30, 2022 and 2021, respectively.</w:t>
      </w:r>
    </w:p>
    <w:p>
      <w:pPr>
        <w:spacing w:after="0" w:line="19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Interest expense for the three and six months ended June 30, 2022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17: Long-Term Debt in our accompanying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Interest expense for the three and six months ended June 30, 2021 includes the per annum commitment fee charged on the unused portion of the revolver under our 2017 Credit Facility (the "Prior Credit Facility") and the amortization of financing costs that were incurred in 2017 in connection with entering into the Prior Credit Facility. The Prior Credit Facility was terminated in connection with entering into the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3" w:lineRule="exact"/>
        <w:rPr>
          <w:sz w:val="20"/>
          <w:szCs w:val="20"/>
          <w:color w:val="auto"/>
        </w:rPr>
      </w:pPr>
    </w:p>
    <w:p>
      <w:pPr>
        <w:ind w:firstLine="172"/>
        <w:spacing w:after="0" w:line="279" w:lineRule="auto"/>
        <w:rPr>
          <w:sz w:val="20"/>
          <w:szCs w:val="20"/>
          <w:color w:val="auto"/>
        </w:rPr>
      </w:pPr>
      <w:r>
        <w:rPr>
          <w:rFonts w:ascii="Arial" w:cs="Arial" w:eastAsia="Arial" w:hAnsi="Arial"/>
          <w:sz w:val="16"/>
          <w:szCs w:val="16"/>
          <w:color w:val="auto"/>
        </w:rPr>
        <w:t>Other (expense) income netted to $(0.5) million and $0.5 million for the three and six months ended June 30, 2022, respectively, as compared to $0.5 million and $1.2 million for the three and six months ended June 30, 2021, respectively. For the three months ended June 30, 2022, other expense, net was related to $2.7 million in foreign exchange losses and $0.6 million of loss from disposed assets, mostly offset by $2.0 million of miscellaneous income and $0.8 million of interest income. For the six months ended June 30, 2022, other income, net was related to $2.6 million of miscellaneous income and $1.4 million of interest income, partially offset by $2.5 million in foreign exchange losses and $1.0 million of loss from disposed assets.</w:t>
      </w:r>
    </w:p>
    <w:p>
      <w:pPr>
        <w:spacing w:after="0" w:line="194" w:lineRule="exact"/>
        <w:rPr>
          <w:sz w:val="20"/>
          <w:szCs w:val="20"/>
          <w:color w:val="auto"/>
        </w:rPr>
      </w:pPr>
    </w:p>
    <w:p>
      <w:pPr>
        <w:jc w:val="both"/>
        <w:ind w:right="20" w:firstLine="619"/>
        <w:spacing w:after="0" w:line="307" w:lineRule="auto"/>
        <w:rPr>
          <w:sz w:val="20"/>
          <w:szCs w:val="20"/>
          <w:color w:val="auto"/>
        </w:rPr>
      </w:pPr>
      <w:r>
        <w:rPr>
          <w:rFonts w:ascii="Arial" w:cs="Arial" w:eastAsia="Arial" w:hAnsi="Arial"/>
          <w:sz w:val="15"/>
          <w:szCs w:val="15"/>
          <w:color w:val="auto"/>
        </w:rPr>
        <w:t>For the three months ended June 30, 2021, the other income, net was related to $0.7 million of interest income and $0.2 million of miscellaneous income, partially offset by $0.2 million in foreign exchange losses and $0.2 million of loss from disposed assets. For the six months ended June 30, 2021, the other income, net was related to $1.4 million of interest income, $0.4 million of miscellaneous income and $0.3 million in foreign exchange gains, partially offset by $0.8 million of loss from disposed assets. For the three months ended June 30, 2020, the other income, net was primarily related to $1.5 million in foreign exchange gains.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380" w:firstLine="172"/>
        <w:spacing w:after="0" w:line="312" w:lineRule="auto"/>
        <w:rPr>
          <w:sz w:val="20"/>
          <w:szCs w:val="20"/>
          <w:color w:val="auto"/>
        </w:rPr>
      </w:pPr>
      <w:r>
        <w:rPr>
          <w:rFonts w:ascii="Arial" w:cs="Arial" w:eastAsia="Arial" w:hAnsi="Arial"/>
          <w:sz w:val="16"/>
          <w:szCs w:val="16"/>
          <w:color w:val="auto"/>
        </w:rPr>
        <w:t>For the three months ended June 30, 2022 and 2021, income taxes were accrued at an estimated effective tax rate of 56% and 18%, respectively. For the six months ended June 30, 2022 and 2021, income taxes were accrued at an estimated effective tax rate of 36% and 16%, respectively.</w:t>
      </w:r>
    </w:p>
    <w:p>
      <w:pPr>
        <w:spacing w:after="0" w:line="153"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The effective tax rate for the three and six months ended June 30, 2022 differs from the federal statutory rate of 21% principally because of the effect of the mix of U.S. and foreign incomes, state income taxes, section 162(m) excess compensation, foreign-derived intangible income ("FDII") and tax credits. The effective tax rate during the three and six months ended June 30, 2022 included a tax benefit of $0.0 million and $2.6 million, respectively, related to the excess tax benefits</w:t>
      </w:r>
    </w:p>
    <w:p>
      <w:pPr>
        <w:ind w:right="160"/>
        <w:spacing w:after="0" w:line="248" w:lineRule="auto"/>
        <w:rPr>
          <w:sz w:val="20"/>
          <w:szCs w:val="20"/>
          <w:color w:val="auto"/>
        </w:rPr>
      </w:pPr>
      <w:r>
        <w:rPr>
          <w:rFonts w:ascii="Arial" w:cs="Arial" w:eastAsia="Arial" w:hAnsi="Arial"/>
          <w:sz w:val="17"/>
          <w:szCs w:val="17"/>
          <w:color w:val="auto"/>
        </w:rPr>
        <w:t>recognized on stock option exercises and the vesting of restricted stock units during the period. The effective tax rate for the three and six months ended June 30, 2022 also included a nil tax impact of the revaluation of contingent consideration.</w:t>
      </w:r>
    </w:p>
    <w:p>
      <w:pPr>
        <w:spacing w:after="0" w:line="202" w:lineRule="exact"/>
        <w:rPr>
          <w:sz w:val="20"/>
          <w:szCs w:val="20"/>
          <w:color w:val="auto"/>
        </w:rPr>
      </w:pPr>
    </w:p>
    <w:p>
      <w:pPr>
        <w:ind w:right="60" w:firstLine="169"/>
        <w:spacing w:after="0" w:line="262" w:lineRule="auto"/>
        <w:rPr>
          <w:sz w:val="20"/>
          <w:szCs w:val="20"/>
          <w:color w:val="auto"/>
        </w:rPr>
      </w:pPr>
      <w:r>
        <w:rPr>
          <w:rFonts w:ascii="Arial" w:cs="Arial" w:eastAsia="Arial" w:hAnsi="Arial"/>
          <w:sz w:val="17"/>
          <w:szCs w:val="17"/>
          <w:color w:val="auto"/>
        </w:rPr>
        <w:t>The effective tax rate for the three and six months ended June 30, 2021 differs from the federal statutory rate of 21% principally because of the effect of the mix of U.S. and foreign incomes, state income taxes, GILTI, FDII and tax credits. The effective tax rate during the three and six months ended June 30, 2021, respectively, included a tax benefit of $0.4 million and $2.2 million related to the excess tax benefits recognized on stock option exercises and the vesting of restricted stock units during the periods.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3"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We regularly evaluate our liquidity and capital resources, including our access to external capital, to ensure we can adequately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43"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Our primary sources of liquidity are cash and cash equivalents, our short-term investment portfolio, cash flows from our operations and access to borrowing arrangements.</w:t>
      </w:r>
    </w:p>
    <w:p>
      <w:pPr>
        <w:spacing w:after="0" w:line="190" w:lineRule="exact"/>
        <w:rPr>
          <w:sz w:val="20"/>
          <w:szCs w:val="20"/>
          <w:color w:val="auto"/>
        </w:rPr>
      </w:pPr>
    </w:p>
    <w:p>
      <w:pPr>
        <w:jc w:val="both"/>
        <w:ind w:right="260" w:firstLine="619"/>
        <w:spacing w:after="0" w:line="266" w:lineRule="auto"/>
        <w:rPr>
          <w:sz w:val="20"/>
          <w:szCs w:val="20"/>
          <w:color w:val="auto"/>
        </w:rPr>
      </w:pPr>
      <w:r>
        <w:rPr>
          <w:rFonts w:ascii="Arial" w:cs="Arial" w:eastAsia="Arial" w:hAnsi="Arial"/>
          <w:sz w:val="17"/>
          <w:szCs w:val="17"/>
          <w:color w:val="auto"/>
        </w:rPr>
        <w:t>Funds generated from operations are held in cash and cash equivalents and investment securities. During the six months ended June 30, 2022, our cash and cash equivalents and short-term investment securities decreased by $298.4 million from $567.2 million at December 31, 2021 to $268.9 million at June 30, 2022, which was primarily due to our use of existing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cash balances to partially fund the Smiths Medical acquisition in January 2022 and due to building inventory safety stock levels to respond to supply chain constraints. Our short-term investment portfolio consists of investment-grade corporate bonds and U.S. treasury securities and is primarily intended to facilitate capital preservation.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 and Access to Capital</w:t>
      </w:r>
    </w:p>
    <w:p>
      <w:pPr>
        <w:spacing w:after="0" w:line="243" w:lineRule="exact"/>
        <w:rPr>
          <w:sz w:val="20"/>
          <w:szCs w:val="20"/>
          <w:color w:val="auto"/>
        </w:rPr>
      </w:pPr>
    </w:p>
    <w:p>
      <w:pPr>
        <w:ind w:right="60" w:firstLine="619"/>
        <w:spacing w:after="0" w:line="274" w:lineRule="auto"/>
        <w:rPr>
          <w:sz w:val="20"/>
          <w:szCs w:val="20"/>
          <w:color w:val="auto"/>
        </w:rPr>
      </w:pPr>
      <w:r>
        <w:rPr>
          <w:rFonts w:ascii="Arial" w:cs="Arial" w:eastAsia="Arial" w:hAnsi="Arial"/>
          <w:sz w:val="16"/>
          <w:szCs w:val="16"/>
          <w:color w:val="auto"/>
        </w:rPr>
        <w:t>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June 30, 2022,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June 30, 2022. As part of entering into the Senior Secured Credit Facilities, we were assigned issuer and Term Loan B credit ratings. At the date of issuance of this report, our issuer and Term Loan B credit ratings assigned and outlook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Issuer/Term Loan B</w:t>
            </w:r>
          </w:p>
        </w:tc>
        <w:tc>
          <w:tcPr>
            <w:tcW w:w="2020" w:type="dxa"/>
            <w:vAlign w:val="bottom"/>
            <w:vMerge w:val="restart"/>
          </w:tcPr>
          <w:p>
            <w:pPr>
              <w:jc w:val="center"/>
              <w:ind w:right="114"/>
              <w:spacing w:after="0"/>
              <w:rPr>
                <w:sz w:val="20"/>
                <w:szCs w:val="20"/>
                <w:color w:val="auto"/>
              </w:rPr>
            </w:pPr>
            <w:r>
              <w:rPr>
                <w:rFonts w:ascii="Arial" w:cs="Arial" w:eastAsia="Arial" w:hAnsi="Arial"/>
                <w:sz w:val="17"/>
                <w:szCs w:val="17"/>
                <w:b w:val="1"/>
                <w:bCs w:val="1"/>
                <w:color w:val="auto"/>
                <w:w w:val="96"/>
              </w:rPr>
              <w:t>Outlook</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2"/>
              </w:rPr>
              <w:t>Credit Ratings</w:t>
            </w:r>
          </w:p>
        </w:tc>
        <w:tc>
          <w:tcPr>
            <w:tcW w:w="2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92"/>
              </w:rPr>
              <w:t>Ba3</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Fitch</w:t>
            </w:r>
          </w:p>
        </w:tc>
        <w:tc>
          <w:tcPr>
            <w:tcW w:w="2440" w:type="dxa"/>
            <w:vAlign w:val="bottom"/>
          </w:tcPr>
          <w:p>
            <w:pPr>
              <w:jc w:val="center"/>
              <w:ind w:right="114"/>
              <w:spacing w:after="0"/>
              <w:rPr>
                <w:sz w:val="20"/>
                <w:szCs w:val="20"/>
                <w:color w:val="auto"/>
              </w:rPr>
            </w:pPr>
            <w:r>
              <w:rPr>
                <w:rFonts w:ascii="Arial" w:cs="Arial" w:eastAsia="Arial" w:hAnsi="Arial"/>
                <w:sz w:val="17"/>
                <w:szCs w:val="17"/>
                <w:color w:val="auto"/>
              </w:rPr>
              <w:t>BB/BBB-</w:t>
            </w:r>
          </w:p>
        </w:tc>
        <w:tc>
          <w:tcPr>
            <w:tcW w:w="2020" w:type="dxa"/>
            <w:vAlign w:val="bottom"/>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Standard &amp; Poor's</w:t>
            </w:r>
          </w:p>
        </w:tc>
        <w:tc>
          <w:tcPr>
            <w:tcW w:w="244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17: Long-Term Debt to our accompanying condensed consolidated financial statements). We were in compliance with these financial covenants as of June 30,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Credit Facility</w:t>
      </w:r>
    </w:p>
    <w:p>
      <w:pPr>
        <w:spacing w:after="0" w:line="243"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On November 8, 2017, we entered into a five-year revolving credit facility with various lenders for $150.0 million (the "Prior Credit Facility"). The Prior Credit Facility, which was set to expire in November 2022, was terminated upon entering into the new Senior Secured Credit Facilities. There were no outstanding borrowings under the Prior Credit Facility at the time of its termination.</w:t>
      </w:r>
    </w:p>
    <w:p>
      <w:pPr>
        <w:spacing w:after="0" w:line="201" w:lineRule="exact"/>
        <w:rPr>
          <w:sz w:val="20"/>
          <w:szCs w:val="20"/>
          <w:color w:val="auto"/>
        </w:rPr>
      </w:pPr>
    </w:p>
    <w:p>
      <w:pPr>
        <w:ind w:right="120" w:firstLine="619"/>
        <w:spacing w:after="0" w:line="295" w:lineRule="auto"/>
        <w:rPr>
          <w:sz w:val="20"/>
          <w:szCs w:val="20"/>
          <w:color w:val="auto"/>
        </w:rPr>
      </w:pPr>
      <w:r>
        <w:rPr>
          <w:rFonts w:ascii="Arial" w:cs="Arial" w:eastAsia="Arial" w:hAnsi="Arial"/>
          <w:sz w:val="15"/>
          <w:szCs w:val="15"/>
          <w:color w:val="auto"/>
        </w:rPr>
        <w:t>We believe that our existing cash and cash equivalents along with cash flows expected to be generated from future operations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 See Part I. Item 1A. "Risk Factors” in our 2021 Annual Report on Form 10-K for discussion of the risks and uncertainties associated with our debt financing.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Liquidity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At June 30, 2022, there have been no material changes to our estimate for 2022 planned capital expenditures, as previously disclosed in our 2021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commitments at June 30, 2022 include both short and long-term future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Leases</w:t>
      </w:r>
    </w:p>
    <w:p>
      <w:pPr>
        <w:spacing w:after="0" w:line="243"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6: Leases to our accompanying condensed consolidated financial statements).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43"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As discussed above, 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7"/>
              </w:rPr>
              <w:t>Remainder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b w:val="1"/>
                <w:bCs w:val="1"/>
                <w:color w:val="auto"/>
                <w:w w:val="94"/>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2024</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2025</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2026</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2027</w:t>
            </w:r>
          </w:p>
        </w:tc>
        <w:tc>
          <w:tcPr>
            <w:tcW w:w="180" w:type="dxa"/>
            <w:vAlign w:val="bottom"/>
          </w:tcPr>
          <w:p>
            <w:pPr>
              <w:spacing w:after="0"/>
              <w:rPr>
                <w:sz w:val="14"/>
                <w:szCs w:val="14"/>
                <w:color w:val="auto"/>
              </w:rPr>
            </w:pPr>
          </w:p>
        </w:tc>
        <w:tc>
          <w:tcPr>
            <w:tcW w:w="104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8"/>
              </w:rPr>
              <w:t>Thereafter</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A Interest Payments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B Interest Payments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Minimum Purchase Obligations</w:t>
      </w:r>
    </w:p>
    <w:p>
      <w:pPr>
        <w:spacing w:after="0" w:line="243" w:lineRule="exact"/>
        <w:rPr>
          <w:sz w:val="20"/>
          <w:szCs w:val="20"/>
          <w:color w:val="auto"/>
        </w:rPr>
      </w:pPr>
    </w:p>
    <w:p>
      <w:pPr>
        <w:ind w:right="140" w:firstLine="619"/>
        <w:spacing w:after="0" w:line="283" w:lineRule="auto"/>
        <w:rPr>
          <w:sz w:val="20"/>
          <w:szCs w:val="20"/>
          <w:color w:val="auto"/>
        </w:rPr>
      </w:pPr>
      <w:r>
        <w:rPr>
          <w:rFonts w:ascii="Arial" w:cs="Arial" w:eastAsia="Arial" w:hAnsi="Arial"/>
          <w:sz w:val="16"/>
          <w:szCs w:val="16"/>
          <w:color w:val="auto"/>
        </w:rPr>
        <w:t>On February 1, 2022, effective as of January 1, 2022, upon our request, Pfizer executed a Product Addendum (the "Product Addendum") to our Manufacturing and Supply Agreements to supply us with additional product subject to certain time and pricing terms and conditions (see Note 20: Collaborative and Other Arrangements to our accompanying condensed consolidated financial statements for additional information). As of June 30, 2022, we had satisfied the minimum purchase obligations under the Product Addendum. The Product Addendum expires on November 30, 2022.</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Future Capital Investments</w:t>
      </w:r>
    </w:p>
    <w:p>
      <w:pPr>
        <w:spacing w:after="0" w:line="243"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At June 30, 2022, there have been no material changes to our estimate for restructuring and integration expenses along with spending to support quality systems and quality compliance objectives, as previously disclosed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249" w:lineRule="exact"/>
        <w:rPr>
          <w:sz w:val="20"/>
          <w:szCs w:val="20"/>
          <w:color w:val="auto"/>
        </w:rPr>
      </w:pPr>
    </w:p>
    <w:p>
      <w:pPr>
        <w:jc w:val="both"/>
        <w:ind w:right="320" w:firstLine="619"/>
        <w:spacing w:after="0" w:line="318" w:lineRule="auto"/>
        <w:rPr>
          <w:sz w:val="20"/>
          <w:szCs w:val="20"/>
          <w:color w:val="auto"/>
        </w:rPr>
      </w:pPr>
      <w:r>
        <w:rPr>
          <w:rFonts w:ascii="Arial" w:cs="Arial" w:eastAsia="Arial" w:hAnsi="Arial"/>
          <w:sz w:val="15"/>
          <w:szCs w:val="15"/>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Cash Flows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3"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Our net cash used in operations for the six months ended June 30, 2022 was $62.7 million. Net income plus adjustments for non-cash net expenses contributed $108.2 million. Net cash used in operations as a result of changes in operating assets and liabilities was $170.9 million. The changes in operating assets and liabilities included a $100.0 million increase in inventories, a $17.3 million increase in other assets, a $33.5 million decrease in accrued liabilities and $45.8 million in net changes in income taxes, including excess tax benefits and deferred income taxes and a $1.1 million increase in accounts receivable. Offsetting these amounts was a $4.7 million decrease in prepaid expenses and other current assets and a $22.1 million increase in accounts payable. The increase in inventory was primarily due to the increase in safety stock.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recording the current deferred provision and the timing of payments. The increase in accounts receivable is primarily due to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spacing w:after="0" w:line="189"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Our net cash provided by operations for the six months ended June 30, 2021 was $106.1 million. Net income plus adjustments for non-cash net expenses contributed $122.2 million. Net cash used in operations as a result of changes in operating assets and liabilities was $16.1 million. The changes in operating assets and liabilities included a $17.1 million decrease in accrued liabilities, a $7.6 million increase in other assets, $6.0 million in net changes in income taxes, including excess tax benefits and deferred income taxes and a $1.6 million decrease in accounts payable. Offsetting these amounts was a $13.4 million decrease in inventories, a $2.1 million decrease in accounts receivables, and a $0.8 million decrease in prepaid expenses and other assets. The decrease in accrued liabilities was primarily due to the payment of annual bonuses. The net changes in income taxes was a result of the timing of payments. The increase in other assets was due to the purchase of spare parts. The decrease in accounts payable was due to the timing of payments. The decrease in inventory was primarily due to the timing of production and customer purchases combined with the reduction in capitalized manufacturing variances. The decrease in accounts receivable is primarily due to collection efforts. The net decrease in prepaid expenses and other current assets was primarily due to a decrease in prepaid insurance, property taxes and deferred costs, offset by an increase in annual software renewals.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changes in our investing cash flows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440"/>
              <w:spacing w:after="0"/>
              <w:rPr>
                <w:sz w:val="20"/>
                <w:szCs w:val="20"/>
                <w:color w:val="auto"/>
              </w:rPr>
            </w:pPr>
            <w:r>
              <w:rPr>
                <w:rFonts w:ascii="Arial" w:cs="Arial" w:eastAsia="Arial" w:hAnsi="Arial"/>
                <w:sz w:val="17"/>
                <w:szCs w:val="17"/>
                <w:b w:val="1"/>
                <w:bCs w:val="1"/>
                <w:color w:val="auto"/>
              </w:rPr>
              <w:t>Six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9"/>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(48,039)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(29,693)</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(18,346)</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Business acquisitions, net of cash acquired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(1,844,164)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(1,844,164)</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6,637</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(3)</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19,198</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(4)</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(1,872,942)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(36,660)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(1,836,282)</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200" w:hanging="317"/>
        <w:spacing w:after="0" w:line="226" w:lineRule="auto"/>
        <w:tabs>
          <w:tab w:leader="none" w:pos="183"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plant and equipment increased during the quarter due to the acquisition of Smiths Medical and will also vary from period to period based on additional investments needed to support new and existing products and expansion of our manufacturing facilities.</w:t>
      </w:r>
    </w:p>
    <w:p>
      <w:pPr>
        <w:spacing w:after="0" w:line="41" w:lineRule="exact"/>
        <w:rPr>
          <w:rFonts w:ascii="Arial" w:cs="Arial" w:eastAsia="Arial" w:hAnsi="Arial"/>
          <w:sz w:val="22"/>
          <w:szCs w:val="22"/>
          <w:color w:val="auto"/>
          <w:vertAlign w:val="superscript"/>
        </w:rPr>
      </w:pPr>
    </w:p>
    <w:p>
      <w:pPr>
        <w:ind w:left="320" w:right="220" w:hanging="317"/>
        <w:spacing w:after="0" w:line="234" w:lineRule="auto"/>
        <w:tabs>
          <w:tab w:leader="none" w:pos="183"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spacing w:after="0" w:line="42" w:lineRule="exact"/>
        <w:rPr>
          <w:rFonts w:ascii="Arial" w:cs="Arial" w:eastAsia="Arial" w:hAnsi="Arial"/>
          <w:sz w:val="22"/>
          <w:szCs w:val="22"/>
          <w:color w:val="auto"/>
          <w:vertAlign w:val="superscript"/>
        </w:rPr>
      </w:pPr>
    </w:p>
    <w:p>
      <w:pPr>
        <w:ind w:left="320" w:right="100" w:hanging="317"/>
        <w:spacing w:after="0" w:line="226" w:lineRule="auto"/>
        <w:tabs>
          <w:tab w:leader="none" w:pos="252"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changes in our investment strategy.</w:t>
      </w:r>
    </w:p>
    <w:p>
      <w:pPr>
        <w:spacing w:after="0" w:line="41" w:lineRule="exact"/>
        <w:rPr>
          <w:rFonts w:ascii="Arial" w:cs="Arial" w:eastAsia="Arial" w:hAnsi="Arial"/>
          <w:sz w:val="22"/>
          <w:szCs w:val="22"/>
          <w:color w:val="auto"/>
          <w:vertAlign w:val="superscript"/>
        </w:rPr>
      </w:pPr>
    </w:p>
    <w:p>
      <w:pPr>
        <w:ind w:left="320" w:right="340" w:hanging="317"/>
        <w:spacing w:after="0" w:line="285" w:lineRule="auto"/>
        <w:tabs>
          <w:tab w:leader="none" w:pos="1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Proceeds from the sale of our investment securities will vary from period to period based on the maturity dates of the investments. Includes $19.0 million in proceeds received during the second quarter of 2022 from a promissory note related to an acquired investment as part of the Smiths Medical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13"/>
        </w:trPr>
        <w:tc>
          <w:tcPr>
            <w:tcW w:w="652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8"/>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440"/>
              <w:spacing w:after="0"/>
              <w:rPr>
                <w:sz w:val="20"/>
                <w:szCs w:val="20"/>
                <w:color w:val="auto"/>
              </w:rPr>
            </w:pPr>
            <w:r>
              <w:rPr>
                <w:rFonts w:ascii="Arial" w:cs="Arial" w:eastAsia="Arial" w:hAnsi="Arial"/>
                <w:sz w:val="17"/>
                <w:szCs w:val="17"/>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9"/>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Proceeds from issuance of long-term debt, net of lender debt issuance costs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1,672,631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1,672,631</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payments on long-term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(18,125)</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(2)</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 of third-party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(1,852)</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(3)</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w:t>
            </w:r>
          </w:p>
        </w:tc>
        <w:tc>
          <w:tcPr>
            <w:tcW w:w="400" w:type="dxa"/>
            <w:vAlign w:val="bottom"/>
          </w:tcPr>
          <w:p>
            <w:pPr>
              <w:spacing w:after="0"/>
              <w:rPr>
                <w:sz w:val="18"/>
                <w:szCs w:val="18"/>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(4)</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1,644,887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1,647,586</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2" w:lineRule="exact"/>
        <w:rPr>
          <w:sz w:val="20"/>
          <w:szCs w:val="20"/>
          <w:color w:val="auto"/>
        </w:rPr>
      </w:pPr>
    </w:p>
    <w:p>
      <w:pPr>
        <w:ind w:left="320" w:right="180" w:hanging="317"/>
        <w:spacing w:after="0" w:line="234" w:lineRule="auto"/>
        <w:tabs>
          <w:tab w:leader="none" w:pos="252"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In January 2022, we borrowed an aggregate of $1.7 billion under Senior Secured Credit Facilities contained in the Credit Agreement to partially finance our acquisition of Smiths Medical (see Note 17: Long-Term Debt to our accompanying condensed consolidated financial statements for additional information). The proceeds are net of $27.3 million in payments of lender debt issuance costs.</w:t>
      </w:r>
    </w:p>
    <w:p>
      <w:pPr>
        <w:spacing w:after="0" w:line="6"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Payment of $18.1 million of principal payments on the Senior Secured Credit Facilities and $1.9 million in third-party debt issuance costs.</w:t>
      </w:r>
    </w:p>
    <w:p>
      <w:pPr>
        <w:spacing w:after="0" w:line="54" w:lineRule="exact"/>
        <w:rPr>
          <w:rFonts w:ascii="Arial" w:cs="Arial" w:eastAsia="Arial" w:hAnsi="Arial"/>
          <w:sz w:val="22"/>
          <w:szCs w:val="22"/>
          <w:color w:val="auto"/>
          <w:vertAlign w:val="superscript"/>
        </w:rPr>
      </w:pPr>
    </w:p>
    <w:p>
      <w:pPr>
        <w:ind w:left="320" w:right="320" w:hanging="317"/>
        <w:spacing w:after="0" w:line="219" w:lineRule="auto"/>
        <w:tabs>
          <w:tab w:leader="none" w:pos="312"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spacing w:after="0" w:line="40" w:lineRule="exact"/>
        <w:rPr>
          <w:rFonts w:ascii="Arial" w:cs="Arial" w:eastAsia="Arial" w:hAnsi="Arial"/>
          <w:sz w:val="22"/>
          <w:szCs w:val="22"/>
          <w:color w:val="auto"/>
          <w:vertAlign w:val="superscript"/>
        </w:rPr>
      </w:pPr>
    </w:p>
    <w:p>
      <w:pPr>
        <w:ind w:left="320" w:right="20" w:hanging="317"/>
        <w:spacing w:after="0" w:line="261" w:lineRule="auto"/>
        <w:tabs>
          <w:tab w:leader="none" w:pos="168"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During the six months ended June 30, 2022, our employees surrendered 44,759 shares of our common stock from vested restricted stock awards as consideration for approximately $10.4 million in minimum statutory withholding obligations paid on their behalf. During the six months ended June 30, 2021, our employees surrendered 37,882 shares of our common stock from vested restricted stock awards as consideration for approximately $7.8 million in minimum statutory withholding obligations paid on their behalf.</w:t>
      </w:r>
    </w:p>
    <w:p>
      <w:pPr>
        <w:spacing w:after="0" w:line="207"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Our common stock purchase plan, which authorized the repurchase of up to $100.0 million of our common stock, was approved by our Board of Directors in August 2019. This plan has no expiration date. As of June 30, 2022, all of the $100.0 million available for purchase was remaining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9"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 our 2021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2021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New Accounting Pronouncements in Part I, Item 1. "Financial Statements."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5" w:lineRule="exact"/>
        <w:rPr>
          <w:sz w:val="20"/>
          <w:szCs w:val="20"/>
          <w:color w:val="auto"/>
        </w:rPr>
      </w:pPr>
    </w:p>
    <w:p>
      <w:pPr>
        <w:ind w:left="1240" w:hanging="309"/>
        <w:spacing w:after="0" w:line="277"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5" w:lineRule="exact"/>
        <w:rPr>
          <w:rFonts w:ascii="Arial" w:cs="Arial" w:eastAsia="Arial" w:hAnsi="Arial"/>
          <w:sz w:val="16"/>
          <w:szCs w:val="16"/>
          <w:color w:val="auto"/>
        </w:rPr>
      </w:pPr>
    </w:p>
    <w:p>
      <w:pPr>
        <w:ind w:left="1240" w:right="20" w:hanging="309"/>
        <w:spacing w:after="0" w:line="292" w:lineRule="auto"/>
        <w:tabs>
          <w:tab w:leader="none" w:pos="12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Smiths Medical);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5" w:lineRule="exact"/>
        <w:rPr>
          <w:rFonts w:ascii="Arial" w:cs="Arial" w:eastAsia="Arial" w:hAnsi="Arial"/>
          <w:sz w:val="15"/>
          <w:szCs w:val="15"/>
          <w:color w:val="auto"/>
        </w:rPr>
      </w:pPr>
    </w:p>
    <w:p>
      <w:pPr>
        <w:ind w:left="1240" w:right="20" w:hanging="309"/>
        <w:spacing w:after="0" w:line="273"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new or extended contracts with manufacturers and buying organizations; dependence on a small number of customers; loss of larger distributors and the ability to locate other distributors; impact of our recently completed acquisition of the Smiths Medical business; the outcome of our strategic initiatives; regulatory approvals and compliance; including the work necessary to achieve regulatory clearance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99" w:lineRule="exact"/>
        <w:rPr>
          <w:sz w:val="20"/>
          <w:szCs w:val="20"/>
          <w:color w:val="auto"/>
        </w:rPr>
      </w:pPr>
    </w:p>
    <w:p>
      <w:pPr>
        <w:jc w:val="both"/>
        <w:ind w:right="40" w:firstLine="662"/>
        <w:spacing w:after="0" w:line="290"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3" w:name="page54"/>
    <w:bookmarkEnd w:id="53"/>
    <w:p>
      <w:pPr>
        <w:ind w:right="160" w:firstLine="619"/>
        <w:spacing w:after="0" w:line="262" w:lineRule="auto"/>
        <w:rPr>
          <w:sz w:val="20"/>
          <w:szCs w:val="20"/>
          <w:color w:val="auto"/>
        </w:rPr>
      </w:pPr>
      <w:r>
        <w:rPr>
          <w:rFonts w:ascii="Arial" w:cs="Arial" w:eastAsia="Arial" w:hAnsi="Arial"/>
          <w:sz w:val="17"/>
          <w:szCs w:val="17"/>
          <w:color w:val="auto"/>
        </w:rPr>
        <w:t>Second, investors should read the forward-looking statements in conjunction with the Risk Factors discussed in Part I, Item 1A of our Annual Report on Form 10-K for the year ended December 31, 2021, Part II, Item 1A of this Quarterly Report on Form 10-Q and our other reports filed with the Securities and Exchange Commission ("SEC"). Also, actual future operating results are subject to other important factors and risks that we cannot predict or control, including without limitation, the following:</w:t>
      </w:r>
    </w:p>
    <w:p>
      <w:pPr>
        <w:spacing w:after="0" w:line="204"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impacts of the COVID-19 pandemic on us, our business and on domestic and global economies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integration of Smiths Medical being more difficult, time-consuming or costly than expected;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unexpected changes in our arrangements with Pfizer or our other large customers;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increased competition for skilled workers;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decreases in availability of the raw materials needed to manufacture our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unanticipated production problems;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acquisition and integration expenses (including as it relates to the Smiths Medical acquisition);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natural disasters and outbreak of disease or illness;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supply chain constraints or disruptions;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impact of inflation on raw materials, freight charges and labor, especially in the U.S.;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interest rate increases.</w:t>
      </w:r>
    </w:p>
    <w:p>
      <w:pPr>
        <w:spacing w:after="0" w:line="11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3" w:lineRule="exact"/>
        <w:rPr>
          <w:sz w:val="20"/>
          <w:szCs w:val="20"/>
          <w:color w:val="auto"/>
        </w:rPr>
      </w:pPr>
    </w:p>
    <w:p>
      <w:pPr>
        <w:jc w:val="both"/>
        <w:ind w:right="180" w:firstLine="172"/>
        <w:spacing w:after="0" w:line="266" w:lineRule="auto"/>
        <w:rPr>
          <w:sz w:val="20"/>
          <w:szCs w:val="20"/>
          <w:color w:val="auto"/>
        </w:rPr>
      </w:pPr>
      <w:r>
        <w:rPr>
          <w:rFonts w:ascii="Arial" w:cs="Arial" w:eastAsia="Arial" w:hAnsi="Arial"/>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20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analyses to measure our interest rate risk exposure. If the SOFR rate increases or decreases 1% from June 30, 2022, the additional annual interest expense or savings related to the term loans would amount to approximately $16.8 million.</w:t>
      </w:r>
    </w:p>
    <w:p>
      <w:pPr>
        <w:spacing w:after="0" w:line="204"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See Note 8: Derivatives and Hedging Activities to the condensed consolidated financial statements in Part I, Item 1 of this Form 10-Q.</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3" w:lineRule="exact"/>
        <w:rPr>
          <w:sz w:val="20"/>
          <w:szCs w:val="20"/>
          <w:color w:val="auto"/>
        </w:rPr>
      </w:pPr>
    </w:p>
    <w:p>
      <w:pPr>
        <w:ind w:firstLine="169"/>
        <w:spacing w:after="0" w:line="276" w:lineRule="auto"/>
        <w:rPr>
          <w:sz w:val="20"/>
          <w:szCs w:val="20"/>
          <w:color w:val="auto"/>
        </w:rPr>
      </w:pPr>
      <w:r>
        <w:rPr>
          <w:rFonts w:ascii="Arial" w:cs="Arial" w:eastAsia="Arial" w:hAnsi="Arial"/>
          <w:sz w:val="16"/>
          <w:szCs w:val="16"/>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exchange risk.</w:t>
      </w:r>
    </w:p>
    <w:p>
      <w:pPr>
        <w:spacing w:after="0" w:line="195" w:lineRule="exact"/>
        <w:rPr>
          <w:sz w:val="20"/>
          <w:szCs w:val="20"/>
          <w:color w:val="auto"/>
        </w:rPr>
      </w:pPr>
    </w:p>
    <w:p>
      <w:pPr>
        <w:ind w:right="280" w:firstLine="619"/>
        <w:spacing w:after="0" w:line="277" w:lineRule="auto"/>
        <w:rPr>
          <w:sz w:val="20"/>
          <w:szCs w:val="20"/>
          <w:color w:val="auto"/>
        </w:rPr>
      </w:pPr>
      <w:r>
        <w:rPr>
          <w:rFonts w:ascii="Arial" w:cs="Arial" w:eastAsia="Arial" w:hAnsi="Arial"/>
          <w:sz w:val="16"/>
          <w:szCs w:val="16"/>
          <w:color w:val="auto"/>
        </w:rPr>
        <w:t>Our foreign exchange forward contracts hedge a portion of our forecasted foreign currency-denominated revenues and expenses (principally Mexican Pesos, Euros, Czech Koruna, Japanese Yen, U.S. Dollar and Chinese Renminbi) that differ from the functional currency of the operating unit. These derivative contracts are designated and qualify as cash flow hedges (see Note 8: Derivatives and Hedging Activities to the condensed consolidated financial statements in Part I, Item 1 of this Form 10-Q). We performed a sensitivity analysis to estimate changes in the fair value of our foreign exchange derivatives due to potential changes in near-term foreign exchange rates. At June 30, 2022, the effect of a hypothetical 10% weakening in the actual foreign exchange rates used for the applicable currencies did not result in a material impact of these outstanding derivatives contracts.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Effectiveness of Controls and Procedures</w:t>
      </w:r>
    </w:p>
    <w:p>
      <w:pPr>
        <w:spacing w:after="0" w:line="243" w:lineRule="exact"/>
        <w:rPr>
          <w:sz w:val="20"/>
          <w:szCs w:val="20"/>
          <w:color w:val="auto"/>
        </w:rPr>
      </w:pPr>
    </w:p>
    <w:p>
      <w:pPr>
        <w:ind w:right="3040" w:firstLine="619"/>
        <w:spacing w:after="0" w:line="259"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55" w:name="page56"/>
    <w:bookmarkEnd w:id="55"/>
    <w:p>
      <w:pPr>
        <w:ind w:right="200" w:firstLine="619"/>
        <w:spacing w:after="0" w:line="256"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at a reasonable assurance level. As permitted by related SEC staff interpretive guidance for newly acquired</w:t>
      </w:r>
    </w:p>
    <w:p>
      <w:pPr>
        <w:spacing w:after="0" w:line="2" w:lineRule="exact"/>
        <w:rPr>
          <w:sz w:val="20"/>
          <w:szCs w:val="20"/>
          <w:color w:val="auto"/>
        </w:rPr>
      </w:pPr>
    </w:p>
    <w:p>
      <w:pPr>
        <w:ind w:right="3120"/>
        <w:spacing w:after="0" w:line="278" w:lineRule="auto"/>
        <w:rPr>
          <w:sz w:val="20"/>
          <w:szCs w:val="20"/>
          <w:color w:val="auto"/>
        </w:rPr>
      </w:pPr>
      <w:r>
        <w:rPr>
          <w:rFonts w:ascii="Arial" w:cs="Arial" w:eastAsia="Arial" w:hAnsi="Arial"/>
          <w:sz w:val="16"/>
          <w:szCs w:val="16"/>
          <w:color w:val="auto"/>
        </w:rPr>
        <w:t>businesses, the internal control over financial reporting of Smiths Medical was excluded from the evaluation of the effectiveness of our disclosure controls and procedures as of June 30, 2022. Smiths Medical, which we acquired in January 2022, represented approximately 41% of our consolidated total assets as of June 30, 2022, and 40% and 40% of our consolidated total revenue for the three and six months ended June 30,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There was no change in our internal control over financial reporting during the quarter ended June 30, 2022 that has materially affected or is reasonably likely to materially affect our internal control over financial reporting, except as mentioned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3" w:lineRule="exact"/>
        <w:rPr>
          <w:sz w:val="20"/>
          <w:szCs w:val="20"/>
          <w:color w:val="auto"/>
        </w:rPr>
      </w:pPr>
    </w:p>
    <w:p>
      <w:pPr>
        <w:ind w:right="340" w:firstLine="172"/>
        <w:spacing w:after="0" w:line="279"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19. Commitments and Contingencies to the Condensed Consolidated Financial Statements,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3" w:lineRule="exact"/>
        <w:rPr>
          <w:sz w:val="20"/>
          <w:szCs w:val="20"/>
          <w:color w:val="auto"/>
        </w:rPr>
      </w:pPr>
    </w:p>
    <w:p>
      <w:pPr>
        <w:jc w:val="both"/>
        <w:ind w:right="180" w:firstLine="172"/>
        <w:spacing w:after="0" w:line="266"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2021, as well as the information contained in this Quarterly Report and our other reports and registration statements filed with the SEC.</w:t>
      </w:r>
    </w:p>
    <w:p>
      <w:pPr>
        <w:spacing w:after="0" w:line="201"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i w:val="1"/>
          <w:iCs w:val="1"/>
          <w:color w:val="auto"/>
        </w:rPr>
        <w:t>The Smiths Medical acquisition completed in the period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201"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The Smiths Medical acquisition has resulted in significant growth in our personnel and operations, adding approximately 6,700 employees to our headcount, bringing our total headcount as of June 30, 2022 to approximately 15,300 employees. We will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8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Smiths Medical acquisition is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will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208" w:lineRule="exact"/>
        <w:rPr>
          <w:sz w:val="20"/>
          <w:szCs w:val="20"/>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challenges in preserving important strategic customer and other third-party relationships of both businesses;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62" w:right="379" w:bottom="1440" w:gutter="0" w:footer="0" w:header="0"/>
        </w:sectPr>
      </w:pPr>
    </w:p>
    <w:bookmarkStart w:id="56" w:name="page57"/>
    <w:bookmarkEnd w:id="56"/>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in maintaining employee morale and retaining or attracting key employees;</w:t>
      </w:r>
    </w:p>
    <w:p>
      <w:pPr>
        <w:spacing w:after="0" w:line="11" w:lineRule="exact"/>
        <w:rPr>
          <w:rFonts w:ascii="Arial" w:cs="Arial" w:eastAsia="Arial" w:hAnsi="Arial"/>
          <w:sz w:val="17"/>
          <w:szCs w:val="17"/>
          <w:color w:val="auto"/>
        </w:rPr>
      </w:pPr>
    </w:p>
    <w:p>
      <w:pPr>
        <w:ind w:left="620" w:hanging="307"/>
        <w:spacing w:after="0" w:line="237"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incompatibility of corporate cultures;</w:t>
      </w:r>
    </w:p>
    <w:p>
      <w:pPr>
        <w:ind w:left="620" w:hanging="307"/>
        <w:spacing w:after="0" w:line="237"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combined business due to potential divestitures or requirements imposed by antitrust regulators;</w:t>
      </w:r>
    </w:p>
    <w:p>
      <w:pPr>
        <w:ind w:left="620" w:right="420" w:hanging="307"/>
        <w:spacing w:after="0" w:line="237"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delays and other difficulties consolidating corporate and administrative infrastructures and information systems and in implementing common systems and procedures including, in particular, our internal controls over financial reporting; and</w:t>
      </w: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coordinating and integrating a geographically dispersed organization, including operations in jurisdictions we currently do not operate in.</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spacing w:after="0" w:line="204"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There have been no other material changes in the risk factors other than those mentioned above from those previously disclosed under “Risk Factors” in Part I, Item 1A of our Annual Report on Form 10-K with the SEC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Sales of Unregistered Securities</w:t>
      </w:r>
    </w:p>
    <w:p>
      <w:pPr>
        <w:spacing w:after="0" w:line="24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On January 6, 2022, as part of the consideration for the acquisition of Smiths Medical, we issued 2.5 million unregistered shares of our common stock to Smiths Group International Holdings Limited.</w:t>
      </w:r>
    </w:p>
    <w:p>
      <w:pPr>
        <w:spacing w:after="0" w:line="190"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The issuance of these shares to Smiths Medical in accordance with the terms and subject to the conditions set forth in a shareholders agreement was made in reliance on the private offering exemption of Section 4(a)(2) of the Securities Act and/or the private offering safe harbor provision of Rule 506 of Regulation D promulgated thereunder, as transactions not involving a public offering.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second quarter of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price paid</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4"/>
              <w:spacing w:after="0" w:line="180"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04/01/2022 — 04/30/2022</w:t>
            </w: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05/01/2022 — 05/31/2022</w:t>
            </w: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06/01/2022 — 06/30/2022</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Second quarter of 2022 total</w:t>
            </w: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Arial" w:cs="Arial" w:eastAsia="Arial" w:hAnsi="Arial"/>
                <w:sz w:val="19"/>
                <w:szCs w:val="19"/>
                <w:color w:val="auto"/>
                <w:w w:val="8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right="20" w:hanging="317"/>
        <w:spacing w:after="0" w:line="282" w:lineRule="auto"/>
        <w:tabs>
          <w:tab w:leader="none" w:pos="23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Exhibit Index</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60" w:type="dxa"/>
            <w:vAlign w:val="bottom"/>
            <w:gridSpan w:val="3"/>
          </w:tcPr>
          <w:p>
            <w:pPr>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r:id="rId84">
              <w:r>
                <w:rPr>
                  <w:rFonts w:ascii="Arial" w:cs="Arial" w:eastAsia="Arial" w:hAnsi="Arial"/>
                  <w:sz w:val="17"/>
                  <w:szCs w:val="17"/>
                  <w:color w:val="0000FF"/>
                </w:rPr>
                <w:t>10.1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w w:val="93"/>
              </w:rPr>
              <w:t>Amended and Restated Executive Employment Agreement, dated as of April 15, 2022, by and between ICU Medical, Inc. and</w:t>
            </w:r>
          </w:p>
        </w:tc>
      </w:tr>
      <w:tr>
        <w:trPr>
          <w:trHeight w:val="135"/>
        </w:trPr>
        <w:tc>
          <w:tcPr>
            <w:tcW w:w="54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720" w:type="dxa"/>
            <w:vAlign w:val="bottom"/>
          </w:tcPr>
          <w:p>
            <w:pPr>
              <w:spacing w:after="0"/>
              <w:rPr>
                <w:sz w:val="11"/>
                <w:szCs w:val="11"/>
                <w:color w:val="auto"/>
              </w:rPr>
            </w:pPr>
          </w:p>
        </w:tc>
        <w:tc>
          <w:tcPr>
            <w:tcW w:w="9240" w:type="dxa"/>
            <w:vAlign w:val="bottom"/>
          </w:tcPr>
          <w:p>
            <w:pPr>
              <w:ind w:left="380"/>
              <w:spacing w:after="0" w:line="136" w:lineRule="exact"/>
              <w:rPr>
                <w:sz w:val="20"/>
                <w:szCs w:val="20"/>
                <w:color w:val="auto"/>
              </w:rPr>
            </w:pPr>
            <w:r>
              <w:rPr>
                <w:rFonts w:ascii="Arial" w:cs="Arial" w:eastAsia="Arial" w:hAnsi="Arial"/>
                <w:sz w:val="15"/>
                <w:szCs w:val="15"/>
                <w:color w:val="auto"/>
              </w:rPr>
              <w:t>Vivek Jain. Filed as an Exhibit to Registrant's Current Report on Form 8-K filed April 20, 2022, and incorporated herein by</w:t>
            </w:r>
          </w:p>
        </w:tc>
      </w:tr>
      <w:tr>
        <w:trPr>
          <w:trHeight w:val="217"/>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reference.</w:t>
            </w:r>
          </w:p>
        </w:tc>
      </w:tr>
      <w:tr>
        <w:trPr>
          <w:trHeight w:val="234"/>
        </w:trPr>
        <w:tc>
          <w:tcPr>
            <w:tcW w:w="1560" w:type="dxa"/>
            <w:vAlign w:val="bottom"/>
            <w:gridSpan w:val="3"/>
          </w:tcPr>
          <w:p>
            <w:pPr>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0">
              <w:r>
                <w:rPr>
                  <w:rFonts w:ascii="Arial" w:cs="Arial" w:eastAsia="Arial" w:hAnsi="Arial"/>
                  <w:sz w:val="17"/>
                  <w:szCs w:val="17"/>
                  <w:color w:val="0000FF"/>
                </w:rPr>
                <w:t>31.1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1">
              <w:r>
                <w:rPr>
                  <w:rFonts w:ascii="Arial" w:cs="Arial" w:eastAsia="Arial" w:hAnsi="Arial"/>
                  <w:sz w:val="17"/>
                  <w:szCs w:val="17"/>
                  <w:color w:val="0000FF"/>
                </w:rPr>
                <w:t>31.2</w:t>
              </w:r>
            </w:hyperlink>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2">
              <w:r>
                <w:rPr>
                  <w:rFonts w:ascii="Arial" w:cs="Arial" w:eastAsia="Arial" w:hAnsi="Arial"/>
                  <w:sz w:val="17"/>
                  <w:szCs w:val="17"/>
                  <w:color w:val="0000FF"/>
                </w:rPr>
                <w:t>32.1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38"/>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101.INS</w:t>
            </w:r>
          </w:p>
        </w:tc>
        <w:tc>
          <w:tcPr>
            <w:tcW w:w="9240" w:type="dxa"/>
            <w:vAlign w:val="bottom"/>
          </w:tcPr>
          <w:p>
            <w:pPr>
              <w:ind w:left="38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7"/>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101.SCH</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101.CAL</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101.DEF</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101.LAB</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101.PRE</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104</w:t>
            </w:r>
          </w:p>
        </w:tc>
        <w:tc>
          <w:tcPr>
            <w:tcW w:w="9240" w:type="dxa"/>
            <w:vAlign w:val="bottom"/>
          </w:tcPr>
          <w:p>
            <w:pPr>
              <w:ind w:left="3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281" w:right="759" w:bottom="1440" w:gutter="0" w:footer="0" w:header="0"/>
        </w:sectPr>
      </w:pPr>
    </w:p>
    <w:bookmarkStart w:id="58" w:name="page59"/>
    <w:bookmarkEnd w:id="58"/>
    <w:p>
      <w:pPr>
        <w:jc w:val="center"/>
        <w:ind w:right="-759"/>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Date: August 8, 2022</w:t>
            </w:r>
          </w:p>
        </w:tc>
      </w:tr>
      <w:tr>
        <w:trPr>
          <w:trHeight w:val="211"/>
        </w:trPr>
        <w:tc>
          <w:tcPr>
            <w:tcW w:w="458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(Principal Financial Officer and Authorized Officer)</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720" w:type="dxa"/>
            <w:vAlign w:val="bottom"/>
            <w:gridSpan w:val="2"/>
          </w:tcPr>
          <w:p>
            <w:pPr>
              <w:jc w:val="right"/>
              <w:ind w:right="1514"/>
              <w:spacing w:after="0"/>
              <w:rPr>
                <w:sz w:val="20"/>
                <w:szCs w:val="20"/>
                <w:color w:val="auto"/>
              </w:rPr>
            </w:pPr>
            <w:r>
              <w:rPr>
                <w:rFonts w:ascii="Arial" w:cs="Arial" w:eastAsia="Arial" w:hAnsi="Arial"/>
                <w:sz w:val="17"/>
                <w:szCs w:val="17"/>
                <w:color w:val="auto"/>
              </w:rPr>
              <w:t>59</w:t>
            </w:r>
          </w:p>
        </w:tc>
      </w:tr>
    </w:tbl>
    <w:p>
      <w:pPr>
        <w:sectPr>
          <w:pgSz w:w="11900" w:h="16838" w:orient="portrait"/>
          <w:cols w:equalWidth="0" w:num="1">
            <w:col w:w="10500"/>
          </w:cols>
          <w:pgMar w:left="320" w:top="856" w:right="107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240" w:hanging="618"/>
        <w:spacing w:after="0" w:line="266"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240" w:right="220" w:hanging="618"/>
        <w:spacing w:after="0" w:line="312" w:lineRule="auto"/>
        <w:tabs>
          <w:tab w:leader="none" w:pos="1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240" w:hanging="618"/>
        <w:spacing w:after="0" w:line="266"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240" w:right="260" w:hanging="618"/>
        <w:spacing w:after="0" w:line="266" w:lineRule="auto"/>
        <w:tabs>
          <w:tab w:leader="none" w:pos="12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0"/>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240" w:right="140" w:hanging="618"/>
        <w:spacing w:after="0" w:line="312"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240" w:right="160" w:hanging="618"/>
        <w:spacing w:after="0" w:line="279" w:lineRule="auto"/>
        <w:tabs>
          <w:tab w:leader="none" w:pos="123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6" w:lineRule="auto"/>
        <w:tabs>
          <w:tab w:leader="none" w:pos="12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August 8, 2022</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14605</wp:posOffset>
            </wp:positionV>
            <wp:extent cx="309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080" w:right="160" w:hanging="535"/>
        <w:spacing w:after="0" w:line="26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080" w:right="80" w:hanging="535"/>
        <w:spacing w:after="0" w:line="312" w:lineRule="auto"/>
        <w:tabs>
          <w:tab w:leader="none" w:pos="11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080" w:right="160" w:hanging="535"/>
        <w:spacing w:after="0" w:line="26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080" w:right="420" w:hanging="535"/>
        <w:spacing w:after="0" w:line="266" w:lineRule="auto"/>
        <w:tabs>
          <w:tab w:leader="none" w:pos="10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080" w:right="120" w:hanging="535"/>
        <w:spacing w:after="0" w:line="266" w:lineRule="auto"/>
        <w:tabs>
          <w:tab w:leader="none" w:pos="10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080" w:right="860" w:hanging="535"/>
        <w:spacing w:after="0" w:line="349" w:lineRule="auto"/>
        <w:tabs>
          <w:tab w:leader="none" w:pos="1072" w:val="left"/>
        </w:tabs>
        <w:numPr>
          <w:ilvl w:val="0"/>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080" w:right="120" w:hanging="535"/>
        <w:spacing w:after="0" w:line="266" w:lineRule="auto"/>
        <w:tabs>
          <w:tab w:leader="none" w:pos="10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080" w:hanging="535"/>
        <w:spacing w:after="0" w:line="312" w:lineRule="auto"/>
        <w:tabs>
          <w:tab w:leader="none" w:pos="11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80" w:right="320" w:hanging="535"/>
        <w:spacing w:after="0" w:line="279" w:lineRule="auto"/>
        <w:tabs>
          <w:tab w:leader="none" w:pos="10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080" w:right="280" w:hanging="535"/>
        <w:spacing w:after="0" w:line="279" w:lineRule="auto"/>
        <w:tabs>
          <w:tab w:leader="none" w:pos="106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260"/>
        <w:spacing w:after="0"/>
        <w:tabs>
          <w:tab w:leader="none" w:pos="2260" w:val="left"/>
          <w:tab w:leader="none" w:pos="6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8, 2022</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10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10255"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104775</wp:posOffset>
            </wp:positionV>
            <wp:extent cx="680593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June 30, 2022 as filed with the Securities and Exchange Commission on the date hereof (the “Report”), I, Vivek Jain, Chief Executive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49"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August 8, 2022</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315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Vivek Jain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June 30, 2022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7"/>
          <w:szCs w:val="17"/>
          <w:color w:val="auto"/>
        </w:rPr>
        <w:t>August 8, 2022</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14605</wp:posOffset>
            </wp:positionV>
            <wp:extent cx="3503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84" Type="http://schemas.openxmlformats.org/officeDocument/2006/relationships/hyperlink" Target="http://www.sec.gov/Archives/edgar/data/883984/000088398422000026/exhibit101_415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2022-08-09T05:19:42Z</dcterms:created>
  <dcterms:modified xsi:type="dcterms:W3CDTF">2022-08-09T05:19:42Z</dcterms:modified>
</cp:coreProperties>
</file>