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4"/>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May 7,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ICU MEDICAL,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91"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94"/>
        <w:gridCol w:w="494"/>
        <w:gridCol w:w="706"/>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33-0022692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of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Identification No.) </w:t>
            </w:r>
          </w:p>
        </w:tc>
      </w:tr>
    </w:tbl>
    <w:tbl>
      <w:tblPr>
        <w:tblW w:w="6110" w:type="dxa"/>
        <w:jc w:val="center"/>
        <w:tblInd w:w="0" w:type="dxa"/>
        <w:tblLayout w:type="fixed"/>
        <w:tblCellMar>
          <w:top w:w="28" w:type="dxa"/>
          <w:left w:w="28" w:type="dxa"/>
          <w:bottom w:w="28" w:type="dxa"/>
          <w:right w:w="28" w:type="dxa"/>
        </w:tblCellMar>
      </w:tblPr>
      <w:tblGrid>
        <w:gridCol w:w="668"/>
        <w:gridCol w:w="586"/>
        <w:gridCol w:w="590"/>
        <w:gridCol w:w="109"/>
        <w:gridCol w:w="109"/>
        <w:gridCol w:w="109"/>
        <w:gridCol w:w="419"/>
        <w:gridCol w:w="419"/>
        <w:gridCol w:w="421"/>
        <w:gridCol w:w="109"/>
        <w:gridCol w:w="109"/>
        <w:gridCol w:w="109"/>
        <w:gridCol w:w="330"/>
        <w:gridCol w:w="330"/>
        <w:gridCol w:w="331"/>
        <w:gridCol w:w="109"/>
        <w:gridCol w:w="109"/>
        <w:gridCol w:w="109"/>
        <w:gridCol w:w="303"/>
        <w:gridCol w:w="303"/>
        <w:gridCol w:w="429"/>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San Clemente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92673</w:t>
            </w:r>
          </w:p>
        </w:tc>
      </w:tr>
      <w:tr>
        <w:trPr/>
        <w:tc>
          <w:tcPr>
            <w:tcW w:w="47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(949) 366-2183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894"/>
        <w:gridCol w:w="782"/>
        <w:gridCol w:w="782"/>
        <w:gridCol w:w="782"/>
        <w:gridCol w:w="782"/>
        <w:gridCol w:w="782"/>
        <w:gridCol w:w="2006"/>
        <w:gridCol w:w="1379"/>
        <w:gridCol w:w="2016"/>
      </w:tblGrid>
      <w:tr>
        <w:trPr/>
        <w:tc>
          <w:tcPr>
            <w:tcW w:w="89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789" w:type="dxa"/>
        <w:jc w:val="center"/>
        <w:tblInd w:w="0" w:type="dxa"/>
        <w:tblLayout w:type="fixed"/>
        <w:tblCellMar>
          <w:top w:w="28" w:type="dxa"/>
          <w:left w:w="28" w:type="dxa"/>
          <w:bottom w:w="28" w:type="dxa"/>
          <w:right w:w="28" w:type="dxa"/>
        </w:tblCellMar>
      </w:tblPr>
      <w:tblGrid>
        <w:gridCol w:w="1252"/>
        <w:gridCol w:w="1100"/>
        <w:gridCol w:w="1113"/>
        <w:gridCol w:w="499"/>
        <w:gridCol w:w="499"/>
        <w:gridCol w:w="501"/>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$0.10 per share</w:t>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ICUI</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Select Market)</w:t>
            </w:r>
          </w:p>
        </w:tc>
      </w:tr>
    </w:tbl>
    <w:tbl>
      <w:tblPr>
        <w:tblW w:w="10205" w:type="dxa"/>
        <w:jc w:val="center"/>
        <w:tblInd w:w="0" w:type="dxa"/>
        <w:tblLayout w:type="fixed"/>
        <w:tblCellMar>
          <w:top w:w="28" w:type="dxa"/>
          <w:left w:w="28" w:type="dxa"/>
          <w:bottom w:w="28" w:type="dxa"/>
          <w:right w:w="28" w:type="dxa"/>
        </w:tblCellMar>
      </w:tblPr>
      <w:tblGrid>
        <w:gridCol w:w="586"/>
        <w:gridCol w:w="514"/>
        <w:gridCol w:w="514"/>
        <w:gridCol w:w="1033"/>
        <w:gridCol w:w="662"/>
        <w:gridCol w:w="662"/>
        <w:gridCol w:w="662"/>
        <w:gridCol w:w="662"/>
        <w:gridCol w:w="662"/>
        <w:gridCol w:w="662"/>
        <w:gridCol w:w="662"/>
        <w:gridCol w:w="662"/>
        <w:gridCol w:w="662"/>
        <w:gridCol w:w="662"/>
        <w:gridCol w:w="938"/>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12"/>
            <w:tcBorders/>
            <w:tcMar>
              <w:top w:w="0" w:type="dxa"/>
              <w:left w:w="0" w:type="dxa"/>
              <w:bottom w:w="0" w:type="dxa"/>
              <w:right w:w="0" w:type="dxa"/>
            </w:tcMar>
            <w:vAlign w:val="center"/>
          </w:tcPr>
          <w:p>
            <w:pPr>
              <w:pStyle w:val="TableContents"/>
              <w:bidi w:val="0"/>
              <w:spacing w:lineRule="auto" w:line="240"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ableContents"/>
              <w:bidi w:val="0"/>
              <w:spacing w:before="0" w:after="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r>
        <w:rPr>
          <w:rFonts w:ascii="Times New Roman;serif" w:hAnsi="Times New Roman;serif"/>
          <w:b w:val="false"/>
          <w:color w:val="000000"/>
          <w:sz w:val="20"/>
        </w:rPr>
        <w:t>On May 7, 2026, ICU Medical, Inc. issued a press release announcing its financial results for the first quarter of 2026. A copy of this press release is furnished as Exhibit 99.1 to this Current Report on Form 8-K and is incorporated in Item 2.02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tbl>
      <w:tblPr>
        <w:tblW w:w="10205"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2745"/>
        <w:gridCol w:w="2745"/>
        <w:gridCol w:w="390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12026er.htm">
              <w:r>
                <w:rPr>
                  <w:rStyle w:val="InternetLink"/>
                  <w:rFonts w:ascii="Times New Roman;serif" w:hAnsi="Times New Roman;serif"/>
                  <w:b w:val="false"/>
                  <w:color w:val="0000FF"/>
                  <w:sz w:val="20"/>
                  <w:u w:val="single"/>
                </w:rPr>
                <w:t>99.1</w:t>
              </w:r>
            </w:hyperlink>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May 7, 2026 announcing ICU Medical, Inc.'s first quarter 2026 earnings.</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instance document does not appear in the Interactive Data File because its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947"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197"/>
        <w:gridCol w:w="197"/>
        <w:gridCol w:w="197"/>
        <w:gridCol w:w="197"/>
        <w:gridCol w:w="197"/>
        <w:gridCol w:w="197"/>
        <w:gridCol w:w="901"/>
        <w:gridCol w:w="901"/>
        <w:gridCol w:w="134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ICU MEDICAL,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5" w:after="200"/>
        <w:jc w:val="right"/>
        <w:rPr/>
      </w:pPr>
      <w:r>
        <w:rPr/>
      </w:r>
    </w:p>
    <w:p>
      <w:pPr>
        <w:pStyle w:val="TextBody"/>
        <w:bidi w:val="0"/>
        <w:spacing w:lineRule="auto" w:line="288" w:before="75"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Announces First Quarter 2026 Results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CLEMENTE, Calif., May 7, 2026 (GLOBE NEWSWIRE) -- ICU Medical, Inc. (Nasdaq:ICUI), a leader in the development, manufacture and sale of innovative medical products, today announced financial results for the quarterly period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First Quarter 2026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year-over-year results reflect the strategic divestiture of the IV Solutions business on May 1, 2025. First quarter 2026 GAAP revenue declined 12% year-over-year; however, excluding the impact of the IV Solutions divestiture and foreign currency, non-GAAP organic revenue increased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quarter 2026 GAAP revenue was $530.2 million, as compared to $604.7 million in the same period in the prior year. GAAP gross profit for the first quarter of 2026 was $206.2 million, as compared to $210.1 million in the same period in the prior year. GAAP gross margin for the first quarter of 2026 was 39%, as compared to 35% in the same period in the prior year. GAAP net income for the first quarter of 2026 was $30.1 million, or $1.20 per diluted share, as compared to GAAP net loss of $(15.5) million, or $(0.63) per diluted share, for the first quarter of 2025. Adjusted diluted earnings per share for the first quarter of 2026 was $1.97 as compared to $1.72 for the first quarter of 2025. Adjusted EBITDA was $98.7 million for the first quarter of 2026 as compared to $99.4 million for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diluted earnings per share are measures calculated and presented on the basis of methodologies other than in accordance with GAAP. Please refer to the Use of Non-GAAP Financial Information following the financial statements herein for further discussion and reconciliations of these measures to GAAP measures.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Vivek Jain, ICU Medical’s Chief Executive Officer, said, “First quarter results were generally in line with our expectations."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 by product line for the three months ended March 31, 2026 and 2025 were as follows (in millions):</w:t>
      </w:r>
    </w:p>
    <w:tbl>
      <w:tblPr>
        <w:tblW w:w="5759" w:type="dxa"/>
        <w:jc w:val="center"/>
        <w:tblInd w:w="0" w:type="dxa"/>
        <w:tblLayout w:type="fixed"/>
        <w:tblCellMar>
          <w:top w:w="28" w:type="dxa"/>
          <w:left w:w="28" w:type="dxa"/>
          <w:bottom w:w="28" w:type="dxa"/>
          <w:right w:w="28" w:type="dxa"/>
        </w:tblCellMar>
      </w:tblPr>
      <w:tblGrid>
        <w:gridCol w:w="493"/>
        <w:gridCol w:w="433"/>
        <w:gridCol w:w="438"/>
        <w:gridCol w:w="109"/>
        <w:gridCol w:w="109"/>
        <w:gridCol w:w="109"/>
        <w:gridCol w:w="295"/>
        <w:gridCol w:w="255"/>
        <w:gridCol w:w="256"/>
        <w:gridCol w:w="164"/>
        <w:gridCol w:w="164"/>
        <w:gridCol w:w="164"/>
        <w:gridCol w:w="295"/>
        <w:gridCol w:w="255"/>
        <w:gridCol w:w="256"/>
        <w:gridCol w:w="109"/>
        <w:gridCol w:w="109"/>
        <w:gridCol w:w="109"/>
        <w:gridCol w:w="398"/>
        <w:gridCol w:w="268"/>
        <w:gridCol w:w="272"/>
        <w:gridCol w:w="109"/>
        <w:gridCol w:w="109"/>
        <w:gridCol w:w="10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Vital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*On May 1, 2025, we disposed of our IV Solutions business which was included within our Vital Care product line. Vital Care includes contract manufacturing revenue of $4.5 million for the three months ended March 31, 2026, as compared to $5.2 million for the three months ended March 31, 2025.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Totals may differ from the income statement due to the rounding of product 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host a conference call to discuss its first quarter financial results, today at 4:30 p.m. ET (1:30 p.m. PT). The call can be accessed at (800) 343-4136, conference ID "ICUMED". The conference call will be simultaneously available by webcast, which can be accessed by going to the Company's website at www.icumed.com, clicking on the Investors tab, clicking on Event Calendar and clicking on the Webcast icon and following the prompts. The webcast will also be available by replay.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ICU Medical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ICU Medical (Nasdaq: ICUI) is a global leader in infusion systems, infusion consumables and high-value critical care products used in hospital, alternate site and home care settings. Our team is focused on providing quality, innovation and value to our clinical customers worldwide. ICU Medical is headquartered in San Clemente, California. More information about ICU Medical can be found at </w:t>
      </w:r>
      <w:r>
        <w:rPr>
          <w:rFonts w:ascii="Times New Roman;serif" w:hAnsi="Times New Roman;serif"/>
          <w:b w:val="false"/>
          <w:color w:val="0563C1"/>
          <w:sz w:val="20"/>
          <w:u w:val="single"/>
        </w:rPr>
        <w:t>www.icumed.com</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Section 27A of the Securities Act of 1933, as amended, and Section 21E of the Securities Exchange Act of 1934, as amended. Such statements contain words such as </w:t>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aim,” “anticipate,” “believe,” “can,” “continue,” “could,” “estimate,” “expect,” “forecast,” “goal,” “intend,” “may,” “might,” “plan,” “possible,” “potential,” “predict,” “project,” “should,” “target,” “will,” “would” or the negative thereof or comparable terminology and may include (without limitation) information regarding the Company's expectations, goals and intentions regarding the future and financial outlook for 2026. These forward-looking statements are based on management's current expectations, estimates, forecasts and projections about the Company and assumptions management believes are reasonable, all of which are subject to risks and uncertainties that could cause actual results and events to differ materially from those stated in the forward-looking statements. These risks and uncertainties include, but are not limited to: risks from doing business in foreign countries, including related to tariffs and other barriers to trade; the Company’s ability to compete successfully, including with larger international companies and established local companies; decreased demand for the Company's products; costs related to product development; cost volatility or potential loss of supply of raw materials due to our dependence on single and limited source third-party suppliers; ability to achieve operating efficiencies; risks related to significant sales through our distributors; inflation and foreign currency exchange rates; impacts from global macroeconomic and geopolitical conditions, including from escalated conflicts in the Middle East and associated disruptions to shipping and increased oil costs; healthcare costs and reimbursement levels; disruptions at the FDA and other governmental agencies; damage at the Company’s manufacturing or supply facilities; risks associated with the IV Solutions joint venture and the Smiths Medical integration; risks associated with the timing and resolution of the 2025 warning letter; risks related to protection of our information technology systems and compliance with privacy laws and regulations; risks related to our intellectual property; and the other important factors described under “Risk Factors” in the Company's Annual Report on Form 10-K for the fiscal year ended December 31, 2025 and our subsequent filings with the SEC, including, without limitation, in the Company's Quarterly Report on Form 10-Q for the quarterly period ended March 31, 2026. Forward-looking statements contained in this press release are made only as of the date hereof, and the Company undertakes no obligation to update or revise the forward-looking statements, whether as a result of new information, future events or otherwise unless required by law.</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009"/>
        <w:gridCol w:w="2204"/>
        <w:gridCol w:w="2234"/>
        <w:gridCol w:w="321"/>
        <w:gridCol w:w="411"/>
        <w:gridCol w:w="415"/>
        <w:gridCol w:w="109"/>
        <w:gridCol w:w="109"/>
        <w:gridCol w:w="109"/>
        <w:gridCol w:w="411"/>
        <w:gridCol w:w="358"/>
        <w:gridCol w:w="515"/>
      </w:tblGrid>
      <w:tr>
        <w:trPr/>
        <w:tc>
          <w:tcPr>
            <w:tcW w:w="30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74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307,963</w:t>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receivable, net of allowance for doubtful accounts </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180,515</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615,859</w:t>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86,217</w:t>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1,190,554</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451,817</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54,470</w:t>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1,499,754</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633,559</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25,891</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62,877</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UNCONSOLIDATED AFFILIATES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131,586</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4,050,508</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LIABILITIES AND STOCKHOLDERS’ EQUITY</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154,374</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315,337</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10,400</w:t>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498,861</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1,265,917</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89,536</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37,756</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LIABILITY</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34,613</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$1.00 par value; Authorized — 500 shares; Issued and outstanding — none</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$0.10 par value; Authorized — 80,000 shares; Issued —25,186 and 24,688 shares at March 31, 2026 and December 31, 2025, respectively, and outstanding — 24,993 and 24,688 shares at March 31, 2026 and December 31, 2025, respectively</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1,465,118</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690,890</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(34,630)</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2,123,825</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4,050,508</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54"/>
        <w:gridCol w:w="2215"/>
        <w:gridCol w:w="2228"/>
        <w:gridCol w:w="299"/>
        <w:gridCol w:w="390"/>
        <w:gridCol w:w="391"/>
        <w:gridCol w:w="151"/>
        <w:gridCol w:w="151"/>
        <w:gridCol w:w="151"/>
        <w:gridCol w:w="299"/>
        <w:gridCol w:w="395"/>
        <w:gridCol w:w="396"/>
        <w:gridCol w:w="109"/>
        <w:gridCol w:w="109"/>
        <w:gridCol w:w="109"/>
        <w:gridCol w:w="158"/>
      </w:tblGrid>
      <w:tr>
        <w:trPr/>
        <w:tc>
          <w:tcPr>
            <w:tcW w:w="2654"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530,225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323,999</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206,226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16,801</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192,647</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EQUITY IN LOSSES OF UNCONSOLIDATED AFFILIATES</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34,714</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CONSOLIDATED COMPANIES</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30,739</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0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24,764</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288" w:before="0" w:after="0"/>
        <w:jc w:val="center"/>
        <w:rPr/>
      </w:pPr>
      <w:r>
        <w:rPr>
          <w:rFonts w:ascii="Times New Roman;serif" w:hAnsi="Times New Roman;serif"/>
          <w:b w:val="false"/>
          <w:color w:val="000000"/>
          <w:sz w:val="18"/>
        </w:rPr>
        <w:t>(In thousands)</w:t>
      </w:r>
      <w:r>
        <w:rPr>
          <w:color w:val="000000"/>
        </w:rPr>
        <w:t> </w:t>
      </w:r>
    </w:p>
    <w:p>
      <w:pPr>
        <w:pStyle w:val="TextBody"/>
        <w:bidi w:val="0"/>
        <w:spacing w:before="0" w:after="0"/>
        <w:jc w:val="center"/>
        <w:rPr/>
      </w:pPr>
      <w:r>
        <w:rPr/>
      </w:r>
    </w:p>
    <w:tbl>
      <w:tblPr>
        <w:tblW w:w="8018" w:type="dxa"/>
        <w:jc w:val="center"/>
        <w:tblInd w:w="0" w:type="dxa"/>
        <w:tblLayout w:type="fixed"/>
        <w:tblCellMar>
          <w:top w:w="28" w:type="dxa"/>
          <w:left w:w="28" w:type="dxa"/>
          <w:bottom w:w="28" w:type="dxa"/>
          <w:right w:w="28" w:type="dxa"/>
        </w:tblCellMar>
      </w:tblPr>
      <w:tblGrid>
        <w:gridCol w:w="2017"/>
        <w:gridCol w:w="1771"/>
        <w:gridCol w:w="1776"/>
        <w:gridCol w:w="196"/>
        <w:gridCol w:w="736"/>
        <w:gridCol w:w="109"/>
        <w:gridCol w:w="109"/>
        <w:gridCol w:w="109"/>
        <w:gridCol w:w="109"/>
        <w:gridCol w:w="196"/>
        <w:gridCol w:w="73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March 31,</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plant and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Undistributed equity in loss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amounts acquired: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including excess tax benefits and 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received for the sale of a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Use of Non-GAAP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financial measures that are not calculated in accordance with U.S. generally accepted accounting principles ("GAAP"). The non-GAAP financial measures should be considered supplemental to, and not as a substitute for, or superior to, financial measures calculated in accordance with GAAP. There are material limitations in using these non-GAAP financial measures because they are not prepared in accordance with GAAP and may not be comparable to similarly titled non-GAAP financial measures used by other companies, including peer companies. Our management believes that the non-GAAP data provides useful supplemental information to management and investors regarding our performance and facilitates a more meaningful comparison of results of operations between current and prior periods. We use non-GAAP financial measures in addition to and in conjunction with GAAP financial measures to analyze and assess the overall performance of our business, in making financial, operating and planning decisions, and in determining executive incentive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as shown in the tables below, exclude special items because they are highly variable or unusual and impact year-over-year comparisons.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special items include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Contract manufacturing</w:t>
      </w:r>
      <w:r>
        <w:rPr>
          <w:rFonts w:ascii="Times New Roman;serif" w:hAnsi="Times New Roman;serif"/>
          <w:b w:val="false"/>
          <w:color w:val="000000"/>
          <w:sz w:val="20"/>
        </w:rPr>
        <w:t>: We manufacture certain products or product components in accordance with manufacturing services agreements. We do not include the contract revenue in our adjusted revenue, or any gross profit impact in our adjusted gross profit as the commercial relationship under these types of agreements are originally negotiated contemporaneously with a business combination or other transactions and are not indicative of normal market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Stock compensation expense</w:t>
      </w:r>
      <w:r>
        <w:rPr>
          <w:rFonts w:ascii="Times New Roman;serif" w:hAnsi="Times New Roman;serif"/>
          <w:b w:val="false"/>
          <w:color w:val="000000"/>
          <w:sz w:val="20"/>
        </w:rPr>
        <w:t>: Stock-based compensation is generally fixed at the time the stock-based instrument is granted and amortized over a period of several years. The value of our restricted stock awards is determined using the grant date stock price, which may not be indicative of our operational performance over the expense period. Additionally, in order to establish the fair value of performance-based stock awards, which are currently an element of our ongoing stock-based compensation, we are required to apply judgment to estimate the probability of the extent to which performance objectives will be achieved. Based on the above factors, we believe it is useful to exclude stock-based compensation in order to better understand our operating performance.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Intangible asset amortization expense</w:t>
      </w:r>
      <w:r>
        <w:rPr>
          <w:rFonts w:ascii="Times New Roman;serif" w:hAnsi="Times New Roman;serif"/>
          <w:b w:val="false"/>
          <w:color w:val="000000"/>
          <w:sz w:val="20"/>
        </w:rPr>
        <w:t>: We do not acquire businesses or capitalize certain patent costs on a predictable cycle. The amount of purchase price allocated to intangible assets and the term of amortization can vary significantly and are unique to each acquisition. Capitalized patent costs can vary significantly based on our current level of development activities. We believe that excluding amortization of intangible assets provides the users of our financial statements with a consistent basis for comparison across accounting periods.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Restructuring, strategic transaction and integration</w:t>
      </w:r>
      <w:r>
        <w:rPr>
          <w:rFonts w:ascii="Times New Roman;serif" w:hAnsi="Times New Roman;serif"/>
          <w:b w:val="false"/>
          <w:color w:val="000000"/>
          <w:sz w:val="20"/>
        </w:rPr>
        <w:t>: We incur restructuring and strategic transaction charges that result from events, which arise from unforeseen circumstances and/or often occur outside of the ordinary course of our ongoing business. Although these events are reflected in our GAAP financial statements, these unique transactions may limit the comparability of our ongoing operations with prior and future periods.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Settlements</w:t>
      </w:r>
      <w:r>
        <w:rPr>
          <w:rFonts w:ascii="Times New Roman;serif" w:hAnsi="Times New Roman;serif"/>
          <w:b w:val="false"/>
          <w:color w:val="000000"/>
          <w:sz w:val="20"/>
        </w:rPr>
        <w:t>: Occasionally, we are involved in contract renegotiations or other events that may result in one-time settlements. We exclude these settlements as they have no direct correlation to the operation of our ongoing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Quality system and product-related remediation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exclude certain quality system and product-related remediation charges in determining our non-GAAP financial measures as they may limit the comparability of our ongoing operations with prior and future periods and distort the evaluation of our normal operating performance.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u w:val="single"/>
        </w:rPr>
        <w:t>Noncash release of loss on contract provision</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We provide certain services under fixed priced arrangements in accordance with a transition services arrangement. We do not include the loss on contract provision or subsequent release net of the related interest accretion as a result of providing those services in our non-GAAP financial measures as the agreement was negotiated contemporaneously with a disposition and is not indicative of a normal market transaction. The loss provision and subsequent release is a non-recurring noncash adjustment that if included may limit the comparability of our ongoing operations with prior and future periods.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in the future, there may be other items that we may exclude if we believe that doing so is consistent with the goal of providing useful information to investors and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above special items, Adjusted EBITDA additionally excludes the following items from net income: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i/>
          <w:color w:val="000000"/>
          <w:sz w:val="20"/>
          <w:u w:val="single"/>
        </w:rPr>
        <w:t>Depreciation expense</w:t>
      </w:r>
      <w:r>
        <w:rPr>
          <w:rFonts w:ascii="Times New Roman;serif" w:hAnsi="Times New Roman;serif"/>
          <w:b w:val="false"/>
          <w:color w:val="000000"/>
          <w:sz w:val="20"/>
        </w:rPr>
        <w:t>: We exclude depreciation expense in deriving adjusted EBITDA because companies utilize productive assets of different ages and the depreciable lives can vary significantly resulting in considerable variability in depreciation expense among companies.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Interest, net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exclude interest in deriving adjusted EBITDA as interest can vary significantly among companies depending on a company's level of income generating instruments and/or level of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Taxes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exclude taxes in deriving adjusted EBITDA as taxes are deemed to be non-core to the business and may limit the comparability of our ongoing operations with prior and future periods and distort the evaluation of our normal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Diluted EPS excludes from diluted EPS, net of tax, the special items listed above. The tax effect on the special items is calculated using the specific tax rate applied to each adjustment based on the nature of the item/or the tax jurisdiction in which the item has been recorded. Additionally, adjusted diluted EPS may exclude the income tax impact of certain non-recurring discrete tax items that are not reflective of income tax expense/benefit incurred as a result of current period earnings/ loss, as well as the impact of certain deferred tax valuation allowances when assessed against non-GAAP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present Free cash flow as a non-GAAP financial measure as management believes that this is an important measure for use in evaluating overall company financial performance as it measures our ability to generate additional cash flow from business operations. Free cash flow should be considered in addition to, rather than as a substitute for, net income as a measure of our performance or net cash provided by operating activities as a measure of our liquidity. Additionally, our definition of free cash flow is limited and does not represent residual cash flows available for discretionary expenditures due to the fact that the measure does not deduct the payments required for debt service and other obligations or payments made for business acquisitions. Therefore, we believe it is important to view free cash flow as supplemental to our entire statement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present organic revenue growth as a non-GAAP financial measure as management believes that this measure provides a more representative view of the Company's underlying growth trajectory by excluding the impact of revenue from non-arm's length transactions, the impact of foreign currency and the revenue associated with acquisitions and divestitures. We calculate constant currency revenue by translating current period foreign currency revenue at prior period comparable exchange rates and we calculate the constant currency growth percentages by dividing the current period constant currency revenue by the prior year comparable period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our non-GAAP financial measures for the periods presented: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6065" w:type="dxa"/>
        <w:jc w:val="center"/>
        <w:tblInd w:w="0" w:type="dxa"/>
        <w:tblLayout w:type="fixed"/>
        <w:tblCellMar>
          <w:top w:w="28" w:type="dxa"/>
          <w:left w:w="28" w:type="dxa"/>
          <w:bottom w:w="28" w:type="dxa"/>
          <w:right w:w="28" w:type="dxa"/>
        </w:tblCellMar>
      </w:tblPr>
      <w:tblGrid>
        <w:gridCol w:w="1323"/>
        <w:gridCol w:w="1166"/>
        <w:gridCol w:w="1171"/>
        <w:gridCol w:w="284"/>
        <w:gridCol w:w="300"/>
        <w:gridCol w:w="301"/>
        <w:gridCol w:w="157"/>
        <w:gridCol w:w="157"/>
        <w:gridCol w:w="157"/>
        <w:gridCol w:w="284"/>
        <w:gridCol w:w="316"/>
        <w:gridCol w:w="449"/>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 xml:space="preserve">Adjusted EBITDA </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(loss)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30,132</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16,494</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22,031</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50,027</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strategic transaction and integration</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16,697</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Quality system and product-related remediation</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9,980</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release of loss on contract provision</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on contract manufacturing</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(34,714)</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non-GAAP adjustments</w:t>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114,902</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Adjusted EBITDA </w:t>
            </w:r>
          </w:p>
        </w:tc>
        <w:tc>
          <w:tcPr>
            <w:tcW w:w="2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99,426</w:t>
            </w:r>
          </w:p>
        </w:tc>
      </w:tr>
    </w:tbl>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 and per share data)</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U.S. GAAP results for the three months ended March 31, 2026 included special items which impacted the U.S. GAAP measures as follows:</w:t>
      </w:r>
    </w:p>
    <w:p>
      <w:pPr>
        <w:pStyle w:val="TextBody"/>
        <w:bidi w:val="0"/>
        <w:spacing w:before="0" w:after="0"/>
        <w:jc w:val="left"/>
        <w:rPr/>
      </w:pPr>
      <w:r>
        <w:rPr/>
      </w:r>
    </w:p>
    <w:tbl>
      <w:tblPr>
        <w:tblW w:w="15640" w:type="dxa"/>
        <w:jc w:val="left"/>
        <w:tblInd w:w="0" w:type="dxa"/>
        <w:tblLayout w:type="fixed"/>
        <w:tblCellMar>
          <w:top w:w="28" w:type="dxa"/>
          <w:left w:w="28" w:type="dxa"/>
          <w:bottom w:w="28" w:type="dxa"/>
          <w:right w:w="28" w:type="dxa"/>
        </w:tblCellMar>
      </w:tblPr>
      <w:tblGrid>
        <w:gridCol w:w="536"/>
        <w:gridCol w:w="395"/>
        <w:gridCol w:w="255"/>
        <w:gridCol w:w="196"/>
        <w:gridCol w:w="736"/>
        <w:gridCol w:w="109"/>
        <w:gridCol w:w="196"/>
        <w:gridCol w:w="736"/>
        <w:gridCol w:w="241"/>
        <w:gridCol w:w="196"/>
        <w:gridCol w:w="736"/>
        <w:gridCol w:w="241"/>
        <w:gridCol w:w="196"/>
        <w:gridCol w:w="646"/>
        <w:gridCol w:w="241"/>
        <w:gridCol w:w="209"/>
        <w:gridCol w:w="689"/>
        <w:gridCol w:w="258"/>
        <w:gridCol w:w="109"/>
        <w:gridCol w:w="109"/>
        <w:gridCol w:w="196"/>
        <w:gridCol w:w="646"/>
        <w:gridCol w:w="241"/>
        <w:gridCol w:w="196"/>
        <w:gridCol w:w="661"/>
        <w:gridCol w:w="241"/>
        <w:gridCol w:w="109"/>
        <w:gridCol w:w="214"/>
        <w:gridCol w:w="707"/>
        <w:gridCol w:w="265"/>
        <w:gridCol w:w="196"/>
        <w:gridCol w:w="661"/>
        <w:gridCol w:w="241"/>
        <w:gridCol w:w="196"/>
        <w:gridCol w:w="646"/>
        <w:gridCol w:w="241"/>
        <w:gridCol w:w="313"/>
        <w:gridCol w:w="697"/>
        <w:gridCol w:w="176"/>
        <w:gridCol w:w="196"/>
        <w:gridCol w:w="646"/>
        <w:gridCol w:w="109"/>
        <w:gridCol w:w="196"/>
        <w:gridCol w:w="46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Selling, general and administrative</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strategic transaction and integration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from operations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income before income taxes and equity in loss of unconsolidated affiliates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Benefit (Provision) for income taxes</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from consolidated companies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in loss of unconsolidated affiliated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income (loss) </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 (loss) income per share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Reported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(3,975)</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percent of total revenues or (percent of income (loss) before income taxes and equity in earnings of unconsolidated affiliates)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33,096 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strategic transaction and integration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Quality system and product-related remediation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release of loss on contract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benefit from discrete reserve release and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benefit from equity in loss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216,387 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112,287 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83,415 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66,193 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percent of total revenues or (percent of (loss) income before income taxes and equity in loss of unconsolidated affiliates for benefit (provision) for income taxes)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68" w:before="0" w:after="0"/>
        <w:jc w:val="left"/>
        <w:rPr/>
      </w:pPr>
      <w:r>
        <w:rPr>
          <w:rFonts w:ascii="Times New Roman;serif" w:hAnsi="Times New Roman;serif"/>
          <w:b w:val="false"/>
          <w:color w:val="000000"/>
          <w:sz w:val="20"/>
        </w:rPr>
        <w:t xml:space="preserve">* </w:t>
      </w:r>
      <w:r>
        <w:rPr>
          <w:rFonts w:ascii="Times New Roman;serif" w:hAnsi="Times New Roman;serif"/>
          <w:b w:val="false"/>
          <w:color w:val="000000"/>
          <w:sz w:val="16"/>
        </w:rPr>
        <w:t xml:space="preserve">The Company’s non-GAAP annual effective tax rate is calculated without the tax expense related to the valuation allowance against certain U.S. Federal and State deferred tax assets, as well as, the tax benefit on the release of income tax reserves in foreign jurisdictions for tax years which are no longer subject to an assessment from the local taxing authorities. The valuation allowance was recorded based on an assessment of available positive and negative evidence, including, predominantly, an estimate that we will be in a three-year cumulative U.S. loss position on a GAAP basis as of March 31, 2026. However, based on the same assessment, including, predominantly, our being, in a three-year cumulative U.S. income position on a non-GAAP basis, which excludes the impact of our non-GAAP adjustments, we concluded that recording a valuation allowance would not have been appropriate for non-GAAP reporting. As a result, the tax expense for the valuation allowance was added back to our calculation of non-GAAP annual effective tax rate. Tax reserves were released as a result of the expiration of statute of limitations which resulted in a discrete tax benefit for GAAP purposes. This tax benefit is excluded from our non-GAAP annual effective tax rate to the extent it is not related to on-going business operations. </w:t>
      </w:r>
    </w:p>
    <w:p>
      <w:pPr>
        <w:pStyle w:val="TextBody"/>
        <w:bidi w:val="0"/>
        <w:spacing w:lineRule="auto" w:line="288"/>
        <w:jc w:val="left"/>
        <w:rPr>
          <w:rFonts w:ascii="Times New Roman;serif" w:hAnsi="Times New Roman;serif"/>
          <w:b w:val="false"/>
          <w:color w:val="000000"/>
          <w:sz w:val="16"/>
        </w:rPr>
      </w:pPr>
      <w:r>
        <w:rPr>
          <w:rFonts w:ascii="Times New Roman;serif" w:hAnsi="Times New Roman;serif"/>
          <w:b w:val="false"/>
          <w:color w:val="000000"/>
          <w:sz w:val="16"/>
        </w:rPr>
        <w:t>** Amounts may not foot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 and per share data)</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U.S. GAAP results for the three months ended March 31, 2025 included special items which impacted the U.S. GAAP measures as follows:</w:t>
      </w:r>
    </w:p>
    <w:p>
      <w:pPr>
        <w:pStyle w:val="TextBody"/>
        <w:bidi w:val="0"/>
        <w:spacing w:before="0" w:after="0"/>
        <w:jc w:val="left"/>
        <w:rPr/>
      </w:pPr>
      <w:r>
        <w:rPr/>
      </w:r>
    </w:p>
    <w:tbl>
      <w:tblPr>
        <w:tblW w:w="12238" w:type="dxa"/>
        <w:jc w:val="left"/>
        <w:tblInd w:w="0" w:type="dxa"/>
        <w:tblLayout w:type="fixed"/>
        <w:tblCellMar>
          <w:top w:w="28" w:type="dxa"/>
          <w:left w:w="28" w:type="dxa"/>
          <w:bottom w:w="28" w:type="dxa"/>
          <w:right w:w="28" w:type="dxa"/>
        </w:tblCellMar>
      </w:tblPr>
      <w:tblGrid>
        <w:gridCol w:w="678"/>
        <w:gridCol w:w="253"/>
        <w:gridCol w:w="255"/>
        <w:gridCol w:w="196"/>
        <w:gridCol w:w="736"/>
        <w:gridCol w:w="109"/>
        <w:gridCol w:w="196"/>
        <w:gridCol w:w="736"/>
        <w:gridCol w:w="241"/>
        <w:gridCol w:w="196"/>
        <w:gridCol w:w="736"/>
        <w:gridCol w:w="241"/>
        <w:gridCol w:w="196"/>
        <w:gridCol w:w="646"/>
        <w:gridCol w:w="241"/>
        <w:gridCol w:w="209"/>
        <w:gridCol w:w="689"/>
        <w:gridCol w:w="258"/>
        <w:gridCol w:w="109"/>
        <w:gridCol w:w="196"/>
        <w:gridCol w:w="646"/>
        <w:gridCol w:w="241"/>
        <w:gridCol w:w="109"/>
        <w:gridCol w:w="196"/>
        <w:gridCol w:w="661"/>
        <w:gridCol w:w="241"/>
        <w:gridCol w:w="196"/>
        <w:gridCol w:w="661"/>
        <w:gridCol w:w="241"/>
        <w:gridCol w:w="196"/>
        <w:gridCol w:w="661"/>
        <w:gridCol w:w="241"/>
        <w:gridCol w:w="196"/>
        <w:gridCol w:w="48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Selling, general and administrative</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strategic transaction and integration</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income before income taxes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 for income taxes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(loss) income</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(loss) earnings per share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Reported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percent of total revenues (or percent of (loss) income before income taxes for benefit (provision) for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 reduction - assets held for sale classification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strategic transaction and integration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(16,697)</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Quality system and product-related remediation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expense from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57,299 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percent of total revenues (or percent of (loss) income before income taxes for provision for income taxes)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56" w:before="0" w:after="0"/>
        <w:jc w:val="left"/>
        <w:rPr/>
      </w:pPr>
      <w:r>
        <w:rPr>
          <w:rFonts w:ascii="Times New Roman;serif" w:hAnsi="Times New Roman;serif"/>
          <w:b w:val="false"/>
          <w:color w:val="000000"/>
          <w:sz w:val="20"/>
        </w:rPr>
        <w:t xml:space="preserve">* </w:t>
      </w:r>
      <w:r>
        <w:rPr>
          <w:rFonts w:ascii="Times New Roman;serif" w:hAnsi="Times New Roman;serif"/>
          <w:b w:val="false"/>
          <w:color w:val="000000"/>
          <w:sz w:val="16"/>
        </w:rPr>
        <w:t>The Company’s non-GAAP annual effective tax rate is calculated without the tax expense related to the valuation allowance against certain U.S. Federal and State deferred tax assets. The valuation allowance was recorded based on an assessment of available positive and negative evidence, including, predominantly, an estimate that we will be in a three-year cumulative U.S. loss position on a GAAP basis as of March 31, 2025. However, based on the same assessment, including, predominantly, our being, in a three-year cumulative U.S. income position on a non-GAAP basis, which excludes the impact of our non-GAAP adjustments, we concluded that recording a valuation allowance would not have been appropriate for non-GAAP reporting. As a result, the tax expense for the valuation allowance was added back to our calculation of non-GAAP annual effective tax rate.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Amounts may not foot due to rounding</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p>
      <w:pPr>
        <w:pStyle w:val="TextBody"/>
        <w:bidi w:val="0"/>
        <w:spacing w:before="0" w:after="0"/>
        <w:jc w:val="center"/>
        <w:rPr/>
      </w:pPr>
      <w:r>
        <w:rPr/>
      </w:r>
    </w:p>
    <w:tbl>
      <w:tblPr>
        <w:tblW w:w="8680" w:type="dxa"/>
        <w:jc w:val="left"/>
        <w:tblInd w:w="0" w:type="dxa"/>
        <w:tblLayout w:type="fixed"/>
        <w:tblCellMar>
          <w:top w:w="28" w:type="dxa"/>
          <w:left w:w="28" w:type="dxa"/>
          <w:bottom w:w="28" w:type="dxa"/>
          <w:right w:w="28" w:type="dxa"/>
        </w:tblCellMar>
      </w:tblPr>
      <w:tblGrid>
        <w:gridCol w:w="1049"/>
        <w:gridCol w:w="920"/>
        <w:gridCol w:w="926"/>
        <w:gridCol w:w="389"/>
        <w:gridCol w:w="1461"/>
        <w:gridCol w:w="478"/>
        <w:gridCol w:w="216"/>
        <w:gridCol w:w="216"/>
        <w:gridCol w:w="216"/>
        <w:gridCol w:w="389"/>
        <w:gridCol w:w="1461"/>
        <w:gridCol w:w="478"/>
        <w:gridCol w:w="109"/>
        <w:gridCol w:w="109"/>
        <w:gridCol w:w="109"/>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9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revenue growth to Non-GAAP organic revenue growth:</w:t>
            </w:r>
          </w:p>
        </w:tc>
        <w:tc>
          <w:tcPr>
            <w:tcW w:w="481" w:type="dxa"/>
            <w:gridSpan w:val="4"/>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Consumables GAAP revenue</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278,275 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266,226 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Consumables GAAP revenue growth</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impact</w:t>
            </w:r>
            <w:r>
              <w:rPr>
                <w:color w:val="000000"/>
              </w:rPr>
              <w:t xml:space="preserve"> </w:t>
            </w:r>
            <w:r>
              <w:rPr>
                <w:rFonts w:ascii="Times New Roman;serif" w:hAnsi="Times New Roman;serif"/>
                <w:b w:val="false"/>
                <w:color w:val="000000"/>
                <w:sz w:val="10"/>
              </w:rPr>
              <w:t>(3)</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(6,814)</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Non-GAAP organic revenue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271,461 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266,226 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organic revenue growth</w:t>
            </w:r>
          </w:p>
        </w:tc>
        <w:tc>
          <w:tcPr>
            <w:tcW w:w="18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2 </w:t>
            </w:r>
          </w:p>
        </w:tc>
        <w:tc>
          <w:tcPr>
            <w:tcW w:w="4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4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Infusion Systems GAAP revenue</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179,604 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166,300 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Infusion Systems GAAP revenue growth</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impact</w:t>
            </w:r>
            <w:r>
              <w:rPr>
                <w:color w:val="000000"/>
              </w:rPr>
              <w:t xml:space="preserve"> </w:t>
            </w:r>
            <w:r>
              <w:rPr>
                <w:rFonts w:ascii="Times New Roman;serif" w:hAnsi="Times New Roman;serif"/>
                <w:b w:val="false"/>
                <w:color w:val="000000"/>
                <w:sz w:val="10"/>
              </w:rPr>
              <w:t>(3)</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organic revenue</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175,968 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166,300 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Non-GAAP organic revenue growth </w:t>
            </w:r>
          </w:p>
        </w:tc>
        <w:tc>
          <w:tcPr>
            <w:tcW w:w="18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6 </w:t>
            </w:r>
          </w:p>
        </w:tc>
        <w:tc>
          <w:tcPr>
            <w:tcW w:w="4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8 </w:t>
            </w:r>
          </w:p>
        </w:tc>
        <w:tc>
          <w:tcPr>
            <w:tcW w:w="4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Vital Care GAAP revenue</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72,346 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172,176 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Vital Care GAAP revenue growth</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(58)</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MSA Revenue </w:t>
            </w:r>
            <w:r>
              <w:rPr>
                <w:rFonts w:ascii="Times New Roman;serif" w:hAnsi="Times New Roman;serif"/>
                <w:b w:val="false"/>
                <w:color w:val="000000"/>
                <w:sz w:val="10"/>
              </w:rPr>
              <w:t>(1)</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adjusted revenue</w:t>
            </w:r>
          </w:p>
        </w:tc>
        <w:tc>
          <w:tcPr>
            <w:tcW w:w="1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67,895 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166,964 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adjusted revenue growth</w:t>
            </w:r>
          </w:p>
        </w:tc>
        <w:tc>
          <w:tcPr>
            <w:tcW w:w="18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(59)</w:t>
            </w:r>
          </w:p>
        </w:tc>
        <w:tc>
          <w:tcPr>
            <w:tcW w:w="4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4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Less: Revenue from divested business </w:t>
            </w:r>
            <w:r>
              <w:rPr>
                <w:rFonts w:ascii="Times New Roman;serif" w:hAnsi="Times New Roman;serif"/>
                <w:b w:val="false"/>
                <w:color w:val="000000"/>
                <w:sz w:val="10"/>
              </w:rPr>
              <w:t>(2)</w:t>
            </w:r>
          </w:p>
        </w:tc>
        <w:tc>
          <w:tcPr>
            <w:tcW w:w="2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(89,494)</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impact</w:t>
            </w:r>
            <w:r>
              <w:rPr>
                <w:color w:val="000000"/>
              </w:rPr>
              <w:t xml:space="preserve"> </w:t>
            </w:r>
            <w:r>
              <w:rPr>
                <w:rFonts w:ascii="Times New Roman;serif" w:hAnsi="Times New Roman;serif"/>
                <w:b w:val="false"/>
                <w:color w:val="000000"/>
                <w:sz w:val="10"/>
              </w:rPr>
              <w:t>(3)</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Non-GAAP organic revenue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66,494 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77,470 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Non-GAAP organic revenue growth </w:t>
            </w:r>
          </w:p>
        </w:tc>
        <w:tc>
          <w:tcPr>
            <w:tcW w:w="18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4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11 </w:t>
            </w:r>
          </w:p>
        </w:tc>
        <w:tc>
          <w:tcPr>
            <w:tcW w:w="4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GAAP revenue</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530,225 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604,702 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Total GAAP revenue growth</w:t>
            </w:r>
          </w:p>
        </w:tc>
        <w:tc>
          <w:tcPr>
            <w:tcW w:w="1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7 </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MSA Revenue </w:t>
            </w:r>
            <w:r>
              <w:rPr>
                <w:rFonts w:ascii="Times New Roman;serif" w:hAnsi="Times New Roman;serif"/>
                <w:b w:val="false"/>
                <w:color w:val="000000"/>
                <w:sz w:val="10"/>
              </w:rPr>
              <w:t>(1)</w:t>
            </w:r>
          </w:p>
        </w:tc>
        <w:tc>
          <w:tcPr>
            <w:tcW w:w="1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adjusted revenue</w:t>
            </w:r>
          </w:p>
        </w:tc>
        <w:tc>
          <w:tcPr>
            <w:tcW w:w="18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525,774 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599,490 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adjusted revenue growth</w:t>
            </w:r>
          </w:p>
        </w:tc>
        <w:tc>
          <w:tcPr>
            <w:tcW w:w="185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4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8 </w:t>
            </w:r>
          </w:p>
        </w:tc>
        <w:tc>
          <w:tcPr>
            <w:tcW w:w="4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Less: Revenue from divested business </w:t>
            </w:r>
            <w:r>
              <w:rPr>
                <w:rFonts w:ascii="Times New Roman;serif" w:hAnsi="Times New Roman;serif"/>
                <w:b w:val="false"/>
                <w:color w:val="000000"/>
                <w:sz w:val="10"/>
              </w:rPr>
              <w:t>(2)</w:t>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(89,494)</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impact</w:t>
            </w:r>
            <w:r>
              <w:rPr>
                <w:color w:val="000000"/>
              </w:rPr>
              <w:t xml:space="preserve"> </w:t>
            </w:r>
            <w:r>
              <w:rPr>
                <w:rFonts w:ascii="Times New Roman;serif" w:hAnsi="Times New Roman;serif"/>
                <w:b w:val="false"/>
                <w:color w:val="000000"/>
                <w:sz w:val="10"/>
              </w:rPr>
              <w:t>(3)</w:t>
            </w:r>
          </w:p>
        </w:tc>
        <w:tc>
          <w:tcPr>
            <w:tcW w:w="1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(11,851)</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Non-GAAP organic revenue </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513,923 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509,996 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Non-GAAP organic revenue growth </w:t>
            </w:r>
          </w:p>
        </w:tc>
        <w:tc>
          <w:tcPr>
            <w:tcW w:w="185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1 </w:t>
            </w:r>
          </w:p>
        </w:tc>
        <w:tc>
          <w:tcPr>
            <w:tcW w:w="4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4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We manufacture certain products or product components in accordance with manufacturing services agreements. We do not include the contract revenue in our adjusted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as the commercial relationship under these types of agreements are originally negotiated contemporaneously with a business combination or other transactions and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are not indicative of normal market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businesses divested, non-GAAP organic revenue growth excludes prior period revenue associated with the divested business for the same length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time they were not owned by the company in the current year. The divested business prior period revenue in this line item does not include MSA revenue, which is excluded on a separate line.</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We exclude the impact of foreign exchange rate changes to show a constant currency comparison of our underlying business performance.</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957" w:type="dxa"/>
        <w:jc w:val="center"/>
        <w:tblInd w:w="0" w:type="dxa"/>
        <w:tblLayout w:type="fixed"/>
        <w:tblCellMar>
          <w:top w:w="28" w:type="dxa"/>
          <w:left w:w="28" w:type="dxa"/>
          <w:bottom w:w="28" w:type="dxa"/>
          <w:right w:w="28" w:type="dxa"/>
        </w:tblCellMar>
      </w:tblPr>
      <w:tblGrid>
        <w:gridCol w:w="1286"/>
        <w:gridCol w:w="1132"/>
        <w:gridCol w:w="1136"/>
        <w:gridCol w:w="518"/>
        <w:gridCol w:w="1773"/>
        <w:gridCol w:w="268"/>
        <w:gridCol w:w="268"/>
        <w:gridCol w:w="268"/>
        <w:gridCol w:w="268"/>
        <w:gridCol w:w="518"/>
        <w:gridCol w:w="1773"/>
        <w:gridCol w:w="268"/>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7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Cash Provided by Operating Activities to Free Cash Flow</w:t>
            </w:r>
          </w:p>
        </w:tc>
        <w:tc>
          <w:tcPr>
            <w:tcW w:w="481" w:type="dxa"/>
            <w:gridSpan w:val="4"/>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27,608 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36,748 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CONTACT: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ICU Medical,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Bonnell,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(949) 366-2183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ICR,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Mills, Partner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(646) 277-1254</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4812</Words>
  <Characters>27369</Characters>
  <CharactersWithSpaces>31630</CharactersWithSpaces>
  <Paragraphs>1063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