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120"/>
        <w:jc w:val="center"/>
        <w:rPr/>
      </w:pPr>
      <w:r>
        <w:rPr>
          <w:color w:val="000000"/>
        </w:rPr>
        <w:t> </w:t>
      </w:r>
      <w:r>
        <w:rPr>
          <w:rFonts w:ascii="Times New Roman;serif" w:hAnsi="Times New Roman;serif"/>
          <w:b/>
          <w:color w:val="000000"/>
          <w:sz w:val="18"/>
        </w:rPr>
        <w:t xml:space="preserve">FORM 10-Q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ind w:left="0" w:right="0" w:firstLine="360"/>
        <w:jc w:val="center"/>
        <w:rPr/>
      </w:pPr>
      <w:r>
        <w:rPr>
          <w:color w:val="000000"/>
        </w:rPr>
        <w:t> </w:t>
      </w:r>
      <w:r>
        <w:rPr>
          <w:rFonts w:ascii="Times New Roman;serif" w:hAnsi="Times New Roman;serif"/>
          <w:b/>
          <w:color w:val="000000"/>
          <w:sz w:val="18"/>
        </w:rPr>
        <w:t xml:space="preserve">For the quarterly period ended: June 30, 2026 </w:t>
      </w:r>
    </w:p>
    <w:p>
      <w:pPr>
        <w:pStyle w:val="TextBody"/>
        <w:bidi w:val="0"/>
        <w:spacing w:lineRule="auto" w:line="288" w:before="0" w:after="0"/>
        <w:jc w:val="center"/>
        <w:rPr/>
      </w:pPr>
      <w:r>
        <w:rPr>
          <w:color w:val="000000"/>
        </w:rPr>
        <w:t> </w:t>
      </w: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 xml:space="preserve">Commission File No.: 001-34634 </w:t>
      </w:r>
    </w:p>
    <w:p>
      <w:pPr>
        <w:pStyle w:val="TextBody"/>
        <w:bidi w:val="0"/>
        <w:spacing w:lineRule="auto" w:line="288" w:before="0" w:after="0"/>
        <w:jc w:val="center"/>
        <w:rPr/>
      </w:pPr>
      <w:r>
        <w:rPr>
          <w:color w:val="000000"/>
        </w:rPr>
        <w:t> </w:t>
      </w:r>
      <w:r>
        <w:rPr>
          <w:rFonts w:ascii="Times New Roman;serif" w:hAnsi="Times New Roman;serif"/>
          <w:b/>
          <w:color w:val="000000"/>
          <w:sz w:val="18"/>
        </w:rPr>
        <w:t xml:space="preserve">ICU MEDICAL, INC. </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 </w:t>
      </w:r>
    </w:p>
    <w:tbl>
      <w:tblPr>
        <w:tblW w:w="4015" w:type="dxa"/>
        <w:jc w:val="center"/>
        <w:tblInd w:w="0" w:type="dxa"/>
        <w:tblLayout w:type="fixed"/>
        <w:tblCellMar>
          <w:top w:w="28" w:type="dxa"/>
          <w:left w:w="28" w:type="dxa"/>
          <w:bottom w:w="28" w:type="dxa"/>
          <w:right w:w="28" w:type="dxa"/>
        </w:tblCellMar>
      </w:tblPr>
      <w:tblGrid>
        <w:gridCol w:w="807"/>
        <w:gridCol w:w="710"/>
        <w:gridCol w:w="717"/>
        <w:gridCol w:w="109"/>
        <w:gridCol w:w="109"/>
        <w:gridCol w:w="109"/>
        <w:gridCol w:w="425"/>
        <w:gridCol w:w="425"/>
        <w:gridCol w:w="604"/>
      </w:tblGrid>
      <w:tr>
        <w:trPr/>
        <w:tc>
          <w:tcPr>
            <w:tcW w:w="8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33-0022692</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bl>
    <w:tbl>
      <w:tblPr>
        <w:tblW w:w="5614" w:type="dxa"/>
        <w:jc w:val="center"/>
        <w:tblInd w:w="0" w:type="dxa"/>
        <w:tblLayout w:type="fixed"/>
        <w:tblCellMar>
          <w:top w:w="28" w:type="dxa"/>
          <w:left w:w="28" w:type="dxa"/>
          <w:bottom w:w="28" w:type="dxa"/>
          <w:right w:w="28" w:type="dxa"/>
        </w:tblCellMar>
      </w:tblPr>
      <w:tblGrid>
        <w:gridCol w:w="597"/>
        <w:gridCol w:w="525"/>
        <w:gridCol w:w="527"/>
        <w:gridCol w:w="109"/>
        <w:gridCol w:w="109"/>
        <w:gridCol w:w="109"/>
        <w:gridCol w:w="389"/>
        <w:gridCol w:w="389"/>
        <w:gridCol w:w="391"/>
        <w:gridCol w:w="109"/>
        <w:gridCol w:w="109"/>
        <w:gridCol w:w="109"/>
        <w:gridCol w:w="295"/>
        <w:gridCol w:w="295"/>
        <w:gridCol w:w="296"/>
        <w:gridCol w:w="109"/>
        <w:gridCol w:w="109"/>
        <w:gridCol w:w="109"/>
        <w:gridCol w:w="272"/>
        <w:gridCol w:w="272"/>
        <w:gridCol w:w="385"/>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951 Calle Amanecer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San Clemente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92673</w:t>
            </w:r>
          </w:p>
        </w:tc>
      </w:tr>
      <w:tr>
        <w:trPr/>
        <w:tc>
          <w:tcPr>
            <w:tcW w:w="43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pPr>
      <w:r>
        <w:rPr>
          <w:color w:val="000000"/>
        </w:rPr>
        <w:t> </w:t>
      </w:r>
      <w:r>
        <w:rPr>
          <w:rFonts w:ascii="Times New Roman;serif" w:hAnsi="Times New Roman;serif"/>
          <w:b/>
          <w:color w:val="000000"/>
          <w:sz w:val="18"/>
        </w:rPr>
        <w:t xml:space="preserve">(949) 366-2183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918" w:type="dxa"/>
        <w:jc w:val="center"/>
        <w:tblInd w:w="0" w:type="dxa"/>
        <w:tblLayout w:type="fixed"/>
        <w:tblCellMar>
          <w:top w:w="28" w:type="dxa"/>
          <w:left w:w="28" w:type="dxa"/>
          <w:bottom w:w="28" w:type="dxa"/>
          <w:right w:w="28" w:type="dxa"/>
        </w:tblCellMar>
      </w:tblPr>
      <w:tblGrid>
        <w:gridCol w:w="1112"/>
        <w:gridCol w:w="978"/>
        <w:gridCol w:w="985"/>
        <w:gridCol w:w="454"/>
        <w:gridCol w:w="454"/>
        <w:gridCol w:w="456"/>
        <w:gridCol w:w="1019"/>
        <w:gridCol w:w="1019"/>
        <w:gridCol w:w="1441"/>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0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$0.10 per share</w:t>
            </w:r>
          </w:p>
        </w:tc>
        <w:tc>
          <w:tcPr>
            <w:tcW w:w="136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ICUI</w:t>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3075" w:type="dxa"/>
            <w:gridSpan w:val="3"/>
            <w:vMerge w:val="continue"/>
            <w:tcBorders/>
            <w:tcMar>
              <w:top w:w="0" w:type="dxa"/>
              <w:left w:w="0" w:type="dxa"/>
              <w:bottom w:w="0" w:type="dxa"/>
              <w:right w:w="0" w:type="dxa"/>
            </w:tcMar>
            <w:vAlign w:val="center"/>
          </w:tcPr>
          <w:p>
            <w:pPr>
              <w:pStyle w:val="Normal"/>
              <w:bidi w:val="0"/>
              <w:jc w:val="left"/>
              <w:rPr/>
            </w:pPr>
            <w:r>
              <w:rPr/>
            </w:r>
          </w:p>
        </w:tc>
        <w:tc>
          <w:tcPr>
            <w:tcW w:w="136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(Global Select Market)</w:t>
            </w:r>
          </w:p>
        </w:tc>
      </w:tr>
    </w:tbl>
    <w:p>
      <w:pPr>
        <w:pStyle w:val="TextBody"/>
        <w:bidi w:val="0"/>
        <w:spacing w:lineRule="auto" w:line="288" w:before="0" w:after="0"/>
        <w:ind w:left="0" w:right="0" w:firstLine="360"/>
        <w:jc w:val="center"/>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color w:val="000000"/>
        </w:rPr>
        <w:t> </w:t>
      </w: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8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issuer’s classes of common stock, as of the latest practicable date:</w:t>
      </w:r>
    </w:p>
    <w:p>
      <w:pPr>
        <w:pStyle w:val="TextBody"/>
        <w:bidi w:val="0"/>
        <w:spacing w:lineRule="auto" w:line="288" w:before="0" w:after="60"/>
        <w:jc w:val="center"/>
        <w:rPr>
          <w:color w:val="000000"/>
        </w:rPr>
      </w:pPr>
      <w:r>
        <w:rPr>
          <w:color w:val="000000"/>
        </w:rPr>
        <w:t> </w:t>
      </w:r>
    </w:p>
    <w:tbl>
      <w:tblPr>
        <w:tblW w:w="3477" w:type="dxa"/>
        <w:jc w:val="center"/>
        <w:tblInd w:w="0" w:type="dxa"/>
        <w:tblLayout w:type="fixed"/>
        <w:tblCellMar>
          <w:top w:w="28" w:type="dxa"/>
          <w:left w:w="28" w:type="dxa"/>
          <w:bottom w:w="28" w:type="dxa"/>
          <w:right w:w="28" w:type="dxa"/>
        </w:tblCellMar>
      </w:tblPr>
      <w:tblGrid>
        <w:gridCol w:w="282"/>
        <w:gridCol w:w="248"/>
        <w:gridCol w:w="251"/>
        <w:gridCol w:w="109"/>
        <w:gridCol w:w="109"/>
        <w:gridCol w:w="109"/>
        <w:gridCol w:w="694"/>
        <w:gridCol w:w="694"/>
        <w:gridCol w:w="981"/>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at July 31, 2026</w:t>
            </w:r>
          </w:p>
        </w:tc>
      </w:tr>
      <w:tr>
        <w:trPr/>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25,007,038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0"/>
        <w:gridCol w:w="269"/>
        <w:gridCol w:w="262"/>
        <w:gridCol w:w="2695"/>
        <w:gridCol w:w="2591"/>
        <w:gridCol w:w="2596"/>
        <w:gridCol w:w="109"/>
        <w:gridCol w:w="109"/>
        <w:gridCol w:w="109"/>
        <w:gridCol w:w="334"/>
        <w:gridCol w:w="334"/>
        <w:gridCol w:w="477"/>
      </w:tblGrid>
      <w:tr>
        <w:trPr/>
        <w:tc>
          <w:tcPr>
            <w:tcW w:w="32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Number</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f0b1c11dd410f82c801d0d2d43f34_10">
              <w:r>
                <w:rPr>
                  <w:rStyle w:val="InternetLink"/>
                  <w:rFonts w:ascii="Times New Roman;serif" w:hAnsi="Times New Roman;serif"/>
                  <w:b w:val="false"/>
                  <w:strike w:val="false"/>
                  <w:dstrike w:val="false"/>
                  <w:color w:val="000000"/>
                  <w:sz w:val="20"/>
                  <w:u w:val="none"/>
                  <w:effect w:val="none"/>
                </w:rPr>
                <w:t>Forward 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7f0b1c11dd410f82c801d0d2d43f34_10">
              <w:r>
                <w:rPr>
                  <w:rStyle w:val="InternetLink"/>
                  <w:rFonts w:ascii="Times New Roman;serif" w:hAnsi="Times New Roman;serif"/>
                  <w:b w:val="false"/>
                  <w:strike w:val="false"/>
                  <w:dstrike w:val="false"/>
                  <w:color w:val="000000"/>
                  <w:sz w:val="20"/>
                  <w:u w:val="none"/>
                  <w:effect w:val="none"/>
                </w:rPr>
                <w:t>1</w:t>
              </w:r>
            </w:hyperlink>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PART I.</w:t>
            </w:r>
          </w:p>
        </w:tc>
        <w:tc>
          <w:tcPr>
            <w:tcW w:w="7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f0b1c11dd410f82c801d0d2d43f34_13">
              <w:r>
                <w:rPr>
                  <w:rStyle w:val="InternetLink"/>
                  <w:rFonts w:ascii="Times New Roman;serif" w:hAnsi="Times New Roman;serif"/>
                  <w:b/>
                  <w:strike w:val="false"/>
                  <w:dstrike w:val="false"/>
                  <w:color w:val="000000"/>
                  <w:sz w:val="20"/>
                  <w:u w:val="none"/>
                  <w:effect w:val="none"/>
                </w:rPr>
                <w:t>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f0b1c11dd410f82c801d0d2d43f34_16">
              <w:r>
                <w:rPr>
                  <w:rStyle w:val="InternetLink"/>
                  <w:rFonts w:ascii="Times New Roman;serif" w:hAnsi="Times New Roman;serif"/>
                  <w:b w:val="false"/>
                  <w:strike w:val="false"/>
                  <w:dstrike w:val="false"/>
                  <w:color w:val="000000"/>
                  <w:sz w:val="20"/>
                  <w:u w:val="none"/>
                  <w:effect w:val="none"/>
                </w:rPr>
                <w:t>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f0b1c11dd410f82c801d0d2d43f34_19">
              <w:r>
                <w:rPr>
                  <w:rStyle w:val="InternetLink"/>
                  <w:rFonts w:ascii="Times New Roman;serif" w:hAnsi="Times New Roman;serif"/>
                  <w:b w:val="false"/>
                  <w:strike w:val="false"/>
                  <w:dstrike w:val="false"/>
                  <w:color w:val="000000"/>
                  <w:sz w:val="20"/>
                  <w:u w:val="none"/>
                  <w:effect w:val="none"/>
                </w:rPr>
                <w:t xml:space="preserve">Condensed Consolidated Balance Sheets at </w:t>
              </w:r>
            </w:hyperlink>
            <w:r>
              <w:rPr>
                <w:rFonts w:ascii="Times New Roman;serif" w:hAnsi="Times New Roman;serif"/>
                <w:b w:val="false"/>
                <w:color w:val="000000"/>
                <w:sz w:val="20"/>
              </w:rPr>
              <w:t>June 30, 2026</w:t>
            </w:r>
            <w:hyperlink w:anchor="ie87f0b1c11dd410f82c801d0d2d43f34_19">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7f0b1c11dd410f82c801d0d2d43f34_19">
              <w:r>
                <w:rPr>
                  <w:rStyle w:val="InternetLink"/>
                  <w:rFonts w:ascii="Times New Roman;serif" w:hAnsi="Times New Roman;serif"/>
                  <w:b w:val="false"/>
                  <w:strike w:val="false"/>
                  <w:dstrike w:val="false"/>
                  <w:color w:val="000000"/>
                  <w:sz w:val="20"/>
                  <w:u w:val="none"/>
                  <w:effect w:val="none"/>
                </w:rPr>
                <w:t>3</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f0b1c11dd410f82c801d0d2d43f34_22">
              <w:r>
                <w:rPr>
                  <w:rStyle w:val="InternetLink"/>
                  <w:rFonts w:ascii="Times New Roman;serif" w:hAnsi="Times New Roman;serif"/>
                  <w:b w:val="false"/>
                  <w:strike w:val="false"/>
                  <w:dstrike w:val="false"/>
                  <w:color w:val="000000"/>
                  <w:sz w:val="20"/>
                  <w:u w:val="none"/>
                  <w:effect w:val="none"/>
                </w:rPr>
                <w:t xml:space="preserve">Condensed Consolidated Statements of Operations for the Three and Six Months Ended </w:t>
              </w:r>
            </w:hyperlink>
            <w:r>
              <w:rPr>
                <w:rFonts w:ascii="Times New Roman;serif" w:hAnsi="Times New Roman;serif"/>
                <w:b w:val="false"/>
                <w:color w:val="000000"/>
                <w:sz w:val="20"/>
              </w:rPr>
              <w:t>June 30, 2026</w:t>
            </w:r>
            <w:hyperlink w:anchor="ie87f0b1c11dd410f82c801d0d2d43f34_22">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7f0b1c11dd410f82c801d0d2d43f34_22">
              <w:r>
                <w:rPr>
                  <w:rStyle w:val="InternetLink"/>
                  <w:rFonts w:ascii="Times New Roman;serif" w:hAnsi="Times New Roman;serif"/>
                  <w:b w:val="false"/>
                  <w:strike w:val="false"/>
                  <w:dstrike w:val="false"/>
                  <w:color w:val="000000"/>
                  <w:sz w:val="20"/>
                  <w:u w:val="none"/>
                  <w:effect w:val="none"/>
                </w:rPr>
                <w:t>4</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f0b1c11dd410f82c801d0d2d43f34_25">
              <w:r>
                <w:rPr>
                  <w:rStyle w:val="InternetLink"/>
                  <w:rFonts w:ascii="Times New Roman;serif" w:hAnsi="Times New Roman;serif"/>
                  <w:b w:val="false"/>
                  <w:strike w:val="false"/>
                  <w:dstrike w:val="false"/>
                  <w:color w:val="000000"/>
                  <w:sz w:val="20"/>
                  <w:u w:val="none"/>
                  <w:effect w:val="none"/>
                </w:rPr>
                <w:t xml:space="preserve">Condensed Consolidated Statements of Comprehensive Income for the Three and Six Months Ended </w:t>
              </w:r>
            </w:hyperlink>
            <w:r>
              <w:rPr>
                <w:rFonts w:ascii="Times New Roman;serif" w:hAnsi="Times New Roman;serif"/>
                <w:b w:val="false"/>
                <w:color w:val="000000"/>
                <w:sz w:val="20"/>
              </w:rPr>
              <w:t>June 30, 2026</w:t>
            </w:r>
            <w:hyperlink w:anchor="ie87f0b1c11dd410f82c801d0d2d43f34_25">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7f0b1c11dd410f82c801d0d2d43f34_25">
              <w:r>
                <w:rPr>
                  <w:rStyle w:val="InternetLink"/>
                  <w:rFonts w:ascii="Times New Roman;serif" w:hAnsi="Times New Roman;serif"/>
                  <w:b w:val="false"/>
                  <w:strike w:val="false"/>
                  <w:dstrike w:val="false"/>
                  <w:color w:val="000000"/>
                  <w:sz w:val="20"/>
                  <w:u w:val="none"/>
                  <w:effect w:val="none"/>
                </w:rPr>
                <w:t>5</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f0b1c11dd410f82c801d0d2d43f34_28">
              <w:r>
                <w:rPr>
                  <w:rStyle w:val="InternetLink"/>
                  <w:rFonts w:ascii="Times New Roman;serif" w:hAnsi="Times New Roman;serif"/>
                  <w:b w:val="false"/>
                  <w:strike w:val="false"/>
                  <w:dstrike w:val="false"/>
                  <w:color w:val="000080"/>
                  <w:sz w:val="20"/>
                  <w:u w:val="single"/>
                  <w:effect w:val="none"/>
                </w:rPr>
                <w:t xml:space="preserve">Condensed Consolidated Statements of Stockholders' Equity for the Three </w:t>
              </w:r>
            </w:hyperlink>
            <w:hyperlink w:anchor="ie87f0b1c11dd410f82c801d0d2d43f34_28">
              <w:r>
                <w:rPr>
                  <w:rStyle w:val="InternetLink"/>
                  <w:rFonts w:ascii="Times New Roman;serif" w:hAnsi="Times New Roman;serif"/>
                  <w:b w:val="false"/>
                  <w:strike w:val="false"/>
                  <w:dstrike w:val="false"/>
                  <w:color w:val="000080"/>
                  <w:sz w:val="20"/>
                  <w:u w:val="single"/>
                  <w:effect w:val="none"/>
                </w:rPr>
                <w:t xml:space="preserve">and </w:t>
              </w:r>
            </w:hyperlink>
            <w:hyperlink w:anchor="ie87f0b1c11dd410f82c801d0d2d43f34_28">
              <w:r>
                <w:rPr>
                  <w:rStyle w:val="InternetLink"/>
                  <w:rFonts w:ascii="Times New Roman;serif" w:hAnsi="Times New Roman;serif"/>
                  <w:b w:val="false"/>
                  <w:strike w:val="false"/>
                  <w:dstrike w:val="false"/>
                  <w:color w:val="000080"/>
                  <w:sz w:val="20"/>
                  <w:u w:val="single"/>
                  <w:effect w:val="none"/>
                </w:rPr>
                <w:t xml:space="preserve">Six </w:t>
              </w:r>
            </w:hyperlink>
            <w:hyperlink w:anchor="ie87f0b1c11dd410f82c801d0d2d43f34_28">
              <w:r>
                <w:rPr>
                  <w:rStyle w:val="InternetLink"/>
                  <w:rFonts w:ascii="Times New Roman;serif" w:hAnsi="Times New Roman;serif"/>
                  <w:b w:val="false"/>
                  <w:strike w:val="false"/>
                  <w:dstrike w:val="false"/>
                  <w:color w:val="000080"/>
                  <w:sz w:val="20"/>
                  <w:u w:val="single"/>
                  <w:effect w:val="none"/>
                </w:rPr>
                <w:t xml:space="preserve">Months Ended </w:t>
              </w:r>
            </w:hyperlink>
            <w:r>
              <w:rPr>
                <w:rFonts w:ascii="Times New Roman;serif" w:hAnsi="Times New Roman;serif"/>
                <w:b w:val="false"/>
                <w:color w:val="000000"/>
                <w:sz w:val="20"/>
              </w:rPr>
              <w:t>June 30, 2026</w:t>
            </w:r>
            <w:hyperlink w:anchor="ie87f0b1c11dd410f82c801d0d2d43f34_28">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7f0b1c11dd410f82c801d0d2d43f34_28">
              <w:r>
                <w:rPr>
                  <w:rStyle w:val="InternetLink"/>
                  <w:rFonts w:ascii="Times New Roman;serif" w:hAnsi="Times New Roman;serif"/>
                  <w:b w:val="false"/>
                  <w:strike w:val="false"/>
                  <w:dstrike w:val="false"/>
                  <w:color w:val="000000"/>
                  <w:sz w:val="20"/>
                  <w:u w:val="none"/>
                  <w:effect w:val="none"/>
                </w:rPr>
                <w:t>6</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f0b1c11dd410f82c801d0d2d43f34_31">
              <w:r>
                <w:rPr>
                  <w:rStyle w:val="InternetLink"/>
                  <w:rFonts w:ascii="Times New Roman;serif" w:hAnsi="Times New Roman;serif"/>
                  <w:b w:val="false"/>
                  <w:strike w:val="false"/>
                  <w:dstrike w:val="false"/>
                  <w:color w:val="000080"/>
                  <w:sz w:val="20"/>
                  <w:u w:val="single"/>
                  <w:effect w:val="none"/>
                </w:rPr>
                <w:t xml:space="preserve">Condensed Consolidated Statements of Cash Flows for the </w:t>
              </w:r>
            </w:hyperlink>
            <w:hyperlink w:anchor="ie87f0b1c11dd410f82c801d0d2d43f34_31">
              <w:r>
                <w:rPr>
                  <w:rStyle w:val="InternetLink"/>
                  <w:rFonts w:ascii="Times New Roman;serif" w:hAnsi="Times New Roman;serif"/>
                  <w:b w:val="false"/>
                  <w:strike w:val="false"/>
                  <w:dstrike w:val="false"/>
                  <w:color w:val="000080"/>
                  <w:sz w:val="20"/>
                  <w:u w:val="single"/>
                  <w:effect w:val="none"/>
                </w:rPr>
                <w:t xml:space="preserve">Six </w:t>
              </w:r>
            </w:hyperlink>
            <w:hyperlink w:anchor="ie87f0b1c11dd410f82c801d0d2d43f34_31">
              <w:r>
                <w:rPr>
                  <w:rStyle w:val="InternetLink"/>
                  <w:rFonts w:ascii="Times New Roman;serif" w:hAnsi="Times New Roman;serif"/>
                  <w:b w:val="false"/>
                  <w:strike w:val="false"/>
                  <w:dstrike w:val="false"/>
                  <w:color w:val="000080"/>
                  <w:sz w:val="20"/>
                  <w:u w:val="single"/>
                  <w:effect w:val="none"/>
                </w:rPr>
                <w:t xml:space="preserve">Months Ended </w:t>
              </w:r>
            </w:hyperlink>
            <w:r>
              <w:rPr>
                <w:rFonts w:ascii="Times New Roman;serif" w:hAnsi="Times New Roman;serif"/>
                <w:b w:val="false"/>
                <w:color w:val="000000"/>
                <w:sz w:val="20"/>
              </w:rPr>
              <w:t>June 30, 2026</w:t>
            </w:r>
            <w:hyperlink w:anchor="ie87f0b1c11dd410f82c801d0d2d43f34_31">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7f0b1c11dd410f82c801d0d2d43f34_31">
              <w:r>
                <w:rPr>
                  <w:rStyle w:val="InternetLink"/>
                  <w:rFonts w:ascii="Times New Roman;serif" w:hAnsi="Times New Roman;serif"/>
                  <w:b w:val="false"/>
                  <w:strike w:val="false"/>
                  <w:dstrike w:val="false"/>
                  <w:color w:val="000000"/>
                  <w:sz w:val="20"/>
                  <w:u w:val="none"/>
                  <w:effect w:val="none"/>
                </w:rPr>
                <w:t>7</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f0b1c11dd410f82c801d0d2d43f34_34">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7f0b1c11dd410f82c801d0d2d43f34_34">
              <w:r>
                <w:rPr>
                  <w:rStyle w:val="InternetLink"/>
                  <w:rFonts w:ascii="Times New Roman;serif" w:hAnsi="Times New Roman;serif"/>
                  <w:b w:val="false"/>
                  <w:strike w:val="false"/>
                  <w:dstrike w:val="false"/>
                  <w:color w:val="000000"/>
                  <w:sz w:val="20"/>
                  <w:u w:val="none"/>
                  <w:effect w:val="none"/>
                </w:rPr>
                <w:t>9</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f0b1c11dd410f82c801d0d2d43f34_97">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7f0b1c11dd410f82c801d0d2d43f34_97">
              <w:r>
                <w:rPr>
                  <w:rStyle w:val="InternetLink"/>
                  <w:rFonts w:ascii="Times New Roman;serif" w:hAnsi="Times New Roman;serif"/>
                  <w:b w:val="false"/>
                  <w:strike w:val="false"/>
                  <w:dstrike w:val="false"/>
                  <w:color w:val="000000"/>
                  <w:sz w:val="20"/>
                  <w:u w:val="none"/>
                  <w:effect w:val="none"/>
                </w:rPr>
                <w:t>36</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f0b1c11dd410f82c801d0d2d43f34_109">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7f0b1c11dd410f82c801d0d2d43f34_109">
              <w:r>
                <w:rPr>
                  <w:rStyle w:val="InternetLink"/>
                  <w:rFonts w:ascii="Times New Roman;serif" w:hAnsi="Times New Roman;serif"/>
                  <w:b w:val="false"/>
                  <w:strike w:val="false"/>
                  <w:dstrike w:val="false"/>
                  <w:color w:val="000000"/>
                  <w:sz w:val="20"/>
                  <w:u w:val="none"/>
                  <w:effect w:val="none"/>
                </w:rPr>
                <w:t>50</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f0b1c11dd410f82c801d0d2d43f34_112">
              <w:r>
                <w:rPr>
                  <w:rStyle w:val="InternetLink"/>
                  <w:rFonts w:ascii="Times New Roman;serif" w:hAnsi="Times New Roman;serif"/>
                  <w:b w:val="false"/>
                  <w:strike w:val="false"/>
                  <w:dstrike w:val="false"/>
                  <w:color w:val="000000"/>
                  <w:sz w:val="20"/>
                  <w:u w:val="none"/>
                  <w:effect w:val="non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7f0b1c11dd410f82c801d0d2d43f34_112">
              <w:r>
                <w:rPr>
                  <w:rStyle w:val="InternetLink"/>
                  <w:rFonts w:ascii="Times New Roman;serif" w:hAnsi="Times New Roman;serif"/>
                  <w:b w:val="false"/>
                  <w:strike w:val="false"/>
                  <w:dstrike w:val="false"/>
                  <w:color w:val="000000"/>
                  <w:sz w:val="20"/>
                  <w:u w:val="none"/>
                  <w:effect w:val="none"/>
                </w:rPr>
                <w:t>51</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PART II.</w:t>
            </w:r>
          </w:p>
        </w:tc>
        <w:tc>
          <w:tcPr>
            <w:tcW w:w="7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f0b1c11dd410f82c801d0d2d43f34_115">
              <w:r>
                <w:rPr>
                  <w:rStyle w:val="InternetLink"/>
                  <w:rFonts w:ascii="Times New Roman;serif" w:hAnsi="Times New Roman;serif"/>
                  <w:b/>
                  <w:strike w:val="false"/>
                  <w:dstrike w:val="false"/>
                  <w:color w:val="000000"/>
                  <w:sz w:val="20"/>
                  <w:u w:val="none"/>
                  <w:effect w:val="non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f0b1c11dd410f82c801d0d2d43f34_118">
              <w:r>
                <w:rPr>
                  <w:rStyle w:val="InternetLink"/>
                  <w:rFonts w:ascii="Times New Roman;serif" w:hAnsi="Times New Roman;serif"/>
                  <w:b w:val="false"/>
                  <w:strike w:val="false"/>
                  <w:dstrike w:val="false"/>
                  <w:color w:val="000000"/>
                  <w:sz w:val="20"/>
                  <w:u w:val="none"/>
                  <w:effect w:val="non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7f0b1c11dd410f82c801d0d2d43f34_118">
              <w:r>
                <w:rPr>
                  <w:rStyle w:val="InternetLink"/>
                  <w:rFonts w:ascii="Times New Roman;serif" w:hAnsi="Times New Roman;serif"/>
                  <w:b w:val="false"/>
                  <w:strike w:val="false"/>
                  <w:dstrike w:val="false"/>
                  <w:color w:val="000000"/>
                  <w:sz w:val="20"/>
                  <w:u w:val="none"/>
                  <w:effect w:val="none"/>
                </w:rPr>
                <w:t>52</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Item1A.</w:t>
            </w:r>
          </w:p>
        </w:tc>
        <w:tc>
          <w:tcPr>
            <w:tcW w:w="7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f0b1c11dd410f82c801d0d2d43f34_121">
              <w:r>
                <w:rPr>
                  <w:rStyle w:val="InternetLink"/>
                  <w:rFonts w:ascii="Times New Roman;serif" w:hAnsi="Times New Roman;serif"/>
                  <w:b w:val="false"/>
                  <w:strike w:val="false"/>
                  <w:dstrike w:val="false"/>
                  <w:color w:val="000000"/>
                  <w:sz w:val="20"/>
                  <w:u w:val="none"/>
                  <w:effect w:val="non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7f0b1c11dd410f82c801d0d2d43f34_121">
              <w:r>
                <w:rPr>
                  <w:rStyle w:val="InternetLink"/>
                  <w:rFonts w:ascii="Times New Roman;serif" w:hAnsi="Times New Roman;serif"/>
                  <w:b w:val="false"/>
                  <w:strike w:val="false"/>
                  <w:dstrike w:val="false"/>
                  <w:color w:val="000000"/>
                  <w:sz w:val="20"/>
                  <w:u w:val="none"/>
                  <w:effect w:val="none"/>
                </w:rPr>
                <w:t>52</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f0b1c11dd410f82c801d0d2d43f34_124">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7f0b1c11dd410f82c801d0d2d43f34_124">
              <w:r>
                <w:rPr>
                  <w:rStyle w:val="InternetLink"/>
                  <w:rFonts w:ascii="Times New Roman;serif" w:hAnsi="Times New Roman;serif"/>
                  <w:b w:val="false"/>
                  <w:strike w:val="false"/>
                  <w:dstrike w:val="false"/>
                  <w:color w:val="000000"/>
                  <w:sz w:val="20"/>
                  <w:u w:val="none"/>
                  <w:effect w:val="none"/>
                </w:rPr>
                <w:t>52</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f0b1c11dd410f82c801d0d2d43f34_127">
              <w:r>
                <w:rPr>
                  <w:rStyle w:val="InternetLink"/>
                  <w:rFonts w:ascii="Times New Roman;serif" w:hAnsi="Times New Roman;serif"/>
                  <w:b w:val="false"/>
                  <w:strike w:val="false"/>
                  <w:dstrike w:val="false"/>
                  <w:color w:val="000000"/>
                  <w:sz w:val="20"/>
                  <w:u w:val="none"/>
                  <w:effect w:val="non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7f0b1c11dd410f82c801d0d2d43f34_130">
              <w:r>
                <w:rPr>
                  <w:rStyle w:val="InternetLink"/>
                  <w:rFonts w:ascii="Times New Roman;serif" w:hAnsi="Times New Roman;serif"/>
                  <w:b w:val="false"/>
                  <w:strike w:val="false"/>
                  <w:dstrike w:val="false"/>
                  <w:color w:val="000000"/>
                  <w:sz w:val="20"/>
                  <w:u w:val="none"/>
                  <w:effect w:val="none"/>
                </w:rPr>
                <w:t>53</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f0b1c11dd410f82c801d0d2d43f34_130">
              <w:r>
                <w:rPr>
                  <w:rStyle w:val="InternetLink"/>
                  <w:rFonts w:ascii="Times New Roman;serif" w:hAnsi="Times New Roman;serif"/>
                  <w:b w:val="false"/>
                  <w:strike w:val="false"/>
                  <w:dstrike w:val="false"/>
                  <w:color w:val="000000"/>
                  <w:sz w:val="20"/>
                  <w:u w:val="none"/>
                  <w:effect w:val="non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7f0b1c11dd410f82c801d0d2d43f34_130">
              <w:r>
                <w:rPr>
                  <w:rStyle w:val="InternetLink"/>
                  <w:rFonts w:ascii="Times New Roman;serif" w:hAnsi="Times New Roman;serif"/>
                  <w:b w:val="false"/>
                  <w:strike w:val="false"/>
                  <w:dstrike w:val="false"/>
                  <w:color w:val="000000"/>
                  <w:sz w:val="20"/>
                  <w:u w:val="none"/>
                  <w:effect w:val="none"/>
                </w:rPr>
                <w:t>53</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7f0b1c11dd410f82c801d0d2d43f34_133">
              <w:r>
                <w:rPr>
                  <w:rStyle w:val="InternetLink"/>
                  <w:rFonts w:ascii="Times New Roman;serif" w:hAnsi="Times New Roman;serif"/>
                  <w:b w:val="false"/>
                  <w:strike w:val="false"/>
                  <w:dstrike w:val="false"/>
                  <w:color w:val="000000"/>
                  <w:sz w:val="20"/>
                  <w:u w:val="none"/>
                  <w:effect w:val="none"/>
                </w:rPr>
                <w:t>Signature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7f0b1c11dd410f82c801d0d2d43f34_133">
              <w:r>
                <w:rPr>
                  <w:rStyle w:val="InternetLink"/>
                  <w:rFonts w:ascii="Times New Roman;serif" w:hAnsi="Times New Roman;serif"/>
                  <w:b w:val="false"/>
                  <w:strike w:val="false"/>
                  <w:dstrike w:val="false"/>
                  <w:color w:val="000000"/>
                  <w:sz w:val="20"/>
                  <w:u w:val="none"/>
                  <w:effect w:val="none"/>
                </w:rPr>
                <w:t>55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on Form 10-Q, including, without limitation, statements regarding: our future results of operations and financial position, including expected decreases in restructuring costs, business strategy and approach; the anticipated benefits and costs associated with our purchase agreement with Otsuka Pharmaceutical Factory America, Inc. ("OPF"); expected capital expenditures; anticipated consumer demand; supply chain constraints; timing and resolution of the 2025 Warning Letter (as defined below); the expected impact of macroeconomic developments, such as foreign exchange, inflation and interest rates, and new accounting and tax regulations; tariffs and the timing and receipt of any potential future refunds; the impact of the One Big Beautiful Bill Act (the "OBBBA"); as well as plans and objectives of management for future operations, are forward-looking statements. 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forward 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without limitation, the following: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failure to compete successfully with our competitors and maintain market share;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decline in demand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inability to fund substantial investment in product development and recover such investment through commercial product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prolonged periods of inflation, rising interest rates and the impact of foreign currency exchange rates as a result of the current global macroeconomic and geopolitical conditions, for example, armed conflicts between Ukraine and Russia and in the Middle East;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 volatility or loss of supply of our raw materials could have an adverse effect on our profitability;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changes in U.S. trade, tax or other policies that restrict imports or increase import tariffs for certain countries, particularly Mexico and Costa Rica;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continuing pressures to reduce healthcare costs and inadequate coverage and reimbursement;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comply with applicable laws, rules and regulations, including, without limitation, matters raised in a warning letter issued by the FDA in 2025, regarding modifications to our cleared MedFusion™ Model 4000 Syringe Infusion Pump and CADD™ Solis VIP Ambulatory Infusion Pump that could impact our continued commercial activity;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disruptions at the FDA, other government agencies or notified bodies caused by funding shortages, policy changes, layoffs or turnover of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protect our information technology systems against security breaches, service interruptions, or misappropriation of data;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exposure to risks related to foreign currency exchange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damage to any of our manufacturing facilities or disruption to our supply chain network;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dependence on single and limited source third-party suppliers, which subjects our business and results of operations to risks of supplier business interruptions, and a loss or degradation in performance in our suppliers;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failure to achieve expected operating efficiencies or expense reductions associated with cost reduction and restructuring efforts;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sales through our distributors;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additional risks from international sales, related to competition with larger international companies and established local companies and our possibly higher cost structure;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actual or perceived failures to comply with foreign, federal, and state data privacy and security laws, regulations and standards, or certain fraud and abuse and transparency laws;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failure to defend and enforce our patents or other proprietary rights and the cost of enforcing and of defending patent claims or claims of other proprietary rights; and expiration of our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failure to effectively complete the integration of our business resulting from the Smiths Medical acquisition or manage our growth and changes to our business resulting from any other future acquisitions;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use of a significant portion of our cash on hand and incurrence of a substantial amount of debt to finance the Smiths Medical acquisition, which could adversely affect our business, including by restricting our ability to engage in additional transactions or incur additional indebtedness.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a more detailed discussion of these and other factors, see the information under the sections entitled “Summary Risk Factors,” Part I. Item 1A. “Risk Factors” and Part II. Item 7 “Management’s Discussion and Analysis of Financial Condition and Results of Operations” in our Annual Report on Form 10-K for the fiscal year ended December 31, 2025 (the “2025 Annual Report on Form 10-K”) filed with the Securities and Exchange Commission (the “SEC”), and the sections in this Quarterly Report on Form 10-Q entitled Part II. Item 1A “Risk Factors” and Part I. Item 2 “Management’s Discussion and Analysis of Financial Condition and Results of Operations,” in each case as updated by our periodic filings with the SEC.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u w:val="single"/>
        </w:rPr>
      </w:pPr>
      <w:r>
        <w:rPr>
          <w:rFonts w:ascii="Times New Roman;serif" w:hAnsi="Times New Roman;serif"/>
          <w:b/>
          <w:color w:val="000000"/>
          <w:sz w:val="20"/>
          <w:u w:val="single"/>
        </w:rPr>
        <w:t>Item1.Financial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ICU MEDICAL,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 except par value data and treasury shares) </w:t>
      </w:r>
    </w:p>
    <w:tbl>
      <w:tblPr>
        <w:tblW w:w="10205" w:type="dxa"/>
        <w:jc w:val="center"/>
        <w:tblInd w:w="0" w:type="dxa"/>
        <w:tblLayout w:type="fixed"/>
        <w:tblCellMar>
          <w:top w:w="28" w:type="dxa"/>
          <w:left w:w="28" w:type="dxa"/>
          <w:bottom w:w="28" w:type="dxa"/>
          <w:right w:w="28" w:type="dxa"/>
        </w:tblCellMar>
      </w:tblPr>
      <w:tblGrid>
        <w:gridCol w:w="3004"/>
        <w:gridCol w:w="2223"/>
        <w:gridCol w:w="2252"/>
        <w:gridCol w:w="196"/>
        <w:gridCol w:w="871"/>
        <w:gridCol w:w="109"/>
        <w:gridCol w:w="109"/>
        <w:gridCol w:w="109"/>
        <w:gridCol w:w="109"/>
        <w:gridCol w:w="196"/>
        <w:gridCol w:w="871"/>
        <w:gridCol w:w="156"/>
      </w:tblGrid>
      <w:tr>
        <w:trPr/>
        <w:tc>
          <w:tcPr>
            <w:tcW w:w="3004"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307,963 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of $14,292 at June 30, 2026 and $14,383 at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615,859 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1,190,554 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451,817 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1,499,754 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633,559 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UNCONSOLIDATED AFFILIATES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3,971,282 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4,050,508 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LIABILITIES AND 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498,364 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498,861 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1,265,917 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20)</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Convertible preferred stock, $1.00 par value; Authorized — 500 shares; Issued and outstanding — none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$0.10 par value; Authorized — 80,000 shares; Issued — 25,186 shares at June 30, 2026 and 24,688 shares at December 31, 2025; and outstanding — 25,007 shares at June 30, 2026 and 24,688 shares at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1,465,118 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(179,637 shares at June 30, 2026 and 172 shares at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690,890 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2,151,851 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2,123,825 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3,971,282 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4,050,508 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December 31, 2025 balances were derived from audited consolidated financial statements.</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860"/>
        <w:gridCol w:w="1213"/>
        <w:gridCol w:w="122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86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1,153,568 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735,395 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418,173 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strategic transaction and integration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394,698 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EQUITY IN EARNINGS OF UNCONSOLIDATED AFFILIATES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CONSOLIDATED COMPANIES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4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937"/>
        <w:gridCol w:w="1430"/>
        <w:gridCol w:w="1437"/>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5"/>
      </w:tblGrid>
      <w:tr>
        <w:trPr/>
        <w:tc>
          <w:tcPr>
            <w:tcW w:w="193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 hedge adjustments, net of tax of $0 and $(415) for the three months ended June 30, 2026 and 2025, respectively, and $0 and $(2,247) for the six months ended June 30, 2026 and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 of $0 for all periods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adjustments, net of tax of $0 for all periods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106,759 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126,621 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ICU MEDICAL,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 (Unaudited)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(Amounts in thousands)</w:t>
      </w:r>
    </w:p>
    <w:p>
      <w:pPr>
        <w:pStyle w:val="TextBody"/>
        <w:bidi w:val="0"/>
        <w:spacing w:before="0" w:after="0"/>
        <w:jc w:val="center"/>
        <w:rPr/>
      </w:pPr>
      <w:r>
        <w:rPr/>
      </w:r>
    </w:p>
    <w:p>
      <w:pPr>
        <w:pStyle w:val="TextBody"/>
        <w:bidi w:val="0"/>
        <w:spacing w:before="0" w:after="0"/>
        <w:jc w:val="center"/>
        <w:rPr/>
      </w:pPr>
      <w:r>
        <w:rPr/>
      </w:r>
    </w:p>
    <w:tbl>
      <w:tblPr>
        <w:tblW w:w="10978" w:type="dxa"/>
        <w:jc w:val="center"/>
        <w:tblInd w:w="0" w:type="dxa"/>
        <w:tblLayout w:type="fixed"/>
        <w:tblCellMar>
          <w:top w:w="28" w:type="dxa"/>
          <w:left w:w="28" w:type="dxa"/>
          <w:bottom w:w="28" w:type="dxa"/>
          <w:right w:w="28" w:type="dxa"/>
        </w:tblCellMar>
      </w:tblPr>
      <w:tblGrid>
        <w:gridCol w:w="697"/>
        <w:gridCol w:w="244"/>
        <w:gridCol w:w="245"/>
        <w:gridCol w:w="109"/>
        <w:gridCol w:w="109"/>
        <w:gridCol w:w="109"/>
        <w:gridCol w:w="330"/>
        <w:gridCol w:w="331"/>
        <w:gridCol w:w="211"/>
        <w:gridCol w:w="109"/>
        <w:gridCol w:w="109"/>
        <w:gridCol w:w="109"/>
        <w:gridCol w:w="196"/>
        <w:gridCol w:w="571"/>
        <w:gridCol w:w="109"/>
        <w:gridCol w:w="109"/>
        <w:gridCol w:w="109"/>
        <w:gridCol w:w="109"/>
        <w:gridCol w:w="196"/>
        <w:gridCol w:w="886"/>
        <w:gridCol w:w="109"/>
        <w:gridCol w:w="109"/>
        <w:gridCol w:w="109"/>
        <w:gridCol w:w="109"/>
        <w:gridCol w:w="196"/>
        <w:gridCol w:w="661"/>
        <w:gridCol w:w="109"/>
        <w:gridCol w:w="109"/>
        <w:gridCol w:w="109"/>
        <w:gridCol w:w="109"/>
        <w:gridCol w:w="196"/>
        <w:gridCol w:w="751"/>
        <w:gridCol w:w="109"/>
        <w:gridCol w:w="109"/>
        <w:gridCol w:w="109"/>
        <w:gridCol w:w="109"/>
        <w:gridCol w:w="264"/>
        <w:gridCol w:w="893"/>
        <w:gridCol w:w="149"/>
        <w:gridCol w:w="109"/>
        <w:gridCol w:w="109"/>
        <w:gridCol w:w="109"/>
        <w:gridCol w:w="196"/>
        <w:gridCol w:w="886"/>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24,688</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1,465,118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690,890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(34,630)</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2,123,825</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25,186</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2,519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1,465,467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(25,183)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721,022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(51,897)</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2,111,928</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25,186</w:t>
            </w:r>
            <w:r>
              <w:rPr>
                <w:color w:val="000000"/>
              </w:rPr>
              <w:t>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2,519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1,475,974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(23,415)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740,109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(43,336)</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2,151,851</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823" w:type="dxa"/>
        <w:jc w:val="center"/>
        <w:tblInd w:w="0" w:type="dxa"/>
        <w:tblLayout w:type="fixed"/>
        <w:tblCellMar>
          <w:top w:w="28" w:type="dxa"/>
          <w:left w:w="28" w:type="dxa"/>
          <w:bottom w:w="28" w:type="dxa"/>
          <w:right w:w="28" w:type="dxa"/>
        </w:tblCellMar>
      </w:tblPr>
      <w:tblGrid>
        <w:gridCol w:w="697"/>
        <w:gridCol w:w="244"/>
        <w:gridCol w:w="245"/>
        <w:gridCol w:w="109"/>
        <w:gridCol w:w="109"/>
        <w:gridCol w:w="109"/>
        <w:gridCol w:w="330"/>
        <w:gridCol w:w="331"/>
        <w:gridCol w:w="211"/>
        <w:gridCol w:w="109"/>
        <w:gridCol w:w="109"/>
        <w:gridCol w:w="109"/>
        <w:gridCol w:w="196"/>
        <w:gridCol w:w="571"/>
        <w:gridCol w:w="109"/>
        <w:gridCol w:w="109"/>
        <w:gridCol w:w="109"/>
        <w:gridCol w:w="109"/>
        <w:gridCol w:w="196"/>
        <w:gridCol w:w="886"/>
        <w:gridCol w:w="109"/>
        <w:gridCol w:w="109"/>
        <w:gridCol w:w="109"/>
        <w:gridCol w:w="109"/>
        <w:gridCol w:w="244"/>
        <w:gridCol w:w="431"/>
        <w:gridCol w:w="136"/>
        <w:gridCol w:w="109"/>
        <w:gridCol w:w="109"/>
        <w:gridCol w:w="109"/>
        <w:gridCol w:w="196"/>
        <w:gridCol w:w="751"/>
        <w:gridCol w:w="109"/>
        <w:gridCol w:w="109"/>
        <w:gridCol w:w="109"/>
        <w:gridCol w:w="109"/>
        <w:gridCol w:w="242"/>
        <w:gridCol w:w="928"/>
        <w:gridCol w:w="136"/>
        <w:gridCol w:w="109"/>
        <w:gridCol w:w="109"/>
        <w:gridCol w:w="109"/>
        <w:gridCol w:w="196"/>
        <w:gridCol w:w="886"/>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24,518</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1,412,118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(92)</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690,158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(139,401)</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1,965,235</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24,611</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1,416,001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674,682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(105,395)</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1,987,689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3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5,839 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24,686</w:t>
            </w:r>
            <w:r>
              <w:rPr>
                <w:color w:val="000000"/>
              </w:rPr>
              <w:t>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1,435,935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710,020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(32,642)</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2,115,776</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ICU MEDICAL,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 (Unaudited)</w:t>
      </w:r>
    </w:p>
    <w:p>
      <w:pPr>
        <w:pStyle w:val="TextBody"/>
        <w:bidi w:val="0"/>
        <w:spacing w:lineRule="auto" w:line="288" w:before="0" w:after="0"/>
        <w:jc w:val="center"/>
        <w:rPr/>
      </w:pPr>
      <w:r>
        <w:rPr>
          <w:rFonts w:ascii="Times New Roman;serif" w:hAnsi="Times New Roman;serif"/>
          <w:b w:val="false"/>
          <w:color w:val="000000"/>
          <w:sz w:val="18"/>
        </w:rPr>
        <w:t>(In thousands)</w:t>
      </w:r>
      <w:r>
        <w:rPr>
          <w:color w:val="000000"/>
        </w:rPr>
        <w:t> </w:t>
      </w:r>
    </w:p>
    <w:p>
      <w:pPr>
        <w:pStyle w:val="TextBody"/>
        <w:bidi w:val="0"/>
        <w:spacing w:before="0" w:after="0"/>
        <w:jc w:val="center"/>
        <w:rPr/>
      </w:pPr>
      <w:r>
        <w:rPr/>
      </w:r>
    </w:p>
    <w:tbl>
      <w:tblPr>
        <w:tblW w:w="8169" w:type="dxa"/>
        <w:jc w:val="center"/>
        <w:tblInd w:w="0" w:type="dxa"/>
        <w:tblLayout w:type="fixed"/>
        <w:tblCellMar>
          <w:top w:w="28" w:type="dxa"/>
          <w:left w:w="28" w:type="dxa"/>
          <w:bottom w:w="28" w:type="dxa"/>
          <w:right w:w="28" w:type="dxa"/>
        </w:tblCellMar>
      </w:tblPr>
      <w:tblGrid>
        <w:gridCol w:w="2070"/>
        <w:gridCol w:w="1818"/>
        <w:gridCol w:w="1827"/>
        <w:gridCol w:w="196"/>
        <w:gridCol w:w="736"/>
        <w:gridCol w:w="109"/>
        <w:gridCol w:w="109"/>
        <w:gridCol w:w="109"/>
        <w:gridCol w:w="109"/>
        <w:gridCol w:w="196"/>
        <w:gridCol w:w="736"/>
        <w:gridCol w:w="154"/>
      </w:tblGrid>
      <w:tr>
        <w:trPr/>
        <w:tc>
          <w:tcPr>
            <w:tcW w:w="207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and write-off of property, plant and equipment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Undistributed equity in earnings of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amounts acquired: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including excess tax benefits and 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62,538 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 received for the sale of a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 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investing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170,648 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repayments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payments related to net share settlement of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(251,351)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AND CASH EQUIVALENTS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298,299 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300,025 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ICU MEDICAL,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 (Unaudited) - CONTINUED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w:t>
      </w:r>
    </w:p>
    <w:p>
      <w:pPr>
        <w:pStyle w:val="TextBody"/>
        <w:bidi w:val="0"/>
        <w:spacing w:before="0" w:after="0"/>
        <w:jc w:val="center"/>
        <w:rPr/>
      </w:pPr>
      <w:r>
        <w:rPr/>
      </w:r>
    </w:p>
    <w:tbl>
      <w:tblPr>
        <w:tblW w:w="7029" w:type="dxa"/>
        <w:jc w:val="center"/>
        <w:tblInd w:w="0" w:type="dxa"/>
        <w:tblLayout w:type="fixed"/>
        <w:tblCellMar>
          <w:top w:w="28" w:type="dxa"/>
          <w:left w:w="28" w:type="dxa"/>
          <w:bottom w:w="28" w:type="dxa"/>
          <w:right w:w="28" w:type="dxa"/>
        </w:tblCellMar>
      </w:tblPr>
      <w:tblGrid>
        <w:gridCol w:w="1691"/>
        <w:gridCol w:w="1484"/>
        <w:gridCol w:w="1490"/>
        <w:gridCol w:w="196"/>
        <w:gridCol w:w="646"/>
        <w:gridCol w:w="109"/>
        <w:gridCol w:w="109"/>
        <w:gridCol w:w="109"/>
        <w:gridCol w:w="109"/>
        <w:gridCol w:w="196"/>
        <w:gridCol w:w="736"/>
        <w:gridCol w:w="154"/>
      </w:tblGrid>
      <w:tr>
        <w:trPr/>
        <w:tc>
          <w:tcPr>
            <w:tcW w:w="169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 in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 - noncash (see Note 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Note 1:Basis of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condensed consolidated financial statements of ICU Medical, Inc. ("ICU" or the "Company"), a Delaware corporation,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for the year ended December 31, 2025.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develop, manufacture, and sell innovative medical products used in infusion therapy, vascular access, and vital care applications. Our product portfolio includes ambulatory, syringe, and large volume IV pumps and safety software; dedicated and non-dedicated IV sets; needlefree IV connectors; peripheral IV catheters; closed system transfer devices; pharmacy compounding systems; as well as a range of respiratory, anesthesia, patient monitoring, and temperature management products. We also offer IV Solutions products through a commercial relationship with the joint venture (as defined in Note 4: Disposal of Business). We sell the majority of our products globally through our direct sales force and through independent distributors throughout the U.S. and internationally. We also sell certain products on an original equipment manufacturer basis to other medical device manufacturers. All subsidiaries are wholly owned and are included in the condensed consolidated financial statements. All intercompany balances and transactions have been eliminated.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to the prior year financial statements and footnotes to conform to the presentation used in the current year. In Note 12: Prepaid Expenses and Other Current Assets, amounts previously included in the "other" line item have been reclassified to separately present VAT/GST receivables, and prepaid insurance and property taxes and interest rate contracts have been combined with the "other" line item. In Note 6: Segment Data, amounts in the prior period significant segment expense table have been reclassified to conform to the current year presentation of standard cost of goods sold, other cost of goods sold, and tariffs and duties expense. These reclassifications had no impact on the reported results of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New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 Not Yet Adopted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2023, the FASB issued ASU 2023-06, Disclosure Improvements - Codification Amendments in Response to the SEC's Disclosure Update and Simplification Initiative. The amendments in this update modify the disclosure or presentation requirements of a variety of Topics in the Accounting Standards Codification ("ASC") in response to the SEC’s Release No. 33-10532, Disclosure Update and Simplification Initiative, and align the ASC’s requirements with the SEC’s regulations. For entities within the scope, the guidance will be applied prospectively with the effective date for each amendment to be the date on which the SEC's removal of that related disclosure from Regulation S-X or Regulation S-K becomes effective, with early adoption prohibited. If the SEC has not removed the related disclosure from its regulations by June 30, 2027, the amendments will be removed from the Codification and will not become effective. We are currently assessing what impact this guidance will have on the Company's condensed consolidated financial statements and related disclosures.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The guidance requires disclosure of disaggregated income statement expense information about specific categories (including purchases of inventory, employee compensation, depreciation, and intangible asset amortization) in the notes to financial statements. In January 2025, FASB released ASU 2025-01 to clarify the guidance will be effective for annual periods beginning after December 15, 2026. This update will be applicable to our Annual Report on Form 10-K for the fiscal year December 31, 2027, with early application permitted. We are currently assessing the effect of this update on the Company's condensed consolidated financial statements and related disclosures.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the FASB issued ASU 2025-09, Derivatives and Hedging. The guidance aims to more closely align hedge accounting with the economics of an entity's risk management activities and to better reflect those strategies in financial reporting by enabling entities to achieve and maintain hedge accounting for highly effective economic hedges of forecasted transactions. This update will be effective for annual periods beginning after December 15, 2026, and interim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within those annual reporting periods. Early adoption is permitted. We are currently assessing the effect of this update on the Company's condensed consolidated financial statements and related disclosures.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other recent accounting pronouncements or changes in accounting pronouncements that are of significance or potential significance to us during the six months ended June 30, 2026, as compared to the recent accounting pronouncements described in our 2025 Annual Report on Form 10-K.</w:t>
      </w:r>
    </w:p>
    <w:p>
      <w:pPr>
        <w:pStyle w:val="TextBody"/>
        <w:bidi w:val="0"/>
        <w:spacing w:lineRule="auto" w:line="26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Restructuring, Strategic Transaction and Integration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Restructuring, strategic transaction and integration expenses were $21.3 million and $38.1 million for the three and six months ended June 30, 2026, respectively, as compared to $16.2 million and $32.9 million for the three and six months ended June 30,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Restructuring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restructuring charges were $13.0 million and $19.9 million, respectively, as compared to $8.2 million and $15.0 million for the three and six months ended June 30, 2025, respectively, and were primarily related to facility closure costs and severance costs.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our restructuring-related accrual by major type of cost for the three and six months ended June 30, 2026 (in thousands), which is included in accrued liabilities and other long-term liabilities on the condensed consolidated balance sheets:</w:t>
      </w:r>
    </w:p>
    <w:tbl>
      <w:tblPr>
        <w:tblW w:w="9920" w:type="dxa"/>
        <w:jc w:val="left"/>
        <w:tblInd w:w="0" w:type="dxa"/>
        <w:tblLayout w:type="fixed"/>
        <w:tblCellMar>
          <w:top w:w="28" w:type="dxa"/>
          <w:left w:w="28" w:type="dxa"/>
          <w:bottom w:w="28" w:type="dxa"/>
          <w:right w:w="28" w:type="dxa"/>
        </w:tblCellMar>
      </w:tblPr>
      <w:tblGrid>
        <w:gridCol w:w="1086"/>
        <w:gridCol w:w="955"/>
        <w:gridCol w:w="959"/>
        <w:gridCol w:w="109"/>
        <w:gridCol w:w="109"/>
        <w:gridCol w:w="109"/>
        <w:gridCol w:w="487"/>
        <w:gridCol w:w="1422"/>
        <w:gridCol w:w="251"/>
        <w:gridCol w:w="109"/>
        <w:gridCol w:w="109"/>
        <w:gridCol w:w="109"/>
        <w:gridCol w:w="109"/>
        <w:gridCol w:w="109"/>
        <w:gridCol w:w="558"/>
        <w:gridCol w:w="1629"/>
        <w:gridCol w:w="288"/>
        <w:gridCol w:w="109"/>
        <w:gridCol w:w="109"/>
        <w:gridCol w:w="109"/>
        <w:gridCol w:w="211"/>
        <w:gridCol w:w="721"/>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Employee &amp; 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Facility &amp; Other Closure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balance,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(6,816)</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Accrued 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25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5,356 </w:t>
            </w:r>
          </w:p>
        </w:tc>
        <w:tc>
          <w:tcPr>
            <w:tcW w:w="28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7,204 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Accrued 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4,817 </w:t>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above excludes $5.8 million of non-cash impairment charges related to operating lease right-of-use assets and property, plant and equipment, recorded in connection with the early exit of certain facilities, that were classified to restructuring, strategic transaction and integration expense.</w:t>
      </w:r>
    </w:p>
    <w:p>
      <w:pPr>
        <w:pStyle w:val="TextBody"/>
        <w:bidi w:val="0"/>
        <w:spacing w:before="0" w:after="120"/>
        <w:jc w:val="left"/>
        <w:rPr/>
      </w:pPr>
      <w:r>
        <w:rPr/>
      </w:r>
    </w:p>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Strategic Transaction and Integration Expenses</w:t>
      </w:r>
    </w:p>
    <w:p>
      <w:pPr>
        <w:pStyle w:val="TextBody"/>
        <w:bidi w:val="0"/>
        <w:spacing w:before="60" w:after="283"/>
        <w:jc w:val="left"/>
        <w:rPr/>
      </w:pPr>
      <w:r>
        <w:rPr/>
      </w:r>
    </w:p>
    <w:p>
      <w:pPr>
        <w:pStyle w:val="TextBody"/>
        <w:bidi w:val="0"/>
        <w:spacing w:lineRule="auto" w:line="288" w:before="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incurred and expensed $8.3 million and $18.2 million in strategic transaction and integration expenses during the three and six months ended June 30, 2026, respectively, as compared to $8.0 million and $17.9 million in strategic transaction and integration expenses during the three and six months ended June 30, 2025, respectively, which are included in restructuring, strategic transaction and integration expenses in our condensed consolidated statements of operations. The strategic transaction and integration expenses during the three and six months ended June 30, 2026 and 2025 were primarily related to ongoing consulting expenses, employee costs and costs from certain facility consolidations incurred to integrate our Smiths Medical business acquired in 2022. For the three and six months ended June 30, 2025, transaction costs also included expenses related to the sale of a 60% ownership in our IV Solutions business that was completed during the second quarter of 2025.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Disposal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2025 Disposal of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ind w:left="0" w:right="0" w:firstLine="720"/>
        <w:jc w:val="left"/>
        <w:rPr/>
      </w:pPr>
      <w:r>
        <w:rPr>
          <w:rFonts w:ascii="Times New Roman;serif" w:hAnsi="Times New Roman;serif"/>
          <w:b w:val="false"/>
          <w:color w:val="000000"/>
          <w:sz w:val="20"/>
        </w:rPr>
        <w:t>On May 1, 2025, we sold t</w:t>
      </w:r>
      <w:r>
        <w:rPr>
          <w:rFonts w:ascii="Times New Roman;serif" w:hAnsi="Times New Roman;serif"/>
          <w:b w:val="false"/>
          <w:color w:val="000000"/>
          <w:sz w:val="22"/>
        </w:rPr>
        <w:t>o</w:t>
      </w:r>
      <w:r>
        <w:rPr>
          <w:color w:val="000000"/>
        </w:rPr>
        <w:t xml:space="preserve"> </w:t>
      </w:r>
      <w:r>
        <w:rPr>
          <w:rFonts w:ascii="Times New Roman;serif" w:hAnsi="Times New Roman;serif"/>
          <w:b w:val="false"/>
          <w:color w:val="000000"/>
          <w:sz w:val="20"/>
        </w:rPr>
        <w:t xml:space="preserve">OPF a 60% ownership interest in Otsuka ICU Medical LLC (the "joint venture"), an entity we formed in 2025 and to which we contributed the net assets of our IV Solutions business. Upon the sale and as a result of a loss of control, we derecognized the net assets that comprised our IV Solutions business and recorded our retained 40% ownership interest at its estimated fair value as an equity method investment in the joint venture (see Note 11: Investment Securities). We have the ability to exercise significant influence over operating and financial policies of the joint venture, primarily through having two of the five seats on its Board of Directors.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Cash proceeds received from the sale, subject to conventional purchase price adjustments, were $211.2 million.</w:t>
      </w:r>
      <w:r>
        <w:rPr>
          <w:color w:val="000000"/>
        </w:rPr>
        <w:t xml:space="preserve"> </w:t>
      </w:r>
      <w:r>
        <w:rPr>
          <w:rFonts w:ascii="Times New Roman;serif" w:hAnsi="Times New Roman;serif"/>
          <w:b w:val="false"/>
          <w:color w:val="000000"/>
          <w:sz w:val="20"/>
        </w:rPr>
        <w:t>We also are entitled to contingent consideration if the joint venture exceeds planned revenues or gross margin for the year ended December 31, 2026.</w:t>
      </w:r>
      <w:r>
        <w:rPr>
          <w:color w:val="000000"/>
        </w:rPr>
        <w:t xml:space="preserve"> </w:t>
      </w:r>
      <w:r>
        <w:rPr>
          <w:rFonts w:ascii="Times New Roman;serif" w:hAnsi="Times New Roman;serif"/>
          <w:b w:val="false"/>
          <w:color w:val="000000"/>
          <w:sz w:val="20"/>
        </w:rPr>
        <w:t>Additionally, we have agreed to provide commercial, logistics, administrative, and other services, including continuing to provide certain manufacturing services for component parts for a period of up to five years from transaction close (see below table). Certain logistic and warehouse costs incurred on behalf of and reimbursed by the joint venture are pass-through expenses and net to zero within cost of goods sold in the condensed consolidated statement of operations. Other services are provided in exchange for fixed fee arrangements or reimbursement of our costs, depending on the respective terms of service negotiated. Fees charged for the services are recorded as reductions to the costs incurred to provide such services in the condensed consolidated statement of operations. Those services provided under fixed price arrangements were determined to be at less than fair value and, as such, we recognized an unfavorable contract liability of $20.2 million to account for the difference between the fair value of services to be provided and the estimated cost of providing such services over the five years from transaction close. The unfavorable contract liability is presented within other long-term liabilities in our condensed consolidated balance sheet, with the current portion included in accrued liabilities. This liability is being released to our condensed consolidated statement of operations as reduction to the costs incurred to provide the respective services within selling, general and administrative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we recognized $3.7 million and $7.4 million, respectively, in fixed and variable service fees related to reimbursed expenses under the various transition service agreements and $1.1 million and $2.2 million, respectively, related to the release of the unfavorable contract liability. The fees, reimbursements and release of unfavorable contract liability serve to reduce the same line items as their respective incurred expenses within cost of goods sold or selling, general, and administrative expenses in our condensed consolidated statement of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for our retained 40% ownership interest was determined using a market approach based on the proceeds received from OPF for its 60% controlling ownership interest. Fair value for services was estimated using a market approach based on observable margins for comparable services and the difference between the fair value of services and the estimated cost to provide the services through the term of the services agreement was discounted using our effective borrowing rate.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third quarter of 2025, upon finalizing the purchase price, the combined effect of the transaction was a gain of $44.8 million, comprising the sum of a $45.6 million gain from the disposal of a 60% ownership interest in the joint venture, a $19.4 million gain from the difference between the fair value of our retained 40% ownership interest in the joint venture and our carrying value of that same proportionate ownership interest, and a $20.2 million unfavorable contract liability recorded upon disposition. The gain recognized in connection with the transaction during 2025 was presented as a separate line item in our condensed consolidated statement of operations. No gain related to contingent consideration was recorded. We will record such gain, if any, if and when the measurement period has ended and we have concluded that a payment will be received.</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As part of the transaction, we provided OPF a call option to acquire our retained 40% ownership in the joint venture. Additionally, OPF provided us with a put option giving us the right to compel OPF to purchase our retained 40% ownership interest in the joint venture.</w:t>
      </w:r>
      <w:r>
        <w:rPr>
          <w:color w:val="000000"/>
        </w:rPr>
        <w:t xml:space="preserve"> </w:t>
      </w:r>
      <w:r>
        <w:rPr>
          <w:rFonts w:ascii="Times New Roman;serif" w:hAnsi="Times New Roman;serif"/>
          <w:b w:val="false"/>
          <w:color w:val="000000"/>
          <w:sz w:val="20"/>
        </w:rPr>
        <w:t>The call and put options are exercisable at certain specified dates and for specified amounts based on certain historical financial metrics as set forth in the joint venture's Operating Agreement beginning five years after the closing. The call and put options were not recorded in our condensed consolidated financial statements since they do not meet the definition of a derivative specifically due to the absence of a net settlement feature.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Related Party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account for our retained 40% interest in the joint venture as an equity method investment (see Note 11: Investment Securities), having the ability to exercise significant influence over operating and financial policies of the joint venture, primarily through having two of the five seats on its Board of Directors. Additionally, in connection with the closing of the transaction on May 1, 2025, we entered into certain agreements with OPF, which cover the governance of the joint venture and require us to provide certain commercial, logistics, manufacturing supply, administrative, and other services for a period of up to five years from transaction close.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condensed consolidated financial statement data resulting from transactions with the joint venture (in thousands): </w:t>
      </w:r>
    </w:p>
    <w:tbl>
      <w:tblPr>
        <w:tblW w:w="10205" w:type="dxa"/>
        <w:jc w:val="left"/>
        <w:tblInd w:w="0" w:type="dxa"/>
        <w:tblLayout w:type="fixed"/>
        <w:tblCellMar>
          <w:top w:w="28" w:type="dxa"/>
          <w:left w:w="28" w:type="dxa"/>
          <w:bottom w:w="28" w:type="dxa"/>
          <w:right w:w="28" w:type="dxa"/>
        </w:tblCellMar>
      </w:tblPr>
      <w:tblGrid>
        <w:gridCol w:w="1939"/>
        <w:gridCol w:w="1649"/>
        <w:gridCol w:w="1658"/>
        <w:gridCol w:w="211"/>
        <w:gridCol w:w="616"/>
        <w:gridCol w:w="109"/>
        <w:gridCol w:w="203"/>
        <w:gridCol w:w="203"/>
        <w:gridCol w:w="109"/>
        <w:gridCol w:w="211"/>
        <w:gridCol w:w="616"/>
        <w:gridCol w:w="109"/>
        <w:gridCol w:w="109"/>
        <w:gridCol w:w="109"/>
        <w:gridCol w:w="109"/>
        <w:gridCol w:w="211"/>
        <w:gridCol w:w="616"/>
        <w:gridCol w:w="109"/>
        <w:gridCol w:w="109"/>
        <w:gridCol w:w="109"/>
        <w:gridCol w:w="109"/>
        <w:gridCol w:w="211"/>
        <w:gridCol w:w="616"/>
        <w:gridCol w:w="155"/>
      </w:tblGrid>
      <w:tr>
        <w:trPr/>
        <w:tc>
          <w:tcPr>
            <w:tcW w:w="193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Condensed consolidated statement of operations: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services agreement revenue (total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services agreement cost of goods sold (costs of good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fees - Otsuka ICU Medical LLC (cost of goods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fees - Otsuka ICU Medical LLC (selling, general &amp;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joint venture is a pass-through entity for income tax purposes and, as such, does not record income tax at the entity level. We record our equity in earnings of unconsolidated affiliates before any related income tax recognized as a separate line item in our condensed consolidated statements of operations. Income taxes on our share of the joint venture's earnings are included within provision for income taxes in our condensed consolidated statements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 $8.5 million and $0.8 million related-party receivable, respectively, from the joint venture was included within prepaid expenses and other current assets in our condensed consolidated balance sheet.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2026 Disposal of Business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March 6, 2026, we entered into a definitive agreement to divest certain assets constituting a business, as defined under ASC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Because the transaction met the criteria for held for sale classification, the associated balances were reclassified accordingly as of March 31, 2026. These assets are included within prepaid expenses and other current assets on our balance sheet. The divestiture is immaterial to our financial position and results of operations. As part of the terms of the agreement, we received an advanced deposit for $2.0 million out of the total expected proceeds of approximately $6.0 million which is included within accrued liabilities on our condensed consolidated balance sheet.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units are Consumables, Infusion Systems and Vital Care. The vast majority of our sales of these products within these business units are made on a stand-alone basis to hospitals and distributors. Revenue is typically recognized upon transfer of control of the products, which we deem to be at point of shipment. For purposes of revenue recognition for our software licenses and renewals, we consider the control of these products to be transferred to a customer at a certain point in time; therefore, we recognize revenue at the start of the applicable license term.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 is typically due in full within 30 days of delivery or the start of the contract term. Revenue is recorded in an amount that reflects the consideration we expect to be entitled to in exchange for those goods or services. We include variable consideration in net sales only to the extent that a significant reversal in revenue is not probable when the uncertainty is resolved. Our variable consideration includes distributor chargebacks, product returns and end customer rebates with distributor chargebacks representing the majority and subject to the greatest judgment.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Chargebacks are the difference between the prices we charge our distribution customers at the time they purchase our products and the contracted prices we have with the end customer, most often in the U.S. and Canada. When a distributor sells our products to one of our contracted end customers, the distributor typically will claim a refund from us for the chargeback amount which we process as a credit to the distributor.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estimating the transaction price to present as net revenue for sales to distributors, we must estimate the expected chargeback amount that we will refund to the distributor after they sell our product to a contracted end customer. Determining the appropriate chargeback reserve requires judgment around the following assumptions: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The estimated chargeback amount (the difference between the price we invoice the distributor and the contractually agreed price with specified end customers); 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The estimated period of time between the sale to the distributor and the receipt of a chargeback claim.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estimating the expected chargeback amount, we utilize actual recent historical chargebacks paid to the specific distributor for similar products as determined at either a product or product-family level. While individual chargeback rates can vary significantly depending on the product and contracted prices with distributors and end customers, our chargeback reserve estimate is not overly sensitive to those individual price changes due to the long-term nature of our distributor and end customer contracts as well as consistency in purchasing patterns. Additionally, the use of the actual chargeback history to calculate an average chargeback rate has historically resulted in a reasonable estimation of overall current contract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estimating the period of time between the sale to the distributor and the receipt of a chargeback claim, we utilize several sources of information including actual inventory quantities of our products on hand at distributors. This inventory on hand information is received from the distributors or, when specific quantities are not provided, estimated by using the targeted days of inventory on hand for distributors. Historical experience of actual chargebacks paid has indicated that use of this information has reasonable predictive value of outstanding chargebacks and accounts for the variability of purchasing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patterns and expected timing and volume of sales to end customers. The value of the chargeback reserve generally represents approximately two months of obligation due to the timing difference between the initial sale to a distributor and the processing of a chargeback claim after the product is sold to the end customer.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chargeback reserve estimates change from period-to-period primarily based on changes in revenue from/and the inventory levels of distributors. Our judgments regarding the information used to calculate the chargeback reserve are consistent from period to period; however, on a regular basis, we evaluate the adequacy of the chargeback reserve to reassess and ensure that the variable consideration is appropriately constrained, and the likelihood of future revenue reversal is not probable. We use metrics including chargeback provision as a percentage of gross revenue, movements in inventory on hand at distributors, trends in accrued versus paid chargebacks and impacts from price changes and similar metrics.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chargeback reserve reflects a reasonable estimate of the amount of consideration using the expected value method and is recorded as a reduction of accounts receivable, net on the consolidated balance sheets.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offer certain volume-based rebates to both our distribution and end customers, which is recorded as variable consideration when calculating the transaction price. Rebates are offered on both a fixed and tiered/variable basis. In both cases, we use information available at the time, including current contractual requirements, our historical experience with each customer and forecasted customer purchasing patterns, to estimate the most likely rebate amount.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warrant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Arrangements with Multiple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enter into arrangements which include multiple performance obligations. The most significant judgments related to these arrangements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Identifying the various performance obligations of these arrangements.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Estimating the relative standalone selling price of each performance obligation, typically using a directly observable method or calculated on a cost plus margin basis method.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Disaggregated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our revenues disaggregated by product line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before="0" w:after="0"/>
        <w:ind w:left="0" w:right="0" w:firstLine="720"/>
        <w:jc w:val="left"/>
        <w:rPr/>
      </w:pPr>
      <w:r>
        <w:rPr/>
      </w:r>
    </w:p>
    <w:tbl>
      <w:tblPr>
        <w:tblW w:w="7409" w:type="dxa"/>
        <w:jc w:val="left"/>
        <w:tblInd w:w="0" w:type="dxa"/>
        <w:tblLayout w:type="fixed"/>
        <w:tblCellMar>
          <w:top w:w="28" w:type="dxa"/>
          <w:left w:w="28" w:type="dxa"/>
          <w:bottom w:w="28" w:type="dxa"/>
          <w:right w:w="28" w:type="dxa"/>
        </w:tblCellMar>
      </w:tblPr>
      <w:tblGrid>
        <w:gridCol w:w="541"/>
        <w:gridCol w:w="476"/>
        <w:gridCol w:w="482"/>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Product line</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Consumables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Infusion Systems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Vital Care</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1,153,568 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During May 2025, we completed the sale of 60% interest in our IV Solutions business (see Note 4: Disposal of Business).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our revenues disaggregated by geography (in thousands):</w:t>
      </w:r>
    </w:p>
    <w:tbl>
      <w:tblPr>
        <w:tblW w:w="8879" w:type="dxa"/>
        <w:jc w:val="center"/>
        <w:tblInd w:w="0" w:type="dxa"/>
        <w:tblLayout w:type="fixed"/>
        <w:tblCellMar>
          <w:top w:w="28" w:type="dxa"/>
          <w:left w:w="28" w:type="dxa"/>
          <w:bottom w:w="28" w:type="dxa"/>
          <w:right w:w="28" w:type="dxa"/>
        </w:tblCellMar>
      </w:tblPr>
      <w:tblGrid>
        <w:gridCol w:w="1074"/>
        <w:gridCol w:w="945"/>
        <w:gridCol w:w="95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Geography</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1,153,568 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our contract balances for the six months ended June 30, 2026 and 2025 (in thousands), which are included in accrued liabilities and other long-term liabilities on the condensed consolidated balance sheets:</w:t>
      </w:r>
    </w:p>
    <w:tbl>
      <w:tblPr>
        <w:tblW w:w="6119" w:type="dxa"/>
        <w:jc w:val="center"/>
        <w:tblInd w:w="0" w:type="dxa"/>
        <w:tblLayout w:type="fixed"/>
        <w:tblCellMar>
          <w:top w:w="28" w:type="dxa"/>
          <w:left w:w="28" w:type="dxa"/>
          <w:bottom w:w="28" w:type="dxa"/>
          <w:right w:w="28" w:type="dxa"/>
        </w:tblCellMar>
      </w:tblPr>
      <w:tblGrid>
        <w:gridCol w:w="1559"/>
        <w:gridCol w:w="1369"/>
        <w:gridCol w:w="1377"/>
        <w:gridCol w:w="352"/>
        <w:gridCol w:w="1205"/>
        <w:gridCol w:w="257"/>
      </w:tblGrid>
      <w:tr>
        <w:trPr/>
        <w:tc>
          <w:tcPr>
            <w:tcW w:w="155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Contract Liabilities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 January 1, 2026</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41,233 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revenue recognized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(56,287)</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revenue deferred due to implementation</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 recognized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 deferred due to implementation</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20"/>
              </w:rPr>
              <w:t>Government grant income recognized</w:t>
            </w:r>
            <w:r>
              <w:rPr>
                <w:rFonts w:ascii="Times New Roman;serif" w:hAnsi="Times New Roman;serif"/>
                <w:b w:val="false"/>
                <w:color w:val="000000"/>
                <w:sz w:val="13"/>
              </w:rPr>
              <w:t>(1)</w:t>
            </w:r>
            <w:r>
              <w:rPr>
                <w:color w:val="000000"/>
              </w:rPr>
              <w:t xml:space="preserve"> </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revenue recognized</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deferred revenue </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Ending balance, June 30, 2026</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61,305 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 January 1, 2025</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revenue recognized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(33,525)</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revenue deferred due to implementation</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 recognized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 deferred due to implementation</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20"/>
              </w:rPr>
              <w:t>Government grant income recognized</w:t>
            </w:r>
            <w:r>
              <w:rPr>
                <w:rFonts w:ascii="Times New Roman;serif" w:hAnsi="Times New Roman;serif"/>
                <w:b w:val="false"/>
                <w:color w:val="000000"/>
                <w:sz w:val="13"/>
              </w:rPr>
              <w:t>(1)</w:t>
            </w:r>
            <w:r>
              <w:rPr>
                <w:color w:val="000000"/>
              </w:rPr>
              <w:t xml:space="preserve"> </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revenue recognized</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revenue</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Ending balance, June 30, 2025</w:t>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30,578 </w:t>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 xml:space="preserve">The government grant income deferred is amortized over the life of the related depreciable asset as a reduction to depreciation expense.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contract liabilities are included in accrued liabilities or other long-term liabilities in our condensed consolidated balance sheet based on the expected timing of revenue recognition.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revenue from remaining performance obligations is as follows:</w:t>
      </w:r>
    </w:p>
    <w:p>
      <w:pPr>
        <w:pStyle w:val="TextBody"/>
        <w:bidi w:val="0"/>
        <w:spacing w:before="0" w:after="0"/>
        <w:jc w:val="left"/>
        <w:rPr/>
      </w:pPr>
      <w:r>
        <w:rPr/>
      </w:r>
    </w:p>
    <w:tbl>
      <w:tblPr>
        <w:tblW w:w="5817" w:type="dxa"/>
        <w:jc w:val="left"/>
        <w:tblInd w:w="0" w:type="dxa"/>
        <w:tblLayout w:type="fixed"/>
        <w:tblCellMar>
          <w:top w:w="28" w:type="dxa"/>
          <w:left w:w="28" w:type="dxa"/>
          <w:bottom w:w="28" w:type="dxa"/>
          <w:right w:w="28" w:type="dxa"/>
        </w:tblCellMar>
      </w:tblPr>
      <w:tblGrid>
        <w:gridCol w:w="1146"/>
        <w:gridCol w:w="1008"/>
        <w:gridCol w:w="1011"/>
        <w:gridCol w:w="231"/>
        <w:gridCol w:w="790"/>
        <w:gridCol w:w="119"/>
        <w:gridCol w:w="109"/>
        <w:gridCol w:w="109"/>
        <w:gridCol w:w="109"/>
        <w:gridCol w:w="255"/>
        <w:gridCol w:w="744"/>
        <w:gridCol w:w="186"/>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Recognition Timing</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&lt; 12 Months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&gt; 12 Months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deferred revenue</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deferred revenue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Government grant deferred income</w:t>
            </w:r>
            <w:r>
              <w:rPr>
                <w:rFonts w:ascii="Times New Roman;serif" w:hAnsi="Times New Roman;serif"/>
                <w:b w:val="false"/>
                <w:color w:val="000000"/>
                <w:sz w:val="13"/>
              </w:rPr>
              <w:t>(1)</w:t>
            </w:r>
            <w:r>
              <w:rPr>
                <w:color w:val="000000"/>
              </w:rPr>
              <w:t xml:space="preserve"> </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deferred revenue</w:t>
            </w:r>
            <w:r>
              <w:rPr>
                <w:rFonts w:ascii="Times New Roman;serif" w:hAnsi="Times New Roman;serif"/>
                <w:b w:val="false"/>
                <w:color w:val="000000"/>
                <w:sz w:val="13"/>
              </w:rPr>
              <w:t>(2)</w:t>
            </w:r>
            <w:r>
              <w:rPr>
                <w:color w:val="000000"/>
              </w:rPr>
              <w:t xml:space="preserve"> </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54,370 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The government grant deferred income is amortized over the life of the related depreciable asset as a reduction to depreciation expense.</w:t>
      </w:r>
    </w:p>
    <w:p>
      <w:pPr>
        <w:pStyle w:val="TextBody"/>
        <w:bidi w:val="0"/>
        <w:spacing w:lineRule="auto" w:line="288" w:before="0" w:after="6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Other deferred revenue includes pump development programs, purchased training and extended warranty.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Segment Data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single operating and reportable segment. The segment is organized by and derives revenues from the manufacture and sale of our medical products which are used in infusion therapy, vascular access, and vital care applications. Our product portfolio includes ambulatory, syringe, and large volume IV pumps and safety software; dedicated and non-dedicated IV sets, needlefree IV connectors, IV catheters, and sharps safety products; closed system transfer devices and pharmacy compounding systems; as well as a range of respiratory, anesthesia, patient monitoring, and temperature management products. We also offer IV Solutions products through a commercial relationship with the joint venture. Our product lines, as disclosed in Note 5: Revenue, were determined to be a single operating segment as discrete financial information by product-line is limited to revenue and standard cost. Other cost of sale expenses, which include above-site manufacturing costs, manufacturing variances and supply chain costs including freight and warehousing are not allocated to individual product lines. Similarly, quality, regulatory and other operating expenses are only provided to our chief operating decision maker ("CODM") at the consolidated level.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information on disaggregation of revenues by product-line and geography, see Note 5: Revenue.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chief executive officer is our CODM. Our CODM uses net profit (loss) to manage our business activities on a consolidated basis and to evaluate and assess the performance of the Company when determining how to allocate capital resources. Our segment performance is monitored and resource allocation is determined during the consolidated annual budget/forecast processes. The measure of segment assets is reported on the condensed consolidated balance sheets as total assets. Expenditures for additions to long-lived assets were $20.2 million and $33.4 million for the three and six months ended June 30, 2026, respectively, and $22.0 million and $38.9 million for the three and six months ended June 30, 2025,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our segment revenue, segment profit or loss, and significant segment expenses (in thousands):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tbl>
      <w:tblPr>
        <w:tblW w:w="10121" w:type="dxa"/>
        <w:jc w:val="left"/>
        <w:tblInd w:w="0" w:type="dxa"/>
        <w:tblLayout w:type="fixed"/>
        <w:tblCellMar>
          <w:top w:w="28" w:type="dxa"/>
          <w:left w:w="28" w:type="dxa"/>
          <w:bottom w:w="28" w:type="dxa"/>
          <w:right w:w="28" w:type="dxa"/>
        </w:tblCellMar>
      </w:tblPr>
      <w:tblGrid>
        <w:gridCol w:w="1407"/>
        <w:gridCol w:w="1235"/>
        <w:gridCol w:w="1242"/>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1,153,568 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Standard COGS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Quality remediation/recall</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COGS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Tariffs and duties (income) expense, net</w:t>
            </w:r>
            <w:r>
              <w:rPr>
                <w:rFonts w:ascii="Times New Roman;serif" w:hAnsi="Times New Roman;serif"/>
                <w:b w:val="false"/>
                <w:color w:val="000000"/>
                <w:sz w:val="13"/>
              </w:rPr>
              <w:t xml:space="preserve">(4)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integration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(benefit)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______________________________ </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Represents the average annual budgeted cost of producing each good sold in the period.</w:t>
      </w:r>
    </w:p>
    <w:p>
      <w:pPr>
        <w:pStyle w:val="TextBody"/>
        <w:bidi w:val="0"/>
        <w:spacing w:lineRule="auto" w:line="268" w:before="0" w:after="0"/>
        <w:ind w:left="0" w:right="0" w:hanging="36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Represents significant labor and material costs to replace or repair a product outside the scope of standard warranty and compliance costs related to quality systems and manufacturing operations.</w:t>
      </w:r>
    </w:p>
    <w:p>
      <w:pPr>
        <w:pStyle w:val="TextBody"/>
        <w:bidi w:val="0"/>
        <w:spacing w:lineRule="auto" w:line="26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Includes costs related to capitalized manufacturing variances to standard COGS, supply chain and logistics costs including freight, inventory management and reserves, hardware service, quality and regulatory, and operations and supply chain management costs.</w:t>
      </w:r>
    </w:p>
    <w:p>
      <w:pPr>
        <w:pStyle w:val="TextBody"/>
        <w:bidi w:val="0"/>
        <w:spacing w:lineRule="auto" w:line="288" w:before="0" w:after="0"/>
        <w:ind w:left="0" w:right="0" w:hanging="360"/>
        <w:jc w:val="left"/>
        <w:rPr/>
      </w:pPr>
      <w:r>
        <w:rPr>
          <w:rFonts w:ascii="Times New Roman;serif" w:hAnsi="Times New Roman;serif"/>
          <w:b w:val="false"/>
          <w:color w:val="000000"/>
          <w:sz w:val="12"/>
        </w:rPr>
        <w:t>(4)</w:t>
      </w:r>
      <w:r>
        <w:rPr>
          <w:rFonts w:ascii="Times New Roman;serif" w:hAnsi="Times New Roman;serif"/>
          <w:b w:val="false"/>
          <w:color w:val="000000"/>
          <w:sz w:val="18"/>
        </w:rPr>
        <w:t xml:space="preserve">For the three and six months ended June 30, 2026, tariff and duties (income) expense, net of ($8.0) million and$5.1 million, respectively, included $0.8 million and $1.9 million, respectively, typically grouped within standard COGS, and $10.1 million and $22.1 million, respectively, typically grouped within other COGS. The amounts typically grouped within Other COGS were net of $18.9 million of tariff refunds recognized during the second quarter of 2026.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For the three and six months ended June 30, 2025, tariff and duties (income) expense, net included $0.4 million and $1.6 million, respectively, typically grouped within standard COGS, and $3.3 million and $7.5 million, respectively, typically grouped within other COGS. </w:t>
      </w:r>
    </w:p>
    <w:p>
      <w:pPr>
        <w:pStyle w:val="TextBody"/>
        <w:bidi w:val="0"/>
        <w:spacing w:lineRule="auto" w:line="288" w:before="0" w:after="0"/>
        <w:ind w:left="0" w:right="0" w:hanging="360"/>
        <w:jc w:val="left"/>
        <w:rPr/>
      </w:pPr>
      <w:r>
        <w:rPr>
          <w:rFonts w:ascii="Times New Roman;serif" w:hAnsi="Times New Roman;serif"/>
          <w:b w:val="false"/>
          <w:color w:val="000000"/>
          <w:sz w:val="12"/>
        </w:rPr>
        <w:t>(5)</w:t>
      </w:r>
      <w:r>
        <w:rPr>
          <w:rFonts w:ascii="Times New Roman;serif" w:hAnsi="Times New Roman;serif"/>
          <w:b w:val="false"/>
          <w:color w:val="000000"/>
          <w:sz w:val="18"/>
        </w:rPr>
        <w:t>Includes interest income, gain/loss on disposition of assets, gain/loss on foreign exchange, and other miscellaneous income/expense.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information on depreciation expense, see Note 14: Property, Plant, &amp; Equipment. For information on amortization expense, see Note 15: Goodwill and Intangible Assets, Net.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Significant 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sell products worldwide, on credit terms on an unsecured basis, as an OEM supplier, to independent medical supply distributors and directly to end customers. The manufacturers and distributors, in turn, sell our products to healthcare providers. For the three and six months ended June 30, 2026, our consolidated worldwide net sales to a single distributor were 19%, and 19%, respectively, and for the three and six months ended June 30, 2025, were 19% and 18%.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Geographic Information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our gross long-lived assets, consisting of property, plant and equipment, by country or region (in thousands):</w:t>
      </w:r>
    </w:p>
    <w:tbl>
      <w:tblPr>
        <w:tblW w:w="5039" w:type="dxa"/>
        <w:jc w:val="center"/>
        <w:tblInd w:w="0" w:type="dxa"/>
        <w:tblLayout w:type="fixed"/>
        <w:tblCellMar>
          <w:top w:w="28" w:type="dxa"/>
          <w:left w:w="28" w:type="dxa"/>
          <w:bottom w:w="28" w:type="dxa"/>
          <w:right w:w="28" w:type="dxa"/>
        </w:tblCellMar>
      </w:tblPr>
      <w:tblGrid>
        <w:gridCol w:w="543"/>
        <w:gridCol w:w="476"/>
        <w:gridCol w:w="481"/>
        <w:gridCol w:w="109"/>
        <w:gridCol w:w="109"/>
        <w:gridCol w:w="109"/>
        <w:gridCol w:w="211"/>
        <w:gridCol w:w="976"/>
        <w:gridCol w:w="109"/>
        <w:gridCol w:w="109"/>
        <w:gridCol w:w="109"/>
        <w:gridCol w:w="109"/>
        <w:gridCol w:w="250"/>
        <w:gridCol w:w="1157"/>
        <w:gridCol w:w="182"/>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Costa 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168,678 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127,389 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LATAM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Czech Republic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Foreign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479,938 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617,792 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Worldwide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1,122,406 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1,097,730 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Leases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determine if an arrangement is a lease at inception. Our operating lease assets are separately stated in operating lease right-of-use ("ROU") assets and our financing lease assets are included in other assets on our condensed consolidated balance sheets. Our lease liabilities are included in accrued liabilities and other long-term liabilities on our condensed consolidated balance sheets. We have elected not to recognize an ROU asset and lease liability for leases with terms of twelve months or less.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 stated lease payments, which may include fixed rental increases. Lease expense for minimum lease payments is recognized on a straight-line basis over the lease term.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leases are for corporate, research and development and sales and support offices, manufacturing and distribution facilities,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because we determined the exercise of options to extend is not reasonably certain.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our lease cost (in thousands):</w:t>
      </w:r>
    </w:p>
    <w:tbl>
      <w:tblPr>
        <w:tblW w:w="8909" w:type="dxa"/>
        <w:jc w:val="center"/>
        <w:tblInd w:w="0" w:type="dxa"/>
        <w:tblLayout w:type="fixed"/>
        <w:tblCellMar>
          <w:top w:w="28" w:type="dxa"/>
          <w:left w:w="28" w:type="dxa"/>
          <w:bottom w:w="28" w:type="dxa"/>
          <w:right w:w="28" w:type="dxa"/>
        </w:tblCellMar>
      </w:tblPr>
      <w:tblGrid>
        <w:gridCol w:w="1384"/>
        <w:gridCol w:w="1216"/>
        <w:gridCol w:w="1224"/>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of operating lease ROU assets</w:t>
            </w:r>
            <w:r>
              <w:rPr>
                <w:color w:val="000000"/>
              </w:rPr>
              <w:t xml:space="preserve">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 —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 — reduction of ROU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lease cost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12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During the three and six months ended June 30, 2026, we recorded non-cash impairment charges to reduce the carrying value of operating lease ROU assets to their estimated fair values, driven by the early exit of the facilities as we integrate the Smiths Medical business acquired in 2022. The impairment charges are included in restructuring, strategic transaction and integration expense in our condensed consolidated statements of operations and as a non-cash add back to net income included in the Other line item within net cash provided by operating activities on the condensed consolidated statement of cash flows.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on our finance leases is included in interest expense, net in our condensed consolidated statements of operations. The reduction of the operating and finance ROU assets is included as noncash lease expense in costs of goods sold and selling, general and administrative expenses in our condensed consolidated statements of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supplemental cash flow information related to our leases (in thousands):</w:t>
      </w:r>
    </w:p>
    <w:tbl>
      <w:tblPr>
        <w:tblW w:w="8363" w:type="dxa"/>
        <w:jc w:val="center"/>
        <w:tblInd w:w="0" w:type="dxa"/>
        <w:tblLayout w:type="fixed"/>
        <w:tblCellMar>
          <w:top w:w="28" w:type="dxa"/>
          <w:left w:w="28" w:type="dxa"/>
          <w:bottom w:w="28" w:type="dxa"/>
          <w:right w:w="28" w:type="dxa"/>
        </w:tblCellMar>
      </w:tblPr>
      <w:tblGrid>
        <w:gridCol w:w="2153"/>
        <w:gridCol w:w="1888"/>
        <w:gridCol w:w="1898"/>
        <w:gridCol w:w="211"/>
        <w:gridCol w:w="691"/>
        <w:gridCol w:w="109"/>
        <w:gridCol w:w="109"/>
        <w:gridCol w:w="109"/>
        <w:gridCol w:w="109"/>
        <w:gridCol w:w="211"/>
        <w:gridCol w:w="721"/>
        <w:gridCol w:w="154"/>
      </w:tblGrid>
      <w:tr>
        <w:trPr/>
        <w:tc>
          <w:tcPr>
            <w:tcW w:w="2153"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lease obligations: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terminations, modifications, and impairments: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 derecognized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derecognized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operating lease ROU assets due to impairment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supplemental balance sheet information related to our operating leases (in thousands, except lease term and discount rate):</w:t>
      </w:r>
    </w:p>
    <w:tbl>
      <w:tblPr>
        <w:tblW w:w="6821" w:type="dxa"/>
        <w:jc w:val="center"/>
        <w:tblInd w:w="0" w:type="dxa"/>
        <w:tblLayout w:type="fixed"/>
        <w:tblCellMar>
          <w:top w:w="28" w:type="dxa"/>
          <w:left w:w="28" w:type="dxa"/>
          <w:bottom w:w="28" w:type="dxa"/>
          <w:right w:w="28" w:type="dxa"/>
        </w:tblCellMar>
      </w:tblPr>
      <w:tblGrid>
        <w:gridCol w:w="1359"/>
        <w:gridCol w:w="1192"/>
        <w:gridCol w:w="1199"/>
        <w:gridCol w:w="412"/>
        <w:gridCol w:w="213"/>
        <w:gridCol w:w="530"/>
        <w:gridCol w:w="109"/>
        <w:gridCol w:w="109"/>
        <w:gridCol w:w="109"/>
        <w:gridCol w:w="526"/>
        <w:gridCol w:w="270"/>
        <w:gridCol w:w="793"/>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ROU assets</w:t>
            </w:r>
            <w:r>
              <w:rPr>
                <w:rFonts w:ascii="Times New Roman;serif" w:hAnsi="Times New Roman;serif"/>
                <w:b w:val="false"/>
                <w:color w:val="000000"/>
                <w:sz w:val="13"/>
              </w:rPr>
              <w:t>(1)</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54,470</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13,825</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43,951</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4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57,776</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years</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During the three and six months ended June 30, 2026, we recorded non-cash impairment charges of $7.9 million to reduce the carrying value of operating lease ROU assets to their estimated fair values, driven by the early exit of the facilities.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supplemental balance sheet information related to our finance leases (in thousands, except lease term and discount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tbl>
      <w:tblPr>
        <w:tblW w:w="6821" w:type="dxa"/>
        <w:jc w:val="center"/>
        <w:tblInd w:w="0" w:type="dxa"/>
        <w:tblLayout w:type="fixed"/>
        <w:tblCellMar>
          <w:top w:w="28" w:type="dxa"/>
          <w:left w:w="28" w:type="dxa"/>
          <w:bottom w:w="28" w:type="dxa"/>
          <w:right w:w="28" w:type="dxa"/>
        </w:tblCellMar>
      </w:tblPr>
      <w:tblGrid>
        <w:gridCol w:w="1358"/>
        <w:gridCol w:w="1191"/>
        <w:gridCol w:w="1201"/>
        <w:gridCol w:w="412"/>
        <w:gridCol w:w="213"/>
        <w:gridCol w:w="530"/>
        <w:gridCol w:w="109"/>
        <w:gridCol w:w="109"/>
        <w:gridCol w:w="109"/>
        <w:gridCol w:w="526"/>
        <w:gridCol w:w="270"/>
        <w:gridCol w:w="793"/>
      </w:tblGrid>
      <w:tr>
        <w:trPr/>
        <w:tc>
          <w:tcPr>
            <w:tcW w:w="135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ROU assets (other assets)</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4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years</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maturities of our operating and finance lease liabilities for each of the next five years and thereafter are approximately (in thousands):</w:t>
      </w:r>
    </w:p>
    <w:tbl>
      <w:tblPr>
        <w:tblW w:w="5200" w:type="dxa"/>
        <w:jc w:val="center"/>
        <w:tblInd w:w="0" w:type="dxa"/>
        <w:tblLayout w:type="fixed"/>
        <w:tblCellMar>
          <w:top w:w="28" w:type="dxa"/>
          <w:left w:w="28" w:type="dxa"/>
          <w:bottom w:w="28" w:type="dxa"/>
          <w:right w:w="28" w:type="dxa"/>
        </w:tblCellMar>
      </w:tblPr>
      <w:tblGrid>
        <w:gridCol w:w="668"/>
        <w:gridCol w:w="586"/>
        <w:gridCol w:w="591"/>
        <w:gridCol w:w="322"/>
        <w:gridCol w:w="1101"/>
        <w:gridCol w:w="166"/>
        <w:gridCol w:w="109"/>
        <w:gridCol w:w="109"/>
        <w:gridCol w:w="109"/>
        <w:gridCol w:w="309"/>
        <w:gridCol w:w="904"/>
        <w:gridCol w:w="226"/>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4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57,543 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49,847 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Net Income Per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by the weighted-average number of common shares outstanding during the period. Diluted earnings per share is computed by dividing net income by the weighted-average number of common shares outstanding during the period plus any dilutive securities. Dilutive securities include outstanding common stock options and unvested restricted stock units, less the number of shares that could have been purchased with the proceeds from the exercise of the options, using the treasury stock method. Options and restricted stock units that are anti-dilutive are not included in the treasury stock method calculation.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calculation of net earnings per common share (“EPS”) — basic and diluted (in thousands, except per share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tbl>
      <w:tblPr>
        <w:tblW w:w="10205" w:type="dxa"/>
        <w:jc w:val="left"/>
        <w:tblInd w:w="0" w:type="dxa"/>
        <w:tblLayout w:type="fixed"/>
        <w:tblCellMar>
          <w:top w:w="28" w:type="dxa"/>
          <w:left w:w="28" w:type="dxa"/>
          <w:bottom w:w="28" w:type="dxa"/>
          <w:right w:w="28" w:type="dxa"/>
        </w:tblCellMar>
      </w:tblPr>
      <w:tblGrid>
        <w:gridCol w:w="1814"/>
        <w:gridCol w:w="1592"/>
        <w:gridCol w:w="160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14"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and common equivalent shares outstanding (diluted)</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 — basic</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stock options and restricted stock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Derivatives and Hedging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Hedge Accounting and Hedging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purposes of our cash flow hedging programs are to manage the foreign currency exchange rate risk on forecasted revenues and expenses denominated in currencies other than the functional currency of the operating unit, and to manage floating interest rate risk associated with future interest payments on the variable-rate term loans issued in 2022 and refinanced in 2025. We do not issue derivatives for trading or speculative purposes.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receive hedge accounting treatment, all hedging relationships are formally documented at the inception of the hedge, and the hedges must be highly effective in offsetting changes to future cash flows on hedged transactions. The derivative instruments we utilize, including various foreign exchange contracts and interest rate swaps, are designated and qualify as cash flow hedges. Our derivative instruments are recorded at fair value on the condensed consolidated balance sheets and are classified based on the instrument's maturity date. We record gains or losses from changes in the fair values of the derivative instruments as a component of other comprehensive income (loss) and we reclassify those gains or losses into earnings in the same line item associated with the forecasted transaction and in the same period during which the hedged transaction affects earnings. If the underlying forecasted transaction does not occur, or it becomes probable that it will not occur, we reclassify the gain or loss on the related derivative instrument from accumulated other comprehensive loss into earnings immediately.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Foreign Currency Exchange Rate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Foreign Exchange Forward Contracts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enter into foreign exchange forward contracts to hedge a portion of our forecasted foreign currency-denominated revenues and expenses to minimize the effect of foreign exchange rate movements on the related cash flows. These contracts are agreements to buy or sell a quantity of a currency at a predetermined future date and at a predetermined exchange rate. Our foreign exchange forward contracts hedge exposures principally denominated in Mexican Pesos ("MXN"), Euros ("EUR"), Japanese Yen ("JPY"), Canadian Dollar ("CAD"), and Australian Dollar ("AUD") and have varying maturities with an average term of approximately ten months. The total notional amount of these outstanding derivative contracts as of June 30, 2026 was $149.1 million, which included the notional equivalent of $42.2 million in CAD, $54.3 million in EUR, $48.1 million in MXN, and $4.5 million in other foreign currencies, with terms currently through December 2026.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Floating Interest Rate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2022, we entered into interest rate swaps to reduce the interest rate volatility on our variable-rate term loan A and variable-rate term loan B (see Note 18: Long-Term Debt). We exchange, at specified intervals, the difference between fixed and floating interest amounts calculated by reference to an agreed-upon notional amount. Effective March 30, 2022, the term loan A swap, as amended, has an initial notional amount of $300.0 million, reducing to $150.0 million evenly on a quarterly basis, excluding its final maturity on March 30, 2027. We pay a fixed rate of 1.32% and receive the greater of 3-months USD Secured Overnight Financing Rate ("SOFR") or (0.15)%. The total notional amount of this outstanding derivative as of June 30, 2026 was approximately $165.8 million. Effective March 30, 2022, the term loan B swap, as amended, had an initial notional amount of $750.0 million, reducing to $46.9 million evenly on a quarterly basis through its final maturity on March 30, 2026. We paid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fixed rate of 1.17% and received the greater of 3-months USD SOFR or 0.35%. This swap matured on March 30, 2026, and there was no notional amount outstanding as of March 31, 2026.</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2023, we entered into an additional interest rate swap that hedges both term loan A and term loan B interest payments. The total notional amount of the swap is $300.0 million. The hedge matures on June 30, 2028. We pay a fixed rate of 3.88% and receive 3-months USD SOFR.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2026, we entered into an additional interest rate swap that hedges term loan A interest payments. Effective March 31, 2026, the swap has a notional amount of $225.0 million. The hedge matures on December 31, 2029. We pay a fixed rate of 3.30% and receive 3-months USD SOFR.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swaps effectively convert the relevant portion of the floating-rate term loans to fixed rates.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values of our derivative instruments included within the Condensed Consolidated Balance Sheets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76"/>
        <w:gridCol w:w="1120"/>
        <w:gridCol w:w="1126"/>
        <w:gridCol w:w="109"/>
        <w:gridCol w:w="109"/>
        <w:gridCol w:w="109"/>
        <w:gridCol w:w="480"/>
        <w:gridCol w:w="1360"/>
        <w:gridCol w:w="266"/>
        <w:gridCol w:w="227"/>
        <w:gridCol w:w="227"/>
        <w:gridCol w:w="227"/>
        <w:gridCol w:w="410"/>
        <w:gridCol w:w="1164"/>
        <w:gridCol w:w="227"/>
        <w:gridCol w:w="109"/>
        <w:gridCol w:w="109"/>
        <w:gridCol w:w="109"/>
        <w:gridCol w:w="280"/>
        <w:gridCol w:w="929"/>
        <w:gridCol w:w="232"/>
      </w:tblGrid>
      <w:tr>
        <w:trPr/>
        <w:tc>
          <w:tcPr>
            <w:tcW w:w="127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Derivatives Designated as Cash Flow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Condensed Consolidated 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Exchange Contracts</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Derivatives</w:t>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6,847 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11,622 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1,163 </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4,409 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5,572 </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4,704 </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5,250 </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the following gains (losses) on our derivative instruments designated as cash flow hedges in other comprehensive income before reclassifications to net income (in thousands):</w:t>
      </w:r>
    </w:p>
    <w:tbl>
      <w:tblPr>
        <w:tblW w:w="9627" w:type="dxa"/>
        <w:jc w:val="left"/>
        <w:tblInd w:w="0" w:type="dxa"/>
        <w:tblLayout w:type="fixed"/>
        <w:tblCellMar>
          <w:top w:w="28" w:type="dxa"/>
          <w:left w:w="28" w:type="dxa"/>
          <w:bottom w:w="28" w:type="dxa"/>
          <w:right w:w="28" w:type="dxa"/>
        </w:tblCellMar>
      </w:tblPr>
      <w:tblGrid>
        <w:gridCol w:w="1630"/>
        <w:gridCol w:w="1433"/>
        <w:gridCol w:w="1437"/>
        <w:gridCol w:w="109"/>
        <w:gridCol w:w="109"/>
        <w:gridCol w:w="109"/>
        <w:gridCol w:w="196"/>
        <w:gridCol w:w="556"/>
        <w:gridCol w:w="109"/>
        <w:gridCol w:w="109"/>
        <w:gridCol w:w="109"/>
        <w:gridCol w:w="109"/>
        <w:gridCol w:w="196"/>
        <w:gridCol w:w="631"/>
        <w:gridCol w:w="109"/>
        <w:gridCol w:w="109"/>
        <w:gridCol w:w="109"/>
        <w:gridCol w:w="109"/>
        <w:gridCol w:w="196"/>
        <w:gridCol w:w="646"/>
        <w:gridCol w:w="109"/>
        <w:gridCol w:w="109"/>
        <w:gridCol w:w="109"/>
        <w:gridCol w:w="109"/>
        <w:gridCol w:w="196"/>
        <w:gridCol w:w="721"/>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(Losses) Recognized in Other Comprehensive Income</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derivatives designated as cash flow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(10,409)</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effects of our derivative instruments designated as cash flow hedges on the Condensed Consolidated Statements of Operations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01"/>
        <w:gridCol w:w="616"/>
        <w:gridCol w:w="618"/>
        <w:gridCol w:w="109"/>
        <w:gridCol w:w="109"/>
        <w:gridCol w:w="109"/>
        <w:gridCol w:w="877"/>
        <w:gridCol w:w="877"/>
        <w:gridCol w:w="879"/>
        <w:gridCol w:w="119"/>
        <w:gridCol w:w="119"/>
        <w:gridCol w:w="119"/>
        <w:gridCol w:w="215"/>
        <w:gridCol w:w="649"/>
        <w:gridCol w:w="119"/>
        <w:gridCol w:w="119"/>
        <w:gridCol w:w="119"/>
        <w:gridCol w:w="119"/>
        <w:gridCol w:w="215"/>
        <w:gridCol w:w="610"/>
        <w:gridCol w:w="119"/>
        <w:gridCol w:w="119"/>
        <w:gridCol w:w="119"/>
        <w:gridCol w:w="119"/>
        <w:gridCol w:w="215"/>
        <w:gridCol w:w="610"/>
        <w:gridCol w:w="119"/>
        <w:gridCol w:w="119"/>
        <w:gridCol w:w="119"/>
        <w:gridCol w:w="119"/>
        <w:gridCol w:w="215"/>
        <w:gridCol w:w="610"/>
        <w:gridCol w:w="186"/>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(Losses) Reclassified From Accumulated Other Comprehensive Income into Income</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June 30,</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June 30,</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of Gains (Losses) in the Condensed Consolidated Statements of Operations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2,293 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6,539 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left"/>
        <w:rPr/>
      </w:pPr>
      <w:r>
        <w:rPr/>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expect an estimated $3.7 million in deferred gains on the outstanding foreign exchange contracts and an estimated $4.3 million in deferred gains on the interest rate swaps will be reclassified from accumulated other comprehensive loss to net income during the next 12 months concurrent with the underlying hedged transactions also being reported in net income.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Fair value is the price that would be received from selling an asset or paid to transfer a liability in an orderly transaction between market participants at the measurement date. There are three levels of inputs that may be used to measure fair value: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1: quoted prices in active markets for identical assets or liabilities;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3: unobservable inputs that are supported by little or no market activity and that are significant to the fair values of the assets or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Foreign Exchange Contracts and Interest Rate Contracts</w:t>
      </w: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fair value of our Level 2 foreign exchange contracts is estimated using observable market inputs such as known notional value amounts, spot and forward exchange rates. These inputs relate to liquid, heavily traded currencies with active markets which are available for the full term of the derivative.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our Level 2 interest rate swaps is estimated using a pricing model that reflects the terms of the contracts, including the period to maturity, and relies on observable market inputs such as known notional value amounts and USD interest rate curves.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assets and liabilities measured at fair value on a recurring basis consisted of the following Level 1, 2 and 3 inputs as defined above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tbl>
      <w:tblPr>
        <w:tblW w:w="9816" w:type="dxa"/>
        <w:jc w:val="center"/>
        <w:tblInd w:w="0" w:type="dxa"/>
        <w:tblLayout w:type="fixed"/>
        <w:tblCellMar>
          <w:top w:w="28" w:type="dxa"/>
          <w:left w:w="28" w:type="dxa"/>
          <w:bottom w:w="28" w:type="dxa"/>
          <w:right w:w="28" w:type="dxa"/>
        </w:tblCellMar>
      </w:tblPr>
      <w:tblGrid>
        <w:gridCol w:w="1245"/>
        <w:gridCol w:w="1099"/>
        <w:gridCol w:w="1106"/>
        <w:gridCol w:w="276"/>
        <w:gridCol w:w="946"/>
        <w:gridCol w:w="144"/>
        <w:gridCol w:w="109"/>
        <w:gridCol w:w="109"/>
        <w:gridCol w:w="109"/>
        <w:gridCol w:w="378"/>
        <w:gridCol w:w="729"/>
        <w:gridCol w:w="197"/>
        <w:gridCol w:w="109"/>
        <w:gridCol w:w="109"/>
        <w:gridCol w:w="109"/>
        <w:gridCol w:w="270"/>
        <w:gridCol w:w="924"/>
        <w:gridCol w:w="141"/>
        <w:gridCol w:w="109"/>
        <w:gridCol w:w="109"/>
        <w:gridCol w:w="109"/>
        <w:gridCol w:w="377"/>
        <w:gridCol w:w="726"/>
        <w:gridCol w:w="277"/>
      </w:tblGrid>
      <w:tr>
        <w:trPr/>
        <w:tc>
          <w:tcPr>
            <w:tcW w:w="124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as of June 30, 2026</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prices</w:t>
              <w:br/>
              <w:t>in active</w:t>
              <w:br/>
              <w:t>markets for</w:t>
              <w:br/>
              <w:t>identical</w:t>
              <w:br/>
              <w:t>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w:t>
              <w:br/>
              <w:t>other</w:t>
              <w:br/>
              <w:t>observable</w:t>
              <w:br/>
              <w:t>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 (level 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11,622 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11,622 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left"/>
        <w:rPr/>
      </w:pPr>
      <w:r>
        <w:rPr/>
      </w:r>
    </w:p>
    <w:p>
      <w:pPr>
        <w:pStyle w:val="TextBody"/>
        <w:bidi w:val="0"/>
        <w:spacing w:before="0" w:after="60"/>
        <w:ind w:left="0" w:right="0" w:hanging="360"/>
        <w:jc w:val="left"/>
        <w:rPr/>
      </w:pPr>
      <w:r>
        <w:rPr/>
      </w:r>
    </w:p>
    <w:tbl>
      <w:tblPr>
        <w:tblW w:w="9825" w:type="dxa"/>
        <w:jc w:val="center"/>
        <w:tblInd w:w="0" w:type="dxa"/>
        <w:tblLayout w:type="fixed"/>
        <w:tblCellMar>
          <w:top w:w="28" w:type="dxa"/>
          <w:left w:w="28" w:type="dxa"/>
          <w:bottom w:w="28" w:type="dxa"/>
          <w:right w:w="28" w:type="dxa"/>
        </w:tblCellMar>
      </w:tblPr>
      <w:tblGrid>
        <w:gridCol w:w="1245"/>
        <w:gridCol w:w="1099"/>
        <w:gridCol w:w="1106"/>
        <w:gridCol w:w="307"/>
        <w:gridCol w:w="898"/>
        <w:gridCol w:w="161"/>
        <w:gridCol w:w="110"/>
        <w:gridCol w:w="110"/>
        <w:gridCol w:w="110"/>
        <w:gridCol w:w="378"/>
        <w:gridCol w:w="729"/>
        <w:gridCol w:w="197"/>
        <w:gridCol w:w="110"/>
        <w:gridCol w:w="110"/>
        <w:gridCol w:w="110"/>
        <w:gridCol w:w="300"/>
        <w:gridCol w:w="878"/>
        <w:gridCol w:w="157"/>
        <w:gridCol w:w="110"/>
        <w:gridCol w:w="110"/>
        <w:gridCol w:w="110"/>
        <w:gridCol w:w="377"/>
        <w:gridCol w:w="726"/>
        <w:gridCol w:w="277"/>
      </w:tblGrid>
      <w:tr>
        <w:trPr/>
        <w:tc>
          <w:tcPr>
            <w:tcW w:w="124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as of December 31, 2025</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carrying</w:t>
              <w:br/>
              <w:t>value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prices</w:t>
              <w:br/>
              <w:t>in active</w:t>
              <w:br/>
              <w:t>markets for</w:t>
              <w:br/>
              <w:t>identical</w:t>
              <w:br/>
              <w:t>assets (level 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w:t>
              <w:br/>
              <w:t>other</w:t>
              <w:br/>
              <w:t>observable</w:t>
              <w:br/>
              <w:t>inputs (level 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 (level 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Nonrecurring Fair Value Measurements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measure certain items on a nonrecurring basis due to particular circumstances or when specific transactions occur such as a retained investment resulting from a partial sale. On May 1, 2025, we measured our retained equity method investment in Otsuka ICU Medical LLC (see Note 11: Investment Securities) at fair value in connection to the sale of a 60% interest of our IV Solutions business (see Note 4: Disposal of Business). The fair value was estimated using a market-based approach and is classified as a Level 3 fair value measurement.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Investment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Investments in Non-Marketable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Investments in Unconsolidated Affiliates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hold equity method investments in certain entities. We apply the equity method of accounting for investments in unconsolidated affiliates when we determine we have a significant influence, but not a controlling interest in the investee. We determine whether we have significant influence by considering key factors such as ownership interest, representation on the board of directors, participation in policy making decisions, business relationship and material intra-entity transactions, among other factors. Our equity method investments are reported at cost and adjusted each period for our share of the investee's income or (loss) and dividend paid, if any. We eliminate any intra-entity profits to the extent of our beneficial interest. For our other equity method investment, we report our proportionate share of the investee's income or (loss) resulting from this investment in other expense, net in our condensed consolidated statements of operations. We assess our equity method investments for impairment on an annual basis or whenever events or circumstances indicate that the carrying value of the investment may not be recoverable.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24, 2025, the Company completed the formation of the Otsuka ICU Medical LLC (n/k/a Otsuka ICU Medical LLC (“joint venture”)) and transferred the assets, liabilities and operations that comprise the IV Solutions business to the joint venture. Pursuant to the agreement, we sold 60% of our IV Solutions business to OPF and the Company retained 40% ownership interest in the business. The initial investment, which includes a step up in basis on the retained 40% interest of $19.4 million, was recorded in the amount of $129.9 million. As provided under the joint venture's Operating Agreement, each of OPF and the ICU Medical Entities have been granted certain exclusive call and put options, respectively, with respect to the ICU Medical Entities' remaining ownership interest in the joint venture. Such options are exercisable at certain specified dates and for such amounts as are set forth in the Operating Agreement beginning five years after the transaction closing. If exercised, they could effectively eliminate the Company’s ownership interest. See Note 4: Disposal of Business for more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own approximately 20% non-marketable equity interest in a nonpublic company and entered into a three-year distribution agreement where we have the exclusive rights to market, sell and distribute the company's products in exchange for a cash payment of $3.3 million. In addition, we were granted an exclusive license for all of the seller's intellectual property. At the expiration of the distribution agreement we have the right but not the obligation to acquire the remaining interest in the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investment in unconsolidated affiliates consist of the following (in thousands):</w:t>
      </w:r>
    </w:p>
    <w:tbl>
      <w:tblPr>
        <w:tblW w:w="6141" w:type="dxa"/>
        <w:jc w:val="left"/>
        <w:tblInd w:w="0" w:type="dxa"/>
        <w:tblLayout w:type="fixed"/>
        <w:tblCellMar>
          <w:top w:w="28" w:type="dxa"/>
          <w:left w:w="28" w:type="dxa"/>
          <w:bottom w:w="28" w:type="dxa"/>
          <w:right w:w="28" w:type="dxa"/>
        </w:tblCellMar>
      </w:tblPr>
      <w:tblGrid>
        <w:gridCol w:w="993"/>
        <w:gridCol w:w="872"/>
        <w:gridCol w:w="879"/>
        <w:gridCol w:w="109"/>
        <w:gridCol w:w="109"/>
        <w:gridCol w:w="109"/>
        <w:gridCol w:w="212"/>
        <w:gridCol w:w="833"/>
        <w:gridCol w:w="109"/>
        <w:gridCol w:w="109"/>
        <w:gridCol w:w="109"/>
        <w:gridCol w:w="109"/>
        <w:gridCol w:w="281"/>
        <w:gridCol w:w="1103"/>
        <w:gridCol w:w="205"/>
      </w:tblGrid>
      <w:tr>
        <w:trPr/>
        <w:tc>
          <w:tcPr>
            <w:tcW w:w="9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Otsuka ICU Medical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128,662 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equity method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131,586 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recorded share of our investees' income was $3.0 million and $2.3 million for the three and six months ended June 30, 2026. Our recorded share of our investees' income was $2.8 million for the three and six months ended June 30, 2025. We did not receive any dividend distributions from these investments during the three and six months ended June 30, 2026 and 2025.</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Prepaid Expenses and Other Current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(in thousands): </w:t>
      </w:r>
    </w:p>
    <w:tbl>
      <w:tblPr>
        <w:tblW w:w="6713" w:type="dxa"/>
        <w:jc w:val="left"/>
        <w:tblInd w:w="0" w:type="dxa"/>
        <w:tblLayout w:type="fixed"/>
        <w:tblCellMar>
          <w:top w:w="28" w:type="dxa"/>
          <w:left w:w="28" w:type="dxa"/>
          <w:bottom w:w="28" w:type="dxa"/>
          <w:right w:w="28" w:type="dxa"/>
        </w:tblCellMar>
      </w:tblPr>
      <w:tblGrid>
        <w:gridCol w:w="1200"/>
        <w:gridCol w:w="1056"/>
        <w:gridCol w:w="1059"/>
        <w:gridCol w:w="109"/>
        <w:gridCol w:w="109"/>
        <w:gridCol w:w="109"/>
        <w:gridCol w:w="212"/>
        <w:gridCol w:w="833"/>
        <w:gridCol w:w="109"/>
        <w:gridCol w:w="109"/>
        <w:gridCol w:w="109"/>
        <w:gridCol w:w="109"/>
        <w:gridCol w:w="309"/>
        <w:gridCol w:w="1056"/>
        <w:gridCol w:w="225"/>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 and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23,390 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VAT/GST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Assets held for sale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86,217 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100" w:after="283"/>
        <w:ind w:left="0" w:right="0" w:hanging="360"/>
        <w:jc w:val="left"/>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 xml:space="preserve">On March 6, 2026, we entered into a definitive agreement to divest certain assets constituting a business, as defined under ASC 805, </w:t>
      </w:r>
      <w:r>
        <w:rPr>
          <w:rFonts w:ascii="Times New Roman;serif" w:hAnsi="Times New Roman;serif"/>
          <w:b w:val="false"/>
          <w:i/>
          <w:color w:val="000000"/>
          <w:sz w:val="18"/>
        </w:rPr>
        <w:t>Business Combinations.</w:t>
      </w:r>
      <w:r>
        <w:rPr>
          <w:color w:val="000000"/>
        </w:rPr>
        <w:t xml:space="preserve"> </w:t>
      </w:r>
      <w:r>
        <w:rPr>
          <w:rFonts w:ascii="Times New Roman;serif" w:hAnsi="Times New Roman;serif"/>
          <w:b w:val="false"/>
          <w:color w:val="000000"/>
          <w:sz w:val="18"/>
        </w:rPr>
        <w:t>Because the transaction met the criteria for held for sale classification, the associated balances were reclassified accordingly as of March 31, 2026. The divestiture is immaterial to our financial position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Inventories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Inventories are stated at the lower of cost or net realizable value with cost determined using the first-in, first-out method. Inventory costs include material, labor and overhead related to the manufacturing of our products.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consist of the following (in thousands): </w:t>
      </w:r>
    </w:p>
    <w:tbl>
      <w:tblPr>
        <w:tblW w:w="4584" w:type="dxa"/>
        <w:jc w:val="left"/>
        <w:tblInd w:w="0" w:type="dxa"/>
        <w:tblLayout w:type="fixed"/>
        <w:tblCellMar>
          <w:top w:w="28" w:type="dxa"/>
          <w:left w:w="28" w:type="dxa"/>
          <w:bottom w:w="28" w:type="dxa"/>
          <w:right w:w="28" w:type="dxa"/>
        </w:tblCellMar>
      </w:tblPr>
      <w:tblGrid>
        <w:gridCol w:w="548"/>
        <w:gridCol w:w="481"/>
        <w:gridCol w:w="485"/>
        <w:gridCol w:w="212"/>
        <w:gridCol w:w="833"/>
        <w:gridCol w:w="109"/>
        <w:gridCol w:w="109"/>
        <w:gridCol w:w="109"/>
        <w:gridCol w:w="109"/>
        <w:gridCol w:w="281"/>
        <w:gridCol w:w="1103"/>
        <w:gridCol w:w="205"/>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265,383 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312,379 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615,859 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approximately $2.0 million inventory account balances that are part of a disposal group that met the criteria for assets held for sale were combined with other disposal group assets and included in "Prepaid Expenses and Other Current Assets" in our condensed consolidated balance sheet (See Note 12: Prepaid Expenses and Other Current Assets).</w:t>
      </w:r>
    </w:p>
    <w:p>
      <w:pPr>
        <w:pStyle w:val="TextBody"/>
        <w:bidi w:val="0"/>
        <w:spacing w:lineRule="auto" w:line="288" w:before="10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Property, Plant and Equipment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consists of the following (in thousands): </w:t>
      </w:r>
    </w:p>
    <w:tbl>
      <w:tblPr>
        <w:tblW w:w="6699" w:type="dxa"/>
        <w:jc w:val="left"/>
        <w:tblInd w:w="0" w:type="dxa"/>
        <w:tblLayout w:type="fixed"/>
        <w:tblCellMar>
          <w:top w:w="28" w:type="dxa"/>
          <w:left w:w="28" w:type="dxa"/>
          <w:bottom w:w="28" w:type="dxa"/>
          <w:right w:w="28" w:type="dxa"/>
        </w:tblCellMar>
      </w:tblPr>
      <w:tblGrid>
        <w:gridCol w:w="1313"/>
        <w:gridCol w:w="1154"/>
        <w:gridCol w:w="1162"/>
        <w:gridCol w:w="212"/>
        <w:gridCol w:w="833"/>
        <w:gridCol w:w="109"/>
        <w:gridCol w:w="109"/>
        <w:gridCol w:w="109"/>
        <w:gridCol w:w="109"/>
        <w:gridCol w:w="281"/>
        <w:gridCol w:w="1103"/>
        <w:gridCol w:w="205"/>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434,959 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building and building improvements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176,972 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Molds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107,296 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116,259 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Instruments placed with customers</w:t>
            </w:r>
            <w:r>
              <w:rPr>
                <w:rFonts w:ascii="Times New Roman;serif" w:hAnsi="Times New Roman;serif"/>
                <w:b w:val="false"/>
                <w:color w:val="000000"/>
                <w:sz w:val="13"/>
              </w:rPr>
              <w:t>(1)</w:t>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148,441 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90,748 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cost</w:t>
            </w:r>
          </w:p>
        </w:tc>
        <w:tc>
          <w:tcPr>
            <w:tcW w:w="10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1,122,406 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1,097,730 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(645,913)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451,817 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______________________________ </w:t>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Instruments placed with customers consist of drug-delivery and monitoring systems placed with customers under operating leases.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expense was $16.6 million and $33.6 million for the three and six months ended June 30, 2026, respectively, as compared to $16.9 million and $33.8 million for the three and six months ended June 30, 2025, respectively. Depreciation expense included in costs of goods sold was $15.1 million and $30.4 million for the three and six months ended June 30, 2026, respectively, as compared to $15.4 million and $30.2 million for the three and six months ended June 30, 2025, respectively.</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Goodwill and Intangible Assets,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The following table presents the changes in the carrying amount of our goodwill (in thousands):</w:t>
      </w:r>
    </w:p>
    <w:tbl>
      <w:tblPr>
        <w:tblW w:w="5493" w:type="dxa"/>
        <w:jc w:val="left"/>
        <w:tblInd w:w="0" w:type="dxa"/>
        <w:tblLayout w:type="fixed"/>
        <w:tblCellMar>
          <w:top w:w="28" w:type="dxa"/>
          <w:left w:w="28" w:type="dxa"/>
          <w:bottom w:w="28" w:type="dxa"/>
          <w:right w:w="28" w:type="dxa"/>
        </w:tblCellMar>
      </w:tblPr>
      <w:tblGrid>
        <w:gridCol w:w="1386"/>
        <w:gridCol w:w="1215"/>
        <w:gridCol w:w="1224"/>
        <w:gridCol w:w="109"/>
        <w:gridCol w:w="109"/>
        <w:gridCol w:w="109"/>
        <w:gridCol w:w="211"/>
        <w:gridCol w:w="97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1,499,754 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 reclassified to assets held for sale</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1,484,384 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18"/>
        </w:rPr>
        <w:t>On March 6, 2026, we entered into a definitive agreement to divest certain assets constituting a business, as defined under ASC 805, Business Combinations. The goodwill allocated to assets held for sale was determined based on the relative fair value of the disposal group as compared to the portion of the reporting unit retained. The divestiture is immaterial to our financial position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Intangible assets, carried at cost less accumulated amortization and amortized on a straight-line basis,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tbl>
      <w:tblPr>
        <w:tblW w:w="10205" w:type="dxa"/>
        <w:jc w:val="left"/>
        <w:tblInd w:w="0" w:type="dxa"/>
        <w:tblLayout w:type="fixed"/>
        <w:tblCellMar>
          <w:top w:w="28" w:type="dxa"/>
          <w:left w:w="28" w:type="dxa"/>
          <w:bottom w:w="28" w:type="dxa"/>
          <w:right w:w="28" w:type="dxa"/>
        </w:tblCellMar>
      </w:tblPr>
      <w:tblGrid>
        <w:gridCol w:w="939"/>
        <w:gridCol w:w="824"/>
        <w:gridCol w:w="767"/>
        <w:gridCol w:w="109"/>
        <w:gridCol w:w="109"/>
        <w:gridCol w:w="109"/>
        <w:gridCol w:w="991"/>
        <w:gridCol w:w="991"/>
        <w:gridCol w:w="993"/>
        <w:gridCol w:w="109"/>
        <w:gridCol w:w="109"/>
        <w:gridCol w:w="109"/>
        <w:gridCol w:w="196"/>
        <w:gridCol w:w="871"/>
        <w:gridCol w:w="109"/>
        <w:gridCol w:w="109"/>
        <w:gridCol w:w="109"/>
        <w:gridCol w:w="109"/>
        <w:gridCol w:w="212"/>
        <w:gridCol w:w="796"/>
        <w:gridCol w:w="118"/>
        <w:gridCol w:w="109"/>
        <w:gridCol w:w="109"/>
        <w:gridCol w:w="109"/>
        <w:gridCol w:w="196"/>
        <w:gridCol w:w="736"/>
        <w:gridCol w:w="158"/>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Amortization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Non-contractual customer relationships</w:t>
            </w:r>
            <w:r>
              <w:rPr>
                <w:rFonts w:ascii="Times New Roman;serif" w:hAnsi="Times New Roman;serif"/>
                <w:b w:val="false"/>
                <w:color w:val="000000"/>
                <w:sz w:val="12"/>
              </w:rPr>
              <w:t>(1)</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Developed technology</w:t>
            </w:r>
            <w:r>
              <w:rPr>
                <w:rFonts w:ascii="Times New Roman;serif" w:hAnsi="Times New Roman;serif"/>
                <w:b w:val="false"/>
                <w:color w:val="000000"/>
                <w:sz w:val="12"/>
              </w:rPr>
              <w:t>(2)</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311,201 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Non-compete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1,275,990 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717,019 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558,971 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8"/>
              </w:rPr>
              <w:t>Internally developed software</w:t>
            </w:r>
            <w:r>
              <w:rPr>
                <w:rFonts w:ascii="Times New Roman;serif" w:hAnsi="Times New Roman;serif"/>
                <w:b w:val="false"/>
                <w:color w:val="000000"/>
                <w:sz w:val="12"/>
              </w:rPr>
              <w:t>(3)</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1,284,684 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717,019 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567,665 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______________________________ </w:t>
      </w:r>
    </w:p>
    <w:p>
      <w:pPr>
        <w:pStyle w:val="TextBody"/>
        <w:bidi w:val="0"/>
        <w:spacing w:lineRule="auto" w:line="28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18"/>
        </w:rPr>
        <w:t>As of June 30, 2026, approximately $0.6 million non-contractual customer relationships account balances that are part of a disposal group that met the criteria for assets held for sale were combined with other disposal group assets and included in "Prepaid Expenses and Other Current Assets" in our condensed consolidated balance sheet (See Note 12: Prepaid Expenses and Other Current Assets).</w:t>
      </w:r>
    </w:p>
    <w:p>
      <w:pPr>
        <w:pStyle w:val="TextBody"/>
        <w:bidi w:val="0"/>
        <w:spacing w:lineRule="auto" w:line="288" w:before="0" w:after="0"/>
        <w:ind w:left="0" w:right="0" w:hanging="360"/>
        <w:jc w:val="left"/>
        <w:rPr/>
      </w:pPr>
      <w:r>
        <w:rPr>
          <w:rFonts w:ascii="Times New Roman;serif" w:hAnsi="Times New Roman;serif"/>
          <w:b w:val="false"/>
          <w:color w:val="000000"/>
          <w:sz w:val="13"/>
        </w:rPr>
        <w:t>(2)    </w:t>
      </w:r>
      <w:r>
        <w:rPr>
          <w:rFonts w:ascii="Times New Roman;serif" w:hAnsi="Times New Roman;serif"/>
          <w:b w:val="false"/>
          <w:color w:val="000000"/>
          <w:sz w:val="18"/>
        </w:rPr>
        <w:t xml:space="preserve">Developed technology primarily consists of acquired patented technologies and internally developed software. Upon completion of development, the assets are amortized over their estimated useful lives. </w:t>
      </w:r>
    </w:p>
    <w:p>
      <w:pPr>
        <w:pStyle w:val="TextBody"/>
        <w:bidi w:val="0"/>
        <w:spacing w:lineRule="auto" w:line="288" w:before="0" w:after="0"/>
        <w:ind w:left="0" w:right="0" w:hanging="360"/>
        <w:jc w:val="left"/>
        <w:rPr/>
      </w:pPr>
      <w:r>
        <w:rPr>
          <w:rFonts w:ascii="Times New Roman;serif" w:hAnsi="Times New Roman;serif"/>
          <w:b w:val="false"/>
          <w:color w:val="000000"/>
          <w:sz w:val="13"/>
        </w:rPr>
        <w:t>(3)    </w:t>
      </w:r>
      <w:r>
        <w:rPr>
          <w:rFonts w:ascii="Times New Roman;serif" w:hAnsi="Times New Roman;serif"/>
          <w:b w:val="false"/>
          <w:color w:val="000000"/>
          <w:sz w:val="18"/>
        </w:rPr>
        <w:t>Internally developed software will be reclassified to developed technology and amortized when the projects are complete and the assets are ready for their intended use. During the six months ended June 30, 2026, no amounts were reclassified to developed technology.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6"/>
        <w:gridCol w:w="797"/>
        <w:gridCol w:w="746"/>
        <w:gridCol w:w="109"/>
        <w:gridCol w:w="109"/>
        <w:gridCol w:w="109"/>
        <w:gridCol w:w="1019"/>
        <w:gridCol w:w="1019"/>
        <w:gridCol w:w="1020"/>
        <w:gridCol w:w="109"/>
        <w:gridCol w:w="109"/>
        <w:gridCol w:w="109"/>
        <w:gridCol w:w="196"/>
        <w:gridCol w:w="871"/>
        <w:gridCol w:w="109"/>
        <w:gridCol w:w="109"/>
        <w:gridCol w:w="109"/>
        <w:gridCol w:w="109"/>
        <w:gridCol w:w="212"/>
        <w:gridCol w:w="796"/>
        <w:gridCol w:w="118"/>
        <w:gridCol w:w="109"/>
        <w:gridCol w:w="109"/>
        <w:gridCol w:w="109"/>
        <w:gridCol w:w="196"/>
        <w:gridCol w:w="736"/>
        <w:gridCol w:w="156"/>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Amortization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Non-contractual 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256,912 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Developed technology</w:t>
            </w:r>
            <w:r>
              <w:rPr>
                <w:rFonts w:ascii="Times New Roman;serif" w:hAnsi="Times New Roman;serif"/>
                <w:b w:val="false"/>
                <w:color w:val="000000"/>
                <w:sz w:val="12"/>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Non-compete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1,282,103 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654,703 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627,400 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8"/>
              </w:rPr>
              <w:t>Internally developed software</w:t>
            </w:r>
            <w:r>
              <w:rPr>
                <w:rFonts w:ascii="Times New Roman;serif" w:hAnsi="Times New Roman;serif"/>
                <w:b w:val="false"/>
                <w:color w:val="000000"/>
                <w:sz w:val="12"/>
              </w:rPr>
              <w:t>(2)</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1,288,262 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654,703 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633,559 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18"/>
        </w:rPr>
        <w:t xml:space="preserve">Developed technology primarily consists of acquired patented technologies and internally developed software. Upon completion of development, the assets are amortized over their estimated useful lives. </w:t>
      </w:r>
    </w:p>
    <w:p>
      <w:pPr>
        <w:pStyle w:val="TextBody"/>
        <w:bidi w:val="0"/>
        <w:spacing w:lineRule="auto" w:line="288" w:before="0" w:after="0"/>
        <w:ind w:left="0" w:right="0" w:hanging="360"/>
        <w:jc w:val="left"/>
        <w:rPr/>
      </w:pPr>
      <w:r>
        <w:rPr>
          <w:rFonts w:ascii="Times New Roman;serif" w:hAnsi="Times New Roman;serif"/>
          <w:b w:val="false"/>
          <w:color w:val="000000"/>
          <w:sz w:val="12"/>
        </w:rPr>
        <w:t>(2)    </w:t>
      </w:r>
      <w:r>
        <w:rPr>
          <w:rFonts w:ascii="Times New Roman;serif" w:hAnsi="Times New Roman;serif"/>
          <w:b w:val="false"/>
          <w:color w:val="000000"/>
          <w:sz w:val="18"/>
        </w:rPr>
        <w:t>Internally developed software will be reclassified to developed technology and amortized when the projects are complete and the assets are ready for their intended use. During 2025, we reclassified $11.4 million to developed technology.</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with definite lives are amortized on a straight-line basis over their estimated useful lives. Amortization expense was $33.0 million and $66.1 million for the three and six months ended June 30, 2026, respectively, as compared to $32.7 million and $65.3 million for the three and six months ended June 30, 2025, respectively. Amortization expense included in cost of goods sold was $1.3 million and $2.5 million for the three and six months ended June 30, 2026 and $1.0 million and $2.1 million for the three and six months ended June 30, 2025, respectively.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estimated annual amortization for our intangible assets for each of the next five years and thereafter is approximately (in thousands):</w:t>
      </w:r>
    </w:p>
    <w:p>
      <w:pPr>
        <w:pStyle w:val="TextBody"/>
        <w:bidi w:val="0"/>
        <w:spacing w:before="0" w:after="0"/>
        <w:ind w:left="0" w:right="0" w:firstLine="720"/>
        <w:jc w:val="left"/>
        <w:rPr/>
      </w:pPr>
      <w:r>
        <w:rPr/>
      </w:r>
    </w:p>
    <w:tbl>
      <w:tblPr>
        <w:tblW w:w="3198"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558,971 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16:     Accrued Liabilities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Accrued liabilities consist of the following (in thousands): </w:t>
      </w:r>
    </w:p>
    <w:tbl>
      <w:tblPr>
        <w:tblW w:w="6564" w:type="dxa"/>
        <w:jc w:val="left"/>
        <w:tblInd w:w="0" w:type="dxa"/>
        <w:tblLayout w:type="fixed"/>
        <w:tblCellMar>
          <w:top w:w="28" w:type="dxa"/>
          <w:left w:w="28" w:type="dxa"/>
          <w:bottom w:w="28" w:type="dxa"/>
          <w:right w:w="28" w:type="dxa"/>
        </w:tblCellMar>
      </w:tblPr>
      <w:tblGrid>
        <w:gridCol w:w="1263"/>
        <w:gridCol w:w="1113"/>
        <w:gridCol w:w="1118"/>
        <w:gridCol w:w="212"/>
        <w:gridCol w:w="833"/>
        <w:gridCol w:w="109"/>
        <w:gridCol w:w="109"/>
        <w:gridCol w:w="109"/>
        <w:gridCol w:w="109"/>
        <w:gridCol w:w="281"/>
        <w:gridCol w:w="1103"/>
        <w:gridCol w:w="205"/>
      </w:tblGrid>
      <w:tr>
        <w:trPr/>
        <w:tc>
          <w:tcPr>
            <w:tcW w:w="12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70,526 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compensation</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Italy medical device payback provision</w:t>
            </w:r>
            <w:r>
              <w:rPr>
                <w:rFonts w:ascii="Times New Roman;serif" w:hAnsi="Times New Roman;serif"/>
                <w:b w:val="false"/>
                <w:color w:val="000000"/>
                <w:sz w:val="13"/>
              </w:rPr>
              <w:t>(1)</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Field service corrective action</w:t>
            </w:r>
            <w:r>
              <w:rPr>
                <w:rFonts w:ascii="Times New Roman;serif" w:hAnsi="Times New Roman;serif"/>
                <w:b w:val="false"/>
                <w:color w:val="000000"/>
                <w:sz w:val="13"/>
              </w:rPr>
              <w:t>(2)</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315,337 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100" w:after="283"/>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18"/>
        </w:rPr>
        <w:t>Related to potential payments associated with the Italy Medical Device Payback ("IMDP") as a result of 2015 legislation enacted requiring medical device companies to make payments to the Italian government based on regional expenditure ceilings (see Note 20: Commitments and Contingencies for further details).</w:t>
      </w:r>
    </w:p>
    <w:p>
      <w:pPr>
        <w:pStyle w:val="TextBody"/>
        <w:bidi w:val="0"/>
        <w:spacing w:lineRule="auto" w:line="288" w:before="100" w:after="283"/>
        <w:ind w:left="0" w:right="0" w:hanging="360"/>
        <w:jc w:val="left"/>
        <w:rPr/>
      </w:pPr>
      <w:r>
        <w:rPr>
          <w:rFonts w:ascii="Times New Roman;serif" w:hAnsi="Times New Roman;serif"/>
          <w:b w:val="false"/>
          <w:color w:val="000000"/>
          <w:sz w:val="12"/>
        </w:rPr>
        <w:t>(2)     </w:t>
      </w:r>
      <w:r>
        <w:rPr>
          <w:rFonts w:ascii="Times New Roman;serif" w:hAnsi="Times New Roman;serif"/>
          <w:b w:val="false"/>
          <w:color w:val="000000"/>
          <w:sz w:val="18"/>
        </w:rPr>
        <w:t>Primarily includes field corrective actions associated with certain products in connection with a 2021 Warning Letter (as defined below) received by Smiths Medical from the FDA following an inspection of Smiths Medical's Oakdale, Minnesota Facility (see Note 20: Commitments and Contingencies for further details).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     Income Taxes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taxes were accrued at an estimated effective tax rate of 31% and (144)% for the three and six months ended June 30, 2026 , respectively, as compared to 3% and 25% for the three and six months ended June 30, 2025,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three and six months ended June 30, 2026 differs from the federal statutory rate of 21% principally because of the effect of the mix of U.S. and foreign incomes, section 162(m) excess compensation, federal and state valuation allowance, foreign-derived intangible income (“FDII”), and tax credits. Additionally, the effective tax rate for the three and six months ended June 30, 2026 included a discrete tax benefit of $0.9 million and $30.1 million, respectively, related to unrecognized tax benefits released as a result of the expiration of statute of limitations.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recorded a change to the valuation allowance against certain U.S. federal and state deferred tax assets, resulting in a $1.5 million tax expense and $2.7 million tax benefit during the three and six months ended June 30, 2026, respectively. The significant piece of objectively verifiable negative evidence evaluated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was the recent U.S. cumulative losses. The company's ability to use our deferred tax assets depends on the amount of taxable income in future periods.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three and six months ended June 30, 2025 differs from the federal statutory rate of 21% principally because of the effect of the mix of U.S. and foreign incomes, section 162(m) excess compensation, federal and state valuation allowance, and tax credits. The effective tax rate during the three and six months ended June 30, 2025 included a tax expense of $6.1 million related to the sale of a 60% interest of our IV solutions business. Additionally, there were unrecognized tax benefits released as a result of the expiration of statute of limitations during the three and six months ended June 30, 2025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a change to the valuation allowance against certain U.S. federal and state deferred tax assets, resulting in a $2.7 million tax benefit and $3.7 million tax expense during the three and six months ended June 30, 2025,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18:     Long-Term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Amended Credit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31, 2025 (the "Closing Date"), ICU Medical, Inc., as Borrower, entered into Amendment No. 2 to the Existing Credit Agreement (the "Amendment") with Wells Fargo Bank and certain other financial institutions (the “Lenders”) to refinance the existing Term Loan A and the existing Revolving Credit Facility under the Credit Agreement dated as of January 6, 2022 (as amended by Amendment No. 1, dated as of October 5, 2022, the "Existing Credit Agreement," and as further amended by the Amendment, the "Amended Credit Agreement").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Amendment includes new credit facilities (the "New Credit Facilities") that consists of a $750.0 million senior secured Term Loan A and a new $500.0 million revolving credit facility. The proceeds from the New Term Loan A were primarily used by the borrower to (i) directly repay the $559.7 million outstanding principal amount of the existing Term Loan A in full (the "Refinancing") under the Existing Credit Agreement, and (ii) directly repay $190.0 million of the outstanding balance of the Term Loan B under the Existing Credit Agreement.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October 2025 refinancing, we capitalized approximately $4.4 million in new lender fees and third-party costs. As of June 30, 2026 and December 31, 2025, the unamortized debt discount and issuance costs related to the Term Loans and Revolving Credit Facility totaled $11.7 million and $13.3 million, respectively.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portion of the unamortized balances related to the Term Loans are reflected as a direct deduction from the face amount of the corresponding term loans on the condensed consolidated balance sheets. These costs are being amortized to interest expense over the respective terms of the loans using the effective interest method. The Revolving Credit Facility unamortized balances are included in prepaid expenses and other current assets on our condensed consolidated balance sheets. These costs are being amortized to interest expense over the term of the Revolving Credit Facility using the straight-line method.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penalties paid as a result of the early termination.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Maturity Dates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final maturity date of the New Credit Facilities is October 31, 2030, subject to a springing maturity provision under which, if any of the Term Loan B tranche remains outstanding on the date that is 91 days prior to the Term Loan B maturity date (the "Springing Maturity Date"), the maturity date for the Term Loan A and the Revolving Credit Facility will automatically accelerate to the Springing Maturity Date, if earlier than October 31, 2030. Pursuant to the terms and conditions of the Credit Agreement, the maturity dates of the Term Loans and the Revolving Credit Facility may be extended upon our request, subject to the consent of the Lenders.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Interest Rate Terms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rates and fees under the New Credit Facilities are primarily the same as those under the existing credit facility under the Existing Credit Agreement, except that the New Credit Facilities do not include a credit spread adjustment and include an additional pricing tier applicable when the Company's leverage ratio is below 1.75x.</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general, the Term Loans and borrowings under the Revolving Credit Facility denominated in U.S. dollars bear interest, at our option, on either: (1) the Base Rate, as defined below, plus the applicable margin, as indicated below ("Base Rate Loans") or (2) the Adjusted Term Secured Overnight Financing Rate ("Adjusted Term SOFR"), as defined below, plus the applicable margin, as indicated below ("Term SOFR Loans").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Base Rate is defined as the highest of (a) the Prime Rate, (b) the Federal Funds Rate plus 0.50% and (c) Adjusted Term SOFR (as defined below) for a one-month period plus, in each case, 1.00%.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Term SOFR is the rate per annum equal to (a) the Term SOFR plus (b) the Term SOFR Adjustment. Term SOFR is the forward-looking term rate based on SOFR and is calculated separately for Term SOFR Loans and Base Rate Loans, as specified in the Credit Agreement. The Term SOFR Adjustment is a percentage per annum of 0.10% for Base Rate Loans and between 0.10% to 0.25% for Term SOFR Loans based on the applicable interest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 Commitment Fee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proceeds from any future borrowings under the Revolving Credit Facility may be used for working capital and other general corporate purposes. The Revolving Credit Facility has a per annum commitment fee determined by reference to the leverage ratio in effect from time to time as set forth in the table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Applicable Interest Margins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Loan A and borrowings under the Revolving Credit Facility have an initial applicable margin of 0.75% per annum for Base Rate Loans and 1.75% per annum for Term SOFR Loans.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applicable Interest Margins and the Commitment Fee with respect to the New Revolving Credit Facility and the New Term Loan A Facility is determined by reference to the leverage ratio in effect from time to time as set forth in the table below:</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052"/>
        <w:gridCol w:w="924"/>
        <w:gridCol w:w="930"/>
        <w:gridCol w:w="1142"/>
        <w:gridCol w:w="1142"/>
        <w:gridCol w:w="1145"/>
        <w:gridCol w:w="740"/>
        <w:gridCol w:w="740"/>
        <w:gridCol w:w="742"/>
        <w:gridCol w:w="481"/>
        <w:gridCol w:w="481"/>
        <w:gridCol w:w="686"/>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Leverage Ratio</w:t>
            </w:r>
          </w:p>
        </w:tc>
        <w:tc>
          <w:tcPr>
            <w:tcW w:w="3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Applicable Margin for Eurocurrency Rate Loans and RFR Loans</w:t>
            </w:r>
          </w:p>
        </w:tc>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Applicable Margin for Base Rate Loans</w:t>
            </w:r>
          </w:p>
        </w:tc>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Commitment Fee Rate</w:t>
            </w:r>
          </w:p>
        </w:tc>
      </w:tr>
      <w:tr>
        <w:trPr/>
        <w:tc>
          <w:tcPr>
            <w:tcW w:w="29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4.00 to 1.0</w:t>
            </w:r>
          </w:p>
        </w:tc>
        <w:tc>
          <w:tcPr>
            <w:tcW w:w="34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22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16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0.35%</w:t>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4.00 to 1.0 but greater than 3.00 to 1.0</w:t>
            </w:r>
          </w:p>
        </w:tc>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0.30%</w:t>
            </w:r>
          </w:p>
        </w:tc>
      </w:tr>
      <w:tr>
        <w:trPr/>
        <w:tc>
          <w:tcPr>
            <w:tcW w:w="2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3.00 to 1.0 but greater than 2.50 to 1.0</w:t>
            </w:r>
          </w:p>
        </w:tc>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w:t>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2.50 to 1.0 but greater than 2.00 to 1.0</w:t>
            </w:r>
          </w:p>
        </w:tc>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0.20%</w:t>
            </w:r>
          </w:p>
        </w:tc>
      </w:tr>
      <w:tr>
        <w:trPr/>
        <w:tc>
          <w:tcPr>
            <w:tcW w:w="2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2.00 to 1.0 but greater than 1.75 to 1.0</w:t>
            </w:r>
          </w:p>
        </w:tc>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0.15%</w:t>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1.75 to 1.0</w:t>
            </w:r>
          </w:p>
        </w:tc>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0.10%</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applicable margin for the Term Loan B is determined by reference to the leverage ratio in effect from time to time as set forth in the following table: </w:t>
      </w:r>
    </w:p>
    <w:tbl>
      <w:tblPr>
        <w:tblW w:w="9194" w:type="dxa"/>
        <w:jc w:val="left"/>
        <w:tblInd w:w="0" w:type="dxa"/>
        <w:tblLayout w:type="fixed"/>
        <w:tblCellMar>
          <w:top w:w="28" w:type="dxa"/>
          <w:left w:w="28" w:type="dxa"/>
          <w:bottom w:w="28" w:type="dxa"/>
          <w:right w:w="28" w:type="dxa"/>
        </w:tblCellMar>
      </w:tblPr>
      <w:tblGrid>
        <w:gridCol w:w="733"/>
        <w:gridCol w:w="644"/>
        <w:gridCol w:w="648"/>
        <w:gridCol w:w="1219"/>
        <w:gridCol w:w="1219"/>
        <w:gridCol w:w="1222"/>
        <w:gridCol w:w="1027"/>
        <w:gridCol w:w="1027"/>
        <w:gridCol w:w="1455"/>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Leverage Ratio</w:t>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Applicable Margin for Term SOFR Loans</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Applicable Margin for Base Rate Loans</w:t>
            </w:r>
          </w:p>
        </w:tc>
      </w:tr>
      <w:tr>
        <w:trPr/>
        <w:tc>
          <w:tcPr>
            <w:tcW w:w="20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2.75 to 1.0</w:t>
            </w:r>
          </w:p>
        </w:tc>
        <w:tc>
          <w:tcPr>
            <w:tcW w:w="36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5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2.75 to 1.0</w:t>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Principal payments on the Term Loans are due on the last day of each calendar quarter.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A amortizes in nineteen consecutive quarterly installments, each equal to 0.625% of the original principal amount in each of the first two years, 1.25% in each of the third and fourth years and 1.875% in the fifth year, with a final payment of the remaining outstanding principal balance due on the maturity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Loan B matures in twenty-seven consecutive quarterly installments, each equal to 0.25% of the original principal amount, with a final payment of the remaining outstanding principal balance due on the maturity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borrow, prepay and re-borrow amounts under the Revolving Credit Facility, in accordance with the terms and conditions of the Credit Agreement, with all outstanding amounts due at maturity.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total principal payments on the Term Loans were $54.7 million and $247.8 million, respectively. The 2026 amount includes a prepayment of $45.3 million on Term Loan B made during the second quarter of 2026. The 2025 amount included a prepayment of $35.0 million on Term Loan B made during the first quarter of 2025 and a prepayment of $200.0 million on Term Loan A made during the second quarter of 2025 using proceeds from the sale of our IV Solutions business (see Note 4: Disposal of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Interest 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payments on Base Rate Loans are payable quarterly in arrears on the last business day of each calendar quarter and the applicable maturity date. Interest periods on Term SOFR Loans are determined, at our option, as either one, three or six months and will be payable on the last day of each interest period and the applicable maturity date. In the case of any interest periods of more than three months' duration, the interest payment are payable on each day prior to the last day of such interest period that occurs at three-month intervals.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commitment fee on the Revolving Credit Facility is payable quarterly in arrears on the third business day following the last day of each calendar quarter and at the maturity date. The commitment fee is included in interest expense in our condensed consolidated statements of operations.</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Guarantors and Collateral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obligations under the Credit Agreement are unconditionally guaranteed, on a joint and several basis, by ICU Medical, Inc. and certain of our existing subsidiaries.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Debt Covenants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Amended Credit Agreement contains affirmative and negative covenants, including certain financial covenants. The negative covenants include restrictions regarding the incurrence of liens and indebtedness, certain merger and acquisition transactions, asset sales and other dispositions, other investments, dividends, share purchases and payments affecting subsidiaries, changes in nature of business, fiscal year or organizational documents, prepayments and redemptions of subordinated and other junior debt, transactions with affiliates, and other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New Credit Facilities are subject to certain financial covenants, which include (i) a new Maximum Secured Net Leverage Ratio of 4.50 to 1.00, tested at the end of each quarter, with a step-down to 4.00 to 1.00 starting with the quarter ending June 30, 2027; provided that in the event the Borrower or its restricted subsidiaries consummate a material acquisition, the Borrower may elect (on no more than one occasion) to cause the Secured Net Leverage Ratio financial covenant level set forth above to be increased by 0.50x for each of the four fiscal quarters ending immediately after the consummation of such material acquisition, and (ii) a Minimum Interest Coverage Ratio of 3.00 to 1.00, which remains unchanged from the Existing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were in compliance with all financial covenants as of June 30,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customary events of default, including, among others: non-payments of principal and interest; breach of representations and warranties; covenant defaults; cross-defaults and cross-acceleration to certain other material indebtedness; the existence of bankruptcy or insolvency proceedings; certain events under ERISA; material judgments; and a change of control. If an event of default occurs and is not cured within any applicable grace period or is not waived, the administrative agent and the Lenders are entitled to take various actions, including, without limitation, the acceleration of all amounts due and the termination of commitments under the New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Prior Credit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Before the Refinancing, our Existing Credit Facility included (i) a five-year Tranche A term loan of $850.0 million (the "Term Loan A"), (ii) a seven-year Tranche B term loan of $850.0 million (the "Term Loan B") and (iii) a five-year revolving credit facility of $500.0 million (the "Revolving Credit Facility"), with separate sub-limits of $50.0 million for letters of credit and swingline loans. Whereas the Term Loan A and the Revolving Credit Facility were refinanced by the Amendment, the Term Loan B continues to be governed by the original terms of the Existing Credit Agreement. The maturity date for the Term Loan B is January 6, 2029. Pursuant to the terms and conditions of the Existing Credit Agreement, the maturity date of the Term Loan B may be extended upon our request, subject to the consent of the Lenders.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values of our long-term debt consist of the following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082"/>
        <w:gridCol w:w="908"/>
        <w:gridCol w:w="912"/>
        <w:gridCol w:w="390"/>
        <w:gridCol w:w="355"/>
        <w:gridCol w:w="888"/>
        <w:gridCol w:w="109"/>
        <w:gridCol w:w="109"/>
        <w:gridCol w:w="109"/>
        <w:gridCol w:w="211"/>
        <w:gridCol w:w="976"/>
        <w:gridCol w:w="109"/>
        <w:gridCol w:w="109"/>
        <w:gridCol w:w="109"/>
        <w:gridCol w:w="109"/>
        <w:gridCol w:w="390"/>
        <w:gridCol w:w="355"/>
        <w:gridCol w:w="888"/>
        <w:gridCol w:w="109"/>
        <w:gridCol w:w="109"/>
        <w:gridCol w:w="109"/>
        <w:gridCol w:w="242"/>
        <w:gridCol w:w="1125"/>
        <w:gridCol w:w="125"/>
        <w:gridCol w:w="109"/>
        <w:gridCol w:w="159"/>
      </w:tblGrid>
      <w:tr>
        <w:trPr/>
        <w:tc>
          <w:tcPr>
            <w:tcW w:w="10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As of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As of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Secured Credit Facilities:</w:t>
            </w:r>
          </w:p>
        </w:tc>
        <w:tc>
          <w:tcPr>
            <w:tcW w:w="16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Credit Facilities:</w:t>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Term Loan A — principal</w:t>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Revolving Credit Facility — principal</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Credit Facilities:</w:t>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Term Loan B — principal</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unamortized debt issuance costs</w:t>
            </w:r>
            <w:r>
              <w:rPr>
                <w:rFonts w:ascii="Times New Roman;serif" w:hAnsi="Times New Roman;serif"/>
                <w:b w:val="false"/>
                <w:color w:val="000000"/>
                <w:sz w:val="13"/>
              </w:rPr>
              <w:t>(1)</w:t>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carrying value of long-term debt</w:t>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1,231,199 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1,284,667 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1,212,449 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1,265,917 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18"/>
        </w:rPr>
        <w:t>Comprised of $4.8 million and $3.8 million relating to the Term Loan A and the Term Loan B, respectively, as of June 30, 2026. Comprised of $5.3 million and $4.5 million relating to the Term Loan A and the Term Loan B, respectively, as of December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aggregate amount of principal repayments of our long-term debt (including any current portion) for each of the next five years and thereafter is approximately (in thousands):</w:t>
      </w:r>
    </w:p>
    <w:p>
      <w:pPr>
        <w:pStyle w:val="TextBody"/>
        <w:bidi w:val="0"/>
        <w:spacing w:before="0" w:after="0"/>
        <w:ind w:left="0" w:right="0" w:firstLine="720"/>
        <w:jc w:val="left"/>
        <w:rPr/>
      </w:pPr>
      <w:r>
        <w:rPr/>
      </w:r>
    </w:p>
    <w:tbl>
      <w:tblPr>
        <w:tblW w:w="3348"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97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1,239,813 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total interest expense related to our long-term debt (in thousands):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tbl>
      <w:tblPr>
        <w:tblW w:w="9044" w:type="dxa"/>
        <w:jc w:val="left"/>
        <w:tblInd w:w="0" w:type="dxa"/>
        <w:tblLayout w:type="fixed"/>
        <w:tblCellMar>
          <w:top w:w="28" w:type="dxa"/>
          <w:left w:w="28" w:type="dxa"/>
          <w:bottom w:w="28" w:type="dxa"/>
          <w:right w:w="28" w:type="dxa"/>
        </w:tblCellMar>
      </w:tblPr>
      <w:tblGrid>
        <w:gridCol w:w="1394"/>
        <w:gridCol w:w="1227"/>
        <w:gridCol w:w="123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 fee —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debt-related interest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hedge against the contractual interest expense on our long-term debt (see Note 9: Derivatives and Hedging Activities).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19: 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In August 2019, our Board approved a share purchase plan to purchase up to $100.0 million of our common stock. This plan has no expiration date. During the three months ended June 30, 2026 and 2025, we did not purchase any shares of our common stock under our share purchase plan. As of June 30, 2026, all of the $100.0 million available for purchase was remaining under the plan. We are currently limited on share purchases in accordance with the terms and conditions of our Credit Agreement (see Note 18: Long-Term Debt). </w:t>
      </w:r>
    </w:p>
    <w:p>
      <w:pPr>
        <w:pStyle w:val="TextBody"/>
        <w:bidi w:val="0"/>
        <w:spacing w:before="0" w:after="0"/>
        <w:jc w:val="left"/>
        <w:rPr/>
      </w:pPr>
      <w:r>
        <w:rPr/>
      </w:r>
    </w:p>
    <w:p>
      <w:pPr>
        <w:pStyle w:val="TextBody"/>
        <w:bidi w:val="0"/>
        <w:spacing w:lineRule="auto" w:line="288" w:before="0" w:after="0"/>
        <w:jc w:val="left"/>
        <w:rPr/>
      </w:pPr>
      <w:r>
        <w:rPr>
          <w:color w:val="FF0000"/>
        </w:rPr>
        <w:t>    </w:t>
      </w:r>
      <w:r>
        <w:rPr>
          <w:rFonts w:ascii="Times New Roman;serif" w:hAnsi="Times New Roman;serif"/>
          <w:b w:val="false"/>
          <w:color w:val="000000"/>
          <w:sz w:val="20"/>
        </w:rPr>
        <w:t>For the six months ended June 30, 2026, we withheld 296,524 shares of our common stock from employee vested restricted stock units in consideration for $38.9 million in payments made on the employees' behalf for their minimum statutory income tax withholding obligations. For the six months ended June 30, 2025, we withheld 61,066 shares of our common stock from employee vested restricted stock units in consideration for $8.7 million in payments made on the employees' behalf for their minimum statutory income tax withholding obligations. Treasury stock is used to issue shares for stock option exercises and restricted stock grants.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Accumulated Other Comprehensive (Loss) Income ("AOCI")</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The components of AOCI, net of tax, were as follows (in thousands):</w:t>
      </w:r>
    </w:p>
    <w:tbl>
      <w:tblPr>
        <w:tblW w:w="10205" w:type="dxa"/>
        <w:jc w:val="center"/>
        <w:tblInd w:w="0" w:type="dxa"/>
        <w:tblLayout w:type="fixed"/>
        <w:tblCellMar>
          <w:top w:w="28" w:type="dxa"/>
          <w:left w:w="28" w:type="dxa"/>
          <w:bottom w:w="28" w:type="dxa"/>
          <w:right w:w="28" w:type="dxa"/>
        </w:tblCellMar>
      </w:tblPr>
      <w:tblGrid>
        <w:gridCol w:w="1156"/>
        <w:gridCol w:w="660"/>
        <w:gridCol w:w="658"/>
        <w:gridCol w:w="109"/>
        <w:gridCol w:w="109"/>
        <w:gridCol w:w="109"/>
        <w:gridCol w:w="411"/>
        <w:gridCol w:w="1441"/>
        <w:gridCol w:w="215"/>
        <w:gridCol w:w="109"/>
        <w:gridCol w:w="109"/>
        <w:gridCol w:w="109"/>
        <w:gridCol w:w="418"/>
        <w:gridCol w:w="1261"/>
        <w:gridCol w:w="219"/>
        <w:gridCol w:w="109"/>
        <w:gridCol w:w="109"/>
        <w:gridCol w:w="109"/>
        <w:gridCol w:w="299"/>
        <w:gridCol w:w="875"/>
        <w:gridCol w:w="156"/>
        <w:gridCol w:w="109"/>
        <w:gridCol w:w="109"/>
        <w:gridCol w:w="109"/>
        <w:gridCol w:w="211"/>
        <w:gridCol w:w="757"/>
        <w:gridCol w:w="160"/>
      </w:tblGrid>
      <w:tr>
        <w:trPr/>
        <w:tc>
          <w:tcPr>
            <w:tcW w:w="11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(27,025)</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(34,630)</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w:t>
              <w:br/>
              <w:t>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(20,242)</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(47,267)</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(51,897)</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8,497 </w:t>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9,192 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(46,572)</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(43,336)</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tbl>
      <w:tblPr>
        <w:tblW w:w="10205" w:type="dxa"/>
        <w:jc w:val="center"/>
        <w:tblInd w:w="0" w:type="dxa"/>
        <w:tblLayout w:type="fixed"/>
        <w:tblCellMar>
          <w:top w:w="28" w:type="dxa"/>
          <w:left w:w="28" w:type="dxa"/>
          <w:bottom w:w="28" w:type="dxa"/>
          <w:right w:w="28" w:type="dxa"/>
        </w:tblCellMar>
      </w:tblPr>
      <w:tblGrid>
        <w:gridCol w:w="1172"/>
        <w:gridCol w:w="645"/>
        <w:gridCol w:w="643"/>
        <w:gridCol w:w="109"/>
        <w:gridCol w:w="109"/>
        <w:gridCol w:w="109"/>
        <w:gridCol w:w="342"/>
        <w:gridCol w:w="1422"/>
        <w:gridCol w:w="177"/>
        <w:gridCol w:w="109"/>
        <w:gridCol w:w="109"/>
        <w:gridCol w:w="109"/>
        <w:gridCol w:w="433"/>
        <w:gridCol w:w="1306"/>
        <w:gridCol w:w="227"/>
        <w:gridCol w:w="109"/>
        <w:gridCol w:w="109"/>
        <w:gridCol w:w="109"/>
        <w:gridCol w:w="293"/>
        <w:gridCol w:w="856"/>
        <w:gridCol w:w="152"/>
        <w:gridCol w:w="109"/>
        <w:gridCol w:w="109"/>
        <w:gridCol w:w="109"/>
        <w:gridCol w:w="211"/>
        <w:gridCol w:w="859"/>
        <w:gridCol w:w="159"/>
      </w:tblGrid>
      <w:tr>
        <w:trPr/>
        <w:tc>
          <w:tcPr>
            <w:tcW w:w="117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(146,942)</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(139,401)</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w:t>
              <w:br/>
              <w:t>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39,890 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(107,052)</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(105,395)</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81,569 </w:t>
            </w:r>
          </w:p>
        </w:tc>
        <w:tc>
          <w:tcPr>
            <w:tcW w:w="17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w:t>
            </w:r>
          </w:p>
        </w:tc>
        <w:tc>
          <w:tcPr>
            <w:tcW w:w="22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75,045 </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81,569 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(25,483)</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(8,978)</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(32,642)</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20: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Off-Balance Sheet Arrangements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we can provide no assurances, we have never incurred, nor do we expect to incur, any material liability for indemnification.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being acquired, during 2021, Smiths Medical received a Warning Letter from the U.S. Food and Drug Administration ("FDA") following an inspection of Smiths Medical’s Oakdale, Minnesota Facility (the "2021 Warning Letter"). The 2021 Warning Letter cited, among other things, failures to comply with FDA's medical device reporting requirements and failures to comply with applicable portions of the Quality System Regulation. A provision for the estimated costs related to the field service corrective actions identified as of the closing date of the acquisition was recorded on the opening acquired balance sheet of Smiths Medical in the amount of $55.1 million. The initial estimate recorded was based on a probability-weighted estimate of the costs required to settle the obligation related to known field corrective actions. The actual costs to be incurred are dependent upon the scope of the work necessary to achieve regulatory clearance, including potential additional field corrective actions, and could differ from the original estimate. For the three and six months ended June 30, 2026, we recorded a net reversal to the provision of $1.4 million and $0.4 million, respectively, to adjust the estimated cost to complete the field corrective actions to the amounts expected to be incurred based on historical experience. As of June 30, 2026, approximately $16.6 million of the $27.5 million accrued field service corrective action represents outstanding fulfillment costs to complete work under the 2021 Warning Letter. On February 5, 2026, the FDA notified us that the 2021 Warning Letter has been closed.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2025, we received a warning letter from the FDA following an inspection of Smiths Medical's Oakdale, Minnesota Facility that occurred from July 23, 2024 through August 9, 2024 (the "2025 Warning letter"). The 2025 Warning Letter noted changes we made to the MedFusion™ Model 4000 Syringe Infusion Pump and CADD™ Solis VIP Ambulatory Infusion Pump that could affect the safety or effectiveness of these devices and therefore require new 510(k) clearance. In July 2025, we submitted 510(k) applications to the FDA seeking clearance for the next generation of MedFusion and updated CADD infusion pumps. As a result of discussions with the FDA and their requests for certain additional testing, we agreed to withdraw our 510(k) applications for MedFusion and CADD infusion pumps. We are actively planning to resubmit the applications as soon as possible after completing certain additional testing. Until the matters cited in the 2025 Warning Letter are resolved to the FDA’s satisfaction, additional legal or regulatory action may be taken without further notice. As a result, the outcome and the financial impact of the 2025 Warning Letter cannot be predicted at this time. Accordingly, no loss contingency has been recorded for the 2025 Warning Letter, and the likelihood of loss is not considered probable and reasonably estimable as of June 30,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2015, legislation was enacted in Italy which requires medical device companies to make payments to the Italian government if Italy's medical device expenditures for certain years exceeded annual regional expenditure ceilings. Since its enactment, the legislation has been subject to appeals in the Italian court system. In the third quarter of 2024, Italy's Constitutional Court issued two judgments, one of which confirmed the legitimacy of the legislation on the IMDP. In September 2025, the Italian government enacted a law that allowed medical device companies to settle certain historical periods (2015-2018) for 25% of the original assessed value. During the third quarter of 2025, we settled the liability related to the 2015-2018 historical periods and paid $2.5 million. Additionally, we recorded a release of $3.8 million in previously established reserves. The release was included in total revenues in our condensed consolidated statements of operations. See Note 16: Accrued Liabilities for details on amounts accrued for potential payments related to the IMDP.</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Commitments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We have non-cancelable operating lease agreements where we are contractually obligated to pay certain lease payment amounts (see Note 7: Leases).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i/>
          <w:color w:val="000000"/>
          <w:sz w:val="20"/>
        </w:rPr>
        <w:t>You should read the following discussion and analysis of our financial condition and results of operations together with the condensed consolidated financial statements and accompanying notes in this Quarterly Report on Form 10-Q, as well as the audited consolidated financial statements and related notes thereto included in our 2025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the caption entitled “Forward-Looking Statements” in this Quarterly Report and Part I, Item 1A. “Risk Factors” in our 2025 Annual Report on Form 10-K as may be further updated from time to time in our other filings with the SEC.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i/>
          <w:color w:val="000000"/>
          <w:sz w:val="20"/>
        </w:rPr>
        <w:t>When used in this Quarterly Report on Form 10-Q, the terms “we,” “us,” and “our” refer to ICU Medical, Inc. ("ICU" or the "Company") and its consolidated subsidiaries included in our condensed consolidated financial statements unless context requires otherwise.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Business Overview and Highlights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develop, manufacture, and sell innovative medical products used in infusion systems, infusion consumables and high-value critical care products used in hospital, alternate site and home care settings. Our team is focused on providing quality, innovation and value to our clinical customers worldwide. Our product portfolio includes ambulatory, syringe, and large volume IV pumps and safety software; dedicated and non-dedicated IV sets, needlefree IV connectors, and peripheral IV catheters; closed system transfer devices and pharmacy compounding systems; as well as a range of respiratory, anesthesia, patient monitoring, and temperature management products. We also offer IV Solutions products through a commercial relationship with the joint venture.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product offerings are described below.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Consumables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Consumables business unit includes Infusion Therapy, Oncology, Vascular Access and Tracheostomy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Infusion Therapy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Infusion Therapy products include non-dedicated infusion sets, extension sets, needle-free connectors, and disinfection caps. Infusion sets used in hospitals and ambulatory clinics consist of flexible sterile tubing running from an IV bag or bottle containing a drug product or solution to a catheter inserted in a patient’s vein that may or may not be used with an infusion pump. Disinfection caps are used to actively disinfect access points into the infusion sets and catheters. Our primary Infusion Therapy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Clave™ needlefree products, including the MicroClave, MicroClave Clear, and NanoClave™ brand of connectors, accessories, extension and administration sets used for the administration of IV fluids and medications;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Neutron™ catheter patency device, used to help maintain patency of central venous catheters;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Tego™ needlefree connector utilized to access catheters for hemodialysis and apheresis applications;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ClearGuard™, SwabCap™ and SwabTip™ disinfection caps.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Oncology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Closed System Transfer Devices ("CSTD") and hazardous drug compounding systems are used to prepare and deliver hazardous IV medications such as those used in chemotherapy, which, if released, can have harmful effects on the healthcare worker and environment. Our primary Oncology products are: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ChemoLock</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CSTD ("Chemolock"), which utilizes a proprietary needlefree connection method, is used for the preparation and administration of hazardous drugs. ChemoLock is used to limit the escape of hazardous drug or vapor concentrations, block the transfer of environmental contaminants into the system, and eliminates the risk of needlestick injury;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ChemoClave</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("Chemoclave"), an ISO Connection standard and universally compatible CSTD used for the preparation and administration of hazardous drugs. 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Deltec® GRIPPER® non-coring needles for portal access.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Vascular Access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Vascular Access products are used by clinicians to access the patients' bloodstream to deliver fluids and medication or to obtain blood samples. Our primary Vascular Access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Jelco® safety and conventional peripheral IV catheters and sharps safety devices for hypodermic injection, designed to help prevent accidental needlestick injury;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Safe-T Wing® venipuncture and blood collection devices;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Port-A-Cath® implantable ports;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Portex® arterial blood sampling syringes;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PowerWand® midline catheters;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Cleo® subcutaneous infusion catheters and 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Tracheostomy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tracheostomy products are used in the placement of a secure airway using both surgical and percutaneous insertion techniques. Our primary Tracheostomy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Portex BLUselect® PVC tracheostomy tubes, which feature an inner cannula as well as a Suctionaid option for above the cuff suctioning and vocalization capability;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Portex Bivona® silicone tracheostomy tubes, which offer the added benefits of comfort and mobility and come in a variety of configurations suited to meet the clinical needs of neonatal through adult patients;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Portex BLUperc® percutaneous insertion kits, which allow for safe placement of the tracheostomy tube at the bedside.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Infusion Systems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offer a comprehensive portfolio of infusion pumps, dedicated IV sets, software and professional services to meet the wide range of infusion needs. Our primary Infusion System products 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Large Volume Pump ("LVP") Hardware: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Plum Duo™ and Plum Solo™ precision infusion pumps (together, the "Plum precision pumps") are single-channel and dual-channel infusion pump systems that received FDA 510(k) clearance in April 2025. The Plum precision pumps are designed to deliver compatible intravenous medications through a single or dual channel, with the dual channel configuration capable of delivering up to four compatible medications through a single pump. The Plum precision pumps are designed to provide delivery accuracy of ±3%, independent of medication bag, pump placement, or patient positioning. The systems incorporate features to support clinic workflows, including reduced alarm and setup requirements and on-screen guidance. Combined with LifeShield™ IV safety software, Plum precision pumps are designed to support IV-EHR interoperability and provide a platform intended to support safety and efficiency across all intravenous medication delivery processes.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Plum 360™ infusion pumps feature the unique Plum cassette system that helps to enhance patient safety and workflow efficiency. PlumSet™ dedicated IV sets include an air trap to help minimize interruptions and a direct connection to the secondary line that eliminates the risk of common setup errors and enables concurrent delivery of two compatible medications through a single line. Plum 360 has been named Best in KLAS for eight years in a row (2018, 2019, 2020, 2023 – Best in KLAS Smart Pump Traditional; 2021, 2022, 2023, 2024, 2025 Best in KLAS Smart Pump EMR Integrated) and was the first medical device to be awarded UL Cybersecurity Assurance Program Certification.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Ambulatory Infusion Hardware: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CADD™ ambulatory infusion pumps and disposables, including administration sets and medication cassette reservoirs, serve as a single pain management platform across all types of IV pain management therapies and all clinical care areas from the hospital to outpatient treatment.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Syringe Infusion Hardware: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Medfusion™ syringe infusion pumps are designed for the administration of fluids and medication to address the needs of the most vulnerable patients requiring precisely controlled infusion rates. Focused on delivery accuracy, the Medfusion™ 4000 can deliver from a comprehensive portfolio of syringes to meet syringe pump guidance to deliver medication from the smallest syringe size possible.</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i/>
          <w:color w:val="000000"/>
          <w:sz w:val="20"/>
        </w:rPr>
        <w:t>IV Medication Safety Software: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LifeShield™ infusion safety software for Plum precision pumps (Plum Solo, Plum Duo) is an enterprise-wide platform designed with the input of pharmacists, nurses and administrators. The software is designed to support intravenous medication management across health systems. The system utilizes hybrid architecture that includes cloud-based functionality for remote access and on-premise system management providing security and control.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ICU Medical MedNet™ software is an enterprise-class medication management platform that can help reduce medication errors, improve quality of care, streamline workflows and maximize revenue capture. ICU Medical MedNet connects our industry-leading Plum 360 smart pumps to a hospital’s electronic health record ("EHR"), asset tracking systems, and alarm notification platforms to further enhance infusion safety and efficiency.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PharmGuard™ medication safety software for Medfusion 4000 syringe and CADD-Solis™ pumps allows for customized drug libraries to support the standardization of protocols for medication administration throughout the facility.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Professional Services: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In addition to the products above, our teams of clinical and technical experts work with customers to develop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safe and efficient infusion systems, providing customized and personalized configuration, implementation,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and data analytics services to optimize our infusion hardware and software.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Vital Care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Vital Care business unit includes IV Solutions, Hemodynamic Monitoring, General Anesthesia and Respiratory, Temperature Management Solutions and Regional Anesthesia/Pain Management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IV Solutions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 2025, at the closing of our transaction with OPF (as defined below), we transferred certain interests, including our IV Solutions product line, to OPF. See "Disposition of our IV Solutions Business and Prepayment of a portion of our Long-term Obligations" further below for more information on this transaction. We sell and distribute IV Solutions products to customers on behalf of the joint venture pursuant to a commercial agreement.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IV Solutions products include a broad portfolio of injection, irrigation, nutrition and specialty IV solutions including:</w:t>
      </w:r>
    </w:p>
    <w:p>
      <w:pPr>
        <w:pStyle w:val="TextBody"/>
        <w:bidi w:val="0"/>
        <w:spacing w:before="0" w:after="0"/>
        <w:jc w:val="left"/>
        <w:rPr/>
      </w:pPr>
      <w:r>
        <w:rPr/>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IV Therapy and Diluents, including Sodium Chloride, Dextrose, Balanced Electrolyte Solutions, Lactated Ringer's, Ringer's, Mannitol, Sodium Chloride/Dextrose and Sterile Water.</w:t>
      </w:r>
    </w:p>
    <w:p>
      <w:pPr>
        <w:pStyle w:val="TextBody"/>
        <w:bidi w:val="0"/>
        <w:spacing w:before="0" w:after="0"/>
        <w:jc w:val="left"/>
        <w:rPr/>
      </w:pPr>
      <w:r>
        <w:rPr/>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Irrigation, including Sodium Chloride Irrigation, Sterile Water Irrigation, Physiologic Solutions, Ringer's Irrigation, Acetic Acid Irrigation, Glycine Irrigation, Sorbitol-Mannitol Irrigation, Flexible Containers and Pour Bottle Options.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Hemodynamic Monitoring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Hemodynamic Monitoring products are designed to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Hemodynamic Monitoring products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Cogent™ 2-in-1 hemodynamic monitoring system;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CardioFlo™ hemodynamic monitoring system;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TDQ™ and OptiQ™ cardiac output monitoring catheters;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TriOx</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venous oximetry catheters;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Transpac™ blood pressure transducers;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SafeSet™ closed blood sampling and conservation system;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MEDEX® LogiCal® Pressure Monitoring System and components.</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w:t>
      </w:r>
      <w:r>
        <w:rPr>
          <w:rFonts w:ascii="Times New Roman;serif" w:hAnsi="Times New Roman;serif"/>
          <w:b w:val="false"/>
          <w:i/>
          <w:color w:val="000000"/>
          <w:sz w:val="20"/>
        </w:rPr>
        <w:t>General Anesthesia &amp; Respiratory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offer a broad range of anesthesia systems and devices and breathing circuits, ventilation, respiratory and specialty airway products that maintain patients’ airways before, during and after surgery. Our primary Anesthesia &amp; Respiratory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Portex® acapella® bronchial hygiene products used to mobilize pulmonary secretions to facilitate the opening of airways in patients with chronic respiratory diseases such as chronic obstructive pulmonary disease, or COPD, asthma and cystic fibrosis.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i/>
          <w:color w:val="000000"/>
          <w:sz w:val="20"/>
        </w:rPr>
        <w:t>Temperature Management Solutions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Temperature Management solutions systems are used in perioperative and critical care settings to help monitor and regulate patient temperature. Our primary Temperature Management products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1® rapid infusion, fluid warming, routine blood and fluid warming, irrigation fluid warming, convective patient warming and temperature probes.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i/>
          <w:color w:val="000000"/>
          <w:sz w:val="20"/>
        </w:rPr>
        <w:t>Regional Anesthesia/Pain Management Trays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offer a comprehensive range of Portex® regional anesthesia/pain management trays and components. Our primary products include: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Epidural Trays;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Spinal Trays;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Combined (CSE) Trays;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Peripheral Nerve Block Trays;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Specialty Trays (Lumbar Puncture, Amniocentesis, Myelogram).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U.S. 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Global Economic Challenges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recent years, we have experienced, and may continue to experience, significant impacts to our business as a result of global economic challenges, resulting from, among other events, health pandemics and geopolitical conflicts which have resulted in fluctuating inflation rates, especially with respect to increased cost and shortages of raw materials, supply chain disruptions, higher interest rates, volatility in foreign currency exchange rates, and freight costs driven by higher fuel prices.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2026 Events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Supreme Court ruled that the U.S. Administration lacked the authority to impose tariffs under the International Emergency Economic Powers Act ("IEEPA"); the U.S. Court of International Trade subsequently ruled that companies are entitled to seek refunds for tariffs previously paid under that Act. We account for potential tariff refunds under the gain contingency model, recognizing recoveries in the period in which the contingency is resolved and realization is assured; during the second quarter of 2026, $18.9 million of tariff refunds were recognized in cost of goods sold and $0.7 million of related interest income was recognized in interest expense, net. The ultimate outcome, timing and amount of any additional potential refunds remain uncertain. In response to the Supreme Court ruling, the Administration formally repealed the tariffs imposed under IEEPA while immediately implementing new broader tariff measures under Section 122 of the Trade Act of 1974. The Section 122 tariffs expired on July 24, 2026 and the Administration subsequently announced new tariffs under Section 301 of the Trade Act of 1974, including tariffs ranging from 10% to 12.5% on imports from certain countries. In addition, the U.S. Department of Commerce continues to evaluate imports of medical consumables and equipment under a Section 232 national security investigation, which could result in additional tariffs and/or changes to currently available exemptions such as the United States-Mexico-Canada Agreement if the imports are determined to pose a national security risk. The applicability, duration, and resulting impact of these tariff measures, including ongoing legal challenges and potential changes to tariff levels or exemptions, remain uncertain. Any new tariffs, increases to existing tariff levels, or changes to currently available exemptions could increase the cost of products we import into the U.S. and adversely affect our business, financial condition and results of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current geopolitical conditions we expect foreign currency exchange rates, freight costs, oil prices, interest rates, and general inflation to remain subject to volatility in the market. For example, the conflict involving Iran has and could continue to significantly disrupt the global oil and fuel supply-demand balance, increase commodity price volatility and heighten uncertainty in regional operating conditions. Higher fuel prices along with disruptions to transportation routes are expected to result in higher logistics costs and affect our operating results, liquidity, and cash flows, particularly if conditions persist or escalate. In addition, because resin is a primary petroleum-based raw material for our products, sustained increases in crude oil prices directly impact our manufacturing costs. While the situation remains fluid, adverse impacts could continue in future periods. We will continue to monitor developments and assess potential impacts on our business and financial position.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While we continually monitor the ongoing and evolving impact of the above events on our operations the overall impact remains uncertain and may not be fully reflected in our results of operations until future periods. The overall impact to our results of operations will depend on a number of factors, many of which are out of our control, none of which can be fully predicted at this time. See "Part I. Item 1A. Risk Factors" in our 2025 Annual Report on Form 10-K as updated in this Quarterly Report on Form 10-Q for a discussion of risks and uncertainties.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Disposition of our IV Solutions Business and Prepayment of a Portion of our Long-term Obligations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24, 2025, pursuant to a purchase agreement (the "Agreement") with Otsuka Pharmaceutical Factory America, Inc. a Delaware corporation ("OPF") (described in Note 4: Disposal of Business to our accompanying condensed consolidated financial statements), we completed the formation of ICU Medical Pearl LLC (n/k/a Otsuka ICU Medical LLC (the "joint venture")) and transferred the assets, liabilities and operations that comprise our IV Solutions product line to the joint venture.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 the closing of the transaction on May 1, 2025, under the Agreement, we sold a 60% interest in the joint venture to OPF. The total sales price, inclusive of our final purchase price adjustments, was $211.2 million, of which we used $200.0 million of the proceeds from the sale to pay down a portion of our outstanding Term Loan A (as defined below) long-term debt during the second quarter of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present income statement data in Part I, Item 1. "Financial Statements." The following table shows, for the three and six months ended June 30, 2026 and 2025, the percentages of each income statement caption in relation to total revenue: </w:t>
      </w:r>
    </w:p>
    <w:tbl>
      <w:tblPr>
        <w:tblW w:w="10205" w:type="dxa"/>
        <w:jc w:val="left"/>
        <w:tblInd w:w="0" w:type="dxa"/>
        <w:tblLayout w:type="fixed"/>
        <w:tblCellMar>
          <w:top w:w="28" w:type="dxa"/>
          <w:left w:w="28" w:type="dxa"/>
          <w:bottom w:w="28" w:type="dxa"/>
          <w:right w:w="28" w:type="dxa"/>
        </w:tblCellMar>
      </w:tblPr>
      <w:tblGrid>
        <w:gridCol w:w="2085"/>
        <w:gridCol w:w="1823"/>
        <w:gridCol w:w="1829"/>
        <w:gridCol w:w="266"/>
        <w:gridCol w:w="200"/>
        <w:gridCol w:w="368"/>
        <w:gridCol w:w="148"/>
        <w:gridCol w:w="148"/>
        <w:gridCol w:w="148"/>
        <w:gridCol w:w="266"/>
        <w:gridCol w:w="200"/>
        <w:gridCol w:w="368"/>
        <w:gridCol w:w="109"/>
        <w:gridCol w:w="109"/>
        <w:gridCol w:w="109"/>
        <w:gridCol w:w="244"/>
        <w:gridCol w:w="222"/>
        <w:gridCol w:w="324"/>
        <w:gridCol w:w="130"/>
        <w:gridCol w:w="130"/>
        <w:gridCol w:w="130"/>
        <w:gridCol w:w="244"/>
        <w:gridCol w:w="222"/>
        <w:gridCol w:w="383"/>
      </w:tblGrid>
      <w:tr>
        <w:trPr/>
        <w:tc>
          <w:tcPr>
            <w:tcW w:w="2085"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5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strategic transaction and integration expenses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equity in earnings of unconsolidated affiliates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consolidated companies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jc w:val="left"/>
        <w:rPr/>
      </w:pPr>
      <w:r>
        <w:rPr/>
      </w:r>
    </w:p>
    <w:p>
      <w:pPr>
        <w:pStyle w:val="TextBody"/>
        <w:bidi w:val="0"/>
        <w:spacing w:lineRule="auto" w:line="288" w:before="0" w:after="0"/>
        <w:jc w:val="left"/>
        <w:rPr/>
      </w:pPr>
      <w:r>
        <w:rPr>
          <w:rFonts w:ascii="Times New Roman;serif" w:hAnsi="Times New Roman;serif"/>
          <w:b/>
          <w:i/>
          <w:color w:val="000000"/>
          <w:sz w:val="20"/>
        </w:rPr>
        <w:t>Seasonality/Quarterly Results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are no significant seasonal aspects to our business. We can experience fluctuations in net sales as a result of variations in the ordering patterns of our largest customers, which may be driven more by production scheduling and customer inventory levels, and less by seasonality. Our expenses often do not fluctuate in the same manner as net sales, which may cause fluctuations in operating income that are disproportionate to fluctuations in our revenue. In addition, the results of our joint venture may be affected by seasonal factors, including planned facility shutdowns, which may result in lower earnings from the joint venture during the second half of the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comparing changes in revenue on a U.S. GAAP basis, we also compare the changes in revenue from one period to another using constant currency. The presentation of revenues on a constant currency basis is a non-GAAP financial measure that excludes the impact of fluctuations in foreign currency exchange rates that occurred between the comparative periods. We provide constant currency information to enhance the visibility of underlying business trends, excluding the effects of changes in foreign currency translation rates. We believe this information is useful to investors to facilitate comparisons and better identify trends in our business. Our constant currency revenues reflect current period local currency revenues at prior period's average exchange rates. We consistently apply this approach to revenues for all currencies where the functional currency is not the U.S. dollar. These results should be considered in addition to, not as a substitute for, results reported in accordance with GAAP. Revenues on a constant currency basis, as we present them, may not be comparable to similarly titled measures used by other companies and are not measures of performance presented in accordance with GAAP.</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Consumables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summarizes our total Consumables revenue (in millions, except percentages):</w:t>
      </w:r>
    </w:p>
    <w:tbl>
      <w:tblPr>
        <w:tblW w:w="11402" w:type="dxa"/>
        <w:jc w:val="center"/>
        <w:tblInd w:w="0" w:type="dxa"/>
        <w:tblLayout w:type="fixed"/>
        <w:tblCellMar>
          <w:top w:w="28" w:type="dxa"/>
          <w:left w:w="28" w:type="dxa"/>
          <w:bottom w:w="28" w:type="dxa"/>
          <w:right w:w="28" w:type="dxa"/>
        </w:tblCellMar>
      </w:tblPr>
      <w:tblGrid>
        <w:gridCol w:w="440"/>
        <w:gridCol w:w="387"/>
        <w:gridCol w:w="389"/>
        <w:gridCol w:w="211"/>
        <w:gridCol w:w="616"/>
        <w:gridCol w:w="271"/>
        <w:gridCol w:w="109"/>
        <w:gridCol w:w="109"/>
        <w:gridCol w:w="109"/>
        <w:gridCol w:w="211"/>
        <w:gridCol w:w="616"/>
        <w:gridCol w:w="109"/>
        <w:gridCol w:w="109"/>
        <w:gridCol w:w="109"/>
        <w:gridCol w:w="109"/>
        <w:gridCol w:w="228"/>
        <w:gridCol w:w="554"/>
        <w:gridCol w:w="119"/>
        <w:gridCol w:w="109"/>
        <w:gridCol w:w="109"/>
        <w:gridCol w:w="109"/>
        <w:gridCol w:w="220"/>
        <w:gridCol w:w="220"/>
        <w:gridCol w:w="551"/>
        <w:gridCol w:w="109"/>
        <w:gridCol w:w="109"/>
        <w:gridCol w:w="109"/>
        <w:gridCol w:w="211"/>
        <w:gridCol w:w="616"/>
        <w:gridCol w:w="271"/>
        <w:gridCol w:w="109"/>
        <w:gridCol w:w="109"/>
        <w:gridCol w:w="109"/>
        <w:gridCol w:w="211"/>
        <w:gridCol w:w="616"/>
        <w:gridCol w:w="109"/>
        <w:gridCol w:w="109"/>
        <w:gridCol w:w="109"/>
        <w:gridCol w:w="109"/>
        <w:gridCol w:w="228"/>
        <w:gridCol w:w="554"/>
        <w:gridCol w:w="119"/>
        <w:gridCol w:w="109"/>
        <w:gridCol w:w="109"/>
        <w:gridCol w:w="109"/>
        <w:gridCol w:w="211"/>
        <w:gridCol w:w="211"/>
        <w:gridCol w:w="614"/>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Consumables revenue (GAAP)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exchange rate changes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Consumables revenue on a constant currency basis (non-GAAP)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Change in constant currency</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Change in constant currency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Consumables revenue increased for the three and six months ended June 30, 2026, as compared to the same periods in the prior year. Price increases contributed approximately 1% to growth, for both the three and six months ended June 30, 2026, with the remaining revenue increase driven by higher sales volumes for our Infusion Consumables and Oncology product lines of approximately $9 million and $17 million for the three and six months ended June 30, 2026, respectively.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Infusion Systems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summarizes our total Infusion Systems revenue (in millions, except percentages):</w:t>
      </w:r>
    </w:p>
    <w:p>
      <w:pPr>
        <w:pStyle w:val="TextBody"/>
        <w:bidi w:val="0"/>
        <w:spacing w:before="0" w:after="0"/>
        <w:jc w:val="left"/>
        <w:rPr/>
      </w:pPr>
      <w:r>
        <w:rPr/>
      </w:r>
    </w:p>
    <w:tbl>
      <w:tblPr>
        <w:tblW w:w="11412" w:type="dxa"/>
        <w:jc w:val="center"/>
        <w:tblInd w:w="0" w:type="dxa"/>
        <w:tblLayout w:type="fixed"/>
        <w:tblCellMar>
          <w:top w:w="28" w:type="dxa"/>
          <w:left w:w="28" w:type="dxa"/>
          <w:bottom w:w="28" w:type="dxa"/>
          <w:right w:w="28" w:type="dxa"/>
        </w:tblCellMar>
      </w:tblPr>
      <w:tblGrid>
        <w:gridCol w:w="558"/>
        <w:gridCol w:w="253"/>
        <w:gridCol w:w="255"/>
        <w:gridCol w:w="211"/>
        <w:gridCol w:w="616"/>
        <w:gridCol w:w="271"/>
        <w:gridCol w:w="109"/>
        <w:gridCol w:w="109"/>
        <w:gridCol w:w="109"/>
        <w:gridCol w:w="211"/>
        <w:gridCol w:w="616"/>
        <w:gridCol w:w="109"/>
        <w:gridCol w:w="109"/>
        <w:gridCol w:w="109"/>
        <w:gridCol w:w="109"/>
        <w:gridCol w:w="228"/>
        <w:gridCol w:w="554"/>
        <w:gridCol w:w="119"/>
        <w:gridCol w:w="109"/>
        <w:gridCol w:w="109"/>
        <w:gridCol w:w="109"/>
        <w:gridCol w:w="255"/>
        <w:gridCol w:w="256"/>
        <w:gridCol w:w="551"/>
        <w:gridCol w:w="109"/>
        <w:gridCol w:w="109"/>
        <w:gridCol w:w="109"/>
        <w:gridCol w:w="211"/>
        <w:gridCol w:w="616"/>
        <w:gridCol w:w="271"/>
        <w:gridCol w:w="109"/>
        <w:gridCol w:w="109"/>
        <w:gridCol w:w="109"/>
        <w:gridCol w:w="211"/>
        <w:gridCol w:w="616"/>
        <w:gridCol w:w="109"/>
        <w:gridCol w:w="109"/>
        <w:gridCol w:w="109"/>
        <w:gridCol w:w="109"/>
        <w:gridCol w:w="228"/>
        <w:gridCol w:w="554"/>
        <w:gridCol w:w="119"/>
        <w:gridCol w:w="109"/>
        <w:gridCol w:w="109"/>
        <w:gridCol w:w="109"/>
        <w:gridCol w:w="255"/>
        <w:gridCol w:w="256"/>
        <w:gridCol w:w="614"/>
      </w:tblGrid>
      <w:tr>
        <w:trPr/>
        <w:tc>
          <w:tcPr>
            <w:tcW w:w="5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Infusion Systems (GAAP)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exchange rate changes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Infusion Systems on a constant currency basis (non-GAAP)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Change in constant currency</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Change in constant currency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Infusion Systems revenue increased for the three and six months ended June 30, 2026, as compared to the same periods in the prior year, primarily driven by approximately $26 million and $33 million, respectively, in increased sales volumes of LVP hardware.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Vital Care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summarizes our total Vital Care revenue (in millions, except percentages):</w:t>
      </w:r>
    </w:p>
    <w:tbl>
      <w:tblPr>
        <w:tblW w:w="11417" w:type="dxa"/>
        <w:jc w:val="center"/>
        <w:tblInd w:w="0" w:type="dxa"/>
        <w:tblLayout w:type="fixed"/>
        <w:tblCellMar>
          <w:top w:w="28" w:type="dxa"/>
          <w:left w:w="28" w:type="dxa"/>
          <w:bottom w:w="28" w:type="dxa"/>
          <w:right w:w="28" w:type="dxa"/>
        </w:tblCellMar>
      </w:tblPr>
      <w:tblGrid>
        <w:gridCol w:w="625"/>
        <w:gridCol w:w="220"/>
        <w:gridCol w:w="221"/>
        <w:gridCol w:w="211"/>
        <w:gridCol w:w="526"/>
        <w:gridCol w:w="271"/>
        <w:gridCol w:w="109"/>
        <w:gridCol w:w="109"/>
        <w:gridCol w:w="109"/>
        <w:gridCol w:w="211"/>
        <w:gridCol w:w="616"/>
        <w:gridCol w:w="109"/>
        <w:gridCol w:w="109"/>
        <w:gridCol w:w="109"/>
        <w:gridCol w:w="109"/>
        <w:gridCol w:w="211"/>
        <w:gridCol w:w="581"/>
        <w:gridCol w:w="109"/>
        <w:gridCol w:w="109"/>
        <w:gridCol w:w="109"/>
        <w:gridCol w:w="109"/>
        <w:gridCol w:w="263"/>
        <w:gridCol w:w="263"/>
        <w:gridCol w:w="551"/>
        <w:gridCol w:w="109"/>
        <w:gridCol w:w="109"/>
        <w:gridCol w:w="109"/>
        <w:gridCol w:w="211"/>
        <w:gridCol w:w="631"/>
        <w:gridCol w:w="271"/>
        <w:gridCol w:w="109"/>
        <w:gridCol w:w="109"/>
        <w:gridCol w:w="109"/>
        <w:gridCol w:w="211"/>
        <w:gridCol w:w="616"/>
        <w:gridCol w:w="109"/>
        <w:gridCol w:w="109"/>
        <w:gridCol w:w="109"/>
        <w:gridCol w:w="109"/>
        <w:gridCol w:w="211"/>
        <w:gridCol w:w="631"/>
        <w:gridCol w:w="109"/>
        <w:gridCol w:w="109"/>
        <w:gridCol w:w="109"/>
        <w:gridCol w:w="109"/>
        <w:gridCol w:w="263"/>
        <w:gridCol w:w="263"/>
        <w:gridCol w:w="614"/>
      </w:tblGrid>
      <w:tr>
        <w:trPr/>
        <w:tc>
          <w:tcPr>
            <w:tcW w:w="6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Vital Care (GAAP)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exchange rate changes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Vital Care on a constant currency basis (non-GAAP)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Change in constant currency</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Change in constant currency</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Vital Care revenue decreased for the three and six months ended June 30, 2026, as compared to the same periods in the prior year, primarily due to the sale of our IV Solutions business on May 1, 2025 (see Note 4: Disposal of Business to our accompanying condensed consolidated financial statements), which reduced revenue by approximately $32 million and $127 million, respectively. The remaining decrease of approximately $3 million and $8 million, respectively, was primarily due to lower sales volumes of Pain Management and Temperature Management products.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Gross Margins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For the three and six months ended June 30, 2026, gross margins were 42.6% and 40.8%, respectively, as compared to 37.9% and 36.3% for the same periods in the prior year.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gross margin for the three months ended June 30, 2026, as compared to the same period in the prior year, was primarily driven by (i) 18.9 million or 3.4% impact from tariff refunds that were received during the second quarter of 2026 and (ii) approximately a 1.7% impact from the May 1, 2025 sale of a 60% interest in our lower margin IV Solutions business. The remaining increase was related to integration synergies and pricing changes. These favorable impacts were partially offset by a 1% unfavorable impact from tariff expense and the impact of foreign currency exchange rate changes.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gross margin for the six months ended June 30, 2026, as compared to the same period in the prior year, was primarily driven by (i) 18.9 million or 1.7% impact from tariff refunds that were received during the second quarter of 2026 and (ii) approximately a 3.4% impact from the May 1, 2025 sale of a 60% interest in our lower margin IV Solutions business. The remaining increase was related to integration synergies and pricing changes. These favorable impacts were partially offset by a 1.3% unfavorable impact from tariff expense and the impact of foreign currency exchange rate changes.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impact of any additional potential tariff refunds on future gross margins will depend on the ultimate outcome, timing and amount of such refunds, which remain uncertain.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Selling, General and Administrative (“SG&amp;A”) Expenses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The following table summarizes our total SG&amp;A Expenses (in millions, except percentages):</w:t>
      </w:r>
    </w:p>
    <w:tbl>
      <w:tblPr>
        <w:tblW w:w="10373" w:type="dxa"/>
        <w:jc w:val="center"/>
        <w:tblInd w:w="0" w:type="dxa"/>
        <w:tblLayout w:type="fixed"/>
        <w:tblCellMar>
          <w:top w:w="28" w:type="dxa"/>
          <w:left w:w="28" w:type="dxa"/>
          <w:bottom w:w="28" w:type="dxa"/>
          <w:right w:w="28" w:type="dxa"/>
        </w:tblCellMar>
      </w:tblPr>
      <w:tblGrid>
        <w:gridCol w:w="185"/>
        <w:gridCol w:w="162"/>
        <w:gridCol w:w="164"/>
        <w:gridCol w:w="211"/>
        <w:gridCol w:w="616"/>
        <w:gridCol w:w="109"/>
        <w:gridCol w:w="109"/>
        <w:gridCol w:w="109"/>
        <w:gridCol w:w="109"/>
        <w:gridCol w:w="211"/>
        <w:gridCol w:w="616"/>
        <w:gridCol w:w="109"/>
        <w:gridCol w:w="109"/>
        <w:gridCol w:w="109"/>
        <w:gridCol w:w="109"/>
        <w:gridCol w:w="256"/>
        <w:gridCol w:w="511"/>
        <w:gridCol w:w="134"/>
        <w:gridCol w:w="109"/>
        <w:gridCol w:w="109"/>
        <w:gridCol w:w="109"/>
        <w:gridCol w:w="220"/>
        <w:gridCol w:w="220"/>
        <w:gridCol w:w="551"/>
        <w:gridCol w:w="109"/>
        <w:gridCol w:w="109"/>
        <w:gridCol w:w="109"/>
        <w:gridCol w:w="211"/>
        <w:gridCol w:w="616"/>
        <w:gridCol w:w="109"/>
        <w:gridCol w:w="109"/>
        <w:gridCol w:w="109"/>
        <w:gridCol w:w="109"/>
        <w:gridCol w:w="211"/>
        <w:gridCol w:w="616"/>
        <w:gridCol w:w="109"/>
        <w:gridCol w:w="109"/>
        <w:gridCol w:w="109"/>
        <w:gridCol w:w="109"/>
        <w:gridCol w:w="211"/>
        <w:gridCol w:w="581"/>
        <w:gridCol w:w="109"/>
        <w:gridCol w:w="109"/>
        <w:gridCol w:w="109"/>
        <w:gridCol w:w="109"/>
        <w:gridCol w:w="211"/>
        <w:gridCol w:w="211"/>
        <w:gridCol w:w="61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SG&amp;A expenses decreased for the three months ended June 30, 2026, as compared to the same period in the prior year, primarily due to a decrease of $2.7 million in stock based compensation and $1.1 million in professional services, which were combined with other smaller category increases and decreases. Stock based compensation decreased driven by the timing of our equity award vestings, which resulted in one less outstanding annual award during the second quarter of 2026, partially offset by the adoption of a retirement policy on the 2026 equity awards. Professional services decreased primarily due to lower costs related to the use of third-party service providers supporting various projects and initiatives.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SG&amp;A expenses decreased for the six months ended June 30, 2026, as compared to the same period in the prior year, primarily due to a decrease of $2.4 million in dealer fees, $1.9 million in IT expenses, $1.8 million in facilities expenses, $1.5 million in loss contract amortization, combined with other smaller category decreases, were primarily offset by an increase of $1.6 million in compensation costs. Dealer fees decreased primarily due to the timing of end customer sales. IT expenses decreased primarily due to lower computer maintenance costs and lower outsourced data processing costs as a result of integration synergies. Facilities expenses decreased primarily due to a decrease in rent expense as a result of the expiration and exit of certain facility leases and due to lower operating lease expense driven by a lower amortization base following ROU asset impairments. Loss contract amortization decreased due to the release of an unfavorable contract liability related to the sale of the IV Solutions business in the second quarter of 2025. Compensation increased due to an increase in cash incentive compensation and employee benefits.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i/>
          <w:color w:val="000000"/>
          <w:sz w:val="20"/>
        </w:rPr>
        <w:t>Research and Development (“R&amp;D”)</w:t>
      </w:r>
      <w:r>
        <w:rPr>
          <w:color w:val="000000"/>
        </w:rPr>
        <w:t xml:space="preserve"> </w:t>
      </w:r>
      <w:r>
        <w:rPr>
          <w:rFonts w:ascii="Times New Roman;serif" w:hAnsi="Times New Roman;serif"/>
          <w:b/>
          <w:i/>
          <w:color w:val="000000"/>
          <w:sz w:val="20"/>
        </w:rPr>
        <w:t>Expenses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The following table summarizes our total R&amp;D Expenses (in millions, except percentages):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tbl>
      <w:tblPr>
        <w:tblW w:w="10039" w:type="dxa"/>
        <w:jc w:val="center"/>
        <w:tblInd w:w="0" w:type="dxa"/>
        <w:tblLayout w:type="fixed"/>
        <w:tblCellMar>
          <w:top w:w="28" w:type="dxa"/>
          <w:left w:w="28" w:type="dxa"/>
          <w:bottom w:w="28" w:type="dxa"/>
          <w:right w:w="28" w:type="dxa"/>
        </w:tblCellMar>
      </w:tblPr>
      <w:tblGrid>
        <w:gridCol w:w="195"/>
        <w:gridCol w:w="171"/>
        <w:gridCol w:w="173"/>
        <w:gridCol w:w="211"/>
        <w:gridCol w:w="511"/>
        <w:gridCol w:w="109"/>
        <w:gridCol w:w="109"/>
        <w:gridCol w:w="109"/>
        <w:gridCol w:w="109"/>
        <w:gridCol w:w="211"/>
        <w:gridCol w:w="511"/>
        <w:gridCol w:w="109"/>
        <w:gridCol w:w="109"/>
        <w:gridCol w:w="109"/>
        <w:gridCol w:w="109"/>
        <w:gridCol w:w="261"/>
        <w:gridCol w:w="503"/>
        <w:gridCol w:w="137"/>
        <w:gridCol w:w="109"/>
        <w:gridCol w:w="109"/>
        <w:gridCol w:w="109"/>
        <w:gridCol w:w="220"/>
        <w:gridCol w:w="220"/>
        <w:gridCol w:w="551"/>
        <w:gridCol w:w="109"/>
        <w:gridCol w:w="109"/>
        <w:gridCol w:w="109"/>
        <w:gridCol w:w="211"/>
        <w:gridCol w:w="511"/>
        <w:gridCol w:w="109"/>
        <w:gridCol w:w="109"/>
        <w:gridCol w:w="109"/>
        <w:gridCol w:w="109"/>
        <w:gridCol w:w="211"/>
        <w:gridCol w:w="511"/>
        <w:gridCol w:w="109"/>
        <w:gridCol w:w="109"/>
        <w:gridCol w:w="109"/>
        <w:gridCol w:w="109"/>
        <w:gridCol w:w="256"/>
        <w:gridCol w:w="511"/>
        <w:gridCol w:w="134"/>
        <w:gridCol w:w="109"/>
        <w:gridCol w:w="109"/>
        <w:gridCol w:w="109"/>
        <w:gridCol w:w="240"/>
        <w:gridCol w:w="240"/>
        <w:gridCol w:w="614"/>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R&amp;D expenses slightly increased for the three months ended June 30, 2026, as compared to the same period in the prior year, primarily related to higher employment expense that support ongoing R&amp;D projects. R&amp;D expenses decreased for the six months ended June 30, 2026, as compared to the same period in the prior year, primarily related to organizational synergies and project reprioritization. R&amp;D expenses for both periods presented generally include compensation and benefit expenses, consulting fees, production supplies, samples, travel costs, utilities and other miscellaneous administrative costs incurred in our ongoing R&amp;D projects.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Restructuring, Strategic Transaction and Integration Expenses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Restructuring, strategic transaction and integration expenses were $21.3 million and $38.1 million for the three and six months ended June 30, 2026, respectively, as compared to $16.2 million and $32.9 million for the three and six months ended June 30,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Restructuring charges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Restructuring charges were $13.0 million and $19.9 million for the three and six months ended June 30, 2026, respectively, as compared to $8.2 million and $15.0 million for the three and six months ended June 30, 2025, respectively. The restructuring costs for the three and six months ended June 30, 2026 were primarily related to facility closure costs and severance costs, which included $5.8 million of non-cash impairment charges related to operating lease right-of-use assets and property, plant and equipment. The restructuring costs for the three and six months ended June 30, 2025 were primarily related to facility closure costs and severance costs. As of June 30, 2026, we expect to pay the majority of our outstanding restructuring charges during the next twelve months. We expect restructuring costs to decrease during the remainder of 2026.</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Strategic transaction and integration expenses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Strategic transaction and integration expenses were $8.3 million and $18.2 million for the three and six months ended June 30, 2026, respectively, as compared to $8.0 million and $17.9 million for the three and six months ended June 30, 2025, respectively. The strategic transaction and integration expenses during the three and six months ended June 30, 2026 and 2025 were primarily related to ongoing consulting expenses, employee costs and costs from certain facility consolidations incurred to integrate our Smiths Medical business acquired in 2022. For the three and six months ended June 30, 2025, transaction costs also included expenses related to the sale of 60% of our IV solutions business that was completed during the second quarter of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interest expense, net (in thousands): </w:t>
      </w:r>
    </w:p>
    <w:p>
      <w:pPr>
        <w:pStyle w:val="TextBody"/>
        <w:bidi w:val="0"/>
        <w:spacing w:before="0" w:after="0"/>
        <w:ind w:left="0" w:right="0" w:firstLine="720"/>
        <w:jc w:val="left"/>
        <w:rPr/>
      </w:pPr>
      <w:r>
        <w:rPr/>
      </w:r>
    </w:p>
    <w:tbl>
      <w:tblPr>
        <w:tblW w:w="7260" w:type="dxa"/>
        <w:jc w:val="left"/>
        <w:tblInd w:w="0" w:type="dxa"/>
        <w:tblLayout w:type="fixed"/>
        <w:tblCellMar>
          <w:top w:w="28" w:type="dxa"/>
          <w:left w:w="28" w:type="dxa"/>
          <w:bottom w:w="28" w:type="dxa"/>
          <w:right w:w="28" w:type="dxa"/>
        </w:tblCellMar>
      </w:tblPr>
      <w:tblGrid>
        <w:gridCol w:w="641"/>
        <w:gridCol w:w="562"/>
        <w:gridCol w:w="567"/>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(42,580)</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Interest expense, net for the three and six months ended June 30, 2026 and 2025 primarily included the contractual interest incurred on borrowings under the Credit Agreement, as defined below, the per annum commitment fee charged on the available amount of the revolving credit facility contained in the Credit Agreement, the amortization of debt issuance costs incurred in connection with entering into the Credit Agreement (see Note 18: Long-Term Debt in our accompanying condensed consolidated financial statements), the impact of the interest rate swaps, and interest income. Additionally, interest expense includes the interest accretion on an unfavorable contract loss provision beginning in the second quarter of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expense component decreased for the three and six months ended June 30, 2026, as compared to the respective prior year periods, primarily due to lower obligation principal balances resulting from principal prepayments including the $200.0 million paydown of our Term Loan A in May 2025 using proceeds from the sale of a 60% interest of our IV Solutions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other (expense) income, net (in thousands): </w:t>
      </w:r>
    </w:p>
    <w:p>
      <w:pPr>
        <w:pStyle w:val="TextBody"/>
        <w:bidi w:val="0"/>
        <w:spacing w:before="0" w:after="0"/>
        <w:ind w:left="0" w:right="0" w:firstLine="720"/>
        <w:jc w:val="left"/>
        <w:rPr/>
      </w:pPr>
      <w:r>
        <w:rPr/>
      </w:r>
    </w:p>
    <w:tbl>
      <w:tblPr>
        <w:tblW w:w="8100" w:type="dxa"/>
        <w:jc w:val="left"/>
        <w:tblInd w:w="0" w:type="dxa"/>
        <w:tblLayout w:type="fixed"/>
        <w:tblCellMar>
          <w:top w:w="28" w:type="dxa"/>
          <w:left w:w="28" w:type="dxa"/>
          <w:bottom w:w="28" w:type="dxa"/>
          <w:right w:w="28" w:type="dxa"/>
        </w:tblCellMar>
      </w:tblPr>
      <w:tblGrid>
        <w:gridCol w:w="1298"/>
        <w:gridCol w:w="1142"/>
        <w:gridCol w:w="1145"/>
        <w:gridCol w:w="211"/>
        <w:gridCol w:w="541"/>
        <w:gridCol w:w="109"/>
        <w:gridCol w:w="109"/>
        <w:gridCol w:w="109"/>
        <w:gridCol w:w="109"/>
        <w:gridCol w:w="211"/>
        <w:gridCol w:w="616"/>
        <w:gridCol w:w="109"/>
        <w:gridCol w:w="109"/>
        <w:gridCol w:w="109"/>
        <w:gridCol w:w="109"/>
        <w:gridCol w:w="211"/>
        <w:gridCol w:w="691"/>
        <w:gridCol w:w="109"/>
        <w:gridCol w:w="109"/>
        <w:gridCol w:w="109"/>
        <w:gridCol w:w="109"/>
        <w:gridCol w:w="211"/>
        <w:gridCol w:w="36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 gain,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disposition of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miscellaneous income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foreign exchange losses were primarily related to the strengthening of the U.S. dollar relative to certain foreign currencies, including the Euro. For the three and six months ended, June 30, 2025, the foreign exchange gains were primarily related to the weakening of the U.S. dollar relative to certain foreign currencies, most notably including the British Pound in the second quarter of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other miscellaneous income (expense), net primarily includes the recognition of UK research and development tax credits.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Income Taxes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income taxes were accrued at an estimated effective tax rate of 31% and (144)%, respectively, as compared to 3% and 25% for the three and six months ended June 30, 2025,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three and six months ended June 30, 2026 differs from the federal statutory rate of 21% principally because of the effect of the mix of U.S. and foreign incomes, section 162(m) excess compensation, federal and state valuation allowance, FDII, and tax credits. Additionally, the effective tax rate for the three and six months ended June 30, 2026 included a tax benefit of $0.9 million and $30.1 million, respectively, related to unrecognized tax benefits released as a result of the expiration of statute of limitations.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recorded a change to the valuation allowance against certain U.S. federal and state deferred tax assets, resulting in a $1.5 million tax expense and $2.7 million tax benefit during the three and six months ended June 30, 2026, respectively. The significant piece of objectively verifiable negative evidence evaluated was the recent U.S. cumulative losses. The Company's ability to use our deferred tax assets depends on the amount of taxable income in future periods.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three and six months ended June 30, 2025 differs from the federal statutory rate of 21% principally because of the effect of the mix of U.S. and foreign incomes, section 162(m) excess compensation, federal and state valuation allowance, and tax credits. The effective tax rate during the three and six months ended June 30, 2025 included a tax expense of $6.1 million related to the sale of a 60% interest of our IV solutions business. Additionally, there were unrecognized tax benefits released as a result of the expiration of statute of limitations during the three and six months ended June 30, 2025 of $5.0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a change to the valuation allowance against certain U.S. federal and state deferred tax assets, resulting in a $2.7 million tax benefit and $3.7 million tax expense during the three and six months ended June 30, 2025, respectively.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Equity in Earnings of Unconsolidated Affiliates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we recorded equity in earnings of unconsolidated affiliates of $3.0 million and $2.4 million, respectively, as compared to equity in earnings of unconsolidated affiliates of $2.8 million for each of the three and six months ended June 30, 2025, related to our 40% proportionate share of the joint venture's financial results (see Note 4: Disposal of Business to our accompanying condensed consolidated financial statements). The joint venture's earnings are typically lower in the second half of the year due to seasonality and planned facility shutdowns.</w:t>
      </w:r>
    </w:p>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regularly evaluate our liquidity and capital resources, including our access to external capital, to assess our ability to meet our principal cash requirements, which include working capital requirements, planned capital investments in our business, commitments, acquisition restructuring and integration expenses, investments in quality systems and quality compliance objectives, payment of interest expense, repayment of outstanding borrowings, income tax obligations, potential share repurchase opportunities and acquisition opportunities in accordance with our growth strategy.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current primary sources of liquidity are cash and cash equivalents, cash flows from our operations including access to borrowing arrangements.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Funds generated from operations are held in cash and cash equivalents. During the six months ended June 30, 2026, our cash and cash equivalents decreased by $9.7 million from $308.0 million at December 31, 2025 to $298.3 million at June 30, 2026. This decrease was due to principal payments in 2026, including a $45.3 million prepayment on our Term Loan B during the second quarter of 2026 and $38.9 million of tax withholding payments made during 2026 to settle employee equity award vests. Tax withholding payments are typically highest during the first quarter due to the timing of employee equity vesting activity. These payments represent the value of the shares withheld by the Company to satisfy employee tax obligations, which effectively reduced the total number of shares issued upon vesting and minimized shareholder dilution.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Facilities and Access to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discussed in Note 18: Long-Term Debt to our accompanying condensed consolidated financial statements, on October 31, 2025 (the "Closing Date"), we entered into an Amendment No. 2 to our Credit Agreement (the "Amendment"), whereby we refinanced our Term Loan A and our Revolving Credit Facility under our existing Credit Agreement dated as of January 6, 2022 (as amended by Amendment No. 1, dated as of October 5, 2022, the "Existing Credit Agreement" and as further amended by the Amendment, the "Amended Credit Agreement"). The Amended Credit Agreement includes new credit facilities (the "New Credit Facilities") that consists of a $750.0 million senior secured term loan A and a new $500.0 million revolving credit facility (the "New Revolving Facility"). The outstanding aggregate principal amount of the term loans is $1.2 billion as of June 30, 2026, which includes the Term Loan A that will mature in October 2030 and the Term Loan B that will mature in January 2029. There are no outstanding borrowings under the New Revolving Facility as of June 30, 2026.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entering into the Senior Secured Credit Facilities, we were assigned issuer and Term Loan B credit ratings. At the date of issuance of this report, our issuer and Term Loan B credit ratings assigned and outlook were as follows:</w:t>
      </w:r>
    </w:p>
    <w:p>
      <w:pPr>
        <w:pStyle w:val="TextBody"/>
        <w:bidi w:val="0"/>
        <w:spacing w:before="0" w:after="0"/>
        <w:ind w:left="0" w:right="0" w:firstLine="720"/>
        <w:jc w:val="left"/>
        <w:rPr/>
      </w:pPr>
      <w:r>
        <w:rPr/>
      </w:r>
    </w:p>
    <w:tbl>
      <w:tblPr>
        <w:tblW w:w="4752" w:type="dxa"/>
        <w:jc w:val="left"/>
        <w:tblInd w:w="0" w:type="dxa"/>
        <w:tblLayout w:type="fixed"/>
        <w:tblCellMar>
          <w:top w:w="28" w:type="dxa"/>
          <w:left w:w="28" w:type="dxa"/>
          <w:bottom w:w="28" w:type="dxa"/>
          <w:right w:w="28" w:type="dxa"/>
        </w:tblCellMar>
      </w:tblPr>
      <w:tblGrid>
        <w:gridCol w:w="619"/>
        <w:gridCol w:w="543"/>
        <w:gridCol w:w="548"/>
        <w:gridCol w:w="109"/>
        <w:gridCol w:w="109"/>
        <w:gridCol w:w="109"/>
        <w:gridCol w:w="624"/>
        <w:gridCol w:w="624"/>
        <w:gridCol w:w="626"/>
        <w:gridCol w:w="246"/>
        <w:gridCol w:w="246"/>
        <w:gridCol w:w="349"/>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Issuer/Term Loan B </w:t>
              <w:br/>
              <w:t>Credit Ratings</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Outlook</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Moody's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Ba3/Ba3</w:t>
            </w:r>
          </w:p>
        </w:tc>
        <w:tc>
          <w:tcPr>
            <w:tcW w:w="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BB/BB+</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Standard &amp; Poor's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BB-/BB-</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Positive</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credit ratings are not a recommendation by the rating agency to buy, sell, or hold our securities, are subject to revision or withdrawal at any time by the rating agency and should be evaluated independently of any other credit rating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may receive. In addition, credit rating agencies review their ratings periodically, and there is no guarantee our current credit rating will remain the same as described above. If our credit rating were to be lowered, our ability to access the debt markets, our cost of funds, and other terms for new incurrence of debt could be adversely impacted.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financial covenants that pertain to the Term Loan A and the New Revolving Facility. Specifically, we were required to maintain a Secured Net Leverage Ratio of no more than 4.50 to 1.00, with a step-down to 4.00 to 1.00 starting with the quarter ending June 30, 2027 and an Interest Coverage Ratio of no less than 3.00 to 1.00 (defined and discussed in greater detail in Note 18: Long-Term Debt to our accompanying condensed consolidated financial statements). We were in compliance with these financial covenants as of June 30,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2023, we entered into a receivables purchase agreement with Bank of the West, which was subsequently acquired by BMO Bank, N.A. ("BMO") in February 2023. The program accelerates our access to capital and may be utilized as needed. The program was not utilized during the periods presented, and there were no outstanding sold receivables as of June 30, 2026 and December 31, 2025.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along with cash flows expected to be generated from future operations and the funds received and accessible under the New Credit Facilities will provide us with sufficient liquidity to finance our cash requirements for the next twelve months and the foreseeable future.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economic conditions. See Part I. Item 1A. "Risk Factors” in our 2025 Annual Report on Form 10-K for discussion of the risks and uncertainties associated with our debt financing.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Uses of Liquidity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now expect capital expenditures to be approximately $85 million for estimated 2026 planned capital expenditures, which is at the low end of our previously disclosed $85 million to $100 million range in our 2025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commitments at June 30, 2026 include both short and long-term future obligations.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Operating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non-cancelable operating lease agreements where we are contractually obligated for certain lease payment amounts. For more information regarding our operating lease obligations, (see Note 7: Leases to our accompanying condensed consolidated financial statements).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Long-term Debt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proceeds from and commitments under the New Credit Facilities, described above, were used to (i) repay the outstanding principal amount of the Term Loan A and refinance the existing Revolving Credit Facility (collectively, the "Refinancing") under the Existing Credit Agreement (ii) repay $190.0 million of the outstanding balance of the Term Loan B under the Existing Credit Agreement and (iii) to finance the payment of fees and expenses incurred in connection with the Refinancing. The proceeds of future borrowings under the New Revolving Facility, which expires in October 2030, may be used as a source of liquidity to support our ongoing working capital requirements and other general corporate purposes.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New Credit Facilities mature on October 31, 2030, subject to a springing maturity provision under which, if any of the Term Loan B tranche remains outstanding on the date that is 91 days prior to the Term Loan B maturity date (the "Springing Maturity Date"), the maturity date for the Term Loan A and the Revolving Credit Facility will automatically accelerate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Springing Maturity Date, if earlier than October 31, 2030. We are monitoring our liquidity position to ensure we can address this potential earlier repayment obligation.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payments on the term loans were estimated using an Adjusted Term SOFR rate and an applicable margin of 1.50% for Term Loan A and 2.25% for Term Loan B and the revolver commitment fees were estimated using a rate of 0.20%. The applicable margin rate and commitment fee rate will change from time to time in accordance with a preset pricing grid based on the leverage ratio (see Note 18: Long-Term Debt to our accompanying condensed consolidated financial statements for pricing grids related to the Senior Secured Credit Facilities).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Term Loan B Principal Prepayments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Due to a principal prepayment of $45.3 million during the second quarter of 2026 and principal prepayments in 2025, we have no mandatory principal payments on our Term Loan B until 2029.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principal repayment obligations, estimated interest payments and revolver commitment fee payments are estimated in the below table. We expect to fund these obligations with our existing cash and cash equivalents and cash generated from our future operations.</w:t>
      </w:r>
    </w:p>
    <w:p>
      <w:pPr>
        <w:pStyle w:val="TextBody"/>
        <w:bidi w:val="0"/>
        <w:spacing w:before="0" w:after="0"/>
        <w:ind w:left="0" w:right="0" w:firstLine="720"/>
        <w:jc w:val="left"/>
        <w:rPr/>
      </w:pPr>
      <w:r>
        <w:rPr/>
      </w:r>
    </w:p>
    <w:tbl>
      <w:tblPr>
        <w:tblW w:w="9541" w:type="dxa"/>
        <w:jc w:val="left"/>
        <w:tblInd w:w="0" w:type="dxa"/>
        <w:tblLayout w:type="fixed"/>
        <w:tblCellMar>
          <w:top w:w="28" w:type="dxa"/>
          <w:left w:w="28" w:type="dxa"/>
          <w:bottom w:w="28" w:type="dxa"/>
          <w:right w:w="28" w:type="dxa"/>
        </w:tblCellMar>
      </w:tblPr>
      <w:tblGrid>
        <w:gridCol w:w="1047"/>
        <w:gridCol w:w="922"/>
        <w:gridCol w:w="925"/>
        <w:gridCol w:w="436"/>
        <w:gridCol w:w="1060"/>
        <w:gridCol w:w="228"/>
        <w:gridCol w:w="211"/>
        <w:gridCol w:w="511"/>
        <w:gridCol w:w="109"/>
        <w:gridCol w:w="211"/>
        <w:gridCol w:w="616"/>
        <w:gridCol w:w="109"/>
        <w:gridCol w:w="211"/>
        <w:gridCol w:w="616"/>
        <w:gridCol w:w="109"/>
        <w:gridCol w:w="211"/>
        <w:gridCol w:w="616"/>
        <w:gridCol w:w="109"/>
        <w:gridCol w:w="296"/>
        <w:gridCol w:w="570"/>
        <w:gridCol w:w="155"/>
        <w:gridCol w:w="109"/>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Remainder of 2026</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Principal Payments*</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Interest Payments*</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Principal Payments</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Interest Payments</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 Commitment Fee</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Term Loan A principal and interest payments in the above table are subject to the springing maturity clause described in Exhibit 10.1 as filed as an exhibit to our Quarterly Report on Form 10-Q for the quarterly period ended September 30,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Future Capital Investments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future capital investments include restructuring and integration expenses along with spending to support quality systems and quality compliance objectives, which includes acquired field action liabilities. As of June 30, 2026, there have been no material changes to our range of $60 million to $80 million for estimated 2026 other future capital investments previously disclosed in our 2025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Contingent Payments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2015, legislation was enacted in Italy, which requires medical device companies to make payments to the Italian government if Italy's medical device expenditures for certain years exceeded annual regional expenditure ceilings. Since its enactment, the legislation has been subject to appeals in the Italian court system. In the third quarter of 2024, Italy's Constitutional Court issued two judgments, one of which confirmed the legitimacy of the legislation on the Italy Medical Device Payback ("IMDP"). In September 2025, the Italian government enacted a law that allows medical device companies to settle certain historical periods (2015-2018) for 25% of the original assessed value. During the third quarter of 2025, we settled the liability related to the 2015-2018 historical periods and paid $2.5 million. Additionally, we recorded a release of $3.8 million in previously established reserves. See Note 16: Accrued Liabilities to our accompanying condensed consolidated financial statements for details on remaining amounts accrued for potential payments related to the IMDP.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fund our capital expenditures and contractual obligations with our existing cash and cash equivalents and cash generated from our future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Indemnifications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liability for indemnification.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Historical Cash Flows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Cash Flows from Operating Activities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cash provided by operations for the six months ended June 30, 2026 was $119.1 million. The changes in operating assets and liabilities included a $4.6 million decrease in inventories. Offsetting these amounts was a $7.6 million increase in accounts receivable, a $16.5 million increase in prepaid expenses and other current assets, a $2.9 million increase in other assets, a $4.9 million decrease in accounts payable, $5.9 million decrease in accrued liabilities, and $45.3 million in net changes in income taxes, including excess tax benefits and deferred income taxes. The decrease in inventory was primarily due to strong sales volume of certain products and delays in the inventory production as a result of plant transfers. The increase in accounts receivable was primarily due to the amount and timing of collections. The increase in prepaid expenses and other current assets was primarily due to an increase in deferred costs related to infusion pumps sold, prepaid income taxes, and amounts due from the joint venture. The increase in other assets was due to the purchase of spare parts. The decrease in accounts payable was due to the timing of payments. The decrease in accrued liabilities was primarily due to payout of annual bonuses and operating lease payments offset by an increase in deferred revenue. The net changes in income taxes was a result of the timing of payments, recording of the current deferred provision, and valuation allowance.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cash provided by operations for the six months ended June 30, 2025 was $62.5 million. The changes in operating assets and liabilities included a $16.7 million decrease in accounts receivable and a $14.4 million increase in accounts payable. Offsetting these amounts was a $29.2 million increase in inventories, a $9.2 million increase in prepaid expenses and other current assets, a $5.7 million increase in other assets, $19.8 million decrease in accrued liabilities, and $28.1 million in net changes in income taxes, including excess tax benefits and deferred income taxes. The decrease in accounts receivable was primarily due to the sale of accounts receivable as part of our accounts receivable purchase program with BMO and the amount and timing of revenues. The increase in accounts payable was due to the timing of payments. The increase in inventory was primarily to build inventory safety stock levels and the impact of the capitalization of tariffs in our accounting. The increase in prepaid expenses and other current assets was primarily due to an increase in the payment of miscellaneous prepaid invoices. The increase in other assets was due to the purchase of spare parts. The decrease in accrued liabilities was primarily due to payout of annual bonuses and operating lease payments. The net changes in income taxes was a result of the timing of payments.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summarizes the changes in our investing cash flows (in thousands):</w:t>
      </w:r>
    </w:p>
    <w:tbl>
      <w:tblPr>
        <w:tblW w:w="8711" w:type="dxa"/>
        <w:jc w:val="left"/>
        <w:tblInd w:w="0" w:type="dxa"/>
        <w:tblLayout w:type="fixed"/>
        <w:tblCellMar>
          <w:top w:w="28" w:type="dxa"/>
          <w:left w:w="28" w:type="dxa"/>
          <w:bottom w:w="28" w:type="dxa"/>
          <w:right w:w="28" w:type="dxa"/>
        </w:tblCellMar>
      </w:tblPr>
      <w:tblGrid>
        <w:gridCol w:w="1519"/>
        <w:gridCol w:w="1338"/>
        <w:gridCol w:w="1342"/>
        <w:gridCol w:w="211"/>
        <w:gridCol w:w="796"/>
        <w:gridCol w:w="109"/>
        <w:gridCol w:w="109"/>
        <w:gridCol w:w="109"/>
        <w:gridCol w:w="109"/>
        <w:gridCol w:w="211"/>
        <w:gridCol w:w="826"/>
        <w:gridCol w:w="109"/>
        <w:gridCol w:w="109"/>
        <w:gridCol w:w="109"/>
        <w:gridCol w:w="109"/>
        <w:gridCol w:w="211"/>
        <w:gridCol w:w="901"/>
        <w:gridCol w:w="109"/>
        <w:gridCol w:w="110"/>
        <w:gridCol w:w="110"/>
        <w:gridCol w:w="155"/>
      </w:tblGrid>
      <w:tr>
        <w:trPr/>
        <w:tc>
          <w:tcPr>
            <w:tcW w:w="151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Cash Flows: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business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received for the sale of a business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additions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(201,994)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60"/>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Our purchases of property, plant and equipment may vary from period to period based on additional investments needed to support new and existing products and expansion of our manufacturing facilities.</w:t>
      </w:r>
    </w:p>
    <w:p>
      <w:pPr>
        <w:pStyle w:val="TextBody"/>
        <w:bidi w:val="0"/>
        <w:spacing w:lineRule="auto" w:line="288" w:before="0" w:after="60"/>
        <w:ind w:left="0" w:right="0" w:hanging="36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In 2025, we sold a 60% ownership interest in our IV Solutions business to OPF, see Note 4: Disposal of Business to our accompanying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hanging="360"/>
        <w:jc w:val="left"/>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 xml:space="preserve">On March 6, 2026, we entered into a definitive agreement to sell certain assets that constitute a business, as defined under ASC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We received a $2.0 million advanced deposit on the pending sale, see Note 4: Disposal of Business to our accompanying condensed consolidated financial statements.</w:t>
      </w:r>
    </w:p>
    <w:p>
      <w:pPr>
        <w:pStyle w:val="TextBody"/>
        <w:bidi w:val="0"/>
        <w:spacing w:before="0" w:after="60"/>
        <w:ind w:left="0" w:right="0" w:hanging="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The following table summarizes the changes in our financing cash flows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2072"/>
        <w:gridCol w:w="1813"/>
        <w:gridCol w:w="1818"/>
        <w:gridCol w:w="211"/>
        <w:gridCol w:w="790"/>
        <w:gridCol w:w="109"/>
        <w:gridCol w:w="109"/>
        <w:gridCol w:w="109"/>
        <w:gridCol w:w="109"/>
        <w:gridCol w:w="211"/>
        <w:gridCol w:w="895"/>
        <w:gridCol w:w="109"/>
        <w:gridCol w:w="109"/>
        <w:gridCol w:w="109"/>
        <w:gridCol w:w="109"/>
        <w:gridCol w:w="211"/>
        <w:gridCol w:w="826"/>
        <w:gridCol w:w="109"/>
        <w:gridCol w:w="109"/>
        <w:gridCol w:w="109"/>
        <w:gridCol w:w="159"/>
      </w:tblGrid>
      <w:tr>
        <w:trPr/>
        <w:tc>
          <w:tcPr>
            <w:tcW w:w="2072"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Cash Flows:</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570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570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payments related to net share settlement of equity awards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(94,357)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(251,351)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Relates to scheduled principal payments and any prepayments on the Senior Secured Credit Facilities. In March 2025, we prepaid $35.0 million on our Term Loan B. In May 2025, we used $200.0 million received from the sale of a 60% interest in our IV Solutions business to pay down a portion of our Term Loan A. In June 2026, we prepaid $45.3 million on our Term Loan B. Due to prepayments in 2025 and 2026, we do not have any mandatory principal payment on our Term Loan B until 2029.</w:t>
      </w:r>
    </w:p>
    <w:p>
      <w:pPr>
        <w:pStyle w:val="TextBody"/>
        <w:bidi w:val="0"/>
        <w:spacing w:lineRule="auto" w:line="288" w:before="0" w:after="60"/>
        <w:ind w:left="0" w:right="0" w:hanging="36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Proceeds from the exercise of stock options will vary from period to period based on the volume of options exercised and the exercise price of the specific options exercised.</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During the six months ended June 30, 2026, our employees surrendered 296,524 shares of our common stock from vested restricted stock unit awards as consideration for approximately $38.9 million in minimum statutory withholding obligations paid on their behalf. During the six months ended June 30, 2025, our employees surrendered 61,066 shares of our common stock from vested restricted stock unit awards as consideration for approximately $8.7 million in minimum statutory withholding obligations paid on their behalf.</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purchase plan, which authorizes the repurchase of up to $100.0 million of our common stock, was approved by our Board of Directors in August 2019. This plan has no expiration date. As of June 30, 2026, all of the $100.0 million available for purchase was remaining under the plan. We are limited on share purchases in accordance with the terms and conditions of our Credit Agreement (see Note 18: Long-Term Debt in our accompanying condensed consolidated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2025 Annual Report on Form 10-K, we identified the critical accounting policies which affect our more significant estimates and assumptions used in preparing our consolidated financial statements. There have been no material changes to our critical accounting policies from those previously disclosed in our 2025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2: New Accounting Pronouncements Not Yet Adopted to the accompanying condensed consolidated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u w:val="single"/>
        </w:rPr>
      </w:pPr>
      <w:r>
        <w:rPr>
          <w:rFonts w:ascii="Times New Roman;serif" w:hAnsi="Times New Roman;serif"/>
          <w:b/>
          <w:color w:val="000000"/>
          <w:sz w:val="20"/>
          <w:u w:val="single"/>
        </w:rPr>
        <w:t>Item 3.Quantitative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Interest Rate Risk</w:t>
      </w: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Our variable-rate term loans and revolving credit facility are exposed to changes in interest rates.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A facility currently bears interest based on Term SOFR plus an applicable margin of 1.50% per year. The term loan B facility currently bears interest based on Adjusted Term SOFR subject to a 0.50% floor plus an applicable margin of 2.25%. We used a sensitivity analysis to measure our interest rate risk exposure. If the SOFR rate increases or decreases 1% from June 30, 2026, the additional annual interest expense or savings related to the existing term loans would be approximately $12.4 million before considering any offsetting impacts of our interest rate swaps.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mitigate and offset a portion of this interest rate risk exposure associated with these debt instruments we entered into interest rate swaps to achieve a targeted mix of fixed and variable-rate debt. The term loan A swap has an initial notional amount of $300.0 million, reducing to $150.0 million evenly on a quarterly basis through its final maturity on March 30, 2027 and we pay a fixed rate of 1.32% and receive the greater of 3-month USD SOFR or (0.15)%. The term loan B swap has an initial notional amount of $750.0 million, reducing to $46.9 million evenly on a quarterly basis through its final maturity on March 30, 2026 and we pay a fixed rate of 1.17% and receive the greater of 3-month USD SOFR or 0.35%. In June 2023, we entered into an additional swap with a notional amount of $300.0 million with a maturity date of June 30, 2028 and we pay a fixed rate of 3.8765% starting on June 30, 2023 and receive 3-month USD SOFR. In February 2026, we entered into an additional swap with a notional amount of $225.0 million with a maturity date of December 31, 2029 and we pay a fixed rate of 3.302% and receive 3-months USD SOFR. See Note 9: Derivatives and Hedging Activities to our accompanying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i/>
          <w:color w:val="000000"/>
          <w:sz w:val="20"/>
        </w:rPr>
        <w:t>Foreign Currency Exchange Rate Risk</w:t>
      </w:r>
      <w:r>
        <w:rPr>
          <w:color w:val="000000"/>
        </w:rPr>
        <w:t>    </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and other currencies relative to the operating unit functional currency. Our hedging policy attempts to manage these risks to an acceptable level. We manage our foreign currency exposures on a consolidated basis to take advantage of net exposures and natural offsets, which are then further reduced by the gains and losses of our hedging instruments. Gains and losses on the hedging instruments offset gains and losses on the hedged forecasted transactions and reduce the earnings volatility related to foreign exchange, however we do not hedge our entire foreign exchange exposure and are still subject to potentially significant earnings volatility due to foreign currency exchange rate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foreign currency exchange forward contracts hedge a portion of our forecasted foreign currency-denominated revenues and expenses (principally Mexican Pesos, Euros, Japanese Yen, Canadian Dollar, and Australian Dollar) that differ from the functional currency of the operating unit. These derivative contracts are designated and qualify as cash flow hedges (see Note 9: Derivatives and Hedging Activities to the condensed consolidated financial statements in Part I, Item 1 of this Quarterly Report on Form 10-Q). We performed a sensitivity analysis to estimate changes in the fair value of our foreign exchange derivatives due to potential changes in near-term foreign currency exchange rates. At June 30, 2026, the effect of a hypothetical 10% weakening in the foreign currencies for the prevailing currency pairs we have contracts in would result in an estimated increase in the fair value of these outstanding derivative contracts by approximately $4.5 million.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u w:val="single"/>
        </w:rPr>
      </w:pPr>
      <w:r>
        <w:rPr>
          <w:rFonts w:ascii="Times New Roman;serif" w:hAnsi="Times New Roman;serif"/>
          <w:b/>
          <w:color w:val="000000"/>
          <w:sz w:val="20"/>
          <w:u w:val="single"/>
        </w:rPr>
        <w:t>Item 4.Controls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Limitations on Effectiveness of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procedures, no matter how well designed and operated, can provide only reasonable assurance of achieving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desired control objectives. In addition, the design of disclosure controls and procedures must reflect the fact that there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are resource constraints, and that management is required to apply judgment in evaluating the benefits of possible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controls and procedures relative to their costs.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w:t>
      </w:r>
      <w:r>
        <w:rPr>
          <w:color w:val="000000"/>
        </w:rPr>
        <w:t xml:space="preserve"> </w:t>
      </w:r>
      <w:r>
        <w:rPr>
          <w:rFonts w:ascii="Times New Roman;serif" w:hAnsi="Times New Roman;serif"/>
          <w:b w:val="false"/>
          <w:color w:val="000000"/>
          <w:sz w:val="20"/>
        </w:rPr>
        <w:t xml:space="preserve">Based on the evaluation, our principal executive officer and principal financial officer concluded that, as of June 30, 2026, our disclosure controls and procedures were effective at the reasonable assurance level.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change in our internal control over financial reporting (as defined in Rules 13a-15(f) and 15d-15(f) under the Exchange Act) during the quarter ended June 30, 2026 that has materially affected, or is reasonably likely to materially affect, our internal control over financial reporting.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u w:val="single"/>
        </w:rPr>
      </w:pPr>
      <w:r>
        <w:rPr>
          <w:rFonts w:ascii="Times New Roman;serif" w:hAnsi="Times New Roman;serif"/>
          <w:b/>
          <w:color w:val="000000"/>
          <w:sz w:val="20"/>
          <w:u w:val="single"/>
        </w:rPr>
        <w:t>Item 1.Legal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Certain legal proceedings in which we are involved are discussed in Part I, Item 1. "Financial Statements" of this Form 10-Q in Note 20. Commitments and Contingencies to the Condensed Consolidated Financial Statements, which are incorporated herein by reference.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20"/>
          <w:u w:val="single"/>
        </w:rPr>
      </w:pPr>
      <w:r>
        <w:rPr>
          <w:rFonts w:ascii="Times New Roman;serif" w:hAnsi="Times New Roman;serif"/>
          <w:b/>
          <w:color w:val="000000"/>
          <w:sz w:val="20"/>
          <w:u w:val="single"/>
        </w:rPr>
        <w:t>Item 1A.Risk Factors</w:t>
      </w:r>
    </w:p>
    <w:p>
      <w:pPr>
        <w:pStyle w:val="TextBody"/>
        <w:bidi w:val="0"/>
        <w:spacing w:before="0" w:after="0"/>
        <w:ind w:left="0" w:right="0" w:hanging="54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evaluating an investment in our common stock, investors should consider carefully, among other things, the risk factors previously disclosed in Part I, Item 1A of our 2025 Annual Report on Form 10-K, as well as the information contained in this Quarterly Report, in each case, as updated by our other filings with the SEC. There have been no material changes to the risk factors disclosed in Part I, Item 1A of our 2025 Annual Report on Form 10-K. </w:t>
      </w:r>
    </w:p>
    <w:p>
      <w:pPr>
        <w:pStyle w:val="TextBody"/>
        <w:bidi w:val="0"/>
        <w:spacing w:before="0" w:after="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color w:val="000000"/>
          <w:sz w:val="20"/>
          <w:u w:val="single"/>
        </w:rPr>
      </w:pPr>
      <w:r>
        <w:rPr>
          <w:rFonts w:ascii="Times New Roman;serif" w:hAnsi="Times New Roman;serif"/>
          <w:b/>
          <w:color w:val="000000"/>
          <w:sz w:val="20"/>
          <w:u w:val="single"/>
        </w:rPr>
        <w:t>Item 2.Unregistered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Purchase of Equity Securities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is a summary of our stock repurchasing activity during the second quarter of 2026:</w:t>
      </w:r>
    </w:p>
    <w:tbl>
      <w:tblPr>
        <w:tblW w:w="10186" w:type="dxa"/>
        <w:jc w:val="center"/>
        <w:tblInd w:w="0" w:type="dxa"/>
        <w:tblLayout w:type="fixed"/>
        <w:tblCellMar>
          <w:top w:w="28" w:type="dxa"/>
          <w:left w:w="28" w:type="dxa"/>
          <w:bottom w:w="28" w:type="dxa"/>
          <w:right w:w="28" w:type="dxa"/>
        </w:tblCellMar>
      </w:tblPr>
      <w:tblGrid>
        <w:gridCol w:w="874"/>
        <w:gridCol w:w="770"/>
        <w:gridCol w:w="785"/>
        <w:gridCol w:w="109"/>
        <w:gridCol w:w="109"/>
        <w:gridCol w:w="109"/>
        <w:gridCol w:w="594"/>
        <w:gridCol w:w="594"/>
        <w:gridCol w:w="596"/>
        <w:gridCol w:w="109"/>
        <w:gridCol w:w="109"/>
        <w:gridCol w:w="109"/>
        <w:gridCol w:w="240"/>
        <w:gridCol w:w="461"/>
        <w:gridCol w:w="125"/>
        <w:gridCol w:w="109"/>
        <w:gridCol w:w="109"/>
        <w:gridCol w:w="109"/>
        <w:gridCol w:w="594"/>
        <w:gridCol w:w="594"/>
        <w:gridCol w:w="596"/>
        <w:gridCol w:w="109"/>
        <w:gridCol w:w="109"/>
        <w:gridCol w:w="109"/>
        <w:gridCol w:w="279"/>
        <w:gridCol w:w="1572"/>
        <w:gridCol w:w="204"/>
      </w:tblGrid>
      <w:tr>
        <w:trPr/>
        <w:tc>
          <w:tcPr>
            <w:tcW w:w="87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w:t>
              <w:br/>
              <w:t>purchased as</w:t>
              <w:br/>
              <w:t>part of a</w:t>
              <w:br/>
              <w:t>publicly</w:t>
              <w:br/>
              <w:t>announced</w:t>
              <w:br/>
              <w:t>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Approximate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dollar value of shares that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may yet be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 under</w:t>
            </w:r>
          </w:p>
          <w:p>
            <w:pPr>
              <w:pStyle w:val="TableContents"/>
              <w:bidi w:val="0"/>
              <w:spacing w:lineRule="auto" w:line="240" w:before="0" w:after="0"/>
              <w:jc w:val="center"/>
              <w:rPr/>
            </w:pPr>
            <w:r>
              <w:rPr>
                <w:rFonts w:ascii="Times New Roman;serif" w:hAnsi="Times New Roman;serif"/>
                <w:b/>
                <w:color w:val="000000"/>
                <w:sz w:val="16"/>
              </w:rPr>
              <w:t>the program</w:t>
            </w:r>
            <w:r>
              <w:rPr>
                <w:rFonts w:ascii="Times New Roman;serif" w:hAnsi="Times New Roman;serif"/>
                <w:b/>
                <w:color w:val="000000"/>
                <w:sz w:val="10"/>
              </w:rPr>
              <w:t>(1)</w:t>
            </w:r>
          </w:p>
        </w:tc>
      </w:tr>
      <w:tr>
        <w:trPr/>
        <w:tc>
          <w:tcPr>
            <w:tcW w:w="24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04/01/2026 — 04/30/2026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05/01/2026 — 05/31/2026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06/01/2026—06/30/2026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Second quarter of 2026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18"/>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and any restrictions on share purchases under our debt agreements, purchases under a stock purchase program may be made at such times and in such amounts as we deem appropriate. Purchases made under our stock purchase program can be discontinued at any time we feel additional purchases are not warranted. We are limited on share purchases in accordance with the terms and conditions of our Credit Agreement (see Note 18: Long-Term Debt in our accompanying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(c)    The following table shows any </w:t>
      </w:r>
      <w:r>
        <w:rPr>
          <w:color w:val="000000"/>
        </w:rPr>
        <w:t>“</w:t>
      </w:r>
      <w:r>
        <w:rPr>
          <w:rFonts w:ascii="Times New Roman;serif" w:hAnsi="Times New Roman;serif"/>
          <w:b w:val="false"/>
          <w:color w:val="000000"/>
          <w:sz w:val="20"/>
        </w:rPr>
        <w:t>Rule 10b5-1 trading arrangement</w:t>
      </w:r>
      <w:r>
        <w:rPr>
          <w:color w:val="000000"/>
        </w:rPr>
        <w:t xml:space="preserve">” </w:t>
      </w:r>
      <w:r>
        <w:rPr>
          <w:rFonts w:ascii="Times New Roman;serif" w:hAnsi="Times New Roman;serif"/>
          <w:b w:val="false"/>
          <w:color w:val="000000"/>
          <w:sz w:val="20"/>
        </w:rPr>
        <w:t xml:space="preserve">or </w:t>
      </w:r>
      <w:r>
        <w:rPr>
          <w:color w:val="000000"/>
        </w:rPr>
        <w:t>“</w:t>
      </w:r>
      <w:r>
        <w:rPr>
          <w:rFonts w:ascii="Times New Roman;serif" w:hAnsi="Times New Roman;serif"/>
          <w:b w:val="false"/>
          <w:color w:val="000000"/>
          <w:sz w:val="20"/>
        </w:rPr>
        <w:t>non-Rule 10b5-1 trading arrangement,</w:t>
      </w:r>
      <w:r>
        <w:rPr>
          <w:color w:val="000000"/>
        </w:rPr>
        <w:t xml:space="preserve">” </w:t>
      </w:r>
      <w:r>
        <w:rPr>
          <w:rFonts w:ascii="Times New Roman;serif" w:hAnsi="Times New Roman;serif"/>
          <w:b w:val="false"/>
          <w:color w:val="000000"/>
          <w:sz w:val="20"/>
        </w:rPr>
        <w:t xml:space="preserve">each as defined in Item 408(a) of Regulation S-K and intended to satisfy the Rule 10b5-1 affirmative defense, adopted, modified, or terminated by our directors or "officers" (as defined in Rule 16a-1(f) under the Exchange Act) during the three months ended June 30, 2026.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70"/>
        <w:gridCol w:w="541"/>
        <w:gridCol w:w="529"/>
        <w:gridCol w:w="239"/>
        <w:gridCol w:w="239"/>
        <w:gridCol w:w="243"/>
        <w:gridCol w:w="419"/>
        <w:gridCol w:w="359"/>
        <w:gridCol w:w="360"/>
        <w:gridCol w:w="336"/>
        <w:gridCol w:w="336"/>
        <w:gridCol w:w="338"/>
        <w:gridCol w:w="232"/>
        <w:gridCol w:w="232"/>
        <w:gridCol w:w="234"/>
        <w:gridCol w:w="675"/>
        <w:gridCol w:w="643"/>
        <w:gridCol w:w="645"/>
        <w:gridCol w:w="854"/>
        <w:gridCol w:w="854"/>
        <w:gridCol w:w="1227"/>
      </w:tblGrid>
      <w:tr>
        <w:trPr/>
        <w:tc>
          <w:tcPr>
            <w:tcW w:w="67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Name/Title</w:t>
            </w:r>
          </w:p>
        </w:tc>
        <w:tc>
          <w:tcPr>
            <w:tcW w:w="7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Action</w:t>
            </w:r>
          </w:p>
        </w:tc>
        <w:tc>
          <w:tcPr>
            <w:tcW w:w="113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Type of Plan</w:t>
            </w:r>
          </w:p>
        </w:tc>
        <w:tc>
          <w:tcPr>
            <w:tcW w:w="101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Adoption Date</w:t>
            </w:r>
          </w:p>
        </w:tc>
        <w:tc>
          <w:tcPr>
            <w:tcW w:w="6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End Date</w:t>
            </w:r>
          </w:p>
        </w:tc>
        <w:tc>
          <w:tcPr>
            <w:tcW w:w="196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Number of Securities to be Sold</w:t>
            </w:r>
          </w:p>
        </w:tc>
        <w:tc>
          <w:tcPr>
            <w:tcW w:w="293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Plan Description</w:t>
            </w:r>
          </w:p>
        </w:tc>
      </w:tr>
      <w:tr>
        <w:trPr/>
        <w:tc>
          <w:tcPr>
            <w:tcW w:w="174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Brian Bonnell, Chief Financial Officer</w:t>
            </w:r>
          </w:p>
        </w:tc>
        <w:tc>
          <w:tcPr>
            <w:tcW w:w="7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Adopted</w:t>
            </w:r>
          </w:p>
        </w:tc>
        <w:tc>
          <w:tcPr>
            <w:tcW w:w="113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Rule 10b5-1 trading plan</w:t>
            </w:r>
          </w:p>
        </w:tc>
        <w:tc>
          <w:tcPr>
            <w:tcW w:w="101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1, 2026</w:t>
            </w:r>
          </w:p>
        </w:tc>
        <w:tc>
          <w:tcPr>
            <w:tcW w:w="6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1, 2027</w:t>
            </w:r>
          </w:p>
        </w:tc>
        <w:tc>
          <w:tcPr>
            <w:tcW w:w="131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24,535 </w:t>
            </w:r>
          </w:p>
        </w:tc>
        <w:tc>
          <w:tcPr>
            <w:tcW w:w="64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vested time-based and performance-based restricted shares.</w:t>
            </w:r>
          </w:p>
        </w:tc>
      </w:tr>
      <w:tr>
        <w:trPr/>
        <w:tc>
          <w:tcPr>
            <w:tcW w:w="174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Virginia Sanzone, CVP, General Counsel</w:t>
            </w:r>
          </w:p>
        </w:tc>
        <w:tc>
          <w:tcPr>
            <w:tcW w:w="72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Adopted</w:t>
            </w:r>
          </w:p>
        </w:tc>
        <w:tc>
          <w:tcPr>
            <w:tcW w:w="1138"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Rule 10b5-1 trading plan</w:t>
            </w:r>
          </w:p>
        </w:tc>
        <w:tc>
          <w:tcPr>
            <w:tcW w:w="101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4, 2026</w:t>
            </w:r>
          </w:p>
        </w:tc>
        <w:tc>
          <w:tcPr>
            <w:tcW w:w="698"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4, 2027</w:t>
            </w:r>
          </w:p>
        </w:tc>
        <w:tc>
          <w:tcPr>
            <w:tcW w:w="1318"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4,856 </w:t>
            </w:r>
          </w:p>
        </w:tc>
        <w:tc>
          <w:tcPr>
            <w:tcW w:w="64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vested time-based and performance-based restricted shares.</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as disclosed above, no other officer (as defined in Rule 16a-1(f) under the Exchange Act) or director of the Company adopted, modified, or terminated a "Rule 10b5-1 trading arrangement" or “non-Rule 10b5-1 trading arrangement,” each as defined in Item 408(a) of Regulation S-K.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6. Exhibits</w:t>
      </w:r>
    </w:p>
    <w:p>
      <w:pPr>
        <w:pStyle w:val="TextBody"/>
        <w:bidi w:val="0"/>
        <w:spacing w:before="100" w:after="100"/>
        <w:jc w:val="left"/>
        <w:rPr/>
      </w:pPr>
      <w:r>
        <w:rPr/>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45"/>
        <w:gridCol w:w="303"/>
        <w:gridCol w:w="304"/>
        <w:gridCol w:w="109"/>
        <w:gridCol w:w="109"/>
        <w:gridCol w:w="109"/>
        <w:gridCol w:w="2794"/>
        <w:gridCol w:w="2557"/>
        <w:gridCol w:w="2566"/>
        <w:gridCol w:w="294"/>
        <w:gridCol w:w="294"/>
        <w:gridCol w:w="421"/>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Exhibit Description </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sz w:val="20"/>
              </w:rPr>
              <w:br/>
            </w:r>
            <w:r>
              <w:rPr>
                <w:rFonts w:ascii="Times New Roman;serif" w:hAnsi="Times New Roman;serif"/>
                <w:b/>
                <w:color w:val="000000"/>
                <w:sz w:val="20"/>
              </w:rPr>
              <w:t>Filed/</w:t>
              <w:br/>
              <w:t>Furnished</w:t>
              <w:br/>
              <w:t>Herewith</w:t>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
              <w:r>
                <w:rPr>
                  <w:rStyle w:val="InternetLink"/>
                  <w:rFonts w:ascii="Times New Roman;serif" w:hAnsi="Times New Roman;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Sale and Purchase Agreement, dated September 8, 2021, by and between Smiths Group International Holdings Limited, a private limited company incorporated in England and Wales, and ICU Medical, Inc., a Delaware corporation. Filed as an Exhibit to Registrant's Current Report on Form 8-K filed on September 8, 2021 (File No. 001-34634).</w:t>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
              <w:r>
                <w:rPr>
                  <w:rStyle w:val="InternetLink"/>
                  <w:rFonts w:ascii="Times New Roman;serif" w:hAnsi="Times New Roman;serif"/>
                  <w:b w:val="false"/>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Put Option Deed from ICU Medical, Inc., a Delaware corporation to Smiths Group International Holdings Limited, a private limited company incorporated in England and Wales. Filed as an Exhibit to Registrant's Current Report on Form 8-K filed on September 8, 2021 (File No. 001-34634).</w:t>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Times New Roman;serif" w:hAnsi="Times New Roman;serif"/>
                  <w:b w:val="false"/>
                  <w:color w:val="0000FF"/>
                  <w:sz w:val="20"/>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Agreement, dated November 12, 2024, by and between ICU Medical, Inc., a Delaware corporation, ICU Medical Sales, Inc., a Delaware corporation and Otsuka Pharmaceutical Factory America, Inc., a Delaware corporation. Filed as an Exhibit to Registrant’s Quarterly Report on Form 10-Q for the fiscal quarter ended September 30, 2024, filed on November 12, 2024 (File No. 001-34634).</w:t>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Registrant's Certificate of Incorporation, as amended and restated. Filed as an Exhibit to Registrant's Current Report on Form 8-K filed on May 18, 2026 (File No. 001-34634).</w:t>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6">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Registrant's Bylaws, as amended and restated. Filed as an Exhibit to Registrant's Current Report on Form 8-K filed on May 18, 2026 (File No. 001-34634).</w:t>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ui-ex31163026.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302 of the Sarbanes-Oxley Act of 2002</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ui-ex31263026.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302 of the Sarbanes-Oxley Act of 2002</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ui-ex32163026.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Certifications of Chief Executive Officer and Chief Financial Officer pursuant to Section 906 of the Sarbanes-Oxley Act of 2002</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this instance document does not appear in the Interactive Data File because its XBRL tags are embedded within the Inline XBRL document.</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68" w:before="0" w:after="0"/>
        <w:jc w:val="left"/>
        <w:rPr>
          <w:color w:val="000000"/>
        </w:rPr>
      </w:pPr>
      <w:r>
        <w:rPr>
          <w:color w:val="000000"/>
        </w:rPr>
        <w:t xml:space="preserve">† </w:t>
      </w:r>
      <w:r>
        <w:rPr>
          <w:rFonts w:ascii="Times New Roman;serif" w:hAnsi="Times New Roman;serif"/>
          <w:b w:val="false"/>
          <w:color w:val="000000"/>
          <w:sz w:val="20"/>
        </w:rPr>
        <w:t>Pursuant to Item 601(a)(5) of Regulation S-K, certain schedules and similar attachments have been omitted. The registrant hereby agrees to furnish supplementally a copy of any omitted schedule or similar attachment to the SEC upon request.</w:t>
      </w:r>
    </w:p>
    <w:p>
      <w:pPr>
        <w:pStyle w:val="TextBody"/>
        <w:bidi w:val="0"/>
        <w:spacing w:before="0" w:after="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e87f0b1c11dd410f82c801d0d2d43f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ICU Medical, Inc.</w:t>
      </w:r>
    </w:p>
    <w:p>
      <w:pPr>
        <w:pStyle w:val="TextBody"/>
        <w:bidi w:val="0"/>
        <w:spacing w:lineRule="auto" w:line="288" w:before="0" w:after="0"/>
        <w:jc w:val="left"/>
        <w:rPr>
          <w:color w:val="000000"/>
        </w:rPr>
      </w:pPr>
      <w:r>
        <w:rPr>
          <w:color w:val="000000"/>
        </w:rPr>
        <w:t> </w:t>
      </w:r>
    </w:p>
    <w:tbl>
      <w:tblPr>
        <w:tblW w:w="6223" w:type="dxa"/>
        <w:jc w:val="left"/>
        <w:tblInd w:w="0" w:type="dxa"/>
        <w:tblLayout w:type="fixed"/>
        <w:tblCellMar>
          <w:top w:w="28" w:type="dxa"/>
          <w:left w:w="28" w:type="dxa"/>
          <w:bottom w:w="28" w:type="dxa"/>
          <w:right w:w="28" w:type="dxa"/>
        </w:tblCellMar>
      </w:tblPr>
      <w:tblGrid>
        <w:gridCol w:w="1554"/>
        <w:gridCol w:w="1366"/>
        <w:gridCol w:w="1370"/>
        <w:gridCol w:w="179"/>
        <w:gridCol w:w="179"/>
        <w:gridCol w:w="181"/>
        <w:gridCol w:w="407"/>
        <w:gridCol w:w="407"/>
        <w:gridCol w:w="580"/>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M. Bonnell</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4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M. Bonnell</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Authorized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OF CHIEF EXECUTIVE OFFICER 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Vivek Jain,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ICU Medical, Inc.;</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tbl>
      <w:tblPr>
        <w:tblW w:w="397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603"/>
        <w:gridCol w:w="603"/>
        <w:gridCol w:w="86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Vivek Jain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OF CHIEF FINANCIAL OFFICER 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Brian M. Bonnell,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630"/>
        <w:jc w:val="left"/>
        <w:rPr/>
      </w:pPr>
      <w:r>
        <w:rPr>
          <w:rFonts w:ascii="Times New Roman;serif" w:hAnsi="Times New Roman;serif"/>
          <w:b w:val="false"/>
          <w:color w:val="000000"/>
          <w:sz w:val="20"/>
        </w:rPr>
        <w:t>1.</w:t>
      </w:r>
      <w:r>
        <w:rPr>
          <w:color w:val="000000"/>
        </w:rPr>
        <w:t> </w:t>
      </w:r>
      <w:r>
        <w:rPr>
          <w:rFonts w:ascii="Times New Roman;serif" w:hAnsi="Times New Roman;serif"/>
          <w:b w:val="false"/>
          <w:color w:val="000000"/>
          <w:sz w:val="20"/>
        </w:rPr>
        <w:t>I have reviewed this quarterly report on Form 10-Q of ICU Medical, Inc.;</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left"/>
        <w:rPr>
          <w:color w:val="000000"/>
        </w:rPr>
      </w:pPr>
      <w:r>
        <w:rPr>
          <w:color w:val="000000"/>
        </w:rPr>
        <w:t> </w:t>
      </w:r>
    </w:p>
    <w:tbl>
      <w:tblPr>
        <w:tblW w:w="391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587"/>
        <w:gridCol w:w="587"/>
        <w:gridCol w:w="8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M. Bonnell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right"/>
        <w:rPr>
          <w:color w:val="000000"/>
        </w:rPr>
      </w:pPr>
      <w:r>
        <w:rPr>
          <w:color w:val="000000"/>
        </w:rPr>
        <w:t> </w:t>
      </w:r>
    </w:p>
    <w:p>
      <w:pPr>
        <w:pStyle w:val="TextBody"/>
        <w:bidi w:val="0"/>
        <w:ind w:left="0" w:right="0" w:firstLine="72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ICU Medical, Inc. (the “Company”) on Form 10-Q for the period ended June 30, 2026 as filed with the Securities and Exchange Commission on the date hereof (the “Report”), I, Vivek Jain, Chief Executive Officer of the Company, certify, pursuant to 18 U.S.C. §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106" w:type="dxa"/>
        <w:jc w:val="center"/>
        <w:tblInd w:w="0" w:type="dxa"/>
        <w:tblLayout w:type="fixed"/>
        <w:tblCellMar>
          <w:top w:w="28" w:type="dxa"/>
          <w:left w:w="28" w:type="dxa"/>
          <w:bottom w:w="28" w:type="dxa"/>
          <w:right w:w="28" w:type="dxa"/>
        </w:tblCellMar>
      </w:tblPr>
      <w:tblGrid>
        <w:gridCol w:w="493"/>
        <w:gridCol w:w="435"/>
        <w:gridCol w:w="437"/>
        <w:gridCol w:w="109"/>
        <w:gridCol w:w="109"/>
        <w:gridCol w:w="109"/>
        <w:gridCol w:w="703"/>
        <w:gridCol w:w="703"/>
        <w:gridCol w:w="1008"/>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Vivek Jain</w:t>
            </w:r>
          </w:p>
        </w:tc>
      </w:tr>
      <w:tr>
        <w:trPr/>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Vivek Jain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ICU Medical, Inc. (the “Company”) on Form 10-Q for the period ended June 30, 2026 as filed with the Securities and Exchange Commission on the date hereof (the “Report”), I, Brian M. Bonnell, Chief Financial Officer of the Company, certify, pursuant to 18 U.S.C. §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032" w:type="dxa"/>
        <w:jc w:val="center"/>
        <w:tblInd w:w="0" w:type="dxa"/>
        <w:tblLayout w:type="fixed"/>
        <w:tblCellMar>
          <w:top w:w="28" w:type="dxa"/>
          <w:left w:w="28" w:type="dxa"/>
          <w:bottom w:w="28" w:type="dxa"/>
          <w:right w:w="28" w:type="dxa"/>
        </w:tblCellMar>
      </w:tblPr>
      <w:tblGrid>
        <w:gridCol w:w="493"/>
        <w:gridCol w:w="435"/>
        <w:gridCol w:w="437"/>
        <w:gridCol w:w="109"/>
        <w:gridCol w:w="109"/>
        <w:gridCol w:w="109"/>
        <w:gridCol w:w="684"/>
        <w:gridCol w:w="684"/>
        <w:gridCol w:w="972"/>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M. Bonnell</w:t>
            </w:r>
          </w:p>
        </w:tc>
      </w:tr>
      <w:tr>
        <w:trPr/>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M. Bonnell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883984/000119312521267387/d228927dex21.htm" TargetMode="External"/><Relationship Id="rId3" Type="http://schemas.openxmlformats.org/officeDocument/2006/relationships/hyperlink" Target="https://www.sec.gov/Archives/edgar/data/883984/000119312521267387/d228927dex22.htm" TargetMode="External"/><Relationship Id="rId4" Type="http://schemas.openxmlformats.org/officeDocument/2006/relationships/hyperlink" Target="https://www.sec.gov/Archives/edgar/data/883984/000088398424000042/exhibit23.htm" TargetMode="External"/><Relationship Id="rId5" Type="http://schemas.openxmlformats.org/officeDocument/2006/relationships/hyperlink" Target="https://www.sec.gov/Archives/edgar/data/883984/000088398414000046/exhibitamendedandrestatedc.htm" TargetMode="External"/><Relationship Id="rId6" Type="http://schemas.openxmlformats.org/officeDocument/2006/relationships/hyperlink" Target="https://www.sec.gov/Archives/edgar/data/883984/000088398423000034/exhibit31_8-k103023.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28456</Words>
  <Characters>157891</Characters>
  <CharactersWithSpaces>184750</CharactersWithSpaces>
  <Paragraphs>3645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