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289"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2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2019</w:t>
      </w:r>
    </w:p>
    <w:p>
      <w:pPr>
        <w:spacing w:after="0" w:line="25" w:lineRule="exact"/>
        <w:rPr>
          <w:sz w:val="24"/>
          <w:szCs w:val="24"/>
          <w:color w:val="auto"/>
        </w:rPr>
      </w:pPr>
    </w:p>
    <w:p>
      <w:pPr>
        <w:ind w:left="566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61"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9" w:lineRule="exact"/>
        <w:rPr>
          <w:sz w:val="24"/>
          <w:szCs w:val="24"/>
          <w:color w:val="auto"/>
        </w:rPr>
      </w:pPr>
    </w:p>
    <w:p>
      <w:pPr>
        <w:ind w:left="4280"/>
        <w:spacing w:after="0"/>
        <w:tabs>
          <w:tab w:leader="none" w:pos="69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94"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6"/>
          <w:szCs w:val="16"/>
          <w:b w:val="1"/>
          <w:bCs w:val="1"/>
          <w:color w:val="auto"/>
        </w:rPr>
        <w:t>Commission File No.: 001-34634</w:t>
      </w:r>
    </w:p>
    <w:p>
      <w:pPr>
        <w:spacing w:after="0" w:line="113"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ICU MEDICAL, INC.</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320"/>
          </w:cols>
          <w:pgMar w:left="240" w:top="232"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33-0022692</w:t>
      </w:r>
    </w:p>
    <w:p>
      <w:pPr>
        <w:spacing w:after="0" w:line="75" w:lineRule="exact"/>
        <w:rPr>
          <w:sz w:val="24"/>
          <w:szCs w:val="24"/>
          <w:color w:val="auto"/>
        </w:rPr>
      </w:pPr>
    </w:p>
    <w:p>
      <w:pPr>
        <w:sectPr>
          <w:pgSz w:w="11900" w:h="16838" w:orient="portrait"/>
          <w:cols w:equalWidth="0" w:num="2">
            <w:col w:w="7480" w:space="720"/>
            <w:col w:w="3120"/>
          </w:cols>
          <w:pgMar w:left="240" w:top="232" w:right="33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73" w:lineRule="exact"/>
        <w:rPr>
          <w:sz w:val="24"/>
          <w:szCs w:val="24"/>
          <w:color w:val="auto"/>
        </w:rPr>
      </w:pPr>
    </w:p>
    <w:p>
      <w:pPr>
        <w:sectPr>
          <w:pgSz w:w="11900" w:h="16838" w:orient="portrait"/>
          <w:cols w:equalWidth="0" w:num="2">
            <w:col w:w="7320" w:space="720"/>
            <w:col w:w="3280"/>
          </w:cols>
          <w:pgMar w:left="240" w:top="232" w:right="3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2">
            <w:col w:w="7260" w:space="720"/>
            <w:col w:w="3340"/>
          </w:cols>
          <w:pgMar w:left="240" w:top="232" w:right="339" w:bottom="1440" w:gutter="0" w:footer="0" w:header="0"/>
          <w:type w:val="continuous"/>
        </w:sectPr>
      </w:pPr>
    </w:p>
    <w:p>
      <w:pPr>
        <w:spacing w:after="0" w:line="114"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6"/>
          <w:szCs w:val="16"/>
          <w:b w:val="1"/>
          <w:bCs w:val="1"/>
          <w:color w:val="auto"/>
        </w:rPr>
        <w:t>951 Calle Amanecer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San Clemente</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California</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92673</w:t>
      </w:r>
    </w:p>
    <w:p>
      <w:pPr>
        <w:spacing w:after="0" w:line="88" w:lineRule="exact"/>
        <w:rPr>
          <w:sz w:val="24"/>
          <w:szCs w:val="24"/>
          <w:color w:val="auto"/>
        </w:rPr>
      </w:pPr>
    </w:p>
    <w:p>
      <w:pPr>
        <w:sectPr>
          <w:pgSz w:w="11900" w:h="16838" w:orient="portrait"/>
          <w:cols w:equalWidth="0" w:num="6">
            <w:col w:w="2760" w:space="340"/>
            <w:col w:w="40" w:space="220"/>
            <w:col w:w="940" w:space="220"/>
            <w:col w:w="40" w:space="360"/>
            <w:col w:w="2460" w:space="720"/>
            <w:col w:w="3220"/>
          </w:cols>
          <w:pgMar w:left="240" w:top="232" w:right="339" w:bottom="1440" w:gutter="0" w:footer="0" w:header="0"/>
          <w:type w:val="continuous"/>
        </w:sectPr>
      </w:pPr>
    </w:p>
    <w:p>
      <w:pPr>
        <w:ind w:left="222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57" w:lineRule="exact"/>
        <w:rPr>
          <w:sz w:val="24"/>
          <w:szCs w:val="24"/>
          <w:color w:val="auto"/>
        </w:rPr>
      </w:pPr>
    </w:p>
    <w:p>
      <w:pPr>
        <w:sectPr>
          <w:pgSz w:w="11900" w:h="16838" w:orient="portrait"/>
          <w:cols w:equalWidth="0" w:num="2">
            <w:col w:w="7220" w:space="720"/>
            <w:col w:w="3380"/>
          </w:cols>
          <w:pgMar w:left="240" w:top="232" w:right="33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(949) 366-2183</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ectPr>
          <w:pgSz w:w="11900" w:h="16838" w:orient="portrait"/>
          <w:cols w:equalWidth="0" w:num="1">
            <w:col w:w="11320"/>
          </w:cols>
          <w:pgMar w:left="240" w:top="232" w:right="339" w:bottom="1440" w:gutter="0" w:footer="0" w:header="0"/>
          <w:type w:val="continuous"/>
        </w:sectPr>
      </w:pPr>
    </w:p>
    <w:p>
      <w:pPr>
        <w:spacing w:after="0" w:line="176" w:lineRule="exact"/>
        <w:rPr>
          <w:sz w:val="24"/>
          <w:szCs w:val="24"/>
          <w:color w:val="auto"/>
        </w:rPr>
      </w:pPr>
    </w:p>
    <w:p>
      <w:pPr>
        <w:ind w:right="80" w:firstLine="324"/>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o</w:t>
      </w:r>
    </w:p>
    <w:p>
      <w:pPr>
        <w:spacing w:after="0" w:line="151" w:lineRule="exact"/>
        <w:rPr>
          <w:sz w:val="24"/>
          <w:szCs w:val="24"/>
          <w:color w:val="auto"/>
        </w:rPr>
      </w:pPr>
    </w:p>
    <w:p>
      <w:pPr>
        <w:ind w:right="16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o</w:t>
      </w:r>
    </w:p>
    <w:p>
      <w:pPr>
        <w:spacing w:after="0" w:line="150" w:lineRule="exact"/>
        <w:rPr>
          <w:sz w:val="24"/>
          <w:szCs w:val="24"/>
          <w:color w:val="auto"/>
        </w:rPr>
      </w:pPr>
    </w:p>
    <w:p>
      <w:pPr>
        <w:ind w:firstLine="324"/>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20"/>
          </w:cols>
          <w:pgMar w:left="240" w:top="232" w:right="339" w:bottom="1440" w:gutter="0" w:footer="0" w:header="0"/>
          <w:type w:val="continuous"/>
        </w:sectPr>
      </w:pPr>
    </w:p>
    <w:p>
      <w:pPr>
        <w:spacing w:after="0" w:line="200" w:lineRule="exact"/>
        <w:rPr>
          <w:sz w:val="24"/>
          <w:szCs w:val="24"/>
          <w:color w:val="auto"/>
        </w:rPr>
      </w:pPr>
    </w:p>
    <w:p>
      <w:pPr>
        <w:spacing w:after="0" w:line="330"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 o</w:t>
      </w:r>
    </w:p>
    <w:p>
      <w:pPr>
        <w:spacing w:after="0" w:line="161" w:lineRule="exact"/>
        <w:rPr>
          <w:sz w:val="24"/>
          <w:szCs w:val="24"/>
          <w:color w:val="auto"/>
        </w:rPr>
      </w:pPr>
    </w:p>
    <w:p>
      <w:pPr>
        <w:sectPr>
          <w:pgSz w:w="11900" w:h="16838" w:orient="portrait"/>
          <w:cols w:equalWidth="0" w:num="3">
            <w:col w:w="2900" w:space="720"/>
            <w:col w:w="3840" w:space="720"/>
            <w:col w:w="3140"/>
          </w:cols>
          <w:pgMar w:left="240" w:top="232" w:right="339" w:bottom="1440" w:gutter="0" w:footer="0" w:header="0"/>
          <w:type w:val="continuous"/>
        </w:sectPr>
      </w:pPr>
    </w:p>
    <w:p>
      <w:pPr>
        <w:spacing w:after="0" w:line="47"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3">
            <w:col w:w="6940" w:space="720"/>
            <w:col w:w="2520" w:space="720"/>
            <w:col w:w="420"/>
          </w:cols>
          <w:pgMar w:left="240" w:top="232" w:right="339" w:bottom="1440" w:gutter="0" w:footer="0" w:header="0"/>
          <w:type w:val="continuous"/>
        </w:sectPr>
      </w:pPr>
    </w:p>
    <w:p>
      <w:pPr>
        <w:spacing w:after="0" w:line="47" w:lineRule="exact"/>
        <w:rPr>
          <w:sz w:val="24"/>
          <w:szCs w:val="24"/>
          <w:color w:val="auto"/>
        </w:rPr>
      </w:pPr>
    </w:p>
    <w:p>
      <w:pPr>
        <w:ind w:left="766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0" w:lineRule="exact"/>
        <w:rPr>
          <w:sz w:val="24"/>
          <w:szCs w:val="24"/>
          <w:color w:val="auto"/>
        </w:rPr>
      </w:pPr>
    </w:p>
    <w:p>
      <w:pPr>
        <w:sectPr>
          <w:pgSz w:w="11900" w:h="16838" w:orient="portrait"/>
          <w:cols w:equalWidth="0" w:num="2">
            <w:col w:w="10180" w:space="720"/>
            <w:col w:w="420"/>
          </w:cols>
          <w:pgMar w:left="240" w:top="232" w:right="339" w:bottom="1440" w:gutter="0" w:footer="0" w:header="0"/>
          <w:type w:val="continuous"/>
        </w:sectPr>
      </w:pPr>
    </w:p>
    <w:p>
      <w:pPr>
        <w:spacing w:after="0" w:line="35" w:lineRule="exact"/>
        <w:rPr>
          <w:sz w:val="24"/>
          <w:szCs w:val="24"/>
          <w:color w:val="auto"/>
        </w:rPr>
      </w:pPr>
    </w:p>
    <w:p>
      <w:pPr>
        <w:ind w:right="300" w:firstLine="365"/>
        <w:spacing w:after="0" w:line="281"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0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8"/>
          <w:szCs w:val="18"/>
          <w:color w:val="auto"/>
        </w:rPr>
        <w:t>☒</w:t>
      </w:r>
    </w:p>
    <w:p>
      <w:pPr>
        <w:spacing w:after="0" w:line="23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65" w:lineRule="exact"/>
        <w:rPr>
          <w:sz w:val="24"/>
          <w:szCs w:val="24"/>
          <w:color w:val="auto"/>
        </w:rPr>
      </w:pPr>
    </w:p>
    <w:tbl>
      <w:tblPr>
        <w:tblLayout w:type="fixed"/>
        <w:tblInd w:w="200" w:type="dxa"/>
        <w:tblCellMar>
          <w:top w:w="0" w:type="dxa"/>
          <w:left w:w="0" w:type="dxa"/>
          <w:bottom w:w="0" w:type="dxa"/>
          <w:right w:w="0" w:type="dxa"/>
        </w:tblCellMar>
      </w:tblPr>
      <w:tr>
        <w:trPr>
          <w:trHeight w:val="212"/>
        </w:trPr>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3"/>
        </w:trPr>
        <w:tc>
          <w:tcPr>
            <w:tcW w:w="34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17"/>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33"/>
        </w:trPr>
        <w:tc>
          <w:tcPr>
            <w:tcW w:w="3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17"/>
        </w:trPr>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$0.10 per share</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ICUI</w:t>
            </w:r>
          </w:p>
        </w:tc>
        <w:tc>
          <w:tcPr>
            <w:tcW w:w="5520" w:type="dxa"/>
            <w:vAlign w:val="bottom"/>
          </w:tcPr>
          <w:p>
            <w:pPr>
              <w:ind w:left="3980"/>
              <w:spacing w:after="0"/>
              <w:rPr>
                <w:sz w:val="20"/>
                <w:szCs w:val="20"/>
                <w:color w:val="auto"/>
              </w:rPr>
            </w:pPr>
            <w:r>
              <w:rPr>
                <w:rFonts w:ascii="Times New Roman" w:cs="Times New Roman" w:eastAsia="Times New Roman" w:hAnsi="Times New Roman"/>
                <w:sz w:val="16"/>
                <w:szCs w:val="16"/>
                <w:color w:val="auto"/>
              </w:rPr>
              <w:t>(Global Select Market)</w:t>
            </w:r>
          </w:p>
        </w:tc>
      </w:tr>
    </w:tbl>
    <w:p>
      <w:pPr>
        <w:spacing w:after="0" w:line="20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208" w:lineRule="exact"/>
        <w:rPr>
          <w:sz w:val="24"/>
          <w:szCs w:val="24"/>
          <w:color w:val="auto"/>
        </w:rPr>
      </w:pPr>
    </w:p>
    <w:tbl>
      <w:tblPr>
        <w:tblLayout w:type="fixed"/>
        <w:tblInd w:w="200" w:type="dxa"/>
        <w:tblCellMar>
          <w:top w:w="0" w:type="dxa"/>
          <w:left w:w="0" w:type="dxa"/>
          <w:bottom w:w="0" w:type="dxa"/>
          <w:right w:w="0" w:type="dxa"/>
        </w:tblCellMar>
      </w:tblPr>
      <w:tr>
        <w:trPr>
          <w:trHeight w:val="212"/>
        </w:trPr>
        <w:tc>
          <w:tcPr>
            <w:tcW w:w="5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at October 31, 2019</w:t>
            </w:r>
          </w:p>
        </w:tc>
      </w:tr>
      <w:tr>
        <w:trPr>
          <w:trHeight w:val="33"/>
        </w:trPr>
        <w:tc>
          <w:tcPr>
            <w:tcW w:w="53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r>
      <w:tr>
        <w:trPr>
          <w:trHeight w:val="217"/>
        </w:trPr>
        <w:tc>
          <w:tcPr>
            <w:tcW w:w="5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Common</w:t>
            </w:r>
          </w:p>
        </w:tc>
        <w:tc>
          <w:tcPr>
            <w:tcW w:w="5300" w:type="dxa"/>
            <w:vAlign w:val="bottom"/>
          </w:tcPr>
          <w:p>
            <w:pPr>
              <w:jc w:val="right"/>
              <w:ind w:right="2219"/>
              <w:spacing w:after="0"/>
              <w:rPr>
                <w:sz w:val="20"/>
                <w:szCs w:val="20"/>
                <w:color w:val="auto"/>
              </w:rPr>
            </w:pPr>
            <w:r>
              <w:rPr>
                <w:rFonts w:ascii="Times New Roman" w:cs="Times New Roman" w:eastAsia="Times New Roman" w:hAnsi="Times New Roman"/>
                <w:sz w:val="16"/>
                <w:szCs w:val="16"/>
                <w:color w:val="auto"/>
              </w:rPr>
              <w:t>20,673,333</w:t>
            </w:r>
          </w:p>
        </w:tc>
      </w:tr>
    </w:tbl>
    <w:p>
      <w:pPr>
        <w:sectPr>
          <w:pgSz w:w="11900" w:h="16838" w:orient="portrait"/>
          <w:cols w:equalWidth="0" w:num="1">
            <w:col w:w="11320"/>
          </w:cols>
          <w:pgMar w:left="240" w:top="232" w:right="33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8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9"/>
              </w:rPr>
              <w:t>PART I.</w:t>
            </w: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Financial Information</w:t>
            </w:r>
          </w:p>
        </w:tc>
        <w:tc>
          <w:tcPr>
            <w:tcW w:w="6380" w:type="dxa"/>
            <w:vAlign w:val="bottom"/>
          </w:tcPr>
          <w:p>
            <w:pPr>
              <w:spacing w:after="0"/>
              <w:rPr>
                <w:sz w:val="22"/>
                <w:szCs w:val="22"/>
                <w:color w:val="auto"/>
              </w:rPr>
            </w:pPr>
          </w:p>
        </w:tc>
        <w:tc>
          <w:tcPr>
            <w:tcW w:w="13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 Number</w:t>
            </w:r>
          </w:p>
        </w:tc>
        <w:tc>
          <w:tcPr>
            <w:tcW w:w="0" w:type="dxa"/>
            <w:vAlign w:val="bottom"/>
          </w:tcPr>
          <w:p>
            <w:pPr>
              <w:spacing w:after="0"/>
              <w:rPr>
                <w:sz w:val="1"/>
                <w:szCs w:val="1"/>
                <w:color w:val="auto"/>
              </w:rPr>
            </w:pPr>
          </w:p>
        </w:tc>
      </w:tr>
      <w:tr>
        <w:trPr>
          <w:trHeight w:val="48"/>
        </w:trPr>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4"/>
            <w:vMerge w:val="restart"/>
          </w:tcPr>
          <w:p>
            <w:pPr>
              <w:ind w:left="124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7"/>
        </w:trPr>
        <w:tc>
          <w:tcPr>
            <w:tcW w:w="700" w:type="dxa"/>
            <w:vAlign w:val="bottom"/>
            <w:gridSpan w:val="3"/>
            <w:vMerge w:val="continue"/>
          </w:tcPr>
          <w:p>
            <w:pPr>
              <w:spacing w:after="0"/>
              <w:rPr>
                <w:sz w:val="24"/>
                <w:szCs w:val="24"/>
                <w:color w:val="auto"/>
              </w:rPr>
            </w:pPr>
          </w:p>
        </w:tc>
        <w:tc>
          <w:tcPr>
            <w:tcW w:w="9320" w:type="dxa"/>
            <w:vAlign w:val="bottom"/>
            <w:gridSpan w:val="4"/>
            <w:vMerge w:val="continue"/>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Condensed Consolidated Balance Sheets, at September 30, 2019 and December 31, 2018</w:t>
            </w:r>
          </w:p>
        </w:tc>
        <w:tc>
          <w:tcPr>
            <w:tcW w:w="136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Condensed Consolidated Statements of Operations for the Three and Nine Months Ended September 30,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32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2019 and 2018</w:t>
            </w:r>
          </w:p>
        </w:tc>
        <w:tc>
          <w:tcPr>
            <w:tcW w:w="136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4</w:t>
              </w:r>
            </w:hyperlink>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for the Three and Nine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32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September 30, 2019 and 2018</w:t>
            </w:r>
          </w:p>
        </w:tc>
        <w:tc>
          <w:tcPr>
            <w:tcW w:w="136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for the Three and Nine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32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September 30, 2019 and 2018</w:t>
            </w:r>
          </w:p>
        </w:tc>
        <w:tc>
          <w:tcPr>
            <w:tcW w:w="1360" w:type="dxa"/>
            <w:vAlign w:val="bottom"/>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6</w:t>
              </w:r>
            </w:hyperlink>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Nine Months Ended September 30, 2019 and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360" w:type="dxa"/>
            <w:vAlign w:val="bottom"/>
          </w:tcPr>
          <w:p>
            <w:pPr>
              <w:jc w:val="right"/>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8</w:t>
              </w:r>
            </w:hyperlink>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rFonts w:ascii="Times New Roman" w:cs="Times New Roman" w:eastAsia="Times New Roman" w:hAnsi="Times New Roman"/>
                <w:sz w:val="18"/>
                <w:szCs w:val="18"/>
                <w:color w:val="auto"/>
              </w:rPr>
            </w:pPr>
            <w:hyperlink w:anchor="page10">
              <w:r>
                <w:rPr>
                  <w:rFonts w:ascii="Times New Roman" w:cs="Times New Roman" w:eastAsia="Times New Roman" w:hAnsi="Times New Roman"/>
                  <w:sz w:val="18"/>
                  <w:szCs w:val="18"/>
                  <w:color w:val="auto"/>
                </w:rPr>
                <w:t>Notes to Condensed Consolidated Financial Statements</w:t>
              </w:r>
            </w:hyperlink>
          </w:p>
        </w:tc>
        <w:tc>
          <w:tcPr>
            <w:tcW w:w="1360" w:type="dxa"/>
            <w:vAlign w:val="bottom"/>
          </w:tcPr>
          <w:p>
            <w:pPr>
              <w:jc w:val="right"/>
              <w:spacing w:after="0"/>
              <w:rPr>
                <w:rFonts w:ascii="Times New Roman" w:cs="Times New Roman" w:eastAsia="Times New Roman" w:hAnsi="Times New Roman"/>
                <w:sz w:val="18"/>
                <w:szCs w:val="18"/>
                <w:color w:val="auto"/>
              </w:rPr>
            </w:pPr>
            <w:hyperlink w:anchor="page10">
              <w:r>
                <w:rPr>
                  <w:rFonts w:ascii="Times New Roman" w:cs="Times New Roman" w:eastAsia="Times New Roman" w:hAnsi="Times New Roman"/>
                  <w:sz w:val="18"/>
                  <w:szCs w:val="18"/>
                  <w:color w:val="auto"/>
                </w:rPr>
                <w:t>10</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4"/>
          </w:tcPr>
          <w:p>
            <w:pPr>
              <w:ind w:left="1240"/>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Management’s Discussion and Analysis of Financial Condition and Results of Operations</w:t>
              </w:r>
            </w:hyperlink>
          </w:p>
        </w:tc>
        <w:tc>
          <w:tcPr>
            <w:tcW w:w="1360" w:type="dxa"/>
            <w:vAlign w:val="bottom"/>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28</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9320" w:type="dxa"/>
            <w:vAlign w:val="bottom"/>
            <w:gridSpan w:val="4"/>
          </w:tcPr>
          <w:p>
            <w:pPr>
              <w:ind w:left="1240"/>
              <w:spacing w:after="0"/>
              <w:rPr>
                <w:rFonts w:ascii="Times New Roman" w:cs="Times New Roman" w:eastAsia="Times New Roman" w:hAnsi="Times New Roman"/>
                <w:sz w:val="18"/>
                <w:szCs w:val="18"/>
                <w:color w:val="auto"/>
              </w:rPr>
            </w:pPr>
            <w:hyperlink w:anchor="page41">
              <w:r>
                <w:rPr>
                  <w:rFonts w:ascii="Times New Roman" w:cs="Times New Roman" w:eastAsia="Times New Roman" w:hAnsi="Times New Roman"/>
                  <w:sz w:val="18"/>
                  <w:szCs w:val="18"/>
                  <w:color w:val="auto"/>
                </w:rPr>
                <w:t>Quantitative and Qualitative Disclosures About Market Risk</w:t>
              </w:r>
            </w:hyperlink>
          </w:p>
        </w:tc>
        <w:tc>
          <w:tcPr>
            <w:tcW w:w="1360" w:type="dxa"/>
            <w:vAlign w:val="bottom"/>
          </w:tcPr>
          <w:p>
            <w:pPr>
              <w:jc w:val="right"/>
              <w:spacing w:after="0"/>
              <w:rPr>
                <w:rFonts w:ascii="Times New Roman" w:cs="Times New Roman" w:eastAsia="Times New Roman" w:hAnsi="Times New Roman"/>
                <w:sz w:val="18"/>
                <w:szCs w:val="18"/>
                <w:color w:val="auto"/>
              </w:rPr>
            </w:pPr>
            <w:hyperlink w:anchor="page41">
              <w:r>
                <w:rPr>
                  <w:rFonts w:ascii="Times New Roman" w:cs="Times New Roman" w:eastAsia="Times New Roman" w:hAnsi="Times New Roman"/>
                  <w:sz w:val="18"/>
                  <w:szCs w:val="18"/>
                  <w:color w:val="auto"/>
                </w:rPr>
                <w:t>41</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4"/>
          </w:tcPr>
          <w:p>
            <w:pPr>
              <w:ind w:left="1240"/>
              <w:spacing w:after="0"/>
              <w:rPr>
                <w:rFonts w:ascii="Times New Roman" w:cs="Times New Roman" w:eastAsia="Times New Roman" w:hAnsi="Times New Roman"/>
                <w:sz w:val="18"/>
                <w:szCs w:val="18"/>
                <w:color w:val="auto"/>
              </w:rPr>
            </w:pPr>
            <w:hyperlink w:anchor="page41">
              <w:r>
                <w:rPr>
                  <w:rFonts w:ascii="Times New Roman" w:cs="Times New Roman" w:eastAsia="Times New Roman" w:hAnsi="Times New Roman"/>
                  <w:sz w:val="18"/>
                  <w:szCs w:val="18"/>
                  <w:color w:val="auto"/>
                </w:rPr>
                <w:t>Controls and Procedures</w:t>
              </w:r>
            </w:hyperlink>
          </w:p>
        </w:tc>
        <w:tc>
          <w:tcPr>
            <w:tcW w:w="1360" w:type="dxa"/>
            <w:vAlign w:val="bottom"/>
          </w:tcPr>
          <w:p>
            <w:pPr>
              <w:jc w:val="right"/>
              <w:spacing w:after="0"/>
              <w:rPr>
                <w:rFonts w:ascii="Times New Roman" w:cs="Times New Roman" w:eastAsia="Times New Roman" w:hAnsi="Times New Roman"/>
                <w:sz w:val="18"/>
                <w:szCs w:val="18"/>
                <w:color w:val="auto"/>
              </w:rPr>
            </w:pPr>
            <w:hyperlink w:anchor="page41">
              <w:r>
                <w:rPr>
                  <w:rFonts w:ascii="Times New Roman" w:cs="Times New Roman" w:eastAsia="Times New Roman" w:hAnsi="Times New Roman"/>
                  <w:sz w:val="18"/>
                  <w:szCs w:val="18"/>
                  <w:color w:val="auto"/>
                </w:rPr>
                <w:t>41</w:t>
              </w:r>
            </w:hyperlink>
          </w:p>
        </w:tc>
        <w:tc>
          <w:tcPr>
            <w:tcW w:w="0" w:type="dxa"/>
            <w:vAlign w:val="bottom"/>
          </w:tcPr>
          <w:p>
            <w:pPr>
              <w:spacing w:after="0"/>
              <w:rPr>
                <w:sz w:val="1"/>
                <w:szCs w:val="1"/>
                <w:color w:val="auto"/>
              </w:rPr>
            </w:pPr>
          </w:p>
        </w:tc>
      </w:tr>
      <w:tr>
        <w:trPr>
          <w:trHeight w:val="500"/>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9320" w:type="dxa"/>
            <w:vAlign w:val="bottom"/>
            <w:gridSpan w:val="4"/>
          </w:tcPr>
          <w:p>
            <w:pPr>
              <w:ind w:left="1240"/>
              <w:spacing w:after="0"/>
              <w:rPr>
                <w:rFonts w:ascii="Times New Roman" w:cs="Times New Roman" w:eastAsia="Times New Roman" w:hAnsi="Times New Roman"/>
                <w:sz w:val="18"/>
                <w:szCs w:val="18"/>
                <w:b w:val="1"/>
                <w:bCs w:val="1"/>
                <w:color w:val="auto"/>
              </w:rPr>
            </w:pPr>
            <w:hyperlink w:anchor="page41">
              <w:r>
                <w:rPr>
                  <w:rFonts w:ascii="Times New Roman" w:cs="Times New Roman" w:eastAsia="Times New Roman" w:hAnsi="Times New Roman"/>
                  <w:sz w:val="18"/>
                  <w:szCs w:val="18"/>
                  <w:b w:val="1"/>
                  <w:bCs w:val="1"/>
                  <w:color w:val="auto"/>
                </w:rPr>
                <w:t>Other Information</w:t>
              </w:r>
            </w:hyperlink>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4"/>
          </w:tcPr>
          <w:p>
            <w:pPr>
              <w:ind w:left="1240"/>
              <w:spacing w:after="0"/>
              <w:rPr>
                <w:rFonts w:ascii="Times New Roman" w:cs="Times New Roman" w:eastAsia="Times New Roman" w:hAnsi="Times New Roman"/>
                <w:sz w:val="18"/>
                <w:szCs w:val="18"/>
                <w:color w:val="auto"/>
              </w:rPr>
            </w:pPr>
            <w:hyperlink w:anchor="page41">
              <w:r>
                <w:rPr>
                  <w:rFonts w:ascii="Times New Roman" w:cs="Times New Roman" w:eastAsia="Times New Roman" w:hAnsi="Times New Roman"/>
                  <w:sz w:val="18"/>
                  <w:szCs w:val="18"/>
                  <w:color w:val="auto"/>
                </w:rPr>
                <w:t>Legal Proceedings</w:t>
              </w:r>
            </w:hyperlink>
          </w:p>
        </w:tc>
        <w:tc>
          <w:tcPr>
            <w:tcW w:w="1360" w:type="dxa"/>
            <w:vAlign w:val="bottom"/>
          </w:tcPr>
          <w:p>
            <w:pPr>
              <w:jc w:val="right"/>
              <w:spacing w:after="0"/>
              <w:rPr>
                <w:rFonts w:ascii="Times New Roman" w:cs="Times New Roman" w:eastAsia="Times New Roman" w:hAnsi="Times New Roman"/>
                <w:sz w:val="18"/>
                <w:szCs w:val="18"/>
                <w:color w:val="auto"/>
              </w:rPr>
            </w:pPr>
            <w:hyperlink w:anchor="page41">
              <w:r>
                <w:rPr>
                  <w:rFonts w:ascii="Times New Roman" w:cs="Times New Roman" w:eastAsia="Times New Roman" w:hAnsi="Times New Roman"/>
                  <w:sz w:val="18"/>
                  <w:szCs w:val="18"/>
                  <w:color w:val="auto"/>
                </w:rPr>
                <w:t>41</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Item1A.</w:t>
            </w:r>
          </w:p>
        </w:tc>
        <w:tc>
          <w:tcPr>
            <w:tcW w:w="9320" w:type="dxa"/>
            <w:vAlign w:val="bottom"/>
            <w:gridSpan w:val="4"/>
          </w:tcPr>
          <w:p>
            <w:pPr>
              <w:ind w:left="1240"/>
              <w:spacing w:after="0"/>
              <w:rPr>
                <w:rFonts w:ascii="Times New Roman" w:cs="Times New Roman" w:eastAsia="Times New Roman" w:hAnsi="Times New Roman"/>
                <w:sz w:val="18"/>
                <w:szCs w:val="18"/>
                <w:color w:val="auto"/>
              </w:rPr>
            </w:pPr>
            <w:hyperlink w:anchor="page42">
              <w:r>
                <w:rPr>
                  <w:rFonts w:ascii="Times New Roman" w:cs="Times New Roman" w:eastAsia="Times New Roman" w:hAnsi="Times New Roman"/>
                  <w:sz w:val="18"/>
                  <w:szCs w:val="18"/>
                  <w:color w:val="auto"/>
                </w:rPr>
                <w:t>Risk Factors</w:t>
              </w:r>
            </w:hyperlink>
          </w:p>
        </w:tc>
        <w:tc>
          <w:tcPr>
            <w:tcW w:w="1360" w:type="dxa"/>
            <w:vAlign w:val="bottom"/>
          </w:tcPr>
          <w:p>
            <w:pPr>
              <w:jc w:val="right"/>
              <w:spacing w:after="0"/>
              <w:rPr>
                <w:rFonts w:ascii="Times New Roman" w:cs="Times New Roman" w:eastAsia="Times New Roman" w:hAnsi="Times New Roman"/>
                <w:sz w:val="18"/>
                <w:szCs w:val="18"/>
                <w:color w:val="auto"/>
              </w:rPr>
            </w:pPr>
            <w:hyperlink w:anchor="page42">
              <w:r>
                <w:rPr>
                  <w:rFonts w:ascii="Times New Roman" w:cs="Times New Roman" w:eastAsia="Times New Roman" w:hAnsi="Times New Roman"/>
                  <w:sz w:val="18"/>
                  <w:szCs w:val="18"/>
                  <w:color w:val="auto"/>
                </w:rPr>
                <w:t>42</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4"/>
          </w:tcPr>
          <w:p>
            <w:pPr>
              <w:ind w:left="1240"/>
              <w:spacing w:after="0"/>
              <w:rPr>
                <w:rFonts w:ascii="Times New Roman" w:cs="Times New Roman" w:eastAsia="Times New Roman" w:hAnsi="Times New Roman"/>
                <w:sz w:val="18"/>
                <w:szCs w:val="18"/>
                <w:color w:val="auto"/>
              </w:rPr>
            </w:pPr>
            <w:hyperlink w:anchor="page42">
              <w:r>
                <w:rPr>
                  <w:rFonts w:ascii="Times New Roman" w:cs="Times New Roman" w:eastAsia="Times New Roman" w:hAnsi="Times New Roman"/>
                  <w:sz w:val="18"/>
                  <w:szCs w:val="18"/>
                  <w:color w:val="auto"/>
                </w:rPr>
                <w:t>Unregistered Sales of Equity Securities and Use of Proceeds</w:t>
              </w:r>
            </w:hyperlink>
          </w:p>
        </w:tc>
        <w:tc>
          <w:tcPr>
            <w:tcW w:w="1360" w:type="dxa"/>
            <w:vAlign w:val="bottom"/>
          </w:tcPr>
          <w:p>
            <w:pPr>
              <w:jc w:val="right"/>
              <w:spacing w:after="0"/>
              <w:rPr>
                <w:rFonts w:ascii="Times New Roman" w:cs="Times New Roman" w:eastAsia="Times New Roman" w:hAnsi="Times New Roman"/>
                <w:sz w:val="18"/>
                <w:szCs w:val="18"/>
                <w:color w:val="auto"/>
              </w:rPr>
            </w:pPr>
            <w:hyperlink w:anchor="page42">
              <w:r>
                <w:rPr>
                  <w:rFonts w:ascii="Times New Roman" w:cs="Times New Roman" w:eastAsia="Times New Roman" w:hAnsi="Times New Roman"/>
                  <w:sz w:val="18"/>
                  <w:szCs w:val="18"/>
                  <w:color w:val="auto"/>
                </w:rPr>
                <w:t>42</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4"/>
          </w:tcPr>
          <w:p>
            <w:pPr>
              <w:ind w:left="1240"/>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Exhibits</w:t>
              </w:r>
            </w:hyperlink>
          </w:p>
        </w:tc>
        <w:tc>
          <w:tcPr>
            <w:tcW w:w="1360" w:type="dxa"/>
            <w:vAlign w:val="bottom"/>
          </w:tcPr>
          <w:p>
            <w:pPr>
              <w:jc w:val="right"/>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43</w:t>
              </w:r>
            </w:hyperlink>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rFonts w:ascii="Times New Roman" w:cs="Times New Roman" w:eastAsia="Times New Roman" w:hAnsi="Times New Roman"/>
                <w:sz w:val="18"/>
                <w:szCs w:val="18"/>
                <w:color w:val="auto"/>
              </w:rPr>
            </w:pPr>
            <w:hyperlink w:anchor="page44">
              <w:r>
                <w:rPr>
                  <w:rFonts w:ascii="Times New Roman" w:cs="Times New Roman" w:eastAsia="Times New Roman" w:hAnsi="Times New Roman"/>
                  <w:sz w:val="18"/>
                  <w:szCs w:val="18"/>
                  <w:color w:val="auto"/>
                </w:rPr>
                <w:t>Signature</w:t>
              </w:r>
            </w:hyperlink>
          </w:p>
        </w:tc>
        <w:tc>
          <w:tcPr>
            <w:tcW w:w="1360" w:type="dxa"/>
            <w:vAlign w:val="bottom"/>
          </w:tcPr>
          <w:p>
            <w:pPr>
              <w:jc w:val="right"/>
              <w:spacing w:after="0"/>
              <w:rPr>
                <w:rFonts w:ascii="Times New Roman" w:cs="Times New Roman" w:eastAsia="Times New Roman" w:hAnsi="Times New Roman"/>
                <w:sz w:val="18"/>
                <w:szCs w:val="18"/>
                <w:color w:val="auto"/>
              </w:rPr>
            </w:pPr>
            <w:hyperlink w:anchor="page44">
              <w:r>
                <w:rPr>
                  <w:rFonts w:ascii="Times New Roman" w:cs="Times New Roman" w:eastAsia="Times New Roman" w:hAnsi="Times New Roman"/>
                  <w:sz w:val="18"/>
                  <w:szCs w:val="18"/>
                  <w:color w:val="auto"/>
                </w:rPr>
                <w:t>44</w:t>
              </w:r>
            </w:hyperlink>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492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49"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u w:val="single" w:color="auto"/>
          <w:color w:val="auto"/>
        </w:rPr>
        <w:t>Item1.</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 (Unaudited)</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ICU MEDICAL,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(In thousands, except par value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21"/>
                <w:szCs w:val="21"/>
                <w:color w:val="auto"/>
              </w:rPr>
            </w:pPr>
          </w:p>
        </w:tc>
        <w:tc>
          <w:tcPr>
            <w:tcW w:w="126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392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315,949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344,781</w:t>
            </w:r>
          </w:p>
        </w:tc>
        <w:tc>
          <w:tcPr>
            <w:tcW w:w="0" w:type="dxa"/>
            <w:vAlign w:val="bottom"/>
          </w:tcPr>
          <w:p>
            <w:pPr>
              <w:spacing w:after="0"/>
              <w:rPr>
                <w:sz w:val="1"/>
                <w:szCs w:val="1"/>
                <w:color w:val="auto"/>
              </w:rPr>
            </w:pPr>
          </w:p>
        </w:tc>
      </w:tr>
      <w:tr>
        <w:trPr>
          <w:trHeight w:val="265"/>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Short-term investment securities</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20,845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37,329</w:t>
            </w:r>
          </w:p>
        </w:tc>
        <w:tc>
          <w:tcPr>
            <w:tcW w:w="0" w:type="dxa"/>
            <w:vAlign w:val="bottom"/>
          </w:tcPr>
          <w:p>
            <w:pPr>
              <w:spacing w:after="0"/>
              <w:rPr>
                <w:sz w:val="1"/>
                <w:szCs w:val="1"/>
                <w:color w:val="auto"/>
              </w:rPr>
            </w:pPr>
          </w:p>
        </w:tc>
      </w:tr>
      <w:tr>
        <w:trPr>
          <w:trHeight w:val="255"/>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CASH, CASH EQUIVALENTS AND INVESTMENT SECURITIES</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336,794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382,110</w:t>
            </w:r>
          </w:p>
        </w:tc>
        <w:tc>
          <w:tcPr>
            <w:tcW w:w="0" w:type="dxa"/>
            <w:vAlign w:val="bottom"/>
          </w:tcPr>
          <w:p>
            <w:pPr>
              <w:spacing w:after="0"/>
              <w:rPr>
                <w:sz w:val="1"/>
                <w:szCs w:val="1"/>
                <w:color w:val="auto"/>
              </w:rPr>
            </w:pPr>
          </w:p>
        </w:tc>
      </w:tr>
      <w:tr>
        <w:trPr>
          <w:trHeight w:val="265"/>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$13,439 at September 30, 2019 and $5,768 at December 31, 2018</w:t>
            </w: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210,449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176,298</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343,715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311,163</w:t>
            </w:r>
          </w:p>
        </w:tc>
        <w:tc>
          <w:tcPr>
            <w:tcW w:w="0" w:type="dxa"/>
            <w:vAlign w:val="bottom"/>
          </w:tcPr>
          <w:p>
            <w:pPr>
              <w:spacing w:after="0"/>
              <w:rPr>
                <w:sz w:val="1"/>
                <w:szCs w:val="1"/>
                <w:color w:val="auto"/>
              </w:rPr>
            </w:pPr>
          </w:p>
        </w:tc>
      </w:tr>
      <w:tr>
        <w:trPr>
          <w:trHeight w:val="265"/>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income tax</w:t>
            </w: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19,724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11,348</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33,807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46,117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944,489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927,036</w:t>
            </w:r>
          </w:p>
        </w:tc>
        <w:tc>
          <w:tcPr>
            <w:tcW w:w="0" w:type="dxa"/>
            <w:vAlign w:val="bottom"/>
          </w:tcPr>
          <w:p>
            <w:pPr>
              <w:spacing w:after="0"/>
              <w:rPr>
                <w:sz w:val="1"/>
                <w:szCs w:val="1"/>
                <w:color w:val="auto"/>
              </w:rPr>
            </w:pPr>
          </w:p>
        </w:tc>
      </w:tr>
      <w:tr>
        <w:trPr>
          <w:trHeight w:val="215"/>
        </w:trPr>
        <w:tc>
          <w:tcPr>
            <w:tcW w:w="8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444,087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432,641</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35,787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LONG-TERM INVESTMENT SECURITIES</w:t>
            </w:r>
          </w:p>
        </w:tc>
        <w:tc>
          <w:tcPr>
            <w:tcW w:w="200" w:type="dxa"/>
            <w:vAlign w:val="bottom"/>
          </w:tcPr>
          <w:p>
            <w:pPr>
              <w:spacing w:after="0"/>
              <w:rPr>
                <w:sz w:val="23"/>
                <w:szCs w:val="23"/>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11,019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11,195</w:t>
            </w:r>
          </w:p>
        </w:tc>
        <w:tc>
          <w:tcPr>
            <w:tcW w:w="0" w:type="dxa"/>
            <w:vAlign w:val="bottom"/>
          </w:tcPr>
          <w:p>
            <w:pPr>
              <w:spacing w:after="0"/>
              <w:rPr>
                <w:sz w:val="1"/>
                <w:szCs w:val="1"/>
                <w:color w:val="auto"/>
              </w:rPr>
            </w:pP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131,644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133,421</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23,242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38,654</w:t>
            </w:r>
          </w:p>
        </w:tc>
        <w:tc>
          <w:tcPr>
            <w:tcW w:w="0" w:type="dxa"/>
            <w:vAlign w:val="bottom"/>
          </w:tcPr>
          <w:p>
            <w:pPr>
              <w:spacing w:after="0"/>
              <w:rPr>
                <w:sz w:val="1"/>
                <w:szCs w:val="1"/>
                <w:color w:val="auto"/>
              </w:rPr>
            </w:pPr>
          </w:p>
        </w:tc>
      </w:tr>
      <w:tr>
        <w:trPr>
          <w:trHeight w:val="265"/>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47,516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40,419</w:t>
            </w:r>
          </w:p>
        </w:tc>
        <w:tc>
          <w:tcPr>
            <w:tcW w:w="0" w:type="dxa"/>
            <w:vAlign w:val="bottom"/>
          </w:tcPr>
          <w:p>
            <w:pPr>
              <w:spacing w:after="0"/>
              <w:rPr>
                <w:sz w:val="1"/>
                <w:szCs w:val="1"/>
                <w:color w:val="auto"/>
              </w:rPr>
            </w:pPr>
          </w:p>
        </w:tc>
      </w:tr>
      <w:tr>
        <w:trPr>
          <w:trHeight w:val="242"/>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1,637,784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1,585,391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4"/>
                <w:szCs w:val="14"/>
                <w:color w:val="auto"/>
              </w:rPr>
              <w:t>LIABILITIES AND STOCKHOLDERS’ EQUITY</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125,355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120,469</w:t>
            </w:r>
          </w:p>
        </w:tc>
        <w:tc>
          <w:tcPr>
            <w:tcW w:w="0" w:type="dxa"/>
            <w:vAlign w:val="bottom"/>
          </w:tcPr>
          <w:p>
            <w:pPr>
              <w:spacing w:after="0"/>
              <w:rPr>
                <w:sz w:val="1"/>
                <w:szCs w:val="1"/>
                <w:color w:val="auto"/>
              </w:rPr>
            </w:pPr>
          </w:p>
        </w:tc>
      </w:tr>
      <w:tr>
        <w:trPr>
          <w:trHeight w:val="265"/>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Accrued liabilities</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130,056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128,820</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255,411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249,289</w:t>
            </w:r>
          </w:p>
        </w:tc>
        <w:tc>
          <w:tcPr>
            <w:tcW w:w="0" w:type="dxa"/>
            <w:vAlign w:val="bottom"/>
          </w:tcPr>
          <w:p>
            <w:pPr>
              <w:spacing w:after="0"/>
              <w:rPr>
                <w:sz w:val="1"/>
                <w:szCs w:val="1"/>
                <w:color w:val="auto"/>
              </w:rPr>
            </w:pPr>
          </w:p>
        </w:tc>
      </w:tr>
      <w:tr>
        <w:trPr>
          <w:trHeight w:val="228"/>
        </w:trPr>
        <w:tc>
          <w:tcPr>
            <w:tcW w:w="8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CONTINGENT EARN-OUT LIABILITY</w:t>
            </w:r>
          </w:p>
        </w:tc>
        <w:tc>
          <w:tcPr>
            <w:tcW w:w="2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47,400</w:t>
            </w:r>
          </w:p>
        </w:tc>
        <w:tc>
          <w:tcPr>
            <w:tcW w:w="0" w:type="dxa"/>
            <w:vAlign w:val="bottom"/>
          </w:tcPr>
          <w:p>
            <w:pPr>
              <w:spacing w:after="0"/>
              <w:rPr>
                <w:sz w:val="1"/>
                <w:szCs w:val="1"/>
                <w:color w:val="auto"/>
              </w:rPr>
            </w:pP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37,614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20,592</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TAX LIABILITY</w:t>
            </w: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3,734</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 (Note 18)</w:t>
            </w:r>
          </w:p>
        </w:tc>
        <w:tc>
          <w:tcPr>
            <w:tcW w:w="2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Convertible preferred stock, $1.00 par value Authorized—500 shares; Issued and outstanding— none</w:t>
            </w:r>
          </w:p>
        </w:tc>
        <w:tc>
          <w:tcPr>
            <w:tcW w:w="2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83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Common stock, $0.10 par value — Authorized, 80,000 shares; Issued and outstanding 20,671 shares at September 30, 2019, Issued 20,492</w:t>
            </w:r>
          </w:p>
        </w:tc>
        <w:tc>
          <w:tcPr>
            <w:tcW w:w="200" w:type="dxa"/>
            <w:vAlign w:val="bottom"/>
          </w:tcPr>
          <w:p>
            <w:pPr>
              <w:spacing w:after="0"/>
              <w:rPr>
                <w:sz w:val="13"/>
                <w:szCs w:val="13"/>
                <w:color w:val="auto"/>
              </w:rPr>
            </w:pPr>
          </w:p>
        </w:tc>
        <w:tc>
          <w:tcPr>
            <w:tcW w:w="1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2,067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2,049</w:t>
            </w: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at December 31, 2018 and outstanding 20,491 shares at December 31, 2018</w:t>
            </w:r>
          </w:p>
        </w:tc>
        <w:tc>
          <w:tcPr>
            <w:tcW w:w="2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659,709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657,899</w:t>
            </w:r>
          </w:p>
        </w:tc>
        <w:tc>
          <w:tcPr>
            <w:tcW w:w="0" w:type="dxa"/>
            <w:vAlign w:val="bottom"/>
          </w:tcPr>
          <w:p>
            <w:pPr>
              <w:spacing w:after="0"/>
              <w:rPr>
                <w:sz w:val="1"/>
                <w:szCs w:val="1"/>
                <w:color w:val="auto"/>
              </w:rPr>
            </w:pPr>
          </w:p>
        </w:tc>
      </w:tr>
      <w:tr>
        <w:trPr>
          <w:trHeight w:val="265"/>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Treasury stock, at cost</w:t>
            </w:r>
          </w:p>
        </w:tc>
        <w:tc>
          <w:tcPr>
            <w:tcW w:w="200" w:type="dxa"/>
            <w:vAlign w:val="bottom"/>
          </w:tcPr>
          <w:p>
            <w:pPr>
              <w:spacing w:after="0"/>
              <w:rPr>
                <w:sz w:val="23"/>
                <w:szCs w:val="23"/>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701,141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620,747</w:t>
            </w:r>
          </w:p>
        </w:tc>
        <w:tc>
          <w:tcPr>
            <w:tcW w:w="0" w:type="dxa"/>
            <w:vAlign w:val="bottom"/>
          </w:tcPr>
          <w:p>
            <w:pPr>
              <w:spacing w:after="0"/>
              <w:rPr>
                <w:sz w:val="1"/>
                <w:szCs w:val="1"/>
                <w:color w:val="auto"/>
              </w:rPr>
            </w:pPr>
          </w:p>
        </w:tc>
      </w:tr>
      <w:tr>
        <w:trPr>
          <w:trHeight w:val="265"/>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(22,582)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(16,945)</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1,340,335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1,263,655</w:t>
            </w:r>
          </w:p>
        </w:tc>
        <w:tc>
          <w:tcPr>
            <w:tcW w:w="0" w:type="dxa"/>
            <w:vAlign w:val="bottom"/>
          </w:tcPr>
          <w:p>
            <w:pPr>
              <w:spacing w:after="0"/>
              <w:rPr>
                <w:sz w:val="1"/>
                <w:szCs w:val="1"/>
                <w:color w:val="auto"/>
              </w:rPr>
            </w:pPr>
          </w:p>
        </w:tc>
      </w:tr>
      <w:tr>
        <w:trPr>
          <w:trHeight w:val="242"/>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1,637,784</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1,585,391</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(1) December 31, 2018 balances were derived from audited consolidated financial statements.</w:t>
      </w:r>
    </w:p>
    <w:p>
      <w:pPr>
        <w:spacing w:after="0" w:line="9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ectPr>
          <w:pgSz w:w="11900" w:h="16838" w:orient="portrait"/>
          <w:cols w:equalWidth="0" w:num="1">
            <w:col w:w="11420"/>
          </w:cols>
          <w:pgMar w:left="240" w:top="360"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left="260" w:right="25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ICU MEDICAL, INC. AND SUBSIDIARIES CONDENSED CONSOLIDATED STATEMENTS OF OPERATIONS (Unaudited) </w:t>
      </w:r>
      <w:r>
        <w:rPr>
          <w:rFonts w:ascii="Times New Roman" w:cs="Times New Roman" w:eastAsia="Times New Roman" w:hAnsi="Times New Roman"/>
          <w:sz w:val="18"/>
          <w:szCs w:val="18"/>
          <w:color w:val="auto"/>
        </w:rPr>
        <w:t>(In thousands, except per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307,471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327,169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950,685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1,059,662</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188,919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192,582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592,961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624,274</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118,552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134,587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357,724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435,388</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65,876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76,640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206,333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243,471</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39,342</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strategic transaction and integration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7,975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64,271</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earn-out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20,500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settlement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28,917</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85,653</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132,333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268,187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396,501</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32,899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38,887</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32,750</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93,786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34,857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26,563</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80,394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36,148</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20,666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20,362</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21,487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21,588</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2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4"/>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2018</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26,563</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80,394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36,148</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flow hedge adjustments, net of taxes of $118 and ($372) for the three</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months ended September 30, 2019 and 2018, respectively, and ($204) and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($376) for the nine months ended September 30, 2019 and 2018,</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1,192</w:t>
            </w:r>
          </w:p>
        </w:tc>
      </w:tr>
      <w:tr>
        <w:trPr>
          <w:trHeight w:val="252"/>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 net of taxes of $0 for all periods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(7,705)</w:t>
            </w:r>
          </w:p>
        </w:tc>
      </w:tr>
      <w:tr>
        <w:trPr>
          <w:trHeight w:val="27"/>
        </w:trPr>
        <w:tc>
          <w:tcPr>
            <w:tcW w:w="5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adjustments, net of taxes of $0 for all periods</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r>
      <w:tr>
        <w:trPr>
          <w:trHeight w:val="22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4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(7,908)</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(4,231)</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(5,637)</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(6,502)</w:t>
            </w:r>
          </w:p>
        </w:tc>
      </w:tr>
      <w:tr>
        <w:trPr>
          <w:trHeight w:val="27"/>
        </w:trPr>
        <w:tc>
          <w:tcPr>
            <w:tcW w:w="56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18,655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74,757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29,646</w:t>
            </w:r>
          </w:p>
        </w:tc>
      </w:tr>
      <w:tr>
        <w:trPr>
          <w:trHeight w:val="20"/>
        </w:trPr>
        <w:tc>
          <w:tcPr>
            <w:tcW w:w="5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ICU MEDICAL, INC. AND SUBSIDIARIES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CONDENSED CONSOLIDATED STATEMENTS OF STOCKHOLDERS’ EQUITY (Unaudited)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thousands)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80" w:type="dxa"/>
            <w:vAlign w:val="bottom"/>
          </w:tcPr>
          <w:p>
            <w:pPr>
              <w:spacing w:after="0"/>
              <w:rPr>
                <w:sz w:val="16"/>
                <w:szCs w:val="16"/>
                <w:color w:val="auto"/>
              </w:rPr>
            </w:pPr>
          </w:p>
        </w:tc>
        <w:tc>
          <w:tcPr>
            <w:tcW w:w="17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448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4480" w:type="dxa"/>
            <w:vAlign w:val="bottom"/>
          </w:tcPr>
          <w:p>
            <w:pPr>
              <w:spacing w:after="0"/>
              <w:rPr>
                <w:sz w:val="13"/>
                <w:szCs w:val="13"/>
                <w:color w:val="auto"/>
              </w:rPr>
            </w:pP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4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4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January 1, 2019</w:t>
            </w: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20,492</w:t>
            </w:r>
          </w:p>
        </w:tc>
        <w:tc>
          <w:tcPr>
            <w:tcW w:w="1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$ 2,049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657,899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620,747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(16,945)</w:t>
            </w: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$1,263,655</w:t>
            </w:r>
          </w:p>
        </w:tc>
        <w:tc>
          <w:tcPr>
            <w:tcW w:w="0" w:type="dxa"/>
            <w:vAlign w:val="bottom"/>
          </w:tcPr>
          <w:p>
            <w:pPr>
              <w:spacing w:after="0"/>
              <w:rPr>
                <w:sz w:val="1"/>
                <w:szCs w:val="1"/>
                <w:color w:val="auto"/>
              </w:rPr>
            </w:pPr>
          </w:p>
        </w:tc>
      </w:tr>
      <w:tr>
        <w:trPr>
          <w:trHeight w:val="265"/>
        </w:trPr>
        <w:tc>
          <w:tcPr>
            <w:tcW w:w="4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925</w:t>
            </w:r>
          </w:p>
        </w:tc>
        <w:tc>
          <w:tcPr>
            <w:tcW w:w="0" w:type="dxa"/>
            <w:vAlign w:val="bottom"/>
          </w:tcPr>
          <w:p>
            <w:pPr>
              <w:spacing w:after="0"/>
              <w:rPr>
                <w:sz w:val="1"/>
                <w:szCs w:val="1"/>
                <w:color w:val="auto"/>
              </w:rPr>
            </w:pPr>
          </w:p>
        </w:tc>
      </w:tr>
      <w:tr>
        <w:trPr>
          <w:trHeight w:val="275"/>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(18,157)</w:t>
            </w:r>
          </w:p>
        </w:tc>
        <w:tc>
          <w:tcPr>
            <w:tcW w:w="0" w:type="dxa"/>
            <w:vAlign w:val="bottom"/>
          </w:tcPr>
          <w:p>
            <w:pPr>
              <w:spacing w:after="0"/>
              <w:rPr>
                <w:sz w:val="1"/>
                <w:szCs w:val="1"/>
                <w:color w:val="auto"/>
              </w:rPr>
            </w:pPr>
          </w:p>
        </w:tc>
      </w:tr>
      <w:tr>
        <w:trPr>
          <w:trHeight w:val="265"/>
        </w:trPr>
        <w:tc>
          <w:tcPr>
            <w:tcW w:w="4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 compensation</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6,209</w:t>
            </w:r>
          </w:p>
        </w:tc>
        <w:tc>
          <w:tcPr>
            <w:tcW w:w="0" w:type="dxa"/>
            <w:vAlign w:val="bottom"/>
          </w:tcPr>
          <w:p>
            <w:pPr>
              <w:spacing w:after="0"/>
              <w:rPr>
                <w:sz w:val="1"/>
                <w:szCs w:val="1"/>
                <w:color w:val="auto"/>
              </w:rPr>
            </w:pPr>
          </w:p>
        </w:tc>
      </w:tr>
      <w:tr>
        <w:trPr>
          <w:trHeight w:val="275"/>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0" w:type="dxa"/>
            <w:vAlign w:val="bottom"/>
          </w:tcPr>
          <w:p>
            <w:pPr>
              <w:spacing w:after="0"/>
              <w:rPr>
                <w:sz w:val="1"/>
                <w:szCs w:val="1"/>
                <w:color w:val="auto"/>
              </w:rPr>
            </w:pPr>
          </w:p>
        </w:tc>
      </w:tr>
      <w:tr>
        <w:trPr>
          <w:trHeight w:val="265"/>
        </w:trPr>
        <w:tc>
          <w:tcPr>
            <w:tcW w:w="4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30,998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30,998</w:t>
            </w:r>
          </w:p>
        </w:tc>
        <w:tc>
          <w:tcPr>
            <w:tcW w:w="0" w:type="dxa"/>
            <w:vAlign w:val="bottom"/>
          </w:tcPr>
          <w:p>
            <w:pPr>
              <w:spacing w:after="0"/>
              <w:rPr>
                <w:sz w:val="1"/>
                <w:szCs w:val="1"/>
                <w:color w:val="auto"/>
              </w:rPr>
            </w:pPr>
          </w:p>
        </w:tc>
      </w:tr>
      <w:tr>
        <w:trPr>
          <w:trHeight w:val="255"/>
        </w:trPr>
        <w:tc>
          <w:tcPr>
            <w:tcW w:w="44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March 31, 2019</w:t>
            </w: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20,668</w:t>
            </w:r>
          </w:p>
        </w:tc>
        <w:tc>
          <w:tcPr>
            <w:tcW w:w="1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$ 2,067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659,819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(13,056)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651,745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(17,881)</w:t>
            </w: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$1,282,694</w:t>
            </w:r>
          </w:p>
        </w:tc>
        <w:tc>
          <w:tcPr>
            <w:tcW w:w="0" w:type="dxa"/>
            <w:vAlign w:val="bottom"/>
          </w:tcPr>
          <w:p>
            <w:pPr>
              <w:spacing w:after="0"/>
              <w:rPr>
                <w:sz w:val="1"/>
                <w:szCs w:val="1"/>
                <w:color w:val="auto"/>
              </w:rPr>
            </w:pPr>
          </w:p>
        </w:tc>
      </w:tr>
      <w:tr>
        <w:trPr>
          <w:trHeight w:val="265"/>
        </w:trPr>
        <w:tc>
          <w:tcPr>
            <w:tcW w:w="4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3,009</w:t>
            </w:r>
          </w:p>
        </w:tc>
        <w:tc>
          <w:tcPr>
            <w:tcW w:w="0" w:type="dxa"/>
            <w:vAlign w:val="bottom"/>
          </w:tcPr>
          <w:p>
            <w:pPr>
              <w:spacing w:after="0"/>
              <w:rPr>
                <w:sz w:val="1"/>
                <w:szCs w:val="1"/>
                <w:color w:val="auto"/>
              </w:rPr>
            </w:pPr>
          </w:p>
        </w:tc>
      </w:tr>
      <w:tr>
        <w:trPr>
          <w:trHeight w:val="275"/>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65"/>
        </w:trPr>
        <w:tc>
          <w:tcPr>
            <w:tcW w:w="4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 compensation</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6,229</w:t>
            </w:r>
          </w:p>
        </w:tc>
        <w:tc>
          <w:tcPr>
            <w:tcW w:w="0" w:type="dxa"/>
            <w:vAlign w:val="bottom"/>
          </w:tcPr>
          <w:p>
            <w:pPr>
              <w:spacing w:after="0"/>
              <w:rPr>
                <w:sz w:val="1"/>
                <w:szCs w:val="1"/>
                <w:color w:val="auto"/>
              </w:rPr>
            </w:pPr>
          </w:p>
        </w:tc>
      </w:tr>
      <w:tr>
        <w:trPr>
          <w:trHeight w:val="275"/>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3,207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3,207</w:t>
            </w:r>
          </w:p>
        </w:tc>
        <w:tc>
          <w:tcPr>
            <w:tcW w:w="0" w:type="dxa"/>
            <w:vAlign w:val="bottom"/>
          </w:tcPr>
          <w:p>
            <w:pPr>
              <w:spacing w:after="0"/>
              <w:rPr>
                <w:sz w:val="1"/>
                <w:szCs w:val="1"/>
                <w:color w:val="auto"/>
              </w:rPr>
            </w:pPr>
          </w:p>
        </w:tc>
      </w:tr>
      <w:tr>
        <w:trPr>
          <w:trHeight w:val="265"/>
        </w:trPr>
        <w:tc>
          <w:tcPr>
            <w:tcW w:w="4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22,833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22,833</w:t>
            </w:r>
          </w:p>
        </w:tc>
        <w:tc>
          <w:tcPr>
            <w:tcW w:w="0" w:type="dxa"/>
            <w:vAlign w:val="bottom"/>
          </w:tcPr>
          <w:p>
            <w:pPr>
              <w:spacing w:after="0"/>
              <w:rPr>
                <w:sz w:val="1"/>
                <w:szCs w:val="1"/>
                <w:color w:val="auto"/>
              </w:rPr>
            </w:pPr>
          </w:p>
        </w:tc>
      </w:tr>
      <w:tr>
        <w:trPr>
          <w:trHeight w:val="242"/>
        </w:trPr>
        <w:tc>
          <w:tcPr>
            <w:tcW w:w="4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June 30, 2019</w:t>
            </w:r>
          </w:p>
        </w:tc>
        <w:tc>
          <w:tcPr>
            <w:tcW w:w="9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20,668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$ 2,067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657,543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674,578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$1,317,864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275"/>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265"/>
        </w:trPr>
        <w:tc>
          <w:tcPr>
            <w:tcW w:w="4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 compensation</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3,722</w:t>
            </w:r>
          </w:p>
        </w:tc>
        <w:tc>
          <w:tcPr>
            <w:tcW w:w="0" w:type="dxa"/>
            <w:vAlign w:val="bottom"/>
          </w:tcPr>
          <w:p>
            <w:pPr>
              <w:spacing w:after="0"/>
              <w:rPr>
                <w:sz w:val="1"/>
                <w:szCs w:val="1"/>
                <w:color w:val="auto"/>
              </w:rPr>
            </w:pPr>
          </w:p>
        </w:tc>
      </w:tr>
      <w:tr>
        <w:trPr>
          <w:trHeight w:val="275"/>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(7,908)</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(7,908)</w:t>
            </w:r>
          </w:p>
        </w:tc>
        <w:tc>
          <w:tcPr>
            <w:tcW w:w="0" w:type="dxa"/>
            <w:vAlign w:val="bottom"/>
          </w:tcPr>
          <w:p>
            <w:pPr>
              <w:spacing w:after="0"/>
              <w:rPr>
                <w:sz w:val="1"/>
                <w:szCs w:val="1"/>
                <w:color w:val="auto"/>
              </w:rPr>
            </w:pPr>
          </w:p>
        </w:tc>
      </w:tr>
      <w:tr>
        <w:trPr>
          <w:trHeight w:val="265"/>
        </w:trPr>
        <w:tc>
          <w:tcPr>
            <w:tcW w:w="44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26,563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26,563</w:t>
            </w:r>
          </w:p>
        </w:tc>
        <w:tc>
          <w:tcPr>
            <w:tcW w:w="0" w:type="dxa"/>
            <w:vAlign w:val="bottom"/>
          </w:tcPr>
          <w:p>
            <w:pPr>
              <w:spacing w:after="0"/>
              <w:rPr>
                <w:sz w:val="1"/>
                <w:szCs w:val="1"/>
                <w:color w:val="auto"/>
              </w:rPr>
            </w:pPr>
          </w:p>
        </w:tc>
      </w:tr>
      <w:tr>
        <w:trPr>
          <w:trHeight w:val="242"/>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September 30, 2019</w:t>
            </w: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20,671</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$ 2,067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659,709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701,141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(22,582)</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$1,340,335</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ICU MEDICAL, INC. AND SUBSIDIARIES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CONDENSED CONSOLIDATED STATEMENTS OF STOCKHOLDERS’ EQUITY (Unaudited) -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80" w:type="dxa"/>
            <w:vAlign w:val="bottom"/>
          </w:tcPr>
          <w:p>
            <w:pPr>
              <w:spacing w:after="0"/>
              <w:rPr>
                <w:sz w:val="16"/>
                <w:szCs w:val="16"/>
                <w:color w:val="auto"/>
              </w:rPr>
            </w:pPr>
          </w:p>
        </w:tc>
        <w:tc>
          <w:tcPr>
            <w:tcW w:w="17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448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4480" w:type="dxa"/>
            <w:vAlign w:val="bottom"/>
          </w:tcPr>
          <w:p>
            <w:pPr>
              <w:spacing w:after="0"/>
              <w:rPr>
                <w:sz w:val="13"/>
                <w:szCs w:val="13"/>
                <w:color w:val="auto"/>
              </w:rPr>
            </w:pP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4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January 1, 2018</w:t>
            </w: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20,210</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$ 2,021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625,568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585,624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(14,959)</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$1,198,254</w:t>
            </w:r>
          </w:p>
        </w:tc>
        <w:tc>
          <w:tcPr>
            <w:tcW w:w="0" w:type="dxa"/>
            <w:vAlign w:val="bottom"/>
          </w:tcPr>
          <w:p>
            <w:pPr>
              <w:spacing w:after="0"/>
              <w:rPr>
                <w:sz w:val="1"/>
                <w:szCs w:val="1"/>
                <w:color w:val="auto"/>
              </w:rPr>
            </w:pPr>
          </w:p>
        </w:tc>
      </w:tr>
      <w:tr>
        <w:trPr>
          <w:trHeight w:val="265"/>
        </w:trPr>
        <w:tc>
          <w:tcPr>
            <w:tcW w:w="4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Cumulative effect of accounting change</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6,330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6,330</w:t>
            </w:r>
          </w:p>
        </w:tc>
        <w:tc>
          <w:tcPr>
            <w:tcW w:w="0" w:type="dxa"/>
            <w:vAlign w:val="bottom"/>
          </w:tcPr>
          <w:p>
            <w:pPr>
              <w:spacing w:after="0"/>
              <w:rPr>
                <w:sz w:val="1"/>
                <w:szCs w:val="1"/>
                <w:color w:val="auto"/>
              </w:rPr>
            </w:pPr>
          </w:p>
        </w:tc>
      </w:tr>
      <w:tr>
        <w:trPr>
          <w:trHeight w:val="275"/>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2,162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3,155</w:t>
            </w:r>
          </w:p>
        </w:tc>
        <w:tc>
          <w:tcPr>
            <w:tcW w:w="0" w:type="dxa"/>
            <w:vAlign w:val="bottom"/>
          </w:tcPr>
          <w:p>
            <w:pPr>
              <w:spacing w:after="0"/>
              <w:rPr>
                <w:sz w:val="1"/>
                <w:szCs w:val="1"/>
                <w:color w:val="auto"/>
              </w:rPr>
            </w:pPr>
          </w:p>
        </w:tc>
      </w:tr>
      <w:tr>
        <w:trPr>
          <w:trHeight w:val="265"/>
        </w:trPr>
        <w:tc>
          <w:tcPr>
            <w:tcW w:w="4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(5,338)</w:t>
            </w:r>
          </w:p>
        </w:tc>
        <w:tc>
          <w:tcPr>
            <w:tcW w:w="0" w:type="dxa"/>
            <w:vAlign w:val="bottom"/>
          </w:tcPr>
          <w:p>
            <w:pPr>
              <w:spacing w:after="0"/>
              <w:rPr>
                <w:sz w:val="1"/>
                <w:szCs w:val="1"/>
                <w:color w:val="auto"/>
              </w:rPr>
            </w:pPr>
          </w:p>
        </w:tc>
      </w:tr>
      <w:tr>
        <w:trPr>
          <w:trHeight w:val="275"/>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compensation</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5,462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5,462</w:t>
            </w:r>
          </w:p>
        </w:tc>
        <w:tc>
          <w:tcPr>
            <w:tcW w:w="0" w:type="dxa"/>
            <w:vAlign w:val="bottom"/>
          </w:tcPr>
          <w:p>
            <w:pPr>
              <w:spacing w:after="0"/>
              <w:rPr>
                <w:sz w:val="1"/>
                <w:szCs w:val="1"/>
                <w:color w:val="auto"/>
              </w:rPr>
            </w:pPr>
          </w:p>
        </w:tc>
      </w:tr>
      <w:tr>
        <w:trPr>
          <w:trHeight w:val="265"/>
        </w:trPr>
        <w:tc>
          <w:tcPr>
            <w:tcW w:w="4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17,213</w:t>
            </w: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17,213</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4,875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4,875</w:t>
            </w:r>
          </w:p>
        </w:tc>
        <w:tc>
          <w:tcPr>
            <w:tcW w:w="0" w:type="dxa"/>
            <w:vAlign w:val="bottom"/>
          </w:tcPr>
          <w:p>
            <w:pPr>
              <w:spacing w:after="0"/>
              <w:rPr>
                <w:sz w:val="1"/>
                <w:szCs w:val="1"/>
                <w:color w:val="auto"/>
              </w:rPr>
            </w:pPr>
          </w:p>
        </w:tc>
      </w:tr>
      <w:tr>
        <w:trPr>
          <w:trHeight w:val="250"/>
        </w:trPr>
        <w:tc>
          <w:tcPr>
            <w:tcW w:w="44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March 31, 2018</w:t>
            </w:r>
          </w:p>
        </w:tc>
        <w:tc>
          <w:tcPr>
            <w:tcW w:w="9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20,317</w:t>
            </w:r>
          </w:p>
        </w:tc>
        <w:tc>
          <w:tcPr>
            <w:tcW w:w="120" w:type="dxa"/>
            <w:vAlign w:val="bottom"/>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$ 2,032</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632,012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(3,176)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596,829</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2,254</w:t>
            </w:r>
          </w:p>
        </w:tc>
        <w:tc>
          <w:tcPr>
            <w:tcW w:w="100" w:type="dxa"/>
            <w:vAlign w:val="bottom"/>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$1,229,951</w:t>
            </w:r>
          </w:p>
        </w:tc>
        <w:tc>
          <w:tcPr>
            <w:tcW w:w="0" w:type="dxa"/>
            <w:vAlign w:val="bottom"/>
          </w:tcPr>
          <w:p>
            <w:pPr>
              <w:spacing w:after="0"/>
              <w:rPr>
                <w:sz w:val="1"/>
                <w:szCs w:val="1"/>
                <w:color w:val="auto"/>
              </w:rPr>
            </w:pPr>
          </w:p>
        </w:tc>
      </w:tr>
      <w:tr>
        <w:trPr>
          <w:trHeight w:val="275"/>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6,080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3,288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9,382</w:t>
            </w:r>
          </w:p>
        </w:tc>
        <w:tc>
          <w:tcPr>
            <w:tcW w:w="0" w:type="dxa"/>
            <w:vAlign w:val="bottom"/>
          </w:tcPr>
          <w:p>
            <w:pPr>
              <w:spacing w:after="0"/>
              <w:rPr>
                <w:sz w:val="1"/>
                <w:szCs w:val="1"/>
                <w:color w:val="auto"/>
              </w:rPr>
            </w:pPr>
          </w:p>
        </w:tc>
      </w:tr>
      <w:tr>
        <w:trPr>
          <w:trHeight w:val="265"/>
        </w:trPr>
        <w:tc>
          <w:tcPr>
            <w:tcW w:w="4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275"/>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compensation</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6,297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6,297</w:t>
            </w:r>
          </w:p>
        </w:tc>
        <w:tc>
          <w:tcPr>
            <w:tcW w:w="0" w:type="dxa"/>
            <w:vAlign w:val="bottom"/>
          </w:tcPr>
          <w:p>
            <w:pPr>
              <w:spacing w:after="0"/>
              <w:rPr>
                <w:sz w:val="1"/>
                <w:szCs w:val="1"/>
                <w:color w:val="auto"/>
              </w:rPr>
            </w:pPr>
          </w:p>
        </w:tc>
      </w:tr>
      <w:tr>
        <w:trPr>
          <w:trHeight w:val="265"/>
        </w:trPr>
        <w:tc>
          <w:tcPr>
            <w:tcW w:w="4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(19,484)</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(19,484)</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31,054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31,054</w:t>
            </w:r>
          </w:p>
        </w:tc>
        <w:tc>
          <w:tcPr>
            <w:tcW w:w="0" w:type="dxa"/>
            <w:vAlign w:val="bottom"/>
          </w:tcPr>
          <w:p>
            <w:pPr>
              <w:spacing w:after="0"/>
              <w:rPr>
                <w:sz w:val="1"/>
                <w:szCs w:val="1"/>
                <w:color w:val="auto"/>
              </w:rPr>
            </w:pPr>
          </w:p>
        </w:tc>
      </w:tr>
      <w:tr>
        <w:trPr>
          <w:trHeight w:val="282"/>
        </w:trPr>
        <w:tc>
          <w:tcPr>
            <w:tcW w:w="4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June 30, 2018</w:t>
            </w: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20,460</w:t>
            </w:r>
          </w:p>
        </w:tc>
        <w:tc>
          <w:tcPr>
            <w:tcW w:w="12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$ 2,046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644,389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627,883</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(17,230)</w:t>
            </w:r>
          </w:p>
        </w:tc>
        <w:tc>
          <w:tcPr>
            <w:tcW w:w="100" w:type="dxa"/>
            <w:vAlign w:val="bottom"/>
            <w:tcBorders>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$1,257,068</w:t>
            </w:r>
          </w:p>
        </w:tc>
        <w:tc>
          <w:tcPr>
            <w:tcW w:w="0" w:type="dxa"/>
            <w:vAlign w:val="bottom"/>
          </w:tcPr>
          <w:p>
            <w:pPr>
              <w:spacing w:after="0"/>
              <w:rPr>
                <w:sz w:val="1"/>
                <w:szCs w:val="1"/>
                <w:color w:val="auto"/>
              </w:rPr>
            </w:pPr>
          </w:p>
        </w:tc>
      </w:tr>
      <w:tr>
        <w:trPr>
          <w:trHeight w:val="224"/>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1,674</w:t>
            </w:r>
          </w:p>
        </w:tc>
        <w:tc>
          <w:tcPr>
            <w:tcW w:w="0" w:type="dxa"/>
            <w:vAlign w:val="bottom"/>
          </w:tcPr>
          <w:p>
            <w:pPr>
              <w:spacing w:after="0"/>
              <w:rPr>
                <w:sz w:val="1"/>
                <w:szCs w:val="1"/>
                <w:color w:val="auto"/>
              </w:rPr>
            </w:pPr>
          </w:p>
        </w:tc>
      </w:tr>
      <w:tr>
        <w:trPr>
          <w:trHeight w:val="265"/>
        </w:trPr>
        <w:tc>
          <w:tcPr>
            <w:tcW w:w="4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0" w:type="dxa"/>
            <w:vAlign w:val="bottom"/>
          </w:tcPr>
          <w:p>
            <w:pPr>
              <w:spacing w:after="0"/>
              <w:rPr>
                <w:sz w:val="1"/>
                <w:szCs w:val="1"/>
                <w:color w:val="auto"/>
              </w:rPr>
            </w:pPr>
          </w:p>
        </w:tc>
      </w:tr>
      <w:tr>
        <w:trPr>
          <w:trHeight w:val="275"/>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compensation</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6,233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6,233</w:t>
            </w:r>
          </w:p>
        </w:tc>
        <w:tc>
          <w:tcPr>
            <w:tcW w:w="0" w:type="dxa"/>
            <w:vAlign w:val="bottom"/>
          </w:tcPr>
          <w:p>
            <w:pPr>
              <w:spacing w:after="0"/>
              <w:rPr>
                <w:sz w:val="1"/>
                <w:szCs w:val="1"/>
                <w:color w:val="auto"/>
              </w:rPr>
            </w:pPr>
          </w:p>
        </w:tc>
      </w:tr>
      <w:tr>
        <w:trPr>
          <w:trHeight w:val="265"/>
        </w:trPr>
        <w:tc>
          <w:tcPr>
            <w:tcW w:w="4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242"/>
        </w:trPr>
        <w:tc>
          <w:tcPr>
            <w:tcW w:w="44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September 30, 2018</w:t>
            </w:r>
          </w:p>
        </w:tc>
        <w:tc>
          <w:tcPr>
            <w:tcW w:w="9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20,489</w:t>
            </w:r>
          </w:p>
        </w:tc>
        <w:tc>
          <w:tcPr>
            <w:tcW w:w="120" w:type="dxa"/>
            <w:vAlign w:val="bottom"/>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$ 2,049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651,752</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(128)</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628,102</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(21,461)</w:t>
            </w:r>
          </w:p>
        </w:tc>
        <w:tc>
          <w:tcPr>
            <w:tcW w:w="100" w:type="dxa"/>
            <w:vAlign w:val="bottom"/>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$1,260,314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ICU MEDICAL, INC. AND SUBSIDIARIES CONDENSED CONSOLIDATED STATEMENTS OF CASH FLOWS (Unaudited) </w:t>
      </w:r>
      <w:r>
        <w:rPr>
          <w:rFonts w:ascii="Times New Roman" w:cs="Times New Roman" w:eastAsia="Times New Roman" w:hAnsi="Times New Roman"/>
          <w:sz w:val="18"/>
          <w:szCs w:val="18"/>
          <w:color w:val="auto"/>
        </w:rPr>
        <w:t>(In thousands)</w:t>
      </w:r>
    </w:p>
    <w:p>
      <w:pPr>
        <w:spacing w:after="0" w:line="33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80,394</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36,148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57,025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55,069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warranty and returns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1,817</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compensation</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16,161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17,992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disposal of property and equipment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760</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Bond premium amortization</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Debt issuance costs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216</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contingent earn-out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20,500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 of assets held for sale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269</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Write-off of acquired intangible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Usage of spare parts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6,999</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12,201</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Related-party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31,004</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Income taxes, including excess tax benefits and deferred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(12,359)</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53,054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110,282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(75,057)</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 of assets held-for-sale,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13,000</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asset</w:t>
            </w:r>
          </w:p>
        </w:tc>
        <w:tc>
          <w:tcPr>
            <w:tcW w:w="3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 additions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(5,375)</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investment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(30,495)</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investment securities</w:t>
            </w:r>
          </w:p>
        </w:tc>
        <w:tc>
          <w:tcPr>
            <w:tcW w:w="3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6"/>
                <w:szCs w:val="16"/>
                <w:color w:val="auto"/>
              </w:rPr>
              <w:t>36,400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6"/>
                <w:szCs w:val="16"/>
                <w:color w:val="auto"/>
              </w:rPr>
              <w:t>14,940</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(84,287)</w:t>
            </w: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4,240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14,211</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 withholding payments related to net share settlement of equity awards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(6,119)</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8,092</w:t>
            </w: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(5,343)</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(DECREASE) INCREASE 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28,744</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6"/>
                <w:szCs w:val="16"/>
                <w:color w:val="auto"/>
              </w:rPr>
              <w:t>344,781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6"/>
                <w:szCs w:val="16"/>
                <w:color w:val="auto"/>
              </w:rPr>
              <w:t>290,072</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315,949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318,816</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ICU MEDICAL, INC. AND SUBSIDIARIES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 (Unaudited) - CONTINUED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w:t>
      </w:r>
    </w:p>
    <w:p>
      <w:pPr>
        <w:spacing w:after="0" w:line="365"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22860</wp:posOffset>
            </wp:positionV>
            <wp:extent cx="1792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54" w:lineRule="exact"/>
        <w:rPr>
          <w:sz w:val="20"/>
          <w:szCs w:val="20"/>
          <w:color w:val="auto"/>
        </w:rPr>
      </w:pPr>
    </w:p>
    <w:p>
      <w:pPr>
        <w:ind w:left="9080"/>
        <w:spacing w:after="0"/>
        <w:tabs>
          <w:tab w:leader="none" w:pos="10520" w:val="left"/>
        </w:tabs>
        <w:rPr>
          <w:sz w:val="20"/>
          <w:szCs w:val="20"/>
          <w:color w:val="auto"/>
        </w:rPr>
      </w:pPr>
      <w:r>
        <w:rPr>
          <w:rFonts w:ascii="Times New Roman" w:cs="Times New Roman" w:eastAsia="Times New Roman" w:hAnsi="Times New Roman"/>
          <w:sz w:val="16"/>
          <w:szCs w:val="16"/>
          <w:b w:val="1"/>
          <w:bCs w:val="1"/>
          <w:color w:val="auto"/>
        </w:rPr>
        <w:t>2019</w:t>
      </w:r>
      <w:r>
        <w:rPr>
          <w:sz w:val="20"/>
          <w:szCs w:val="20"/>
          <w:color w:val="auto"/>
        </w:rPr>
        <w:tab/>
      </w:r>
      <w:r>
        <w:rPr>
          <w:rFonts w:ascii="Times New Roman" w:cs="Times New Roman" w:eastAsia="Times New Roman" w:hAnsi="Times New Roman"/>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38735</wp:posOffset>
            </wp:positionV>
            <wp:extent cx="7186295"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295" cy="180340"/>
                    </a:xfrm>
                    <a:prstGeom prst="rect">
                      <a:avLst/>
                    </a:prstGeom>
                    <a:noFill/>
                  </pic:spPr>
                </pic:pic>
              </a:graphicData>
            </a:graphic>
          </wp:anchor>
        </w:drawing>
      </w:r>
    </w:p>
    <w:p>
      <w:pPr>
        <w:spacing w:after="0" w:line="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SUPPLEMENTAL DISCLOSURE OF NON-CASH INVESTING ACTIVITIES:</w:t>
      </w:r>
    </w:p>
    <w:p>
      <w:pPr>
        <w:spacing w:after="0" w:line="86" w:lineRule="exact"/>
        <w:rPr>
          <w:sz w:val="20"/>
          <w:szCs w:val="20"/>
          <w:color w:val="auto"/>
        </w:rPr>
      </w:pPr>
    </w:p>
    <w:p>
      <w:pPr>
        <w:ind w:left="160"/>
        <w:spacing w:after="0"/>
        <w:tabs>
          <w:tab w:leader="none" w:pos="8560" w:val="left"/>
          <w:tab w:leader="none" w:pos="9340" w:val="left"/>
          <w:tab w:leader="none" w:pos="10040" w:val="left"/>
          <w:tab w:leader="none" w:pos="10880" w:val="left"/>
        </w:tabs>
        <w:rPr>
          <w:sz w:val="20"/>
          <w:szCs w:val="20"/>
          <w:color w:val="auto"/>
        </w:rPr>
      </w:pPr>
      <w:r>
        <w:rPr>
          <w:rFonts w:ascii="Times New Roman" w:cs="Times New Roman" w:eastAsia="Times New Roman" w:hAnsi="Times New Roman"/>
          <w:sz w:val="16"/>
          <w:szCs w:val="16"/>
          <w:color w:val="auto"/>
        </w:rPr>
        <w:t>Accounts payable for property and equipment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11,365</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1,184</w:t>
      </w:r>
    </w:p>
    <w:p>
      <w:pPr>
        <w:spacing w:after="0" w:line="2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60"/>
          </w:cols>
          <w:pgMar w:left="240" w:top="121" w:right="39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Medical, Inc., ("ICU") a Delaware corporation, filed with the SEC for the year ended December 31, 2018.</w:t>
      </w:r>
    </w:p>
    <w:p>
      <w:pPr>
        <w:spacing w:after="0" w:line="18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are engaged in the development, manufacturing and sale of innovative medical products used in vascular therapy, and critical care applications. We sell the majority of our products through our direct sales force and through independent distributors throughout the U. S. and internationally. Additionally, we sell our products on an original equipment manufacturer basis to other medical device manufacturers. All subsidiaries are wholly owned and are included in the condensed consolidated financial statements. All intercompany balances and transactions have been eliminated.</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Certain reclassifications have been made to prior year financial statements to conform to classifications used in the current year. These reclassifications had no impact on net income, stockholders' equity or cash flows as previously reported. The reclassifications included reporting foreign exchange gains and losses in other income (expense), net, and removing them from selling, general and administrative expenses. We reclassified related-party receivables to prepaid expenses and other current assets for the current year's presentation, as Pfizer, Inc. ("Pfizer") had sold all of its shares of our ICU common stock as of December 31, 2018, thereby ending its related-party relationship with us. We reclassified operating cash flows due to the purchase and usage of spare parts. The operating cash flows due to the usage of spare parts are included as an adjustment to reconcile net income to net cash provided by operating activities and the purchase of spare parts are presented as cash outflows in operating assets and liabilities-other assets.</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New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February 2016, the FASB issued Accounting Standard Update ("ASU") No. 2016-02, Leases (Topic 842). The amendments in this update require an entity to recognize a right-of-use asset and lease liability for all leases with terms of more than 12 months. Recognition, measurement and presentation of expenses will depend on classification as finance or operating lease. The amendments also require certain quantitative and qualitative disclosures about leasing arrangements. The updated guidance required a modified retrospective adoption. In July 2018, the FASB issued ASU No. 2018-11, Targeted Improvements. The amendments in this update provide entities with an additional (and optional) transition method to adopt the new lease requirements by allowing entities to initially apply the requirements by recognizing a cumulative-effect adjustment to the opening balance of retained earnings in the period of adoption. The amendments in this update also provided lessors with a practical expedient, by class of underlying asset, to not separate nonlease components from the associated lease contract. This expedient is limited to circumstances in which the nonlease components otherwise would be accounted for under the new revenue guidance and both (1) the timing and pattern of transfer are the same for the nonlease components and associated lease component and (2) the lease component, if accounted for separately, would be classified as an operating lease. If the lessor uses this practical expedient they would account for the lease contract in accordance with Topic 606 if the nonlease component is the predominant component otherwise, the lessor should account for the combined component as an operating lease in accordance with Topic 842. In July 2018, the FASB issued ASU No. 2018-10, Codification Improvements to Topic 842, Leases. This ASU clarifies certain language in ASU 2016-02 and corrects certain references and inconsistencies. We adopted these standards effective January 1, 2019 (see Note 5: Leases for a discussion of the impact and required disclosures).</w:t>
      </w:r>
    </w:p>
    <w:p>
      <w:pPr>
        <w:spacing w:after="0" w:line="19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ASU No. 2017-04, Intangibles-Goodwill and Other (Topic 350): Simplifying the Test for Goodwill Impairment. The amendments in this update remove the second step of the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The amendments in ASU 2017-04 are effective for the annual or interim impairment test in fiscal years beginning after December 15, 2019. Early adoption is permitted for interim or</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117" w:right="27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annual goodwill impairment tests performed on testing dates after January 1, 2017. We early adopted this ASU effective April 1, 2019, which had no impact on our consolidated financial statements or related footnote disclosures. We adopted this ASU early ahead of our annual impairment test to reduce the complexity of the quantitative test if necessary.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32" w:lineRule="exact"/>
        <w:rPr>
          <w:sz w:val="20"/>
          <w:szCs w:val="20"/>
          <w:color w:val="auto"/>
        </w:rPr>
      </w:pPr>
    </w:p>
    <w:p>
      <w:pPr>
        <w:ind w:firstLine="648"/>
        <w:spacing w:after="0" w:line="292"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8"/>
          <w:szCs w:val="18"/>
          <w:color w:val="auto"/>
        </w:rPr>
        <w:t>n August 2018, the FASB issued ASU No. 2018-15, Intangibles-Goodwill and Other-Internal-Use Software (Topic 350): Customer's Accounting for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Implementation Costs Incurred in a Cloud Computing Arrangement That Is a Service Contract. The amendments in this update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Costs to develop or obtain internal-use software that cannot be capitalized under subtopic 350-40, such as training costs and certain data conversion costs, also cannot be capitalized for a hosting arrangement that is a service contract. Therefore, an entity in a hosting arrangement that is a service contract determines which project stage (that is, preliminary project stage, application development stage, or post-implementation stage) an implementation activity relates to. Costs for implementation activities in the application development stage are capitalized depending on the nature of the costs, while costs incurred during the preliminary project and post-implementation stages are expensed as the activities are performed. The amendments in this update require the entity to expense the capitalized implementation costs of a hosting arrangement that is a service contract over the term of the hosting arrangement. The amendments in this update are effective for fiscal years beginning after December 15, 2019, and interim periods within those fiscal years. The amendments in this update should be applied either retrospectively or prospectively to all implementation costs incurred after the date of adoption. We are currently evaluating the impact of this ASU on the consolidated financial statements and related disclosures.</w:t>
      </w:r>
    </w:p>
    <w:p>
      <w:pPr>
        <w:spacing w:after="0" w:line="17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August 2018, the FASB issued ASU No. 2018-13, Fair Value Measurement (Topic 820): Disclosure Framework - Changes to the Disclosure Requirements for Fair Value Measurement. The amendments in this update modify the disclosure requirements in Topic 820. The amendments remove from disclosure: the amount of and reasons for transfers between Level 1 and Level 2 of the fair value hierarchy; the policy for timing of transfers between levels; and the valuation processes for Level 3 fair value measurements. The amendments also made the following disclosure modifications: for investments in certain entities that calculate net asset value, an entity is required to disclose the timing of liquidation of an investee’s assets and the date when restrictions from redemption might lapse only if the investee has communicated the timing to the entity or announced the timing publicly; and the amendments clarify that the measurement uncertainty disclosure is to communicate information about the uncertainty in measurement as of the reporting date. The amendments also added the following disclosure requirements: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The amendments in ASU 2018-02 are effective for fiscal years beginning after December 15, 2019. Early adoption is permitted. We are currently evaluating the impact of this ASU on the consolidated financial statements and related disclosures.</w:t>
      </w:r>
    </w:p>
    <w:p>
      <w:pPr>
        <w:spacing w:after="0" w:line="19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This update amends the FASB's guidance on the impairment of financial instruments by requiring timelier recording of credit losses on loans and other financial instruments. The ASU adds an impairment model that is based on expected losses rather than incurred losses. The ASU also amends the accounting for credit losses on available-for-sale debt securities and purchased financial assets with credit deterioration. In April 2019, the FASB issued ASU No. 2019-04 - Codification Improvements to Topic 326, Financial Instruments - Credit Losses and in May 2019, the FASB issued ASU No. 2019-05, Financial Instruments-Credit Losses to Topic 326, Financial Instruments - Targeted Transition Relief. ASU 2019-04 clarifies and corrects certain areas of the Codification and ASU 2019-05 provides entities with an option to irrevocably elect the fair value option in Subtopic 825-10, Financial Instruments—Overall, applied on an instrument-by-instrument basis for eligible instruments, upon adoption of Topic 326. The amendments in these updates will be effective for fiscal years beginning after December 15, 2019. Early adoption is permitted as of the fiscal years beginning after December 15, 2018. The updated guidance requires a modified retrospective adoption. We are currently evaluating the impact of this ASU on the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17" w:right="2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Restructuring, Strategic Transaction and Integration</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Restructuring and strategic transaction and integration expenses were $8.0 million and $69.4 million for the three and nine months ended September 30, 2019, respectively, as compared to $24.0 million and $64.3 million for the three and nine months ended September 30, 2018,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2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2019, restructuring charges were $0.8 million and $8.4 million, respectively, primarily related to severance and facility closure costs. These charges are primarily related to a one-time charge to move our U.S. pump service depot to our existing Salt Lake City facility and other plant restructuring. Restructuring charges are included in the restructuring, strategic transaction and integration line item in our condensed consolidated statement of operations.</w:t>
      </w:r>
    </w:p>
    <w:p>
      <w:pPr>
        <w:spacing w:after="0" w:line="18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2015, we incurred restructuring charges related to an agreement with Dr. Lopez, a member of our Board of Directors and a former employee in our research and development department, pursuant to which we bought out Dr. Lopez's right to employment under his then-existing employment agreement. The buy-out, including payroll taxes, is paid in equal monthly installments until December 2020.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details of changes in our restructuring-related accrual for the period ended September 30, 2019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Accrued Balance</w:t>
            </w:r>
          </w:p>
        </w:tc>
        <w:tc>
          <w:tcPr>
            <w:tcW w:w="22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Charges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Accrued Balance</w:t>
            </w:r>
          </w:p>
        </w:tc>
      </w:tr>
      <w:tr>
        <w:trPr>
          <w:trHeight w:val="212"/>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January 1, 2019</w:t>
            </w:r>
          </w:p>
        </w:tc>
        <w:tc>
          <w:tcPr>
            <w:tcW w:w="22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Incurred</w:t>
            </w:r>
          </w:p>
        </w:tc>
        <w:tc>
          <w:tcPr>
            <w:tcW w:w="20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180" w:type="dxa"/>
            <w:vAlign w:val="bottom"/>
          </w:tcPr>
          <w:p>
            <w:pPr>
              <w:spacing w:after="0"/>
              <w:rPr>
                <w:sz w:val="18"/>
                <w:szCs w:val="18"/>
                <w:color w:val="auto"/>
              </w:rPr>
            </w:pPr>
          </w:p>
        </w:tc>
        <w:tc>
          <w:tcPr>
            <w:tcW w:w="164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September 30, 2019</w:t>
            </w:r>
          </w:p>
        </w:tc>
      </w:tr>
      <w:tr>
        <w:trPr>
          <w:trHeight w:val="33"/>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4,126</w:t>
            </w: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Employment agreement buyout</w:t>
            </w:r>
          </w:p>
        </w:tc>
        <w:tc>
          <w:tcPr>
            <w:tcW w:w="2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460</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Facility closure expenses</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2,500</w:t>
            </w:r>
          </w:p>
        </w:tc>
      </w:tr>
      <w:tr>
        <w:trPr>
          <w:trHeight w:val="237"/>
        </w:trPr>
        <w:tc>
          <w:tcPr>
            <w:tcW w:w="49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8,444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7,086</w:t>
            </w:r>
          </w:p>
        </w:tc>
      </w:tr>
      <w:tr>
        <w:trPr>
          <w:trHeight w:val="27"/>
        </w:trPr>
        <w:tc>
          <w:tcPr>
            <w:tcW w:w="4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transaction and integration expenses</w:t>
      </w:r>
    </w:p>
    <w:p>
      <w:pPr>
        <w:spacing w:after="0" w:line="227"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7"/>
          <w:szCs w:val="17"/>
          <w:color w:val="auto"/>
        </w:rPr>
        <w:t>We incurred and expensed $7.2 million and $61.0 million in strategic transaction and integration expenses during the three and nine months ended September 30, 2019, respectively, as compared to $23.5 million and $61.3 million during the three and nine months ended September 30, 2018, respectively. The strategic transaction and integration expenses during the three months ended September 30, 2019 and the three and nine months ended September 30, 2018 were primarily related to the integration of the Hospira Infusion Systems ("HIS") business acquired in 2017 from Pfizer. The nine months ended September 30, 2019 also included a one-time strategic supply chain restructuring charge of $22.1 million, which reduces our contracted commitments to our third party manufacturer and charges related to our Pfizer separation costs and clean-up, which included a $12.7 million non-cash write-off of related assets.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22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Our primary product lines are Infusion Consumables, IV Solutions, Infusion Systems and Critical Care. The vast majority of our sales of these products are made on a stand-alone basis to hospitals and distributors. Revenue is typically recognized upon transfer of control of the products, which we deem to be at point of shipment.</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Payment is typically due in full within 30 days of delivery or the start of the contract term. Revenue is recorded in an amount that reflects the consideration we expect to be entitled to in exchange for those goods or services. We offer certain volume-based rebates to our distribution customers, which we record as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end-customers at prices determined under a contract between us and the end-customer. We use information available at the time and our historical experience to estimate and record provisions for chargebacks.</w:t>
      </w:r>
    </w:p>
    <w:p>
      <w:pPr>
        <w:spacing w:after="0" w:line="18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also warrant products against defects and have a policy permitting the return of defective products, for which we accrue and expense at the time of sale using information available at that time and our historical experience. We also provide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7"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disaggregated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our revenues disaggregated by geography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306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30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Geography</w:t>
            </w: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the Middle East and Africa</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31,474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30,759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96,830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104,150</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Foreign</w:t>
            </w:r>
          </w:p>
        </w:tc>
        <w:tc>
          <w:tcPr>
            <w:tcW w:w="1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53,398</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51,569</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156,353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154,278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Foreign</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84,872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82,328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253,183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258,428</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222,599</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244,841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697,502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801,234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307,471</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327,169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950,685</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1,059,662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our revenues disaggregated by product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306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gridSpan w:val="5"/>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Product line</w:t>
            </w: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Infusion Consumables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119,745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117,797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357,994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361,490</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IV Solutions</w:t>
            </w:r>
          </w:p>
        </w:tc>
        <w:tc>
          <w:tcPr>
            <w:tcW w:w="1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98,159</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114,433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313,976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394,198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Infusion Systems</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78,932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81,456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244,523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263,271</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Critical Care</w:t>
            </w:r>
          </w:p>
        </w:tc>
        <w:tc>
          <w:tcPr>
            <w:tcW w:w="1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10,635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13,483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34,192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40,703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307,471</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327,169</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950,685</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1,059,662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changes in the contract balances for the nine months ended September 30, 2019 and 2018 (in thousands):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r>
      <w:tr>
        <w:trPr>
          <w:trHeight w:val="27"/>
        </w:trPr>
        <w:tc>
          <w:tcPr>
            <w:tcW w:w="9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January 1, 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r>
      <w:tr>
        <w:trPr>
          <w:trHeight w:val="243"/>
        </w:trPr>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Equipment revenue recognized</w:t>
            </w:r>
          </w:p>
        </w:tc>
        <w:tc>
          <w:tcPr>
            <w:tcW w:w="24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3,619</w:t>
            </w:r>
          </w:p>
        </w:tc>
      </w:tr>
      <w:tr>
        <w:trPr>
          <w:trHeight w:val="27"/>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Equipment revenue deferred due to implementation</w:t>
            </w: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r>
      <w:tr>
        <w:trPr>
          <w:trHeight w:val="243"/>
        </w:trPr>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Software revenue recognized</w:t>
            </w:r>
          </w:p>
        </w:tc>
        <w:tc>
          <w:tcPr>
            <w:tcW w:w="24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2,955</w:t>
            </w:r>
          </w:p>
        </w:tc>
      </w:tr>
      <w:tr>
        <w:trPr>
          <w:trHeight w:val="27"/>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9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Software revenue deferred due to implementation</w:t>
            </w:r>
          </w:p>
        </w:tc>
        <w:tc>
          <w:tcPr>
            <w:tcW w:w="24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r>
      <w:tr>
        <w:trPr>
          <w:trHeight w:val="297"/>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Ending balance, September 30, 2019</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w:t>
            </w:r>
          </w:p>
        </w:tc>
      </w:tr>
      <w:tr>
        <w:trPr>
          <w:trHeight w:val="311"/>
        </w:trPr>
        <w:tc>
          <w:tcPr>
            <w:tcW w:w="9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 January 1, 2018</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w:t>
            </w:r>
          </w:p>
        </w:tc>
      </w:tr>
      <w:tr>
        <w:trPr>
          <w:trHeight w:val="27"/>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Equipment revenue recognized</w:t>
            </w: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3,136</w:t>
            </w:r>
          </w:p>
        </w:tc>
      </w:tr>
      <w:tr>
        <w:trPr>
          <w:trHeight w:val="243"/>
        </w:trPr>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Equipment revenue deferred due to implementation</w:t>
            </w: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w:t>
            </w:r>
          </w:p>
        </w:tc>
      </w:tr>
      <w:tr>
        <w:trPr>
          <w:trHeight w:val="27"/>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Software revenue recognized</w:t>
            </w: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5,649</w:t>
            </w:r>
          </w:p>
        </w:tc>
      </w:tr>
      <w:tr>
        <w:trPr>
          <w:trHeight w:val="243"/>
        </w:trPr>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Software revenue deferred due to implementation</w:t>
            </w: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w:t>
            </w:r>
          </w:p>
        </w:tc>
      </w:tr>
      <w:tr>
        <w:trPr>
          <w:trHeight w:val="27"/>
        </w:trPr>
        <w:tc>
          <w:tcPr>
            <w:tcW w:w="9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September 30,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w:t>
            </w:r>
          </w:p>
        </w:tc>
      </w:tr>
      <w:tr>
        <w:trPr>
          <w:trHeight w:val="20"/>
        </w:trPr>
        <w:tc>
          <w:tcPr>
            <w:tcW w:w="9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2019, revenue from remaining performance obligations related to implementation of software and equipment is $6.3 million. We expect to recognize substantially all of this revenue within the next three months. Revenue from</w:t>
      </w:r>
    </w:p>
    <w:p>
      <w:pPr>
        <w:sectPr>
          <w:pgSz w:w="11900" w:h="16838" w:orient="portrait"/>
          <w:cols w:equalWidth="0" w:num="1">
            <w:col w:w="11420"/>
          </w:cols>
          <w:pgMar w:left="240" w:top="117"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remaining performance obligations related to annual software licenses is $1.4 million. We expect to recognize substantially all of this revenue over the next twelve months.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ASC Topic 842, "Lease Accounting"</w:t>
      </w:r>
    </w:p>
    <w:p>
      <w:pPr>
        <w:spacing w:after="0" w:line="22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adopted ASU No. 2016-02, Leases (ASC Topic 842), effective January 1, 2019 on a modified retrospective transition method through a cumulative-effect adjustment at the beginning of the first quarter of 2019. We elected the 'package of practical expedients', which permitted us not to reassess our prior conclusions about lease identification, lease classification and initial direct costs. We did not elect the use-of-hindsight or the practical expedient pertaining to land easements; the latter not being applicable to us. We elected the short-term lease recognition exemption for all leases that qualify. This means, for those leases that qualify, we did not recognize right-of-use ("ROU") assets or lease liabilities, and this includes not recognizing ROU assets or lease liabilities for existing short-term leases of those assets in transition. Furthermore, we elected the practical expedient to not separate lease and non-lease components for all of our leases, non-lease components are primarily common area maintenance charges that we combine with the lease component when applying this ASU.</w:t>
      </w:r>
    </w:p>
    <w:p>
      <w:pPr>
        <w:spacing w:after="0" w:line="18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impact of adopting this standard was the recognition of ROU assets and lease liabilities for our operating leases of $40.4 million as of January 1, 2019. The adoption of ASC 842 did not have a material impact on our consolidated earnings and had no impact on our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determine if an arrangement is a lease at inception. Most operating leases with a term greater than one year are included in operating lease ROU assets, accrued liabilities, and other long-term liabilities on our condensed consolidated balance sheets.</w:t>
      </w:r>
    </w:p>
    <w:p>
      <w:pPr>
        <w:spacing w:after="0" w:line="16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The operating lease ROU asset excludes lease incentives and initial direct costs incurred. Our lease terms include options to extend when it is reasonably certain that we will exercise that option. All of our operating leases have stated lease payments, which may include fixed rental increases. Lease expense for minimum lease payments is recognized on a straight-line basis over the lease term.</w:t>
      </w:r>
    </w:p>
    <w:p>
      <w:pPr>
        <w:spacing w:after="0" w:line="18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operating leases for corporate offices, sales and support offices,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for the exercise of options to extend is not reasonably certain.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of our lease cost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240" w:type="dxa"/>
            <w:vAlign w:val="bottom"/>
          </w:tcPr>
          <w:p>
            <w:pPr>
              <w:spacing w:after="0"/>
              <w:rPr>
                <w:sz w:val="17"/>
                <w:szCs w:val="17"/>
                <w:color w:val="auto"/>
              </w:rPr>
            </w:pPr>
          </w:p>
        </w:tc>
        <w:tc>
          <w:tcPr>
            <w:tcW w:w="228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For the nine months</w:t>
            </w:r>
          </w:p>
        </w:tc>
      </w:tr>
      <w:tr>
        <w:trPr>
          <w:trHeight w:val="212"/>
        </w:trPr>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ended September 30, 2019</w:t>
            </w:r>
          </w:p>
        </w:tc>
        <w:tc>
          <w:tcPr>
            <w:tcW w:w="240" w:type="dxa"/>
            <w:vAlign w:val="bottom"/>
          </w:tcPr>
          <w:p>
            <w:pPr>
              <w:spacing w:after="0"/>
              <w:rPr>
                <w:sz w:val="18"/>
                <w:szCs w:val="18"/>
                <w:color w:val="auto"/>
              </w:rPr>
            </w:pPr>
          </w:p>
        </w:tc>
        <w:tc>
          <w:tcPr>
            <w:tcW w:w="228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ended September 30, 2019</w:t>
            </w:r>
          </w:p>
        </w:tc>
      </w:tr>
      <w:tr>
        <w:trPr>
          <w:trHeight w:val="33"/>
        </w:trPr>
        <w:tc>
          <w:tcPr>
            <w:tcW w:w="628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BFE4FF"/>
            </w:tcBorders>
            <w:shd w:val="clear" w:color="auto" w:fill="BFE4FF"/>
          </w:tcPr>
          <w:p>
            <w:pPr>
              <w:jc w:val="right"/>
              <w:ind w:right="14"/>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BFE4FF"/>
            </w:tcBorders>
            <w:shd w:val="clear" w:color="auto" w:fill="BFE4FF"/>
          </w:tcPr>
          <w:p>
            <w:pPr>
              <w:jc w:val="right"/>
              <w:ind w:right="14"/>
              <w:spacing w:after="0"/>
              <w:rPr>
                <w:sz w:val="20"/>
                <w:szCs w:val="20"/>
                <w:color w:val="auto"/>
              </w:rPr>
            </w:pPr>
            <w:r>
              <w:rPr>
                <w:rFonts w:ascii="Times New Roman" w:cs="Times New Roman" w:eastAsia="Times New Roman" w:hAnsi="Times New Roman"/>
                <w:sz w:val="18"/>
                <w:szCs w:val="18"/>
                <w:color w:val="auto"/>
              </w:rPr>
              <w:t>7,528</w:t>
            </w:r>
          </w:p>
        </w:tc>
      </w:tr>
      <w:tr>
        <w:trPr>
          <w:trHeight w:val="176"/>
        </w:trPr>
        <w:tc>
          <w:tcPr>
            <w:tcW w:w="6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250"/>
        </w:trPr>
        <w:tc>
          <w:tcPr>
            <w:tcW w:w="628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Short-term lease cost</w:t>
            </w:r>
          </w:p>
        </w:tc>
        <w:tc>
          <w:tcPr>
            <w:tcW w:w="240" w:type="dxa"/>
            <w:vAlign w:val="bottom"/>
            <w:tcBorders>
              <w:bottom w:val="single" w:sz="8" w:color="BFE4FF"/>
            </w:tcBorders>
            <w:shd w:val="clear" w:color="auto" w:fill="BFE4FF"/>
          </w:tcPr>
          <w:p>
            <w:pPr>
              <w:spacing w:after="0"/>
              <w:rPr>
                <w:sz w:val="21"/>
                <w:szCs w:val="21"/>
                <w:color w:val="auto"/>
              </w:rPr>
            </w:pPr>
          </w:p>
        </w:tc>
        <w:tc>
          <w:tcPr>
            <w:tcW w:w="2280" w:type="dxa"/>
            <w:vAlign w:val="bottom"/>
            <w:tcBorders>
              <w:bottom w:val="single" w:sz="8" w:color="BFE4FF"/>
            </w:tcBorders>
            <w:shd w:val="clear" w:color="auto" w:fill="BFE4FF"/>
          </w:tcPr>
          <w:p>
            <w:pPr>
              <w:jc w:val="right"/>
              <w:ind w:right="14"/>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2280" w:type="dxa"/>
            <w:vAlign w:val="bottom"/>
            <w:tcBorders>
              <w:bottom w:val="single" w:sz="8" w:color="BFE4FF"/>
            </w:tcBorders>
            <w:shd w:val="clear" w:color="auto" w:fill="BFE4FF"/>
          </w:tcPr>
          <w:p>
            <w:pPr>
              <w:jc w:val="right"/>
              <w:ind w:right="14"/>
              <w:spacing w:after="0"/>
              <w:rPr>
                <w:sz w:val="20"/>
                <w:szCs w:val="20"/>
                <w:color w:val="auto"/>
              </w:rPr>
            </w:pPr>
            <w:r>
              <w:rPr>
                <w:rFonts w:ascii="Times New Roman" w:cs="Times New Roman" w:eastAsia="Times New Roman" w:hAnsi="Times New Roman"/>
                <w:sz w:val="18"/>
                <w:szCs w:val="18"/>
                <w:color w:val="auto"/>
              </w:rPr>
              <w:t>229</w:t>
            </w:r>
          </w:p>
        </w:tc>
      </w:tr>
      <w:tr>
        <w:trPr>
          <w:trHeight w:val="176"/>
        </w:trPr>
        <w:tc>
          <w:tcPr>
            <w:tcW w:w="6280" w:type="dxa"/>
            <w:vAlign w:val="bottom"/>
            <w:tcBorders>
              <w:bottom w:val="single" w:sz="8" w:color="BFE4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100" w:type="dxa"/>
            <w:vAlign w:val="bottom"/>
            <w:tcBorders>
              <w:bottom w:val="single" w:sz="8" w:color="BFE4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r>
      <w:tr>
        <w:trPr>
          <w:trHeight w:val="257"/>
        </w:trPr>
        <w:tc>
          <w:tcPr>
            <w:tcW w:w="628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auto"/>
            </w:tcBorders>
            <w:shd w:val="clear" w:color="auto" w:fill="BFE4FF"/>
          </w:tcPr>
          <w:p>
            <w:pPr>
              <w:jc w:val="right"/>
              <w:ind w:right="14"/>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auto"/>
            </w:tcBorders>
            <w:shd w:val="clear" w:color="auto" w:fill="BFE4FF"/>
          </w:tcPr>
          <w:p>
            <w:pPr>
              <w:jc w:val="right"/>
              <w:ind w:right="14"/>
              <w:spacing w:after="0"/>
              <w:rPr>
                <w:sz w:val="20"/>
                <w:szCs w:val="20"/>
                <w:color w:val="auto"/>
              </w:rPr>
            </w:pPr>
            <w:r>
              <w:rPr>
                <w:rFonts w:ascii="Times New Roman" w:cs="Times New Roman" w:eastAsia="Times New Roman" w:hAnsi="Times New Roman"/>
                <w:sz w:val="18"/>
                <w:szCs w:val="18"/>
                <w:color w:val="auto"/>
              </w:rPr>
              <w:t>7,757</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information related to our leases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For the nine months</w:t>
            </w:r>
          </w:p>
        </w:tc>
      </w:tr>
      <w:tr>
        <w:trPr>
          <w:trHeight w:val="212"/>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ended September 30, 2019</w:t>
            </w:r>
          </w:p>
        </w:tc>
      </w:tr>
      <w:tr>
        <w:trPr>
          <w:trHeight w:val="33"/>
        </w:trPr>
        <w:tc>
          <w:tcPr>
            <w:tcW w:w="8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7,161</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324"/>
        </w:trPr>
        <w:tc>
          <w:tcPr>
            <w:tcW w:w="8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r>
      <w:tr>
        <w:trPr>
          <w:trHeight w:val="243"/>
        </w:trPr>
        <w:tc>
          <w:tcPr>
            <w:tcW w:w="8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4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43"/>
        </w:trPr>
        <w:tc>
          <w:tcPr>
            <w:tcW w:w="8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2,495</w:t>
            </w:r>
          </w:p>
        </w:tc>
      </w:tr>
      <w:tr>
        <w:trPr>
          <w:trHeight w:val="27"/>
        </w:trPr>
        <w:tc>
          <w:tcPr>
            <w:tcW w:w="8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supplemental balance sheet information related to our leases (in thousands, except lease term and discount rate):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As of September 30, 2019</w:t>
            </w:r>
          </w:p>
        </w:tc>
      </w:tr>
      <w:tr>
        <w:trPr>
          <w:trHeight w:val="33"/>
        </w:trPr>
        <w:tc>
          <w:tcPr>
            <w:tcW w:w="8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r>
      <w:tr>
        <w:trPr>
          <w:trHeight w:val="243"/>
        </w:trPr>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35,787</w:t>
            </w:r>
          </w:p>
        </w:tc>
      </w:tr>
      <w:tr>
        <w:trPr>
          <w:trHeight w:val="27"/>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324"/>
        </w:trPr>
        <w:tc>
          <w:tcPr>
            <w:tcW w:w="8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r>
      <w:tr>
        <w:trPr>
          <w:trHeight w:val="243"/>
        </w:trPr>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7,150</w:t>
            </w:r>
          </w:p>
        </w:tc>
      </w:tr>
      <w:tr>
        <w:trPr>
          <w:trHeight w:val="27"/>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70"/>
        </w:trPr>
        <w:tc>
          <w:tcPr>
            <w:tcW w:w="8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23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29,791</w:t>
            </w:r>
          </w:p>
        </w:tc>
      </w:tr>
      <w:tr>
        <w:trPr>
          <w:trHeight w:val="297"/>
        </w:trPr>
        <w:tc>
          <w:tcPr>
            <w:tcW w:w="8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36,941</w:t>
            </w:r>
          </w:p>
        </w:tc>
      </w:tr>
      <w:tr>
        <w:trPr>
          <w:trHeight w:val="311"/>
        </w:trPr>
        <w:tc>
          <w:tcPr>
            <w:tcW w:w="8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r>
      <w:tr>
        <w:trPr>
          <w:trHeight w:val="243"/>
        </w:trPr>
        <w:tc>
          <w:tcPr>
            <w:tcW w:w="8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28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7"/>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 years</w:t>
            </w:r>
          </w:p>
        </w:tc>
      </w:tr>
      <w:tr>
        <w:trPr>
          <w:trHeight w:val="324"/>
        </w:trPr>
        <w:tc>
          <w:tcPr>
            <w:tcW w:w="8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r>
      <w:tr>
        <w:trPr>
          <w:trHeight w:val="243"/>
        </w:trPr>
        <w:tc>
          <w:tcPr>
            <w:tcW w:w="8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r>
    </w:tbl>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2019, the maturities of our lease liabilities for each of the next five years is approximately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Remainder of 2019</w:t>
            </w:r>
          </w:p>
        </w:tc>
        <w:tc>
          <w:tcPr>
            <w:tcW w:w="5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5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5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5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5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6,118</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13,569</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5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43,795</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5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36,941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68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As of December 31, 2018, the maturities of our operating lease liabilities for each of the next five years were approximately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8,326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8,572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6,489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5,914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13,235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180"/>
              <w:spacing w:after="0" w:line="264" w:lineRule="exact"/>
              <w:rPr>
                <w:sz w:val="20"/>
                <w:szCs w:val="20"/>
                <w:color w:val="auto"/>
              </w:rPr>
            </w:pPr>
            <w:r>
              <w:rPr>
                <w:rFonts w:ascii="Times New Roman" w:cs="Times New Roman" w:eastAsia="Times New Roman" w:hAnsi="Times New Roman"/>
                <w:sz w:val="18"/>
                <w:szCs w:val="18"/>
                <w:color w:val="auto"/>
              </w:rPr>
              <w:t>Total Lease Payments</w:t>
            </w:r>
            <w:r>
              <w:rPr>
                <w:rFonts w:ascii="Times New Roman" w:cs="Times New Roman" w:eastAsia="Times New Roman" w:hAnsi="Times New Roman"/>
                <w:sz w:val="25"/>
                <w:szCs w:val="25"/>
                <w:color w:val="auto"/>
                <w:vertAlign w:val="superscript"/>
              </w:rPr>
              <w:t>(1)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48,151</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3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800" w:type="dxa"/>
            <w:vAlign w:val="bottom"/>
          </w:tcPr>
          <w:p>
            <w:pPr>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The lease payment maturities as of December 31, 2018 are not calculated at present value.</w:t>
            </w:r>
          </w:p>
        </w:tc>
        <w:tc>
          <w:tcPr>
            <w:tcW w:w="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third quarter 2019, we signed a ten-year lease for a 610,806 square foot warehouse. The commencement of the lease is not expected until the first quarter of 2020 subject to the completion of landlord buildouts which will make the space available for use. Over the ten-year lease term, we expect the lease payments to total at least $21.8 million.</w:t>
      </w:r>
    </w:p>
    <w:p>
      <w:pPr>
        <w:spacing w:after="0" w:line="15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6:</w:t>
        <w:tab/>
        <w:t>Net Income Per Share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common shares outstanding during the period. Diluted earnings per share is computed by dividing net income by the weighted-average 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that are anti-dilutive, where their exercise price exceeds the average market price of the common stock are not included in the treasury stock method calculation. There were 20,116 and 18 anti-dilutive securities for the three months ended September 30, 2019 and 2018, respectively. There were 9,375 and 3,694 anti-dilutive securities for the nine months ended September 30, 2019 and 2018, respectively.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calculation of net earnings per common share (“EPS”) — basic and diluted (in thousands, except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7"/>
                <w:szCs w:val="17"/>
                <w:color w:val="auto"/>
              </w:rPr>
            </w:pPr>
          </w:p>
        </w:tc>
        <w:tc>
          <w:tcPr>
            <w:tcW w:w="252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26,563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80,394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36,148</w:t>
            </w:r>
          </w:p>
        </w:tc>
        <w:tc>
          <w:tcPr>
            <w:tcW w:w="0" w:type="dxa"/>
            <w:vAlign w:val="bottom"/>
          </w:tcPr>
          <w:p>
            <w:pPr>
              <w:spacing w:after="0"/>
              <w:rPr>
                <w:sz w:val="1"/>
                <w:szCs w:val="1"/>
                <w:color w:val="auto"/>
              </w:rPr>
            </w:pPr>
          </w:p>
        </w:tc>
      </w:tr>
      <w:tr>
        <w:trPr>
          <w:trHeight w:val="225"/>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number of common shares outstanding (for basic</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calculation)</w:t>
            </w:r>
          </w:p>
        </w:tc>
        <w:tc>
          <w:tcPr>
            <w:tcW w:w="32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20,666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20,474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20,607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20,362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Dilutive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05"/>
        </w:trPr>
        <w:tc>
          <w:tcPr>
            <w:tcW w:w="562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Weighted-average common and common equivalent shares outstanding (for</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21,487</w:t>
            </w: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21,633</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21,556</w:t>
            </w: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21,588</w:t>
            </w:r>
          </w:p>
        </w:tc>
        <w:tc>
          <w:tcPr>
            <w:tcW w:w="0" w:type="dxa"/>
            <w:vAlign w:val="bottom"/>
          </w:tcPr>
          <w:p>
            <w:pPr>
              <w:spacing w:after="0"/>
              <w:rPr>
                <w:sz w:val="1"/>
                <w:szCs w:val="1"/>
                <w:color w:val="auto"/>
              </w:rPr>
            </w:pPr>
          </w:p>
        </w:tc>
      </w:tr>
      <w:tr>
        <w:trPr>
          <w:trHeight w:val="281"/>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diluted calculation)</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EPS — 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EPS —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Derivatives and Hedging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Hedge Accounting and Hedging Program</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purpose of our hedging program is to manage the foreign currency exchange rate risk on forecasted expenses denominated in currencies other than the functional currency of the operating unit. We do not issue derivatives for trading or speculative purposes.</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May 2017, we entered into a two-year cross-currency par forward contract to hedge a portion of our Mexico forecasted expenses denominated in Pesos ("MXN"). To receive hedge accounting treatment, all hedging relationships are formally documented at the inception of the hedge, and the hedges must be highly effective in offsetting changes to future cash</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flows on hedged transactions. The par forward contract is designated and qualifies as a cash flow hedge. Our derivative instrument is recorded at fair value on the condensed consolidated balance sheets and is classified based on the instrument's maturity date. We record changes in the intrinsic value of the effective portion of the gain or loss on the derivative instrument as a component of Other Comprehensive Income and we reclassify that gain or loss into earnings in the same line item associated with the forecasted transaction and in the same period during which the hedged transaction affects earnings. This contract matured May 1, 2019. This derivative instrument had a fixed forward rate of 20.01MXN/USD over the term of the contract.</w:t>
      </w:r>
    </w:p>
    <w:p>
      <w:pPr>
        <w:spacing w:after="0" w:line="18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January 2018, we entered into an additional six-month cross-currency par forward contract that extends our current hedge of a portion of our Mexico forecasted expenses denominated in MXN. The total notional amount of this outstanding derivative as of September 30, 2019 was approximately 61.3 million MXN. The term of the six-month contract is May 1, 2019 to November 1, 2019. The derivative instrument matures in equal monthly amounts at a fixed forward rate of 20.43 MXN/USD over the term of the six-month contract.</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November 2018, we entered into a one-year cross-currency par forward contract again extending the hedge of a portion of our Mexico forecasted expenses denominated in MXN. The total notional amount of this outstanding derivative as of September 30, 2019 was approximately 398.0 million MXN. The term of the one-year hedge is November 1, 2019 to November 3, 2020. The derivative instrument matures in equal monthly amounts at a fixed forward rate of 22.109 MXN/USD.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fair values of our derivative instruments included within the Condensed Consolidated Balance Sheet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and December 31, 2018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4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4460" w:type="dxa"/>
            <w:vAlign w:val="bottom"/>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7"/>
        </w:trPr>
        <w:tc>
          <w:tcPr>
            <w:tcW w:w="4460" w:type="dxa"/>
            <w:vAlign w:val="bottom"/>
          </w:tcPr>
          <w:p>
            <w:pPr>
              <w:spacing w:after="0"/>
              <w:rPr>
                <w:sz w:val="18"/>
                <w:szCs w:val="18"/>
                <w:color w:val="auto"/>
              </w:rPr>
            </w:pPr>
          </w:p>
        </w:tc>
        <w:tc>
          <w:tcPr>
            <w:tcW w:w="4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460" w:type="dxa"/>
            <w:vAlign w:val="bottom"/>
          </w:tcPr>
          <w:p>
            <w:pPr>
              <w:spacing w:after="0"/>
              <w:rPr>
                <w:sz w:val="18"/>
                <w:szCs w:val="18"/>
                <w:color w:val="auto"/>
              </w:rPr>
            </w:pPr>
          </w:p>
        </w:tc>
        <w:tc>
          <w:tcPr>
            <w:tcW w:w="4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460" w:type="dxa"/>
            <w:vAlign w:val="bottom"/>
            <w:tcBorders>
              <w:bottom w:val="single" w:sz="8" w:color="CCEEFF"/>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4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Foreign exchange forward contract:</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187</w:t>
            </w:r>
          </w:p>
        </w:tc>
      </w:tr>
      <w:tr>
        <w:trPr>
          <w:trHeight w:val="237"/>
        </w:trPr>
        <w:tc>
          <w:tcPr>
            <w:tcW w:w="4460" w:type="dxa"/>
            <w:vAlign w:val="bottom"/>
          </w:tcPr>
          <w:p>
            <w:pPr>
              <w:spacing w:after="0"/>
              <w:rPr>
                <w:sz w:val="20"/>
                <w:szCs w:val="20"/>
                <w:color w:val="auto"/>
              </w:rPr>
            </w:pPr>
          </w:p>
        </w:tc>
        <w:tc>
          <w:tcPr>
            <w:tcW w:w="4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Other assets</w:t>
            </w:r>
          </w:p>
        </w:tc>
        <w:tc>
          <w:tcPr>
            <w:tcW w:w="5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545</w:t>
            </w:r>
          </w:p>
        </w:tc>
      </w:tr>
      <w:tr>
        <w:trPr>
          <w:trHeight w:val="33"/>
        </w:trPr>
        <w:tc>
          <w:tcPr>
            <w:tcW w:w="446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derivatives designated as cash flow hedging instruments</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732</w:t>
            </w:r>
          </w:p>
        </w:tc>
      </w:tr>
      <w:tr>
        <w:trPr>
          <w:trHeight w:val="20"/>
        </w:trPr>
        <w:tc>
          <w:tcPr>
            <w:tcW w:w="44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amounts affecting the Condensed Consolidated Statements of Operations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and 2018 (in thousands):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6"/>
          <w:szCs w:val="16"/>
          <w:b w:val="1"/>
          <w:bCs w:val="1"/>
          <w:color w:val="auto"/>
        </w:rPr>
        <w:t>Line Item in the</w:t>
      </w:r>
    </w:p>
    <w:p>
      <w:pPr>
        <w:spacing w:after="0" w:line="28"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6"/>
          <w:szCs w:val="16"/>
          <w:b w:val="1"/>
          <w:bCs w:val="1"/>
          <w:color w:val="auto"/>
        </w:rPr>
        <w:t>Condensed Consolidated</w:t>
      </w:r>
    </w:p>
    <w:p>
      <w:pPr>
        <w:spacing w:after="0" w:line="19"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6"/>
          <w:szCs w:val="16"/>
          <w:b w:val="1"/>
          <w:bCs w:val="1"/>
          <w:color w:val="auto"/>
        </w:rPr>
        <w:t>Statements of Operations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instruments</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9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900" w:type="dxa"/>
            <w:vAlign w:val="bottom"/>
          </w:tcPr>
          <w:p>
            <w:pPr>
              <w:spacing w:after="0"/>
              <w:rPr>
                <w:sz w:val="18"/>
                <w:szCs w:val="18"/>
                <w:color w:val="auto"/>
              </w:rPr>
            </w:pPr>
          </w:p>
        </w:tc>
        <w:tc>
          <w:tcPr>
            <w:tcW w:w="2060" w:type="dxa"/>
            <w:vAlign w:val="bottom"/>
            <w:gridSpan w:val="4"/>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Pr>
          <w:p>
            <w:pPr>
              <w:spacing w:after="0"/>
              <w:rPr>
                <w:sz w:val="18"/>
                <w:szCs w:val="18"/>
                <w:color w:val="auto"/>
              </w:rPr>
            </w:pPr>
          </w:p>
        </w:tc>
        <w:tc>
          <w:tcPr>
            <w:tcW w:w="180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3"/>
        </w:trPr>
        <w:tc>
          <w:tcPr>
            <w:tcW w:w="9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r>
      <w:tr>
        <w:trPr>
          <w:trHeight w:val="231"/>
        </w:trPr>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96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-8255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472" w:lineRule="exact"/>
        <w:rPr>
          <w:sz w:val="20"/>
          <w:szCs w:val="20"/>
          <w:color w:val="auto"/>
        </w:rPr>
      </w:pPr>
    </w:p>
    <w:p>
      <w:pPr>
        <w:sectPr>
          <w:pgSz w:w="11900" w:h="16838" w:orient="portrait"/>
          <w:cols w:equalWidth="0" w:num="2">
            <w:col w:w="5360" w:space="500"/>
            <w:col w:w="5560"/>
          </w:cols>
          <w:pgMar w:left="240" w:top="117" w:right="239" w:bottom="1440" w:gutter="0" w:footer="0" w:header="0"/>
          <w:type w:val="continuous"/>
        </w:sectPr>
      </w:pPr>
    </w:p>
    <w:p>
      <w:pPr>
        <w:ind w:left="180"/>
        <w:spacing w:after="0"/>
        <w:tabs>
          <w:tab w:leader="none" w:pos="4480" w:val="left"/>
          <w:tab w:leader="none" w:pos="5860" w:val="left"/>
          <w:tab w:leader="none" w:pos="6860" w:val="left"/>
          <w:tab w:leader="none" w:pos="7380" w:val="left"/>
          <w:tab w:leader="none" w:pos="8340" w:val="left"/>
          <w:tab w:leader="none" w:pos="8840" w:val="left"/>
          <w:tab w:leader="none" w:pos="9700" w:val="left"/>
          <w:tab w:leader="none" w:pos="10180" w:val="left"/>
          <w:tab w:leader="none" w:pos="11040" w:val="left"/>
        </w:tabs>
        <w:rPr>
          <w:sz w:val="20"/>
          <w:szCs w:val="20"/>
          <w:color w:val="auto"/>
        </w:rPr>
      </w:pPr>
      <w:r>
        <w:rPr>
          <w:rFonts w:ascii="Times New Roman" w:cs="Times New Roman" w:eastAsia="Times New Roman" w:hAnsi="Times New Roman"/>
          <w:sz w:val="16"/>
          <w:szCs w:val="16"/>
          <w:color w:val="auto"/>
        </w:rPr>
        <w:t>Foreign exchange forward contracts</w:t>
      </w:r>
      <w:r>
        <w:rPr>
          <w:sz w:val="20"/>
          <w:szCs w:val="20"/>
          <w:color w:val="auto"/>
        </w:rPr>
        <w:tab/>
      </w:r>
      <w:r>
        <w:rPr>
          <w:rFonts w:ascii="Times New Roman" w:cs="Times New Roman" w:eastAsia="Times New Roman" w:hAnsi="Times New Roman"/>
          <w:sz w:val="16"/>
          <w:szCs w:val="16"/>
          <w:color w:val="auto"/>
        </w:rPr>
        <w:t>Cost of goods sold</w:t>
        <w:tab/>
        <w:t>$</w:t>
      </w:r>
      <w:r>
        <w:rPr>
          <w:sz w:val="20"/>
          <w:szCs w:val="20"/>
          <w:color w:val="auto"/>
        </w:rPr>
        <w:tab/>
      </w:r>
      <w:r>
        <w:rPr>
          <w:rFonts w:ascii="Times New Roman" w:cs="Times New Roman" w:eastAsia="Times New Roman" w:hAnsi="Times New Roman"/>
          <w:sz w:val="16"/>
          <w:szCs w:val="16"/>
          <w:color w:val="auto"/>
        </w:rPr>
        <w:t>229</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192</w:t>
        <w:tab/>
        <w:t>$</w:t>
      </w:r>
      <w:r>
        <w:rPr>
          <w:sz w:val="20"/>
          <w:szCs w:val="20"/>
          <w:color w:val="auto"/>
        </w:rPr>
        <w:tab/>
      </w:r>
      <w:r>
        <w:rPr>
          <w:rFonts w:ascii="Times New Roman" w:cs="Times New Roman" w:eastAsia="Times New Roman" w:hAnsi="Times New Roman"/>
          <w:sz w:val="16"/>
          <w:szCs w:val="16"/>
          <w:color w:val="auto"/>
        </w:rPr>
        <w:t>573</w:t>
        <w:tab/>
        <w:t>$</w:t>
      </w:r>
      <w:r>
        <w:rPr>
          <w:sz w:val="20"/>
          <w:szCs w:val="20"/>
          <w:color w:val="auto"/>
        </w:rPr>
        <w:tab/>
      </w:r>
      <w:r>
        <w:rPr>
          <w:rFonts w:ascii="Times New Roman" w:cs="Times New Roman" w:eastAsia="Times New Roman" w:hAnsi="Times New Roman"/>
          <w:sz w:val="16"/>
          <w:szCs w:val="16"/>
          <w:color w:val="auto"/>
        </w:rPr>
        <w:t>687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7" w:right="239" w:bottom="1440" w:gutter="0" w:footer="0" w:header="0"/>
          <w:type w:val="continuous"/>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recognized the following (losses) gains on our foreign exchange contracts designated as a cash flow hedge (in thousands):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5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(Loss) Gain Recognized</w:t>
            </w: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5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in Other Comprehensive Income on</w:t>
            </w:r>
          </w:p>
        </w:tc>
        <w:tc>
          <w:tcPr>
            <w:tcW w:w="100" w:type="dxa"/>
            <w:vAlign w:val="bottom"/>
          </w:tcPr>
          <w:p>
            <w:pPr>
              <w:spacing w:after="0"/>
              <w:rPr>
                <w:sz w:val="17"/>
                <w:szCs w:val="17"/>
                <w:color w:val="auto"/>
              </w:rPr>
            </w:pPr>
          </w:p>
        </w:tc>
        <w:tc>
          <w:tcPr>
            <w:tcW w:w="5180" w:type="dxa"/>
            <w:vAlign w:val="bottom"/>
            <w:gridSpan w:val="7"/>
          </w:tcPr>
          <w:p>
            <w:pPr>
              <w:ind w:left="120"/>
              <w:spacing w:after="0"/>
              <w:rPr>
                <w:sz w:val="20"/>
                <w:szCs w:val="20"/>
                <w:color w:val="auto"/>
              </w:rPr>
            </w:pPr>
            <w:r>
              <w:rPr>
                <w:rFonts w:ascii="Times New Roman" w:cs="Times New Roman" w:eastAsia="Times New Roman" w:hAnsi="Times New Roman"/>
                <w:sz w:val="16"/>
                <w:szCs w:val="16"/>
                <w:b w:val="1"/>
                <w:bCs w:val="1"/>
                <w:color w:val="auto"/>
              </w:rPr>
              <w:t>Amount of Gain Reclassified From Accumulated Other Comprehensive</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5"/>
          </w:tcPr>
          <w:p>
            <w:pPr>
              <w:ind w:left="1900"/>
              <w:spacing w:after="0"/>
              <w:rPr>
                <w:sz w:val="20"/>
                <w:szCs w:val="20"/>
                <w:color w:val="auto"/>
              </w:rPr>
            </w:pPr>
            <w:r>
              <w:rPr>
                <w:rFonts w:ascii="Times New Roman" w:cs="Times New Roman" w:eastAsia="Times New Roman" w:hAnsi="Times New Roman"/>
                <w:sz w:val="16"/>
                <w:szCs w:val="16"/>
                <w:b w:val="1"/>
                <w:bCs w:val="1"/>
                <w:color w:val="auto"/>
              </w:rPr>
              <w:t>Income into Income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342"/>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4"/>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4"/>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4"/>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Location of Gain Reclassified From</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Accumulated Other Comprehensive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284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Income into Income</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cash flow hedges: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 exchange forward contract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1,743</w:t>
            </w:r>
          </w:p>
        </w:tc>
        <w:tc>
          <w:tcPr>
            <w:tcW w:w="100" w:type="dxa"/>
            <w:vAlign w:val="bottom"/>
          </w:tcPr>
          <w:p>
            <w:pPr>
              <w:spacing w:after="0"/>
              <w:rPr>
                <w:sz w:val="20"/>
                <w:szCs w:val="20"/>
                <w:color w:val="auto"/>
              </w:rPr>
            </w:pPr>
          </w:p>
        </w:tc>
        <w:tc>
          <w:tcPr>
            <w:tcW w:w="2840" w:type="dxa"/>
            <w:vAlign w:val="bottom"/>
            <w:gridSpan w:val="2"/>
          </w:tcPr>
          <w:p>
            <w:pPr>
              <w:ind w:left="1500"/>
              <w:spacing w:after="0"/>
              <w:rPr>
                <w:sz w:val="20"/>
                <w:szCs w:val="20"/>
                <w:color w:val="auto"/>
              </w:rPr>
            </w:pPr>
            <w:r>
              <w:rPr>
                <w:rFonts w:ascii="Times New Roman" w:cs="Times New Roman" w:eastAsia="Times New Roman" w:hAnsi="Times New Roman"/>
                <w:sz w:val="16"/>
                <w:szCs w:val="16"/>
                <w:color w:val="auto"/>
              </w:rPr>
              <w:t>Cost of goods sold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cash flow hedging</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1,743</w:t>
            </w:r>
          </w:p>
        </w:tc>
        <w:tc>
          <w:tcPr>
            <w:tcW w:w="10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instruments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4"/>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 of Gain Recognized in</w:t>
            </w: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4"/>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Other Comprehensive Income on</w:t>
            </w:r>
          </w:p>
        </w:tc>
        <w:tc>
          <w:tcPr>
            <w:tcW w:w="100" w:type="dxa"/>
            <w:vAlign w:val="bottom"/>
          </w:tcPr>
          <w:p>
            <w:pPr>
              <w:spacing w:after="0"/>
              <w:rPr>
                <w:sz w:val="17"/>
                <w:szCs w:val="17"/>
                <w:color w:val="auto"/>
              </w:rPr>
            </w:pPr>
          </w:p>
        </w:tc>
        <w:tc>
          <w:tcPr>
            <w:tcW w:w="5180" w:type="dxa"/>
            <w:vAlign w:val="bottom"/>
            <w:gridSpan w:val="7"/>
          </w:tcPr>
          <w:p>
            <w:pPr>
              <w:ind w:left="120"/>
              <w:spacing w:after="0"/>
              <w:rPr>
                <w:sz w:val="20"/>
                <w:szCs w:val="20"/>
                <w:color w:val="auto"/>
              </w:rPr>
            </w:pPr>
            <w:r>
              <w:rPr>
                <w:rFonts w:ascii="Times New Roman" w:cs="Times New Roman" w:eastAsia="Times New Roman" w:hAnsi="Times New Roman"/>
                <w:sz w:val="16"/>
                <w:szCs w:val="16"/>
                <w:b w:val="1"/>
                <w:bCs w:val="1"/>
                <w:color w:val="auto"/>
              </w:rPr>
              <w:t>Amount of Gain Reclassified From Accumulated Other Comprehensive</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5"/>
          </w:tcPr>
          <w:p>
            <w:pPr>
              <w:ind w:left="1900"/>
              <w:spacing w:after="0"/>
              <w:rPr>
                <w:sz w:val="20"/>
                <w:szCs w:val="20"/>
                <w:color w:val="auto"/>
              </w:rPr>
            </w:pPr>
            <w:r>
              <w:rPr>
                <w:rFonts w:ascii="Times New Roman" w:cs="Times New Roman" w:eastAsia="Times New Roman" w:hAnsi="Times New Roman"/>
                <w:sz w:val="16"/>
                <w:szCs w:val="16"/>
                <w:b w:val="1"/>
                <w:bCs w:val="1"/>
                <w:color w:val="auto"/>
              </w:rPr>
              <w:t>Income into Income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342"/>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4"/>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4"/>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4"/>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Location of Gain Reclassified From</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Accumulated Other Comprehensive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284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Income into Income</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cash flow hedges: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 exchange forward contract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1,421</w:t>
            </w:r>
          </w:p>
        </w:tc>
        <w:tc>
          <w:tcPr>
            <w:tcW w:w="12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2,256</w:t>
            </w:r>
          </w:p>
        </w:tc>
        <w:tc>
          <w:tcPr>
            <w:tcW w:w="100" w:type="dxa"/>
            <w:vAlign w:val="bottom"/>
          </w:tcPr>
          <w:p>
            <w:pPr>
              <w:spacing w:after="0"/>
              <w:rPr>
                <w:sz w:val="20"/>
                <w:szCs w:val="20"/>
                <w:color w:val="auto"/>
              </w:rPr>
            </w:pPr>
          </w:p>
        </w:tc>
        <w:tc>
          <w:tcPr>
            <w:tcW w:w="2840" w:type="dxa"/>
            <w:vAlign w:val="bottom"/>
            <w:gridSpan w:val="2"/>
          </w:tcPr>
          <w:p>
            <w:pPr>
              <w:ind w:left="1500"/>
              <w:spacing w:after="0"/>
              <w:rPr>
                <w:sz w:val="20"/>
                <w:szCs w:val="20"/>
                <w:color w:val="auto"/>
              </w:rPr>
            </w:pPr>
            <w:r>
              <w:rPr>
                <w:rFonts w:ascii="Times New Roman" w:cs="Times New Roman" w:eastAsia="Times New Roman" w:hAnsi="Times New Roman"/>
                <w:sz w:val="16"/>
                <w:szCs w:val="16"/>
                <w:color w:val="auto"/>
              </w:rPr>
              <w:t>Cost of goods sold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687</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cash flow hedging</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1,421</w:t>
            </w:r>
          </w:p>
        </w:tc>
        <w:tc>
          <w:tcPr>
            <w:tcW w:w="1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2,256</w:t>
            </w:r>
          </w:p>
        </w:tc>
        <w:tc>
          <w:tcPr>
            <w:tcW w:w="10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687</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instruments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2019, we expect approximately $1.4 million of the deferred gains on the outstanding derivatives in accumulated other comprehensive income to be reclassified to net income during the next 12 months concurrent with the underlying hedged transactions also being reported in net income.</w:t>
      </w:r>
    </w:p>
    <w:p>
      <w:pPr>
        <w:spacing w:after="0" w:line="17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Fair Value Measurement</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Fair value is the price that would be received from selling an asset or paid to transfer a liability in an orderly transaction between market participants at the measurement date. There are three levels of inputs that may be used to measure fair value:</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right="5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values of the assets or liabilities.</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2017, we acquired HIS from Pfizer, and as a result of the acquisition we recognized an earn-out liability. Pfizer is entitled up to $225.0 million in cash if certain performance targets for the combined company for the three years ending December 31, 2019 are achieved. The initial value assigned to the contingent consideration was a result of forecasted product demand and operations of our business. The initial fair value of the earn-out was determined by employing a Monte Carlo simulation in a risk neutral framework. The underlying simulated variable was adjusted EBITDA. The adjusted EBITDA</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17" w:right="25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volatility estimate was based on a study of historical asset volatility for a set of comparable public companies. The model includes other assumptions including the market price of risk, which was calculated as the weighted average cost of capital ("WACC") less the long-term risk free-rate. At each reporting date subsequent to the acquisition we re-measured the earn-out using the same methodology above and recognized any changes in value. If the probability of achieving the performance target significantly changes from what we initially anticipated, the change could have a significant impact on our financial statements in the period recognized. Our contingent earn-out liability is separately stated in our condensed consolidated balance sheets.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the Level 3 earn-out liability measured at estimated fair value as of December 31, 2018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Earn-out Liability</w:t>
            </w:r>
          </w:p>
        </w:tc>
      </w:tr>
      <w:tr>
        <w:trPr>
          <w:trHeight w:val="33"/>
        </w:trPr>
        <w:tc>
          <w:tcPr>
            <w:tcW w:w="9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Accrued balance, January 1, 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47,400</w:t>
            </w:r>
          </w:p>
        </w:tc>
      </w:tr>
      <w:tr>
        <w:trPr>
          <w:trHeight w:val="243"/>
        </w:trPr>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earn-out (included in income from operations as a separate line item)</w:t>
            </w:r>
          </w:p>
        </w:tc>
        <w:tc>
          <w:tcPr>
            <w:tcW w:w="3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(47,400)</w:t>
            </w:r>
          </w:p>
        </w:tc>
      </w:tr>
      <w:tr>
        <w:trPr>
          <w:trHeight w:val="27"/>
        </w:trPr>
        <w:tc>
          <w:tcPr>
            <w:tcW w:w="9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Accrued balance, September 30, 2019</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earn-out at September 30, 2019 changed from the fair value calculated at December 31, 2018 due to a change in the underlying cumulative adjusted EBITDA forecast. As of September 30, 2019, there is a remote probability that we will meet the performance targets necessary for payout of the earn-out, accordingly the liability has been reduced to zero.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quantitative information about Level 3 inputs for fair value measurement of our earn-out liability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55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12"/>
        </w:trPr>
        <w:tc>
          <w:tcPr>
            <w:tcW w:w="5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Simulation Input</w:t>
            </w:r>
          </w:p>
        </w:tc>
        <w:tc>
          <w:tcPr>
            <w:tcW w:w="55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5900" w:type="dxa"/>
            <w:vAlign w:val="bottom"/>
            <w:tcBorders>
              <w:bottom w:val="single" w:sz="8" w:color="auto"/>
            </w:tcBorders>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0"/>
        </w:trPr>
        <w:tc>
          <w:tcPr>
            <w:tcW w:w="5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EBITDA Volatility</w:t>
            </w:r>
          </w:p>
        </w:tc>
        <w:tc>
          <w:tcPr>
            <w:tcW w:w="5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24"/>
        </w:trPr>
        <w:tc>
          <w:tcPr>
            <w:tcW w:w="5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WACC</w:t>
            </w:r>
          </w:p>
        </w:tc>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r>
      <w:tr>
        <w:trPr>
          <w:trHeight w:val="33"/>
        </w:trPr>
        <w:tc>
          <w:tcPr>
            <w:tcW w:w="5900" w:type="dxa"/>
            <w:vAlign w:val="bottom"/>
          </w:tcPr>
          <w:p>
            <w:pPr>
              <w:spacing w:after="0"/>
              <w:rPr>
                <w:sz w:val="2"/>
                <w:szCs w:val="2"/>
                <w:color w:val="auto"/>
              </w:rPr>
            </w:pPr>
          </w:p>
        </w:tc>
        <w:tc>
          <w:tcPr>
            <w:tcW w:w="5520" w:type="dxa"/>
            <w:vAlign w:val="bottom"/>
          </w:tcPr>
          <w:p>
            <w:pPr>
              <w:spacing w:after="0"/>
              <w:rPr>
                <w:sz w:val="2"/>
                <w:szCs w:val="2"/>
                <w:color w:val="auto"/>
              </w:rPr>
            </w:pPr>
          </w:p>
        </w:tc>
      </w:tr>
      <w:tr>
        <w:trPr>
          <w:trHeight w:val="237"/>
        </w:trPr>
        <w:tc>
          <w:tcPr>
            <w:tcW w:w="5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20-year risk free rate</w:t>
            </w:r>
          </w:p>
        </w:tc>
        <w:tc>
          <w:tcPr>
            <w:tcW w:w="5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24"/>
        </w:trPr>
        <w:tc>
          <w:tcPr>
            <w:tcW w:w="5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Market price of risk</w:t>
            </w:r>
          </w:p>
        </w:tc>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33"/>
        </w:trPr>
        <w:tc>
          <w:tcPr>
            <w:tcW w:w="5900" w:type="dxa"/>
            <w:vAlign w:val="bottom"/>
          </w:tcPr>
          <w:p>
            <w:pPr>
              <w:spacing w:after="0"/>
              <w:rPr>
                <w:sz w:val="2"/>
                <w:szCs w:val="2"/>
                <w:color w:val="auto"/>
              </w:rPr>
            </w:pPr>
          </w:p>
        </w:tc>
        <w:tc>
          <w:tcPr>
            <w:tcW w:w="5520" w:type="dxa"/>
            <w:vAlign w:val="bottom"/>
          </w:tcPr>
          <w:p>
            <w:pPr>
              <w:spacing w:after="0"/>
              <w:rPr>
                <w:sz w:val="2"/>
                <w:szCs w:val="2"/>
                <w:color w:val="auto"/>
              </w:rPr>
            </w:pPr>
          </w:p>
        </w:tc>
      </w:tr>
      <w:tr>
        <w:trPr>
          <w:trHeight w:val="224"/>
        </w:trPr>
        <w:tc>
          <w:tcPr>
            <w:tcW w:w="5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debt</w:t>
            </w:r>
          </w:p>
        </w:tc>
        <w:tc>
          <w:tcPr>
            <w:tcW w:w="5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33"/>
        </w:trPr>
        <w:tc>
          <w:tcPr>
            <w:tcW w:w="5900" w:type="dxa"/>
            <w:vAlign w:val="bottom"/>
            <w:shd w:val="clear" w:color="auto" w:fill="CCEEFF"/>
          </w:tcPr>
          <w:p>
            <w:pPr>
              <w:spacing w:after="0"/>
              <w:rPr>
                <w:sz w:val="2"/>
                <w:szCs w:val="2"/>
                <w:color w:val="auto"/>
              </w:rPr>
            </w:pPr>
          </w:p>
        </w:tc>
        <w:tc>
          <w:tcPr>
            <w:tcW w:w="5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investments is estimated using observable market-based inputs such as quoted prices, interest rates and yield curves or Level 2 inputs, which consisted of corporate bonds.</w:t>
      </w:r>
    </w:p>
    <w:p>
      <w:pPr>
        <w:spacing w:after="0" w:line="162" w:lineRule="exact"/>
        <w:rPr>
          <w:sz w:val="20"/>
          <w:szCs w:val="20"/>
          <w:color w:val="auto"/>
        </w:rPr>
      </w:pPr>
    </w:p>
    <w:p>
      <w:pPr>
        <w:ind w:right="80" w:firstLine="648"/>
        <w:spacing w:after="0" w:line="313" w:lineRule="auto"/>
        <w:rPr>
          <w:sz w:val="20"/>
          <w:szCs w:val="20"/>
          <w:color w:val="auto"/>
        </w:rPr>
      </w:pPr>
      <w:r>
        <w:rPr>
          <w:rFonts w:ascii="Times New Roman" w:cs="Times New Roman" w:eastAsia="Times New Roman" w:hAnsi="Times New Roman"/>
          <w:sz w:val="17"/>
          <w:szCs w:val="17"/>
          <w:color w:val="auto"/>
        </w:rPr>
        <w:t>The fair value of our Level 2 forward currency contracts are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levels during the nine months ended September 30,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7" w:right="2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4"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Our assets and liabilities measured at fair value on a recurring basis consisted of the following (Level 1, 2 and 3 inputs as defined above) (in thousands):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2019</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 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1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5"/>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80" w:type="dxa"/>
            <w:vAlign w:val="bottom"/>
          </w:tcPr>
          <w:p>
            <w:pPr>
              <w:spacing w:after="0"/>
              <w:rPr>
                <w:sz w:val="16"/>
                <w:szCs w:val="16"/>
                <w:color w:val="auto"/>
              </w:rPr>
            </w:pPr>
          </w:p>
        </w:tc>
        <w:tc>
          <w:tcPr>
            <w:tcW w:w="11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49"/>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Short-term</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20,845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20,845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w:t>
            </w:r>
          </w:p>
        </w:tc>
        <w:tc>
          <w:tcPr>
            <w:tcW w:w="1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exchange forwards: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22,424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22,424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3"/>
        </w:trPr>
        <w:tc>
          <w:tcPr>
            <w:tcW w:w="5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2018</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Total 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5"/>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80" w:type="dxa"/>
            <w:vAlign w:val="bottom"/>
          </w:tcPr>
          <w:p>
            <w:pPr>
              <w:spacing w:after="0"/>
              <w:rPr>
                <w:sz w:val="16"/>
                <w:szCs w:val="16"/>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49"/>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Short-term</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37,329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37,329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w:t>
            </w: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exchange forwards: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40,086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40,086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1"/>
        </w:trPr>
        <w:tc>
          <w:tcPr>
            <w:tcW w:w="56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Earn-out liability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47,400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47,400</w:t>
            </w:r>
          </w:p>
        </w:tc>
        <w:tc>
          <w:tcPr>
            <w:tcW w:w="0" w:type="dxa"/>
            <w:vAlign w:val="bottom"/>
          </w:tcPr>
          <w:p>
            <w:pPr>
              <w:spacing w:after="0"/>
              <w:rPr>
                <w:sz w:val="1"/>
                <w:szCs w:val="1"/>
                <w:color w:val="auto"/>
              </w:rPr>
            </w:pPr>
          </w:p>
        </w:tc>
      </w:tr>
      <w:tr>
        <w:trPr>
          <w:trHeight w:val="257"/>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47,400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47,400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Investment Securities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investment securities currently consist of short-term and long-term corporate bonds. Our investment securities are considered available-for-sale and are “investment grade” and carried at fair value. Available-for-sale securities are recorded at fair value, and unrealized holding gains and losses are recorded, net of tax, as a component of accumulated other comprehensive income (loss). Unrealized losses on available-for-sale securities are charged against net earnings when a decline in fair value is determined to be other than temporary. Our management reviews several factors to determine whether a loss is other than temporary, such as the length and extent of the fair value decline, the financial condition and near term prospects of the issuer, and for equity investments, our intent and ability to hold the security for a period of time sufficient to allow for any anticipated recovery in fair value. The amortized cost of the debt securities are adjusted for the amortization of premiums computed under the effective interest method. Such amortization is included in investment income in other income on our condensed consolidated statements of operations. There have been no realized gains or losses on their disposal. Realized gains and losses are accounted for on the specific identification method. The scheduled maturities of the debt securities are between 2019 and 2020. All short-term investment securities are callable within one year.</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17" w:right="2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short and long-term investment securities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As of September 30, 2019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Holding Gains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corporate bonds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20,845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20,845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corporate bonds</w:t>
            </w:r>
          </w:p>
        </w:tc>
        <w:tc>
          <w:tcPr>
            <w:tcW w:w="28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20,845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20,845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Holding Gains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corporate bonds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37,329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37,329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corporate bonds</w:t>
            </w:r>
          </w:p>
        </w:tc>
        <w:tc>
          <w:tcPr>
            <w:tcW w:w="28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39,354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39,354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Prepaid Expenses, Other Current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2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Deposits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1,305</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prepaid expenses and receivables</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16,597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Receivables from Pfizer related to HIS business acquisition</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20,137</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costs</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6,366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insurance and property taxes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VAT/GST receivable</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4,379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charge</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33,807</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90" w:lineRule="exact"/>
        <w:rPr>
          <w:sz w:val="20"/>
          <w:szCs w:val="20"/>
          <w:color w:val="auto"/>
        </w:rPr>
      </w:pPr>
    </w:p>
    <w:p>
      <w:pPr>
        <w:ind w:right="320"/>
        <w:spacing w:after="0" w:line="218" w:lineRule="auto"/>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As of December 31, 2018, Pfizer had sold all of its shares of our common stock thereby ending its related-party relationship with us. We reclassified the December 31, 2018 related-party receivable due from Pfizer to prepaid expenses, other current assets for current year presentation purposes.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Inventories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using the first-in, first-out method. Inventory costs consist of those costs directly attributable to products prior to sale including among other things raw material, labor and overhead. Inventories consisted of the following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80" w:type="dxa"/>
            <w:vAlign w:val="bottom"/>
          </w:tcPr>
          <w:p>
            <w:pPr>
              <w:spacing w:after="0"/>
              <w:rPr>
                <w:sz w:val="18"/>
                <w:szCs w:val="18"/>
                <w:color w:val="auto"/>
              </w:rPr>
            </w:pPr>
          </w:p>
        </w:tc>
        <w:tc>
          <w:tcPr>
            <w:tcW w:w="16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110,954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104,104</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47,339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52,909</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185,422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154,150</w:t>
            </w:r>
          </w:p>
        </w:tc>
      </w:tr>
      <w:tr>
        <w:trPr>
          <w:trHeight w:val="257"/>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343,715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311,163</w:t>
            </w: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7"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20" w:type="dxa"/>
            <w:vAlign w:val="bottom"/>
          </w:tcPr>
          <w:p>
            <w:pPr>
              <w:spacing w:after="0"/>
              <w:rPr>
                <w:sz w:val="18"/>
                <w:szCs w:val="18"/>
                <w:color w:val="auto"/>
              </w:rPr>
            </w:pPr>
          </w:p>
        </w:tc>
        <w:tc>
          <w:tcPr>
            <w:tcW w:w="17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213,957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203,431</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 building and building improvements</w:t>
            </w:r>
          </w:p>
        </w:tc>
        <w:tc>
          <w:tcPr>
            <w:tcW w:w="2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228,960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212,283</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Molds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59,749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59,700</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82,993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80,420</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7,409</w:t>
            </w:r>
          </w:p>
        </w:tc>
      </w:tr>
      <w:tr>
        <w:trPr>
          <w:trHeight w:val="270"/>
        </w:trPr>
        <w:tc>
          <w:tcPr>
            <w:tcW w:w="74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Instruments placed with customers</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23"/>
                <w:szCs w:val="23"/>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70,146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60,757</w:t>
            </w: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85,908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70,864</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cost</w:t>
            </w: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749,118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694,864</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(262,223)</w:t>
            </w:r>
          </w:p>
        </w:tc>
      </w:tr>
      <w:tr>
        <w:trPr>
          <w:trHeight w:val="25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444,087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432,641</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Instruments placed with customers consist of drug-delivery and monitoring systems placed with customers.</w:t>
      </w:r>
    </w:p>
    <w:p>
      <w:pPr>
        <w:spacing w:after="0" w:line="14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was $14.8 million and $44.6 million for the three and nine months ended September 30, 2019, respectively, as compared to $15.1 million and $42.8 million for the three and nine months ended September 30, 2018,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Goodwill and Intangible Assets,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 of our goodwill (in thousands):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2019</w:t>
            </w:r>
          </w:p>
        </w:tc>
        <w:tc>
          <w:tcPr>
            <w:tcW w:w="56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11,195</w:t>
            </w:r>
          </w:p>
        </w:tc>
        <w:tc>
          <w:tcPr>
            <w:tcW w:w="0" w:type="dxa"/>
            <w:vAlign w:val="bottom"/>
          </w:tcPr>
          <w:p>
            <w:pPr>
              <w:spacing w:after="0"/>
              <w:rPr>
                <w:sz w:val="1"/>
                <w:szCs w:val="1"/>
                <w:color w:val="auto"/>
              </w:rPr>
            </w:pPr>
          </w:p>
        </w:tc>
      </w:tr>
      <w:tr>
        <w:trPr>
          <w:trHeight w:val="243"/>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Currency translation</w:t>
            </w:r>
          </w:p>
        </w:tc>
        <w:tc>
          <w:tcPr>
            <w:tcW w:w="5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2019</w:t>
            </w:r>
          </w:p>
        </w:tc>
        <w:tc>
          <w:tcPr>
            <w:tcW w:w="5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11,019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bottom w:val="single" w:sz="8" w:color="CCEEFF"/>
            </w:tcBorders>
            <w:vMerge w:val="restart"/>
          </w:tcPr>
          <w:p>
            <w:pPr>
              <w:jc w:val="right"/>
              <w:ind w:right="3250"/>
              <w:spacing w:after="0"/>
              <w:rPr>
                <w:sz w:val="20"/>
                <w:szCs w:val="20"/>
                <w:color w:val="auto"/>
              </w:rPr>
            </w:pPr>
            <w:r>
              <w:rPr>
                <w:rFonts w:ascii="Times New Roman" w:cs="Times New Roman" w:eastAsia="Times New Roman" w:hAnsi="Times New Roman"/>
                <w:sz w:val="18"/>
                <w:szCs w:val="18"/>
                <w:color w:val="auto"/>
              </w:rPr>
              <w:t>22</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4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carried at cost less accumulated amortization and amortized on a straight-lined basis, were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Life in Years</w:t>
            </w:r>
          </w:p>
        </w:tc>
        <w:tc>
          <w:tcPr>
            <w:tcW w:w="320" w:type="dxa"/>
            <w:vAlign w:val="bottom"/>
          </w:tcPr>
          <w:p>
            <w:pPr>
              <w:spacing w:after="0"/>
              <w:rPr>
                <w:sz w:val="18"/>
                <w:szCs w:val="18"/>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Patents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21,736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8,575</w:t>
            </w:r>
          </w:p>
        </w:tc>
        <w:tc>
          <w:tcPr>
            <w:tcW w:w="0" w:type="dxa"/>
            <w:vAlign w:val="bottom"/>
          </w:tcPr>
          <w:p>
            <w:pPr>
              <w:spacing w:after="0"/>
              <w:rPr>
                <w:sz w:val="1"/>
                <w:szCs w:val="1"/>
                <w:color w:val="auto"/>
              </w:rPr>
            </w:pPr>
          </w:p>
        </w:tc>
      </w:tr>
      <w:tr>
        <w:trPr>
          <w:trHeight w:val="270"/>
        </w:trPr>
        <w:tc>
          <w:tcPr>
            <w:tcW w:w="5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Customer contracts </w:t>
            </w:r>
            <w:r>
              <w:rPr>
                <w:rFonts w:ascii="Times New Roman" w:cs="Times New Roman" w:eastAsia="Times New Roman" w:hAnsi="Times New Roman"/>
                <w:sz w:val="21"/>
                <w:szCs w:val="21"/>
                <w:color w:val="auto"/>
                <w:vertAlign w:val="superscript"/>
              </w:rPr>
              <w:t>(1)</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4,571</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Non-contractual customer relationships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57,602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39,189</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Trademarks</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 name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5,447</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Developed technology</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82,634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21,082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61,552</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amortized intangible assets</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179,837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60,503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119,334</w:t>
            </w:r>
          </w:p>
        </w:tc>
        <w:tc>
          <w:tcPr>
            <w:tcW w:w="0" w:type="dxa"/>
            <w:vAlign w:val="bottom"/>
          </w:tcPr>
          <w:p>
            <w:pPr>
              <w:spacing w:after="0"/>
              <w:rPr>
                <w:sz w:val="1"/>
                <w:szCs w:val="1"/>
                <w:color w:val="auto"/>
              </w:rPr>
            </w:pPr>
          </w:p>
        </w:tc>
      </w:tr>
      <w:tr>
        <w:trPr>
          <w:trHeight w:val="297"/>
        </w:trPr>
        <w:tc>
          <w:tcPr>
            <w:tcW w:w="5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IPR&amp;D</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12,310</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intangible assets</w:t>
            </w: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192,147</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60,503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131,644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180" w:firstLine="8"/>
        <w:spacing w:after="0"/>
        <w:tabs>
          <w:tab w:leader="none" w:pos="178"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During the second quarter of 2019, we acquired certain assets from one of our distributors. We recorded $4.6 million in customer contracts related to that agreement.</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2"/>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56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7"/>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56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Life in Years</w:t>
            </w:r>
          </w:p>
        </w:tc>
        <w:tc>
          <w:tcPr>
            <w:tcW w:w="32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Patents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19,399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12,147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7,252</w:t>
            </w:r>
          </w:p>
        </w:tc>
      </w:tr>
      <w:tr>
        <w:trPr>
          <w:trHeight w:val="237"/>
        </w:trPr>
        <w:tc>
          <w:tcPr>
            <w:tcW w:w="5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contracts</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r>
      <w:tr>
        <w:trPr>
          <w:trHeight w:val="3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Non-contractual customer relationships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57,916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44,553</w:t>
            </w:r>
          </w:p>
        </w:tc>
      </w:tr>
      <w:tr>
        <w:trPr>
          <w:trHeight w:val="237"/>
        </w:trPr>
        <w:tc>
          <w:tcPr>
            <w:tcW w:w="5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Trademarks</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 name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5,838</w:t>
            </w:r>
          </w:p>
        </w:tc>
      </w:tr>
      <w:tr>
        <w:trPr>
          <w:trHeight w:val="237"/>
        </w:trPr>
        <w:tc>
          <w:tcPr>
            <w:tcW w:w="5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Developed technology</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82,857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15,361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67,496</w:t>
            </w: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amortized intangible assets</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173,372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48,186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125,186</w:t>
            </w:r>
          </w:p>
        </w:tc>
      </w:tr>
      <w:tr>
        <w:trPr>
          <w:trHeight w:val="297"/>
        </w:trPr>
        <w:tc>
          <w:tcPr>
            <w:tcW w:w="5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IPR&amp;D</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8,235</w:t>
            </w:r>
          </w:p>
        </w:tc>
      </w:tr>
      <w:tr>
        <w:trPr>
          <w:trHeight w:val="297"/>
        </w:trPr>
        <w:tc>
          <w:tcPr>
            <w:tcW w:w="56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intangible assets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181,607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48,186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133,421</w:t>
            </w:r>
          </w:p>
        </w:tc>
      </w:tr>
      <w:tr>
        <w:trPr>
          <w:trHeight w:val="20"/>
        </w:trPr>
        <w:tc>
          <w:tcPr>
            <w:tcW w:w="5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Intangible assets with definite lives are amortized on a straight-line basis over their estimated useful lives. During the three and nine months ended September 30, 2019, intangible asset amortization expense was $4.4 million and $12.4 million, respectively, as compared to $4.1 million and $12.2 million for the three and nine months ended September 30, 2018, respectively.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117" w:right="25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2019 estimated annual amortization for our intangible assets for each of the next five years is approximately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Remainder of 2019</w:t>
            </w:r>
          </w:p>
        </w:tc>
        <w:tc>
          <w:tcPr>
            <w:tcW w:w="1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4,809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49,195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119,334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14:  Accrued Liabilities and Other Long-Term Liabilities</w:t>
            </w: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2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Salaries and benefits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Incentive compensation</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supply chain restructuring costs</w:t>
            </w: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liability-ST</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product field action</w:t>
            </w: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Third-party inventory</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Consigned inventory</w:t>
            </w: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sales taxes</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accrual</w:t>
            </w: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other taxes</w:t>
            </w: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Legal accrual</w:t>
            </w: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 fees</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Warranties and returns</w:t>
            </w: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freight</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liabilities-ST</w:t>
            </w: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settlement</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130,056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128,820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long-term liabilities consist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360" w:type="dxa"/>
            <w:vAlign w:val="bottom"/>
          </w:tcPr>
          <w:p>
            <w:pPr>
              <w:spacing w:after="0"/>
              <w:rPr>
                <w:sz w:val="18"/>
                <w:szCs w:val="18"/>
                <w:color w:val="auto"/>
              </w:rPr>
            </w:pPr>
          </w:p>
        </w:tc>
        <w:tc>
          <w:tcPr>
            <w:tcW w:w="216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liabilities-LT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14,020</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settlement</w:t>
            </w:r>
          </w:p>
        </w:tc>
        <w:tc>
          <w:tcPr>
            <w:tcW w:w="360" w:type="dxa"/>
            <w:vAlign w:val="bottom"/>
          </w:tcPr>
          <w:p>
            <w:pPr>
              <w:spacing w:after="0"/>
              <w:rPr>
                <w:sz w:val="21"/>
                <w:szCs w:val="21"/>
                <w:color w:val="auto"/>
              </w:rPr>
            </w:pPr>
          </w:p>
        </w:tc>
        <w:tc>
          <w:tcPr>
            <w:tcW w:w="2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1,667</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liability-LT</w:t>
            </w:r>
          </w:p>
        </w:tc>
        <w:tc>
          <w:tcPr>
            <w:tcW w:w="3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29,791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Benefits</w:t>
            </w:r>
          </w:p>
        </w:tc>
        <w:tc>
          <w:tcPr>
            <w:tcW w:w="360" w:type="dxa"/>
            <w:vAlign w:val="bottom"/>
          </w:tcPr>
          <w:p>
            <w:pPr>
              <w:spacing w:after="0"/>
              <w:rPr>
                <w:sz w:val="21"/>
                <w:szCs w:val="21"/>
                <w:color w:val="auto"/>
              </w:rPr>
            </w:pPr>
          </w:p>
        </w:tc>
        <w:tc>
          <w:tcPr>
            <w:tcW w:w="2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962</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rent</w:t>
            </w:r>
          </w:p>
        </w:tc>
        <w:tc>
          <w:tcPr>
            <w:tcW w:w="3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1,779</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21"/>
                <w:szCs w:val="21"/>
                <w:color w:val="auto"/>
              </w:rPr>
            </w:pPr>
          </w:p>
        </w:tc>
        <w:tc>
          <w:tcPr>
            <w:tcW w:w="2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468</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1,696</w:t>
            </w:r>
          </w:p>
        </w:tc>
      </w:tr>
      <w:tr>
        <w:trPr>
          <w:trHeight w:val="237"/>
        </w:trPr>
        <w:tc>
          <w:tcPr>
            <w:tcW w:w="62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37,614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20,592</w:t>
            </w:r>
          </w:p>
        </w:tc>
      </w:tr>
      <w:tr>
        <w:trPr>
          <w:trHeight w:val="27"/>
        </w:trPr>
        <w:tc>
          <w:tcPr>
            <w:tcW w:w="6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Income taxes were accrued at an estimated effective tax rate of 19% and 14% for the three and nine months ended September 30, 2019, respectively, as compared to 85% and (4)% for the three and nine months ended September 30, 2018, respectively.</w:t>
      </w:r>
    </w:p>
    <w:p>
      <w:pPr>
        <w:spacing w:after="0" w:line="16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2019 differs from the federal statutory rate of 21% principally because of the effect of the mix of U.S. and foreign incomes, state income taxes, global intangible low-taxed income ("GILTI") and tax credits, and by the following discrete tax items recognized during the interim periods:</w:t>
      </w:r>
    </w:p>
    <w:p>
      <w:pPr>
        <w:spacing w:after="0" w:line="136" w:lineRule="exact"/>
        <w:rPr>
          <w:sz w:val="20"/>
          <w:szCs w:val="20"/>
          <w:color w:val="auto"/>
        </w:rPr>
      </w:pPr>
    </w:p>
    <w:p>
      <w:pPr>
        <w:ind w:left="660" w:right="1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tax benefits recognized on stock option exercises and the vesting of restricted stock units during the three and nine months ended September 30, 2019 of $0.3 million and $7.7 million, respectively.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revaluation of the contingent consideration during the nine months ended September 30, 2019 resulted in a tax expense of $11.4 million.</w:t>
      </w:r>
    </w:p>
    <w:p>
      <w:pPr>
        <w:spacing w:after="0" w:line="18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repatriation of certain intellectual property and assets from one of our foreign subsidiaries to the U.S. parent resulted in a net tax benefit of $3.8 million.</w:t>
      </w:r>
    </w:p>
    <w:p>
      <w:pPr>
        <w:spacing w:after="0" w:line="12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return-to-provision adjustment for the year ended December 31, 2018 included a tax expense of $2.2 million primarily due to changes in estimates for GILTI.</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2018 differs from the federal statutory rate of 21% principally because of the effect of the mix of U.S. and foreign incomes, state income taxes and tax credits. The effective tax rate during the three and nine months ended September 30, 2018 included a discrete tax benefit of $1.6 million and $12.8 million, respectively, related to the excess tax benefits recognized on stock option exercises and the vesting of restricted stock units during the period. The effective tax rate for the nine months ended September 30, 2018 was also impacted by a contract settlement. The contract settlement resulted in a discrete tax benefit of $5.7 million.</w:t>
      </w:r>
    </w:p>
    <w:p>
      <w:pPr>
        <w:spacing w:after="0" w:line="13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Long-Term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Five-year Senior Secured Revolving Credit Facility ("Credit Facility")</w:t>
      </w:r>
    </w:p>
    <w:p>
      <w:pPr>
        <w:spacing w:after="0" w:line="22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On November 8, 2017, we entered into a Credit Facility with various lenders for $150.0 million, with Wells Fargo Bank, N.A. as the administrative agent, swingline lender and issuing lender. As of September 30, 2019, we had no borrowings and $150.0 million of availability under the Credit Facility. The Credit Facility matures on November 8,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Covenants</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Credit Facility contains certain financial covenants pertaining to Consolidated Fixed Charge Coverage and Consolidated Total Leverage Ratios. In addition, the Credit Facility has restrictions pertaining to limitations on debt, liens, negative pledges, loans, advances, acquisitions, other investments, dividends, distributions, redemptions, repurchases of equity interests, fundamental changes and asset sales and other dispositions, prepayments, redemptions and purchases of subordinated debt and other junior debt, transactions with affiliates, dividend and payment restrictions affecting subsidiaries, changes in line of business, fiscal year and accounting practices and amendment of organizational documents and junior debt documents.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7"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were in compliance with all financial covenants as of September 30,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227"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In August 2019, our Board of Directors approved a new share purchase plan to purchase up to $100.0 million of our common stock. This plan replaced our existing plan and has no expiration date. During the nine months ended September 30, 2019, we did not purchase any shares of our common stock under our stock purchase plans. As of September 30, 2019, all of the $100.0 million available for purchase was remaining under the plan. We are currently limited on share purchases in accordance with the terms and conditions of our Credit Facility (see Note 16: Long-Term Obligations).</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2019, we withheld 79,313 shares of our common stock from employee vested restricted stock units in consideration for $18.5 million in payments made on the employee's behalf for their minimum statutory income tax withholding obligations. Treasury stock is used to issue shares for stock option exercises, restricted stock grants and employee stock purchase plan stock purchases.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("AOCI"), net of tax,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Unrealized Gains</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on Cash Flow</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January 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(16,945)</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March 31,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(17,881)</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3,207</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June 30, 2019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(14,674)</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(7,908)</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September 30, 2019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(22,582)</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Unrealized Gains</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on Cash Flow</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January 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17,392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15,397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17,213</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March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2,254</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(19,484)</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June 30,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(17,230)</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September 30,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(21,461)</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Beginning in November 2016, purported class actions were filed in the U.S. District Court for the Northern District of Illinois against Pfizer, Inc. subsidiaries, Hospira, Inc., Hospira Worldwide, Inc. and certain other defendants relating to the intravenous saline solutions part of the HIS business. Plaintiffs seek to represent classes consisting of all persons and entities in the U.S. who directly purchased intravenous saline solution sold by any of the defendants from January 1, 2013 until the time the defendants’ allegedly unlawful conduct ceases. Plaintiffs allege that U.S. manufacturer defendants conspired together to restrict output and artificially fix, raise, maintain and/or stabilize the prices of intravenous saline solution sold throughout the U.S. in violation of federal antitrust laws. Plaintiffs seek treble damages (for themselves and on behalf of the putative classes) and an injunction against defendants for alleged price overcharges for intravenous saline solution in the U.S. since January 1, 2013. On July 5, 2018, the District Court granted defendants’ motion to dismiss the operative complaint for failing to state a valid antitrust claim, but allowed the plaintiffs to file a second amended complaint. On September 6, 2018, plaintiffs filed a second amended complaint adding new allegations in support of their conspiracy claims and adding ICU as a defendant. All defendants have filed a motion to dismiss this second amended complaint. Briefing is complete and we are awaiting the Court's ruling. On February 3, 2017, we completed the acquisition of the HIS business from Pfizer. This litigation is the subject of a claim for indemnification against us by Pfizer and a cross-claim for indemnification against Pfizer by us under the HIS stock and asset purchase agreement.</w:t>
      </w:r>
    </w:p>
    <w:p>
      <w:pPr>
        <w:spacing w:after="0" w:line="19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addition, in August 2015, the New York Attorney General issued a subpoena to Hospira, Inc. requesting that the company provide information regarding certain business practices in the intravenous solutions part of the HIS business. Separately, in April 2017, we received a grand jury subpoena issued by the United States District Court for the Eastern District of Pennsylvania, in connection with an investigation by the U.S. Department of Justice, Antitrust Division. The subpoenas call for production of documents related to the manufacturing, selling, pricing and shortages of intravenous solutions, including saline, as well as communications among market participants regarding these issues. On December 10, 2018, we were informed by the U.S. Department of Justice, Antitrust Division, that their investigation has been closed.</w:t>
      </w:r>
    </w:p>
    <w:p>
      <w:pPr>
        <w:spacing w:after="0" w:line="188"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April 2018, the U.S. Department of Justice issued a HIPAA subpoena to Hospira, Inc., requesting production of documents and records regarding the manufacturing, production, testing, quality and validation of the Sapphire™ infusion pumps, sets and related accessories distributed by the company. We have coordinated with Pfizer to produce the requested records to the Department of Justice.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7"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March 2018, a dispute with a product partner resulted in a redefinition of our contractual arrangement and in the rights and remedies determined under such arrangement. The resolution of the dispute resulted in a $28.9 million net charge to the condensed consolidated statement of operations. In addition, during the fourth quarter of 2018, we incurred $12.7 million in additional contract settlement charges related to this arrangement as a result of the write-off of assets and additional expenses associated with the restructuring of products.</w:t>
      </w:r>
    </w:p>
    <w:p>
      <w:pPr>
        <w:spacing w:after="0" w:line="180"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ind w:right="180" w:firstLine="648"/>
        <w:spacing w:after="0" w:line="276" w:lineRule="auto"/>
        <w:rPr>
          <w:sz w:val="20"/>
          <w:szCs w:val="20"/>
          <w:color w:val="auto"/>
        </w:rPr>
      </w:pPr>
      <w:r>
        <w:rPr>
          <w:rFonts w:ascii="Times New Roman" w:cs="Times New Roman" w:eastAsia="Times New Roman" w:hAnsi="Times New Roman"/>
          <w:sz w:val="17"/>
          <w:szCs w:val="17"/>
          <w:color w:val="auto"/>
        </w:rPr>
        <w:t>We have a contractual earn-out arrangement in connection with our acquisition of the HIS business, whereby Pfizer may be entitled up to an additional $225.0 million in cash upon achievement of certain performance targets for the company for the three years ending December 31, 2019 (see Note</w:t>
      </w:r>
    </w:p>
    <w:p>
      <w:pPr>
        <w:spacing w:after="0" w:line="1" w:lineRule="exact"/>
        <w:rPr>
          <w:sz w:val="20"/>
          <w:szCs w:val="20"/>
          <w:color w:val="auto"/>
        </w:rPr>
      </w:pPr>
    </w:p>
    <w:p>
      <w:pPr>
        <w:ind w:right="540" w:firstLine="8"/>
        <w:spacing w:after="0" w:line="261" w:lineRule="auto"/>
        <w:tabs>
          <w:tab w:leader="none" w:pos="1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 As of September 30, 2019, there is a remote probability that we will meet the performance targets by December 31, 2019, accordingly the estimated fair value of the contingent earn-out as of September 30, 2019 has been reduced to zero.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We have non-cancellable operating lease agreements where we are contractually obligated to pay certain lease payment amounts (see Note 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w:t>
      </w:r>
    </w:p>
    <w:p>
      <w:pPr>
        <w:spacing w:after="0" w:line="20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7"/>
          <w:szCs w:val="17"/>
          <w:b w:val="1"/>
          <w:bCs w:val="1"/>
          <w:color w:val="auto"/>
        </w:rPr>
        <w:t>Collaborative and Other Arrangements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February 3, 2017, we entered into two Manufacturing and Supply Agreements ("MSAs"), (i) whereby Pfizer will manufacture and supply us with certain agreed upon products for an initial five-year term with a one-time two-year option to extend and (ii) whereby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will be annually updated, is in full consideration for all costs associated with the manufacture, documentation, packaging and certification of the products.</w:t>
      </w:r>
    </w:p>
    <w:p>
      <w:pPr>
        <w:spacing w:after="0" w:line="18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20:</w:t>
        <w:tab/>
        <w:t>Subsequent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November, 8 2019, we acquired Pursuit Vascular, Inc. for approximately $75.0 million in cash and a potential contingent earn-out of up to $50.0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the condensed consolidated financial statements and accompanying notes in this Form 10-Q, as well as the audited consolidated financial statements and related notes for the fiscal year ended December 31, 2018 included in our Annual Report on Form 10-K.</w:t>
      </w:r>
    </w:p>
    <w:p>
      <w:pPr>
        <w:spacing w:after="0" w:line="176"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When used in this report, the terms “we,” “us,” and “our” refer to ICU Medical, Inc ("ICU") and its subsidiaries included in our condensed consolidated financial statements unless context requires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7"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one of the world's leading pure-play infusion therapy companies with global operations and a wide-ranging product portfolio that includes IV solutions, IV smart pumps with pain management and safety software technology, dedicated and non-dedicated IV sets and needlefree connectors designed to help meet clinical, safety and workflow goals. In addition, we manufacture automated pharmacy IV compounding systems with workflow technology, closed systems transfer devices for preparing and administering hazardous IV drugs, and cardiac monitoring systems for critically ill patients.</w:t>
      </w:r>
    </w:p>
    <w:p>
      <w:pPr>
        <w:spacing w:after="0" w:line="180"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Our primary customers are acute care hospitals, wholesalers, ambulatory clinics and alternate site facilities, such as clinics, home health care providers and long-term care facilities. We sell our products in more than 90 countries throughout the world.</w:t>
      </w:r>
    </w:p>
    <w:p>
      <w:pPr>
        <w:spacing w:after="0" w:line="162"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We categorize our products into four main product lines: Infusion Consumables, IV Solutions, Infusion Systems, and Critical Care. We have presented our financial results in accordance with these product lines, with our primary products in each line listed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Infusion Consumables</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Infusion therapy sets, used in hospitals and ambulatory clinics, consist of a tube running from a bottle or plastic bag containing a solution to a catheter inserted in a patient’s vein, that may or may not be used with an IV pump. Our primary Infusion Consumable products are:</w:t>
      </w:r>
    </w:p>
    <w:p>
      <w:pPr>
        <w:spacing w:after="0" w:line="160" w:lineRule="exact"/>
        <w:rPr>
          <w:sz w:val="20"/>
          <w:szCs w:val="20"/>
          <w:color w:val="auto"/>
        </w:rPr>
      </w:pPr>
    </w:p>
    <w:p>
      <w:pPr>
        <w:ind w:left="1300" w:right="220" w:hanging="320"/>
        <w:spacing w:after="0" w:line="267" w:lineRule="auto"/>
        <w:tabs>
          <w:tab w:leader="none" w:pos="130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Clave™ needlefree products</w:t>
      </w:r>
      <w:r>
        <w:rPr>
          <w:rFonts w:ascii="Times New Roman" w:cs="Times New Roman" w:eastAsia="Times New Roman" w:hAnsi="Times New Roman"/>
          <w:sz w:val="18"/>
          <w:szCs w:val="18"/>
          <w:color w:val="auto"/>
        </w:rPr>
        <w:t>, including the MicroClave, MicroClave Clear, and NanoClave™ brand of connectors, accessories, extension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administration sets used for the administration of IV fluids and medications and the Neutron catheter patency device, used to help maintain patency of central venous catheters;</w:t>
      </w:r>
    </w:p>
    <w:p>
      <w:pPr>
        <w:spacing w:after="0" w:line="173"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SwabCap </w:t>
      </w:r>
      <w:r>
        <w:rPr>
          <w:rFonts w:ascii="Times New Roman" w:cs="Times New Roman" w:eastAsia="Times New Roman" w:hAnsi="Times New Roman"/>
          <w:sz w:val="18"/>
          <w:szCs w:val="18"/>
          <w:color w:val="auto"/>
        </w:rPr>
        <w:t>disinfecting cap, used to protect and disinfect any needlefree connector, including competitive brands of connectors;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Tego </w:t>
      </w:r>
      <w:r>
        <w:rPr>
          <w:rFonts w:ascii="Times New Roman" w:cs="Times New Roman" w:eastAsia="Times New Roman" w:hAnsi="Times New Roman"/>
          <w:sz w:val="18"/>
          <w:szCs w:val="18"/>
          <w:color w:val="auto"/>
        </w:rPr>
        <w:t>hemodialysis connector used to cap and protect hemodialysis central venous catheter hubs;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NovaCath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SuperCath</w:t>
      </w:r>
      <w:r>
        <w:rPr>
          <w:rFonts w:ascii="Times New Roman" w:cs="Times New Roman" w:eastAsia="Times New Roman" w:hAnsi="Times New Roman"/>
          <w:sz w:val="18"/>
          <w:szCs w:val="18"/>
          <w:color w:val="auto"/>
        </w:rPr>
        <w:t>™ peripheral IV catheters (PIV).</w:t>
      </w:r>
    </w:p>
    <w:p>
      <w:pPr>
        <w:spacing w:after="0" w:line="22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Closed System Transfer Devices ("CSTD") and hazardous drug compounding systems </w:t>
      </w:r>
      <w:r>
        <w:rPr>
          <w:rFonts w:ascii="Times New Roman" w:cs="Times New Roman" w:eastAsia="Times New Roman" w:hAnsi="Times New Roman"/>
          <w:sz w:val="18"/>
          <w:szCs w:val="18"/>
          <w:color w:val="auto"/>
        </w:rPr>
        <w:t>are used to prepare and deliver hazardous IV medications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those used in chemotherapy, which, if released, can have harmful effects on the healthcare worker and environment. Our products are:</w:t>
      </w:r>
    </w:p>
    <w:p>
      <w:pPr>
        <w:spacing w:after="0" w:line="158" w:lineRule="exact"/>
        <w:rPr>
          <w:sz w:val="20"/>
          <w:szCs w:val="20"/>
          <w:color w:val="auto"/>
        </w:rPr>
      </w:pPr>
    </w:p>
    <w:p>
      <w:pPr>
        <w:ind w:left="1300" w:right="40" w:hanging="320"/>
        <w:spacing w:after="0" w:line="267"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ChemoLock </w:t>
      </w:r>
      <w:r>
        <w:rPr>
          <w:rFonts w:ascii="Times New Roman" w:cs="Times New Roman" w:eastAsia="Times New Roman" w:hAnsi="Times New Roman"/>
          <w:sz w:val="18"/>
          <w:szCs w:val="18"/>
          <w:color w:val="auto"/>
        </w:rPr>
        <w:t>CSTD with a proprietary and pharmacy-preferred needlefree connection method, used for the preparation and administration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hazardous drugs. ChemoLock is used to limit the escape of hazardous drug or vapor concentrations, blocks the transfer of environmental contaminants into the system, and eliminates the risk of needlestick injury;</w:t>
      </w:r>
    </w:p>
    <w:p>
      <w:pPr>
        <w:spacing w:after="0" w:line="173" w:lineRule="exact"/>
        <w:rPr>
          <w:rFonts w:ascii="Times New Roman" w:cs="Times New Roman" w:eastAsia="Times New Roman" w:hAnsi="Times New Roman"/>
          <w:sz w:val="18"/>
          <w:szCs w:val="18"/>
          <w:color w:val="auto"/>
        </w:rPr>
      </w:pPr>
    </w:p>
    <w:p>
      <w:pPr>
        <w:ind w:left="1300" w:hanging="320"/>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ChemoClave</w:t>
      </w:r>
      <w:r>
        <w:rPr>
          <w:rFonts w:ascii="Times New Roman" w:cs="Times New Roman" w:eastAsia="Times New Roman" w:hAnsi="Times New Roman"/>
          <w:sz w:val="18"/>
          <w:szCs w:val="18"/>
          <w:color w:val="auto"/>
        </w:rPr>
        <w:t>, an ISO Connection standard and universally compatible CSTD used for the preparation and administration of hazardous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drugs. ChemoClave utilizes standard ISO luer locking connections, making it compatible with all brands of needlefree connectors and pump delivery systems. ChemoClave also limits the escape of hazardous drug or vapor concentrations, blocks the transfer of environmental contaminants into the system, and eliminates the risk of needlestick injury; and</w:t>
      </w:r>
    </w:p>
    <w:p>
      <w:pPr>
        <w:spacing w:after="0" w:line="180" w:lineRule="exact"/>
        <w:rPr>
          <w:rFonts w:ascii="Times New Roman" w:cs="Times New Roman" w:eastAsia="Times New Roman" w:hAnsi="Times New Roman"/>
          <w:sz w:val="18"/>
          <w:szCs w:val="18"/>
          <w:color w:val="auto"/>
        </w:rPr>
      </w:pPr>
    </w:p>
    <w:p>
      <w:pPr>
        <w:ind w:left="1300" w:right="120" w:hanging="320"/>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Diana </w:t>
      </w:r>
      <w:r>
        <w:rPr>
          <w:rFonts w:ascii="Times New Roman" w:cs="Times New Roman" w:eastAsia="Times New Roman" w:hAnsi="Times New Roman"/>
          <w:sz w:val="18"/>
          <w:szCs w:val="18"/>
          <w:color w:val="auto"/>
        </w:rPr>
        <w:t>hazardous drug compounding system, an automated sterile compounding system that incorporates ChemoClave and ChemoLock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CSTD consumables and IV workflow technology for the accurate, safe, and efficient preparation of hazardous drugs. It is a user-controlled automated system that provides repeatable accuracy of drug mixes and minimizes clinician exposure to hazardous drugs while helping to maintain the sterility of the drugs being mixed.</w:t>
      </w:r>
    </w:p>
    <w:p>
      <w:pPr>
        <w:spacing w:after="0" w:line="18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hazardous drugs typically takes place in a pharmacy location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IV Solutions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We provide a broad portfolio of IV solutions to meet our customers’ clinical needs, providing a consistent supply of IV solutions, irrigation, and nutritionals to help provide safe and effective patient care. Our primary IV Solutions products are: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IV Therapy and Diluents:</w:t>
      </w:r>
    </w:p>
    <w:p>
      <w:pPr>
        <w:spacing w:after="0" w:line="227" w:lineRule="exact"/>
        <w:rPr>
          <w:sz w:val="20"/>
          <w:szCs w:val="20"/>
          <w:color w:val="auto"/>
        </w:rPr>
      </w:pPr>
    </w:p>
    <w:p>
      <w:pPr>
        <w:ind w:left="1300" w:right="22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Sodium Chloride, Dextrose, Balanced Electrolyte Solutions, Lactated Ringer's, Ringer's, Mannitol, Sodium Chloride/Dextrose and Sterile Water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Irrigation:</w:t>
      </w:r>
    </w:p>
    <w:p>
      <w:pPr>
        <w:spacing w:after="0" w:line="227" w:lineRule="exact"/>
        <w:rPr>
          <w:sz w:val="20"/>
          <w:szCs w:val="20"/>
          <w:color w:val="auto"/>
        </w:rPr>
      </w:pPr>
    </w:p>
    <w:p>
      <w:pPr>
        <w:ind w:left="1300" w:right="180" w:hanging="320"/>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Sodium Chloride Irrigation, Sterile Water Irrigation, Physiologic Solutions, Ringer's Irrigation, Ringer's Irrigation, Acetic Acid Irrigation, Glycine Irrigation, Sorbitol-Mannitol Irrigation, Flexible Containers and Pour Bottle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Infusion Systems</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offer a wide range of infusion pumps, dedicated IV sets and software. Our primary Infusion System products are dedicated IV sets and the following:</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Infusion Pump Hardware:</w:t>
      </w:r>
    </w:p>
    <w:p>
      <w:pPr>
        <w:spacing w:after="0" w:line="225" w:lineRule="exact"/>
        <w:rPr>
          <w:sz w:val="20"/>
          <w:szCs w:val="20"/>
          <w:color w:val="auto"/>
        </w:rPr>
      </w:pPr>
    </w:p>
    <w:p>
      <w:pPr>
        <w:jc w:val="both"/>
        <w:ind w:left="1300" w:right="420" w:hanging="320"/>
        <w:spacing w:after="0" w:line="267"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Plum 360™</w:t>
      </w:r>
      <w:r>
        <w:rPr>
          <w:rFonts w:ascii="Times New Roman" w:cs="Times New Roman" w:eastAsia="Times New Roman" w:hAnsi="Times New Roman"/>
          <w:sz w:val="18"/>
          <w:szCs w:val="18"/>
          <w:color w:val="auto"/>
        </w:rPr>
        <w:t>: The Plum 360™ infusion pump is an ICU Medical MedNet™ ready large volume infusion pump with an extensive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library and wireless capability. Plum 360 was named the 2018 Best in KLAS winner as top-performing IV smart pump and is the first medical device to be awarded UL Cybersecurity Assurance Program Certification; and</w:t>
      </w:r>
    </w:p>
    <w:p>
      <w:pPr>
        <w:spacing w:after="0" w:line="173" w:lineRule="exact"/>
        <w:rPr>
          <w:rFonts w:ascii="Times New Roman" w:cs="Times New Roman" w:eastAsia="Times New Roman" w:hAnsi="Times New Roman"/>
          <w:sz w:val="18"/>
          <w:szCs w:val="18"/>
          <w:color w:val="auto"/>
        </w:rPr>
      </w:pPr>
    </w:p>
    <w:p>
      <w:pPr>
        <w:ind w:left="1300" w:right="480" w:hanging="320"/>
        <w:spacing w:after="0" w:line="284"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LifeCare PCA™</w:t>
      </w:r>
      <w:r>
        <w:rPr>
          <w:rFonts w:ascii="Times New Roman" w:cs="Times New Roman" w:eastAsia="Times New Roman" w:hAnsi="Times New Roman"/>
          <w:sz w:val="18"/>
          <w:szCs w:val="18"/>
          <w:color w:val="auto"/>
        </w:rPr>
        <w:t>: The LifeCare PCA infusion pump is an ICU Medical MedNet™ ready patient-controlled analgesia pump ("PCA"),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complete IV-EHR interoperability since 2016.</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IV Mediation Safety Software:</w:t>
      </w:r>
    </w:p>
    <w:p>
      <w:pPr>
        <w:spacing w:after="0" w:line="225" w:lineRule="exact"/>
        <w:rPr>
          <w:sz w:val="20"/>
          <w:szCs w:val="20"/>
          <w:color w:val="auto"/>
        </w:rPr>
      </w:pPr>
    </w:p>
    <w:p>
      <w:pPr>
        <w:ind w:left="1300" w:hanging="320"/>
        <w:spacing w:after="0" w:line="261"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ICU Medical MedNet</w:t>
      </w:r>
      <w:r>
        <w:rPr>
          <w:rFonts w:ascii="Times New Roman" w:cs="Times New Roman" w:eastAsia="Times New Roman" w:hAnsi="Times New Roman"/>
          <w:sz w:val="18"/>
          <w:szCs w:val="18"/>
          <w:color w:val="auto"/>
        </w:rPr>
        <w:t>™: ICU Medical MedNet is an enterprise-class medication management platform for any sized healthcare system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help reduce medication errors, improve quality of care, streamline workflows and maximize revenue capture. ICU Medical MedNet connects our industry-leading smart pumps to a hospital’s Electronic Health Records ("EHR"), asset tracking systems, and alarm notification platforms with the largest array of integration partners.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227" w:lineRule="exact"/>
        <w:rPr>
          <w:sz w:val="20"/>
          <w:szCs w:val="20"/>
          <w:color w:val="auto"/>
        </w:rPr>
      </w:pPr>
    </w:p>
    <w:p>
      <w:pPr>
        <w:ind w:left="1300" w:right="140" w:hanging="320"/>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products above, our teams of clinical, information technology, and professional services experts work with customers to develop and deliver safe and efficient infusion systems, providing customized and personalized configuration, implementation, and data analytics services to complement our infusion hardware and software.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Care</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Critical Care products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primary Critical Care products are:</w:t>
      </w:r>
    </w:p>
    <w:p>
      <w:pPr>
        <w:spacing w:after="0" w:line="176"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Cogent™ 2-in-1 hemodynamic monitoring system</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CardioFlo™ hemodynamic monitoring system</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TDQ™ and OptiQ™ cardiac output monitoring catheters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Transpac™ blood pressure transducers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SafeSet™ closed blood sampling and conservation system</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60"/>
          </w:cols>
          <w:pgMar w:left="240" w:top="121" w:right="29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total worldwide revenue by domestic and international markets by amount and as a percentage of total revenue (in millions, except percentages):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4"/>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1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r>
      <w:tr>
        <w:trPr>
          <w:trHeight w:val="231"/>
        </w:trPr>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80" w:type="dxa"/>
            <w:vAlign w:val="bottom"/>
            <w:gridSpan w:val="3"/>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gridSpan w:val="3"/>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80" w:type="dxa"/>
            <w:vAlign w:val="bottom"/>
            <w:gridSpan w:val="3"/>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0" w:type="dxa"/>
            <w:vAlign w:val="bottom"/>
            <w:gridSpan w:val="3"/>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1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480" w:type="dxa"/>
            <w:vAlign w:val="bottom"/>
          </w:tcPr>
          <w:p>
            <w:pPr>
              <w:spacing w:after="0"/>
              <w:rPr>
                <w:sz w:val="20"/>
                <w:szCs w:val="20"/>
                <w:color w:val="auto"/>
              </w:rPr>
            </w:pPr>
          </w:p>
        </w:tc>
        <w:tc>
          <w:tcPr>
            <w:tcW w:w="54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320" w:type="dxa"/>
            <w:vAlign w:val="bottom"/>
          </w:tcPr>
          <w:p>
            <w:pPr>
              <w:spacing w:after="0"/>
              <w:rPr>
                <w:sz w:val="20"/>
                <w:szCs w:val="20"/>
                <w:color w:val="auto"/>
              </w:rPr>
            </w:pPr>
          </w:p>
        </w:tc>
        <w:tc>
          <w:tcPr>
            <w:tcW w:w="72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480" w:type="dxa"/>
            <w:vAlign w:val="bottom"/>
          </w:tcPr>
          <w:p>
            <w:pPr>
              <w:spacing w:after="0"/>
              <w:rPr>
                <w:sz w:val="20"/>
                <w:szCs w:val="20"/>
                <w:color w:val="auto"/>
              </w:rPr>
            </w:pPr>
          </w:p>
        </w:tc>
        <w:tc>
          <w:tcPr>
            <w:tcW w:w="5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of Revenue</w:t>
            </w:r>
          </w:p>
        </w:tc>
      </w:tr>
      <w:tr>
        <w:trPr>
          <w:trHeight w:val="33"/>
        </w:trPr>
        <w:tc>
          <w:tcPr>
            <w:tcW w:w="1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1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1,059.7</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total revenue by product line as a percentage of total revenue: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2420" w:type="dxa"/>
            <w:vAlign w:val="bottom"/>
            <w:gridSpan w:val="4"/>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3"/>
          </w:tcPr>
          <w:p>
            <w:pPr>
              <w:jc w:val="center"/>
              <w:ind w:left="8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Product line</w:t>
            </w:r>
          </w:p>
        </w:tc>
        <w:tc>
          <w:tcPr>
            <w:tcW w:w="9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460" w:type="dxa"/>
            <w:vAlign w:val="bottom"/>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5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Infusion Consumables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IV Solutions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Infusion Systems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Critical Care</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We manage our product distribution in the U.S. through a network of three owned distribution facilities, as well as, through direct channels, which include independent distributors and the end users of our products, and as original equipment manufacturer suppliers. Most of our independent distributors handle the full line of our products. Internationally, we manage our operations through the Netherlands, which utilizes international regional hubs. We also manage our operations through independent distributors.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Although we believe that we are not dependent on any single distributor for distribution of our products, the loss of a strategic relationship with a customer could have a material adverse effect on our operating results.</w:t>
      </w:r>
    </w:p>
    <w:p>
      <w:pPr>
        <w:spacing w:after="0" w:line="184" w:lineRule="exact"/>
        <w:rPr>
          <w:sz w:val="20"/>
          <w:szCs w:val="20"/>
          <w:color w:val="auto"/>
        </w:rPr>
      </w:pPr>
    </w:p>
    <w:p>
      <w:pPr>
        <w:jc w:val="both"/>
        <w:ind w:right="120" w:firstLine="648"/>
        <w:spacing w:after="0" w:line="272" w:lineRule="auto"/>
        <w:rPr>
          <w:sz w:val="20"/>
          <w:szCs w:val="20"/>
          <w:color w:val="auto"/>
        </w:rPr>
      </w:pPr>
      <w:r>
        <w:rPr>
          <w:rFonts w:ascii="Times New Roman" w:cs="Times New Roman" w:eastAsia="Times New Roman" w:hAnsi="Times New Roman"/>
          <w:sz w:val="17"/>
          <w:szCs w:val="17"/>
          <w:color w:val="auto"/>
        </w:rPr>
        <w:t>We believe that achievement of our growth objectives worldwide will require increased efforts by us in sales and marketing and product acquisition and development; however, there is no assurance that we will be successful in implementing our growth strategy. Product development or acquisition efforts may not succeed, and even if we do develop or acquire additional products, there is no assurance that we will achieve profitable sales of such products.</w:t>
      </w:r>
    </w:p>
    <w:p>
      <w:pPr>
        <w:spacing w:after="0" w:line="2"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Increased expenditures for sales and marketing and product acquisition and development may not yield desired results when expected, or at all. While we have taken steps to control these risks, there are certain risks that may be outside of our control, and there is no assurance that steps we have taken will succeed.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Seasonality/Quarterly Results</w:t>
      </w:r>
    </w:p>
    <w:p>
      <w:pPr>
        <w:spacing w:after="0" w:line="229"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There are no significant seasonal aspects to our business. We may experience fluctuations in net sales as a result of variations in the ordering patterns of our largest customers, which may be driven more by production scheduling and their inventory levels, rather than by seasonality. Our expenses often do not fluctuate in the same manner as net sales, which may cause fluctuations in operating income that are disproportionate to fluctuations in our revenue.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present income statement data in Part I, Item 1 - Financial Statements. The following table shows,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and 2018, the percentages of each income statement caption in relation to total revenue: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46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300" w:type="dxa"/>
            <w:vAlign w:val="bottom"/>
            <w:gridSpan w:val="2"/>
          </w:tcPr>
          <w:p>
            <w:pPr>
              <w:ind w:left="592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53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7"/>
        </w:trPr>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43"/>
        </w:trPr>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7"/>
        </w:trPr>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strategic transaction</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earn-out</w:t>
            </w:r>
          </w:p>
        </w:tc>
        <w:tc>
          <w:tcPr>
            <w:tcW w:w="154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7"/>
        </w:trPr>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settlement</w:t>
            </w:r>
          </w:p>
        </w:tc>
        <w:tc>
          <w:tcPr>
            <w:tcW w:w="9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7"/>
        </w:trPr>
        <w:tc>
          <w:tcPr>
            <w:tcW w:w="53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7"/>
        </w:trPr>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0"/>
        </w:trPr>
        <w:tc>
          <w:tcPr>
            <w:tcW w:w="5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addition to comparing changes in revenue on a U.S. GAAP basis, we also compare the changes in revenue from one period to another using constant currency. We provide constant currency information to enhance the visibility of underlying business trends, excluding the effects of changes in foreign currency translation rates. To calculate our constant currency results, we apply the average exchange rate for revenues from the prior year to the current year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Infusion Consumables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total Infusion Consumables revenue (in millions):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20" w:type="dxa"/>
            <w:vAlign w:val="bottom"/>
          </w:tcPr>
          <w:p>
            <w:pPr>
              <w:spacing w:after="0"/>
              <w:rPr>
                <w:sz w:val="17"/>
                <w:szCs w:val="17"/>
                <w:color w:val="auto"/>
              </w:rPr>
            </w:pPr>
          </w:p>
        </w:tc>
      </w:tr>
      <w:tr>
        <w:trPr>
          <w:trHeight w:val="212"/>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Infusion Consumables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  $</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Infusion Consumables revenue increased for the three months ended September 30, 2019 and decreased for the nine months ended September 30, 2019, as compared to the same periods in the prior year. For the three months ended September 30, 2019, the Infusion Consumables revenue increased primarily due to improvements in the temporary supply constraints in our oncology products and the timing of orders, which was partially offset by the impact of exchange rates. On a constant currency basis, Infusion Consumables revenue would have been $121.4 million for the three months ended September 30, 2019, an increase of $3.6 million or 3.1%, as compared to the same period in the prior year.</w:t>
      </w:r>
    </w:p>
    <w:p>
      <w:pPr>
        <w:spacing w:after="0" w:line="18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2019, Infusion Consumables revenue was mostly impacted by exchange rates. On a constant currency basis, Infusion Consumables revenue would have been $365.1 million for the nine months ended September 30, 2019, an increase of $3.6 million or 1.0% as compared to the same period in the prior year.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IV Solutions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total IV Solutions revenue (in millions):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20" w:type="dxa"/>
            <w:vAlign w:val="bottom"/>
          </w:tcPr>
          <w:p>
            <w:pPr>
              <w:spacing w:after="0"/>
              <w:rPr>
                <w:sz w:val="17"/>
                <w:szCs w:val="17"/>
                <w:color w:val="auto"/>
              </w:rPr>
            </w:pPr>
          </w:p>
        </w:tc>
      </w:tr>
      <w:tr>
        <w:trPr>
          <w:trHeight w:val="212"/>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2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IV Solutions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(14.2)%  $</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33"/>
        </w:trPr>
        <w:tc>
          <w:tcPr>
            <w:tcW w:w="3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IV Solutions sales decreased for the three and nine months ended September 30, 2019, as compared to the same periods in the prior year. Supply constraints at our competitors beginning in the second quarter of 2017 and continuing through 2018 caused some temporary customer purchases and stock-up on supplies of IV Solutions in the three and nine months ended September 30, 2018. These market shortages temporarily drove up the demand for our product during those periods. In addition, most of the temporary increase in IV Solutions sales that we had as a result of competitor supply constraints has returned to its original contract supplier.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Infusion Systems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total Infusion Systems revenue (in millions):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20" w:type="dxa"/>
            <w:vAlign w:val="bottom"/>
          </w:tcPr>
          <w:p>
            <w:pPr>
              <w:spacing w:after="0"/>
              <w:rPr>
                <w:sz w:val="17"/>
                <w:szCs w:val="17"/>
                <w:color w:val="auto"/>
              </w:rPr>
            </w:pPr>
          </w:p>
        </w:tc>
      </w:tr>
      <w:tr>
        <w:trPr>
          <w:trHeight w:val="212"/>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2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Infusion Systems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  $</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33"/>
        </w:trPr>
        <w:tc>
          <w:tcPr>
            <w:tcW w:w="3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Infusion Systems revenue decreased for the three and nine months ended September 30, 2019, as compared to the same periods in the prior year. For the three months ended September 30, 2019, the decrease in revenue, as compared to the prior year comparable period, was primarily due to the impact of exchange rates. For the nine months ended September 30, 2019, the decrease in revenue, as compared to the prior year comparable period was primarily due to the impact of exchange rates and net historical losses in our U.S. installed base of infusion pumps. On a constant currency basis Infusion Systems revenue would have been $81.0 million for the three months ended September 30, 2019, a decrease of $0.5 million or 0.6%, as compared to the same period in the prior year. On a constant currency basis Infusion Systems revenue would have been $253.5 million for the nine months ended September 30, 2019, a decrease of $9.8 million or 3.7%, as compared to the same period in the prior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Care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total Critical Care revenue (in millions):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20" w:type="dxa"/>
            <w:vAlign w:val="bottom"/>
          </w:tcPr>
          <w:p>
            <w:pPr>
              <w:spacing w:after="0"/>
              <w:rPr>
                <w:sz w:val="17"/>
                <w:szCs w:val="17"/>
                <w:color w:val="auto"/>
              </w:rPr>
            </w:pPr>
          </w:p>
        </w:tc>
      </w:tr>
      <w:tr>
        <w:trPr>
          <w:trHeight w:val="212"/>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2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Critical Care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(21.5)%  $</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33"/>
        </w:trPr>
        <w:tc>
          <w:tcPr>
            <w:tcW w:w="3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Critical Care revenue decreased for the three and nine months ended September 30, 2019, as compared to the same periods in the prior year, primarily due to supply constraints.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2019, gross margins were 38.6% and 37.6%, respectively, as compared to 41.1% for both the three and nine months ended September 30, 2018. The decrease in gross margin for the three and nine months ended September 30, 2019, as compared to the same period in the prior year was primarily due to the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slowdown in manufacturing of IV Solutions and additional supply chain costs related to higher than optimal inventory levels. The nine months ended September 30, 2019, also included a one-time supply chain inventory optimization charge of $16.3 million for the initial ramp down of IV Solution production to align supply to market demand. We have no further significant plans in regard to the ramp down of IV Solution production for the remainder of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total SG&amp;A Expenses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20" w:type="dxa"/>
            <w:vAlign w:val="bottom"/>
          </w:tcPr>
          <w:p>
            <w:pPr>
              <w:spacing w:after="0"/>
              <w:rPr>
                <w:sz w:val="17"/>
                <w:szCs w:val="17"/>
                <w:color w:val="auto"/>
              </w:rPr>
            </w:pPr>
          </w:p>
        </w:tc>
      </w:tr>
      <w:tr>
        <w:trPr>
          <w:trHeight w:val="212"/>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2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SG&amp;A</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(14.0)%  $</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33"/>
        </w:trPr>
        <w:tc>
          <w:tcPr>
            <w:tcW w:w="3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SG&amp;A expenses decreased for the three and nine months ended September 30, 2019, as compared to the same periods in the prior year. For the three months ended September 30, 2019 as compared to the same period in the prior year, consulting expense decreased $10.9 million, stock based compensation decreased $2.7 million, compensation expense decreased $1.5 million and information technology expenses decreased $1.2 million. Partially offsetting these decreases was a $3.0 million increase in depreciation expense, and a $1.7 million increase in bad debt expense. Consulting expense decreased as our transitional services agreement with Pfizer ended in the fourth quarter of 2018. Stock based compensation decreased in the current period due to an adjustment for changes in the number of performance shares estimated to vest. Compensation expense decreased in the current period as incentive bonuses were higher in the prior year due to company performance. Information technology expenses decreased as software maintenance costs decreased in the current period. Depreciation expense increased due to an increase in the depreciable asset base related to the HIS integration. Bad debt expense increased as a result of our assessment of our reserves related to our accounts receivable.</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2019 as compared to the same period in the prior year, consulting expenses decreased $33.6 million, compensation expense decreased $9.6 million, legal expense decreased $4.0 million, information technology expenses decreased $3.8 million, stock based compensation decreased $2.5 million and travel expenses decreased $2.3 million. Partially offsetting these decreases was a $8.3 million increase in depreciation and amortization and a $7.4 million increase in bad debt and warranty expense. Consulting expense decreased as our transitional services agreement with Pfizer ended in the fourth quarter of 2018. Compensation expense decreased in the current period as incentive bonuses were higher in the prior year due to company performance. Legal expenses were higher in the prior year due to expenses incurred related to the contract settlement, discussed below. Information technology expenses decreased as software maintenance costs decreased in the current period. Stock based compensation decreased due to an adjustment for changes in the number of performance shares estimated to vest. Depreciation expense increased due to an increase in the depreciable asset base related to the HIS integration. Bad debt expense increased as a result of the quarterly assessment of our reserves related to our accounts receivable.</w:t>
      </w:r>
    </w:p>
    <w:p>
      <w:pPr>
        <w:spacing w:after="0" w:line="18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reclassified $1.4 million and $5.1 million of foreign exchange losses from SG&amp;A for the three and nine months ended September 30, 2018, respectively, to other income (expense), net to conform to our current year reporting of those gains and losses, see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(“R&amp;D”)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total R&amp;D Expenses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20" w:type="dxa"/>
            <w:vAlign w:val="bottom"/>
          </w:tcPr>
          <w:p>
            <w:pPr>
              <w:spacing w:after="0"/>
              <w:rPr>
                <w:sz w:val="17"/>
                <w:szCs w:val="17"/>
                <w:color w:val="auto"/>
              </w:rPr>
            </w:pPr>
          </w:p>
        </w:tc>
      </w:tr>
      <w:tr>
        <w:trPr>
          <w:trHeight w:val="212"/>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2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R&amp;D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(9.1)%  $</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33"/>
        </w:trPr>
        <w:tc>
          <w:tcPr>
            <w:tcW w:w="3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R&amp;D expenses decreased slightly for the three and nine months ended September 30, 2019, as compared to the same periods in the prior year. The current year expense is primarily related to compensation and benefit expenses incurred on our current R&amp;D projects.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Strategic Transaction and Integration Expenses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Restructuring and strategic transaction and integration expenses were $8.0 million and $69.4 million for the three and nine months ended September 30, 2019, respectively, as compared to $24.0 million and $64.3 million for the three and nine months ended September 30, 2018, respectively.</w:t>
      </w: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0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Restructuring charges were $0.8 million and $8.4 million for the three and nine months ended September 30, 2019, respectively, as compared to $0.5 million and $3.0 million for the three and nine months ended September 30, 2018, respectively. Restructuring charges for the three and nine months ended September 30, 2019, were primarily related to a one-time charge to move our U.S. pump service depot to our existing Salt Lake City facility and other plant restructuring. For the three and nine months ended September 30, 2018, the restructuring charges were related to the integration of our acquired HIS business. We expect to pay unpaid restructuring charges as of September 30, 2019, by early 2020.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transaction and integration expenses</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Strategic transaction and integration expenses were $7.2 million and $61.0 million for the three and nine months ended September 30, 2019, respectively, as compared to $23.5 million and $61.3 for the three and nine months ended September 30, 2018, respectively. The strategic transaction and integration expenses during the three and nine months ended September 30, 2019 were primarily related to the integration of the HIS business. During the nine months ended September 30, 2019, the strategic transaction and integration expenses also included a one-time strategic supply chain restructuring charge of $22.1 million, which reduces our contracted commitments to our third party manufacturer and charges related to our final Pfizer separation costs and clean-up, which for the nine months ended September 30, 2019 included a $12.7 million non-cash write-off of related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Earn-out</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conducted a revaluation of the fair value of our HIS contingent earn-out liability that resulted in a decrease of value of $0.2 million and $47.4 million for the three and nine months ended September 30, 2019, respectively, as compared to an increase of value of $18.5 million and $20.5 million for the three and nine months ended September 30, 2018,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Settlement</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2019, we incurred a contract settlement expense of $3.8 million and for the nine months ended September 30, 2018, we incurred a contract settlement expense of $28.9 million. These expenses were related to the resolution of a dispute with a product partner, pursuant to which we renegotiated the terms of our contractual arrangement with that product partner and the associated rights and remedies.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Interest expense was $0.1 million and $0.4 million for the three and nine months ended September 30, 2019, as compared to $0.3 million and $0.5 million for the three and nine months ended September 30, 2018. The interest expense for all periods is related to the amortization of financing costs incurred as of year-end December 31, 2017, in connection with a five-year Revolving Credit Facility and a related per annum commitment fee charged on the unused portion of the revolver under such Credit Facility (see Note 16: Long-Term Obligations in our accompanying condensed consolidated financial statements for additional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Other income (expense) netted to $0.0 million and $4.7 million for the three and nine months ended September 30, 2019, respectively, as compared to ($0.5) million and ($3.5) million for the three and nine months ended September 30, 2018, respectively. For the three and nine months ended September 30, 2019, interest income was $1.7 million and $5.1 million, respectively. The interest income for the three months ended September 30, 2019 was mostly offset by $1.5 million in foreign exchange losses. In 2019, we reported foreign exchange gains and losses in other income (expense), net, accordingly for comparative purposes we reclassified prior year's foreign exchange gains and losses to other income (expense), net from SG&amp;A. For the three and nine months ended September 30, 2018, other income (expense), net was primarily related to this reclass which resulted in net foreign exchange losses of $1.7 million and $5.7 million, respectively, partially offset by $1.2 million and $3.2 million in interest income for the three and nine months ended September 30, 2018, respectively.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Income taxes were accrued at an estimated effective tax rate of 19% and 14% for the three and nine months ended September 30, 2019, respectively, as compared to 85% and (4.0)% for the three and nine months ended September 30, 2018, respectively.</w:t>
      </w:r>
    </w:p>
    <w:p>
      <w:pPr>
        <w:spacing w:after="0" w:line="16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2019 differs from the federal statutory rate of 21% principally because of the effect of the mix of U.S. and foreign incomes, state income taxes, GILTI and tax credits. It is also affected by discrete items that may occur in any given year but are not consistent from year to year. The effective tax rate during the three and nine months ended September 30, 2019 included a discrete tax benefit of $0.3 million and $7.7 million, respectively, related to the excess tax benefits recognized on stock option exercises and the vesting of restricted stock units during the period. The effective tax rate for the three and nine months ended September 30, 2019 is also impacted by the repatriation of certain intellectual property and assets from a liquidation of one of our foreign subsidiaries to the U.S. parent. In accordance with the changes to the accounting for income tax effects of such intra-entity transfers of assets, we recorded a net tax benefit of $3.8 million related to the liquidation. Lastly, the effective tax rate during the three and nine months ended September 30, 2019 included a discrete tax expense of $2.2 million related to return-to-provision adjustments for the year ended December 31, 2018 primarily due to changes in estimates for our U.S. GILTI inclusion.</w:t>
      </w:r>
    </w:p>
    <w:p>
      <w:pPr>
        <w:spacing w:after="0" w:line="14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2018 differs from the federal statutory rate of 21% principally because of the effect of the mix of U.S. and foreign incomes, state income taxes and tax credits. The effective tax rate during the three and nine months ended September 30, 2018 included a discrete tax benefit of $1.6 million and $12.8 million, respectively, related to the excess tax benefits recognized on stock option exercises and the vesting of restricted stock units during the period. The effective tax rate for the nine months ended September 30, 2018 was also impacted by a contract settlement. The contract settlement resulted in a tax benefit of $5.7 million, which is treated as a discrete item.</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2019, our cash, cash equivalents, short-term and long-term investments decreased by $47.3 million from $384.1 million at December 31, 2018 to $336.8 million at September 30,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net cash provided by operations for the nine months ended September 30, 2019 was $53.1 million. Net income plus adjustments for non-cash net expenses contributed $156.9 million. Net cash used in operations as a result of changes in operating assets and liabilities was $103.9 million. The changes in operating assets and liabilities included a $30.9 million increase in inventories, a $29.5 million increase in other assets, a $32.5 million increase in accounts receivable, a $23.2 million decrease in accrued liabilities, and a $3.0 million decrease in accounts payable. Offsetting these amounts was a $8.8 million decrease in prepaid expenses and other current assets and $6.5 million in net changes in income taxes, including excess tax benefits and deferred income taxes. The increase in inventory was primarily due to an increase in our finished goods safety stock. The increase in other assets was primarily related to the purchase of spare parts. The increase in accounts receivable is mainly due to the current year reclassification of receivables from Pfizer and the timing of revenue and collections. In the current year, receivables from Pfizer are included in accounts receivable and not in a separate related-party receivable line item as in the prior year. As of December 31, 2018, Pfizer had sold all of its shares of our common stock thereby ending its related-party relationship with us. The decrease in accrued liabilities was primarily a result of the payout of accrued compensation, partially offset by an increase in certain accruals including $22.1 million in accrued costs related to the initial ramp down of IV Solution production. The decrease in accounts payable was due to the timing of payments. The decrease in prepaid expenses and other current assets was primarily due to the collection of receivable amounts owed from Pfizer. The net changes in income taxes was a result of the timing of payments.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net cash provided by operations for the nine months ended September 30, 2018 was $110.3 million. Net income plus adjustments for non-cash net expenses contributed $147.8 million. Net cash used in operations as a result of changes in operating assets and liabilities was $37.5 million. The changes in operating assets and liabilities included a $39.0 million increase in accounts receivable, an $18.5 million decrease in accrued liabilities, $12.4 million in net changes in income taxes, including excess tax benefits and deferred income taxes, a $2.1 million decrease in accounts payable and a $0.5 million increase in prepaid expenses and other assets. Offsetting these amounts was a $31.0 million decrease in related party receivables, a $12.2 million decrease in inventories and $8.3 million increase in other assets. The increase in accounts receivable is due to the increase in revenue. The decrease in accrued liabilities was primarily a result of the payout of accrued compensation. The net changes in income taxes was a result of the timing of payments. The decrease in accounts payable was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due to the timing of payments. The increase in prepaid expenses and other assets was primarily due to an increase in deferred costs, deferred tax charges, and other miscellaneous prepaid expenses mostly offset by a decrease in sales tax receivables, prepaid property insurance and property taxes. The decrease in related-party receivables was primarily due to the timing of amounts received from Pfizer. The decrease in inventory was primarily due to our continued inventory reduction effort. The increase in other assets was primarily due to the purchase of spare parts.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our investing cash flows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1,804</w:t>
            </w:r>
          </w:p>
        </w:tc>
        <w:tc>
          <w:tcPr>
            <w:tcW w:w="4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sale of assets held-for-sale</w:t>
            </w:r>
          </w:p>
        </w:tc>
        <w:tc>
          <w:tcPr>
            <w:tcW w:w="3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17"/>
              <w:spacing w:after="0" w:line="270" w:lineRule="exact"/>
              <w:rPr>
                <w:sz w:val="20"/>
                <w:szCs w:val="20"/>
                <w:color w:val="auto"/>
              </w:rPr>
            </w:pPr>
            <w:r>
              <w:rPr>
                <w:rFonts w:ascii="Times New Roman" w:cs="Times New Roman" w:eastAsia="Times New Roman" w:hAnsi="Times New Roman"/>
                <w:sz w:val="18"/>
                <w:szCs w:val="18"/>
                <w:color w:val="auto"/>
              </w:rPr>
              <w:t xml:space="preserve">(13,000) </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17"/>
              <w:spacing w:after="0" w:line="270" w:lineRule="exact"/>
              <w:rPr>
                <w:sz w:val="20"/>
                <w:szCs w:val="20"/>
                <w:color w:val="auto"/>
              </w:rPr>
            </w:pPr>
            <w:r>
              <w:rPr>
                <w:rFonts w:ascii="Times New Roman" w:cs="Times New Roman" w:eastAsia="Times New Roman" w:hAnsi="Times New Roman"/>
                <w:sz w:val="18"/>
                <w:szCs w:val="18"/>
                <w:color w:val="auto"/>
              </w:rPr>
              <w:t xml:space="preserve">(3,300) </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 additions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12,501</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2"/>
              </w:rPr>
              <w:t>(4)</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sale of investment securities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21,460</w:t>
            </w:r>
          </w:p>
        </w:tc>
        <w:tc>
          <w:tcPr>
            <w:tcW w:w="4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2"/>
              </w:rPr>
              <w:t>(5)</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18,398</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right="40" w:hanging="332"/>
        <w:spacing w:after="0" w:line="218" w:lineRule="auto"/>
        <w:tabs>
          <w:tab w:leader="none" w:pos="208"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Our purchases of property and equipment will vary from period to period based on additional investments needed to support new and existing products and expansion of our manufacturing facilities.</w:t>
      </w:r>
    </w:p>
    <w:p>
      <w:pPr>
        <w:spacing w:after="0" w:line="1" w:lineRule="exact"/>
        <w:rPr>
          <w:rFonts w:ascii="Times New Roman" w:cs="Times New Roman" w:eastAsia="Times New Roman" w:hAnsi="Times New Roman"/>
          <w:sz w:val="25"/>
          <w:szCs w:val="25"/>
          <w:color w:val="auto"/>
          <w:vertAlign w:val="superscript"/>
        </w:rPr>
      </w:pPr>
    </w:p>
    <w:p>
      <w:pPr>
        <w:ind w:left="340" w:hanging="332"/>
        <w:spacing w:after="0" w:line="180" w:lineRule="auto"/>
        <w:tabs>
          <w:tab w:leader="none" w:pos="340"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 2018, we sold the land and building related to our Dominican Republic manufacturing facilities acquired as part of the 2017 HIS acquisition.</w:t>
      </w:r>
    </w:p>
    <w:p>
      <w:pPr>
        <w:spacing w:after="0" w:line="2" w:lineRule="exact"/>
        <w:rPr>
          <w:rFonts w:ascii="Times New Roman" w:cs="Times New Roman" w:eastAsia="Times New Roman" w:hAnsi="Times New Roman"/>
          <w:sz w:val="25"/>
          <w:szCs w:val="25"/>
          <w:color w:val="auto"/>
          <w:vertAlign w:val="superscript"/>
        </w:rPr>
      </w:pPr>
    </w:p>
    <w:p>
      <w:pPr>
        <w:ind w:left="340" w:right="860" w:hanging="332"/>
        <w:spacing w:after="0" w:line="208" w:lineRule="auto"/>
        <w:tabs>
          <w:tab w:leader="none" w:pos="340"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Our business acquisitions will vary from period to period based upon our current growth strategy and our ability to execute on desirable target companies.</w:t>
      </w:r>
    </w:p>
    <w:p>
      <w:pPr>
        <w:spacing w:after="0" w:line="1" w:lineRule="exact"/>
        <w:rPr>
          <w:rFonts w:ascii="Times New Roman" w:cs="Times New Roman" w:eastAsia="Times New Roman" w:hAnsi="Times New Roman"/>
          <w:sz w:val="25"/>
          <w:szCs w:val="25"/>
          <w:color w:val="auto"/>
          <w:vertAlign w:val="superscript"/>
        </w:rPr>
      </w:pPr>
    </w:p>
    <w:p>
      <w:pPr>
        <w:ind w:left="340" w:right="280" w:hanging="332"/>
        <w:spacing w:after="0" w:line="209" w:lineRule="auto"/>
        <w:tabs>
          <w:tab w:leader="none" w:pos="340"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Our purchases of investment securities will vary from period to period based on current cash needs, planning for known future transactions and due to changes in our investment strategy.</w:t>
      </w:r>
    </w:p>
    <w:p>
      <w:pPr>
        <w:spacing w:after="0" w:line="1" w:lineRule="exact"/>
        <w:rPr>
          <w:rFonts w:ascii="Times New Roman" w:cs="Times New Roman" w:eastAsia="Times New Roman" w:hAnsi="Times New Roman"/>
          <w:sz w:val="25"/>
          <w:szCs w:val="25"/>
          <w:color w:val="auto"/>
          <w:vertAlign w:val="superscript"/>
        </w:rPr>
      </w:pPr>
    </w:p>
    <w:p>
      <w:pPr>
        <w:ind w:left="340" w:right="80" w:hanging="332"/>
        <w:spacing w:after="0" w:line="209" w:lineRule="auto"/>
        <w:tabs>
          <w:tab w:leader="none" w:pos="208"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Proceeds from the sale or maturity of our investment securities will vary from period to period based on the maturity dates of the investments we currently hold.</w:t>
      </w:r>
    </w:p>
    <w:p>
      <w:pPr>
        <w:spacing w:after="0" w:line="19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While we can provide no assurances, we estimate that our capital expenditures in 2019 will be approximately $95.0 million to $105.0 million. We anticipate making additional investments in machinery and equipment in our manufacturing operations in Costa Rica, the U.S. and Mexico to support new and existing products, in infusion products that are placed with customers outside the U.S., and in IT to benefit world-wide operations.</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expect to use our cash to fund our capital purchases. Amounts of spending are estimates and actual spending may substantially differ from those amounts.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0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our financing cash flows (in thousands):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2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Cash Flows:</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14,211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4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withholding payments related to net share settlement of equity awards</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(12,359)</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2"/>
              </w:rPr>
              <w:t>(2)</w:t>
            </w:r>
          </w:p>
        </w:tc>
        <w:tc>
          <w:tcPr>
            <w:tcW w:w="0" w:type="dxa"/>
            <w:vAlign w:val="bottom"/>
          </w:tcPr>
          <w:p>
            <w:pPr>
              <w:spacing w:after="0"/>
              <w:rPr>
                <w:sz w:val="1"/>
                <w:szCs w:val="1"/>
                <w:color w:val="auto"/>
              </w:rPr>
            </w:pPr>
          </w:p>
        </w:tc>
      </w:tr>
      <w:tr>
        <w:trPr>
          <w:trHeight w:val="257"/>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8,092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right="120" w:hanging="332"/>
        <w:spacing w:after="0" w:line="235" w:lineRule="auto"/>
        <w:tabs>
          <w:tab w:leader="none" w:pos="194"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Proceeds from the exercise of stock options will vary from period to period based on the volume of options exercised and the exercise price of the specific options exercised.</w:t>
      </w:r>
    </w:p>
    <w:p>
      <w:pPr>
        <w:ind w:left="340" w:right="120" w:hanging="332"/>
        <w:spacing w:after="0" w:line="244" w:lineRule="auto"/>
        <w:tabs>
          <w:tab w:leader="none" w:pos="194"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During the nine months ended September 30, 2019, our employees surrendered 79,313 shares of our common stock from vested restricted stock awards as consideration for approximately $18.5 million in minimum statutory withholding obligations paid on their behalf. During the nine months ended September 30, 2018, our employees surrendered 25,745 shares of our common stock from vested restricted stock awards as consideration for approximately $6.1 million in minimum statutory withholding obligations paid on their behalf.</w:t>
      </w:r>
    </w:p>
    <w:p>
      <w:pPr>
        <w:spacing w:after="0" w:line="19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August 2019, our Board of Directors approved a share purchase plan to purchase up to $100.0 million of our common stock. This plan replaced our existing plan and has no expiration date. As of September 30, 2019, all of the $100 million available for purchase was remaining under the plan.</w:t>
      </w:r>
    </w:p>
    <w:p>
      <w:pPr>
        <w:spacing w:after="0" w:line="16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have a substantial cash and investment security position generated from operations and stock sales, principally from the exercise of employee stock options. We maintain this position to fund our growth, meet increasing working capital requirements, fund capital expenditures and to take advantage of acquisition opportunities that may arise. Our primary investment goal is capital preservation.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Access to Capital</w:t>
      </w:r>
    </w:p>
    <w:p>
      <w:pPr>
        <w:spacing w:after="0" w:line="227" w:lineRule="exact"/>
        <w:rPr>
          <w:sz w:val="20"/>
          <w:szCs w:val="20"/>
          <w:color w:val="auto"/>
        </w:rPr>
      </w:pPr>
    </w:p>
    <w:p>
      <w:pPr>
        <w:ind w:right="280"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existing cash and cash equivalents along with funds expected to be generated from future operations will provide us with sufficient funds to finance our current operations for the next twelve months. In the event that we experience downturns or cyclical fluctuations in our business that are more severe or longer than anticipated or if we fail to achieve anticipated revenue and expense levels,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have a five-year Senior Secured Revolving Credit Facility ("Credit Facility") with various lenders for $150.0 million, with Wells Fargo Bank, N.A. as the administrative agent (see Note 16: Long-Term Obligations). The Credit Facility has an accordion feature that would enable us to increase the borrowing capacity of the credit facility by the greater of (i) $100.0 million and (ii) 2.00x Total Leverage. Under the terms of the Credit Facility, we will be subject to certain financial covenants pertaining to leverage and fixed charge coverage ratios. Borrowings under the Credit Facility will bear interest at LIBOR plus an applicable margin tied to the leverage ratio in effect. The unused portion of the Credit Facility will be subject to a per annum commitment fee which is also calculated using the leverage ratio in effect. The Credit Facility matures in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Credit Facility contains certain negative financial covenants, including, Consolidated Total Leverage and Consolidated Fixed Charge Coverage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Ratios.</w:t>
      </w:r>
    </w:p>
    <w:p>
      <w:pPr>
        <w:spacing w:after="0" w:line="20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08"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were in compliance with all financial covenants as of September 30,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contractual obligations disclosed in our Annual Report on Form 10-K for the fiscal year ended December 31, 2018 ("Annual Report"). On January 1, 2019, we adopted Accounting Standard Update ("ASU") No. 2016-02, Leases (Topic 842). The impact of the adoption of ASU No. 2016-02 on our operating lease obligations is disclosed in Note 5 to Part I, Item 1.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In our Annual Report, we identified the critical accounting policies which affect our more significant estimates and assumptions used in preparing our consolidated financial statements, there have been no material changes to our critical accounting policies from those previously disclosed in our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2 to Part I, Item 1.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Various portions of this Quarterly Report on Form 10-Q, including this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 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 looking statements are based on the best information currently available to us and assumptions that we believe are reasonable, but we do not intend the statements to be representations as to future results. They include, without limitation, statements about:</w:t>
      </w:r>
    </w:p>
    <w:p>
      <w:pPr>
        <w:spacing w:after="0" w:line="189" w:lineRule="exact"/>
        <w:rPr>
          <w:sz w:val="20"/>
          <w:szCs w:val="20"/>
          <w:color w:val="auto"/>
        </w:rPr>
      </w:pPr>
    </w:p>
    <w:p>
      <w:pPr>
        <w:ind w:left="1300" w:right="100" w:hanging="320"/>
        <w:spacing w:after="0" w:line="25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growth; future operating results and various elements of operating results, including future expenditures and effects with respect to sales and marketing and product development and acquisition efforts; future sales and unit volumes of products; expected increases and decreases in sales; deferred revenue; accruals for restructuring charges, future license, royalty and revenue share income; production costs; gross margins; litigation expense; future SG&amp;A and R&amp;D expenses; manufacturing expenses; future costs of expanding our business; income; losses; cash flow; amortization; source of funds for capital purchases and operations; future tax rates; alternative sources of capital or financing; changes in working capital items such as receivables and inventory; selling prices; and income taxes;</w:t>
      </w:r>
    </w:p>
    <w:p>
      <w:pPr>
        <w:spacing w:after="0" w:line="187"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operating results, such as shipments to specific customers; reduced dependence on current proprietary products; loss of a strategic relationship; change in demand; domestic and international sales; expansion in international markets, selling prices; future increases or decreases in sales of certain products and in certain markets and distribution channels; maintaining strategic relationships and securing long-term and multi-product contracts with large healthcare providers and major buying organizations; increases in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9" w:lineRule="exact"/>
        <w:rPr>
          <w:sz w:val="20"/>
          <w:szCs w:val="20"/>
          <w:color w:val="auto"/>
        </w:rPr>
      </w:pPr>
    </w:p>
    <w:p>
      <w:pPr>
        <w:ind w:left="1300" w:right="60"/>
        <w:spacing w:after="0" w:line="301" w:lineRule="auto"/>
        <w:rPr>
          <w:sz w:val="20"/>
          <w:szCs w:val="20"/>
          <w:color w:val="auto"/>
        </w:rPr>
      </w:pPr>
      <w:r>
        <w:rPr>
          <w:rFonts w:ascii="Times New Roman" w:cs="Times New Roman" w:eastAsia="Times New Roman" w:hAnsi="Times New Roman"/>
          <w:sz w:val="18"/>
          <w:szCs w:val="18"/>
          <w:color w:val="auto"/>
        </w:rPr>
        <w:t>systems capabilities; introduction, development and sales of new products, acquisition and integration of businesses and product lines;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and equipment; manufacturing efficiencies and cost savings; unit manufacturing costs; establishment or expansion of production facilities inside or outside of the United States;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 and</w:t>
      </w:r>
    </w:p>
    <w:p>
      <w:pPr>
        <w:spacing w:after="0" w:line="159" w:lineRule="exact"/>
        <w:rPr>
          <w:sz w:val="20"/>
          <w:szCs w:val="20"/>
          <w:color w:val="auto"/>
        </w:rPr>
      </w:pPr>
    </w:p>
    <w:p>
      <w:pPr>
        <w:ind w:left="1300" w:right="40" w:hanging="320"/>
        <w:spacing w:after="0" w:line="253"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extended contracts with manufacturers and buying organizations; dependence on a small number of customers; loss of larger distributors and the ability to locate other distributors; growth of our Clave products in future years; design features of Clave products; the outcome of our strategic initiatives; regulatory approvals and compliance;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use of treasury stock; working capital requirements; liquidity and realizable value of our investment securities; future investment alternatives; foreign currency denominated financial instruments; foreign exchange risk; commodity price risk; our expectations regarding liquidity and capital resources over the next twelve months; capital expenditures; plans to convert existing space; acquisitions of other businesses or product lines, indemnification liabilities and contractual liabilities.</w:t>
      </w:r>
    </w:p>
    <w:p>
      <w:pPr>
        <w:spacing w:after="0" w:line="193" w:lineRule="exact"/>
        <w:rPr>
          <w:sz w:val="20"/>
          <w:szCs w:val="20"/>
          <w:color w:val="auto"/>
        </w:rPr>
      </w:pPr>
    </w:p>
    <w:p>
      <w:pPr>
        <w:ind w:right="40" w:firstLine="693"/>
        <w:spacing w:after="0" w:line="266" w:lineRule="auto"/>
        <w:rPr>
          <w:sz w:val="20"/>
          <w:szCs w:val="20"/>
          <w:color w:val="auto"/>
        </w:rPr>
      </w:pPr>
      <w:r>
        <w:rPr>
          <w:rFonts w:ascii="Times New Roman" w:cs="Times New Roman" w:eastAsia="Times New Roman" w:hAnsi="Times New Roman"/>
          <w:sz w:val="18"/>
          <w:szCs w:val="18"/>
          <w:color w:val="auto"/>
        </w:rPr>
        <w:t>Forward-looking statements involve certain risks and uncertainties, which may cause actual results to differ materially from those discussed in each such statement. First, one should consider the factors and risks described in the statements themselves or otherwise discussed herein. Those factors are uncertain, and if one or more of them turn out differently than we currently expect, our operating results may differ materially from our current expectations.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Second, investors should read the forward looking statements in conjunction with the Risk Factors discussed in Part I, Item 1A of our Annual Report on Form 10-K with the SEC for the year ended December 31, 2018, Part II, Item 1A of this Quarterly Report on Form 10-Q and our other reports filed with the SEC. Also, actual future operating results are subject to other important factors and risks that we cannot predict or control, including without limitation, the following:</w:t>
      </w:r>
    </w:p>
    <w:p>
      <w:pPr>
        <w:spacing w:after="0" w:line="207" w:lineRule="exact"/>
        <w:rPr>
          <w:sz w:val="20"/>
          <w:szCs w:val="20"/>
          <w:color w:val="auto"/>
        </w:rPr>
      </w:pPr>
    </w:p>
    <w:p>
      <w:pPr>
        <w:ind w:left="480" w:hanging="148"/>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both in the U.S. and internationally;</w:t>
      </w:r>
    </w:p>
    <w:p>
      <w:pPr>
        <w:spacing w:after="0" w:line="15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our arrangements with Pfizer or our other large customers;</w:t>
      </w:r>
    </w:p>
    <w:p>
      <w:pPr>
        <w:spacing w:after="0" w:line="15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 of litigation;</w:t>
      </w:r>
    </w:p>
    <w:p>
      <w:pPr>
        <w:spacing w:after="0" w:line="15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exchange rates and other risks of doing business internationally;</w:t>
      </w:r>
    </w:p>
    <w:p>
      <w:pPr>
        <w:spacing w:after="0" w:line="15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labor costs or competition for skilled workers;</w:t>
      </w:r>
    </w:p>
    <w:p>
      <w:pPr>
        <w:spacing w:after="0" w:line="15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or availability of the raw materials need to manufacture our products;</w:t>
      </w:r>
    </w:p>
    <w:p>
      <w:pPr>
        <w:spacing w:after="0" w:line="15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price and safety considerations on the healthcare industry;</w:t>
      </w:r>
    </w:p>
    <w:p>
      <w:pPr>
        <w:spacing w:after="0" w:line="15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such as product innovation, new technologies, marketing and distribution strength and price erosion;</w:t>
      </w:r>
    </w:p>
    <w:p>
      <w:pPr>
        <w:spacing w:after="0" w:line="15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development and marketing of new products;</w:t>
      </w:r>
    </w:p>
    <w:p>
      <w:pPr>
        <w:spacing w:after="0" w:line="15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market shifts and trends;</w:t>
      </w:r>
    </w:p>
    <w:p>
      <w:pPr>
        <w:spacing w:after="0" w:line="15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legislation affecting government reimbursement of healthcare costs;</w:t>
      </w:r>
    </w:p>
    <w:p>
      <w:pPr>
        <w:spacing w:after="0" w:line="15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by our major customers and independent distributors in their strategies that might affect their efforts to market our products;</w:t>
      </w:r>
    </w:p>
    <w:p>
      <w:pPr>
        <w:spacing w:after="0" w:line="15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additional governmental regulations;</w:t>
      </w:r>
    </w:p>
    <w:p>
      <w:pPr>
        <w:spacing w:after="0" w:line="15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production problems; and</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80"/>
          </w:cols>
          <w:pgMar w:left="240" w:top="121" w:right="27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the availability of patent protection and the cost of enforcing and of defending patent claims.</w:t>
      </w:r>
    </w:p>
    <w:p>
      <w:pPr>
        <w:spacing w:after="0" w:line="13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report are subject to additional risks and uncertainties, including those detailed from time to time in our other filings with the Securities and Exchange Commission. These forward-looking statements are made only as of the date hereof and, except as required by law, we undertake no obligation to update or revise any of them,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were to incur borrowings under our Credit Facility, we would face market risk stemming from changes in interest rates.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foreign currency exchange risk related to foreign-denominated cash, accounts receivable and accounts payable and accrued liabilities.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our European operations, our net Euro asset position at September 30, 2019 was approximately €48.3 million. A 10% change in the conversion of the Euro to the U.S. dollar for our cash, accounts receivable, accounts payable and accrued liabilities from the September 30, 2019 spot rate would impact our consolidated amounts on these balance sheet items by approximately $5.3 million, or 0.7% of these consolidated net assets. We expect that in the future, with the growth of our European distribution operations, net Euro denominated instruments will continue to increase. In our Canadian operations, our net Canadian dollar asset position at September 30, 2019 was approximately $37.5 million. A 10% change in the conversion of the Canadian dollar to the U.S. dollar for our cash, accounts receivable, accounts payable and accrued liabilities from the September 30, 2019 spot rate would impact our consolidated amounts on these balance sheet items by approximately $2.6 million, or 0.3% of these net assets. We currently do not hedge our Canadian dollar or Euro foreign currency exposures.</w:t>
      </w:r>
    </w:p>
    <w:p>
      <w:pPr>
        <w:spacing w:after="0" w:line="18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have manufacturing facilities and conduct business transactions denominated in the Mexican Peso. We hedge a portion of our manufacturing spend, which reduces our exposure to the foreign currency exchange risk related to the Mexican Peso (see Note 7: Derivatives and Hedging to the condensed consolidated financial statements in Part I, Item 1 of this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have concluded, based on their evaluation of our disclosure controls and procedures (as defined in Rules 13a-15(e) and 15d-15(e) under the Securities Exchange Act of 1934, as amended (the "Exchange Act")), as of the end of the period covered by this Report, that our disclosure controls and procedures are effective to ensure that the information we are required to disclose in the reports that we file or submit under the Exchange Act is accumulated and communicated to our management, including our principal executive officer and principal financial officer, as appropriate, to allow timely decisions regarding required disclosure and that such information is recorded, processed, summarized and reported within the time periods specified in the rules and forms of the SEC.</w:t>
      </w:r>
    </w:p>
    <w:p>
      <w:pPr>
        <w:spacing w:after="0" w:line="18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quarter ended September 30, 2019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legal proceedings in which we are involved are discussed in Part I, Item 1. "Financial Statements" of this Form 10-Q in Note 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 to the Condensed Consolidated Financial Statements, and is incorporated herein by reference.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121" w:right="25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In evaluating an investment in our common stock, investors should consider carefully, among other things, the risk factors previously disclosed in Part I, Item 1A of our Annual Report on Form 10-K filed with the SEC for the year ended December 31, 2018, as well as the information contained in this Quarterly Report and our other reports and registration statements filed with the SEC.</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Equity Securities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our stock repurchasing activity during the third quarter of 2019:</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a</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that</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vMerge w:val="restart"/>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95"/>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the program</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07/01/2019 — 07/31/2019</w:t>
            </w:r>
          </w:p>
        </w:tc>
        <w:tc>
          <w:tcPr>
            <w:tcW w:w="150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08/01/2019 — 08/31/2019</w:t>
            </w:r>
          </w:p>
        </w:tc>
        <w:tc>
          <w:tcPr>
            <w:tcW w:w="15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09/01/2019 — 09/30/2019</w:t>
            </w:r>
          </w:p>
        </w:tc>
        <w:tc>
          <w:tcPr>
            <w:tcW w:w="150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Third quarter of 2019 total</w:t>
            </w:r>
          </w:p>
        </w:tc>
        <w:tc>
          <w:tcPr>
            <w:tcW w:w="150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____________________________</w:t>
            </w:r>
          </w:p>
        </w:tc>
        <w:tc>
          <w:tcPr>
            <w:tcW w:w="12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jc w:val="both"/>
        <w:ind w:left="340" w:right="140" w:hanging="332"/>
        <w:spacing w:after="0" w:line="251" w:lineRule="auto"/>
        <w:tabs>
          <w:tab w:leader="none" w:pos="34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6"/>
          <w:szCs w:val="16"/>
          <w:color w:val="auto"/>
        </w:rPr>
        <w:t>common stock purchase plan, which authorized the repurchase of up to $100.0 million of our common stock, was authorized by our Board of Directors and publicly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rPr>
        <w:t>announced in August, 2019.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Purchases made under our stock purchase program can be discontinued at any time we feel additional purchases are not warranted.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31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the Exhibit Index following the signature page to this Quarterly Report on Form 10-Q for a list of exhibits filed or furnished with this report,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80"/>
          </w:cols>
          <w:pgMar w:left="240" w:top="121" w:right="57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ICU Medical, Inc.</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(Registrant)</w:t>
      </w:r>
    </w:p>
    <w:p>
      <w:pPr>
        <w:spacing w:after="0" w:line="333" w:lineRule="exact"/>
        <w:rPr>
          <w:sz w:val="20"/>
          <w:szCs w:val="20"/>
          <w:color w:val="auto"/>
        </w:rPr>
      </w:pPr>
    </w:p>
    <w:p>
      <w:pPr>
        <w:ind w:left="40"/>
        <w:spacing w:after="0"/>
        <w:tabs>
          <w:tab w:leader="none" w:pos="5920" w:val="left"/>
        </w:tabs>
        <w:rPr>
          <w:sz w:val="20"/>
          <w:szCs w:val="20"/>
          <w:color w:val="auto"/>
        </w:rPr>
      </w:pPr>
      <w:r>
        <w:rPr>
          <w:rFonts w:ascii="Times New Roman" w:cs="Times New Roman" w:eastAsia="Times New Roman" w:hAnsi="Times New Roman"/>
          <w:sz w:val="18"/>
          <w:szCs w:val="18"/>
          <w:color w:val="auto"/>
        </w:rPr>
        <w:t>/s/ Scott E. Lamb</w:t>
      </w:r>
      <w:r>
        <w:rPr>
          <w:sz w:val="20"/>
          <w:szCs w:val="20"/>
          <w:color w:val="auto"/>
        </w:rPr>
        <w:tab/>
      </w:r>
      <w:r>
        <w:rPr>
          <w:rFonts w:ascii="Times New Roman" w:cs="Times New Roman" w:eastAsia="Times New Roman" w:hAnsi="Times New Roman"/>
          <w:sz w:val="18"/>
          <w:szCs w:val="18"/>
          <w:color w:val="auto"/>
        </w:rPr>
        <w:t>Date: November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017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Scott E. Lamb</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240" w:top="121" w:right="6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9200" w:type="dxa"/>
            <w:vAlign w:val="bottom"/>
          </w:tcPr>
          <w:p>
            <w:pPr>
              <w:spacing w:after="0"/>
              <w:rPr>
                <w:sz w:val="17"/>
                <w:szCs w:val="17"/>
                <w:color w:val="auto"/>
              </w:rPr>
            </w:pPr>
          </w:p>
        </w:tc>
      </w:tr>
      <w:tr>
        <w:trPr>
          <w:trHeight w:val="574"/>
        </w:trPr>
        <w:tc>
          <w:tcPr>
            <w:tcW w:w="1060" w:type="dxa"/>
            <w:vAlign w:val="bottom"/>
            <w:tcBorders>
              <w:top w:val="single" w:sz="8" w:color="auto"/>
            </w:tcBorders>
            <w:gridSpan w:val="3"/>
          </w:tcPr>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w:t>
            </w:r>
            <w:hyperlink w:anchor="page46">
              <w:r>
                <w:rPr>
                  <w:rFonts w:ascii="Times New Roman" w:cs="Times New Roman" w:eastAsia="Times New Roman" w:hAnsi="Times New Roman"/>
                  <w:sz w:val="18"/>
                  <w:szCs w:val="18"/>
                  <w:color w:val="0000FF"/>
                </w:rPr>
                <w:t>31.1</w:t>
              </w:r>
            </w:hyperlink>
          </w:p>
        </w:tc>
        <w:tc>
          <w:tcPr>
            <w:tcW w:w="560" w:type="dxa"/>
            <w:vAlign w:val="bottom"/>
          </w:tcPr>
          <w:p>
            <w:pPr>
              <w:spacing w:after="0"/>
              <w:rPr>
                <w:sz w:val="24"/>
                <w:szCs w:val="24"/>
                <w:color w:val="auto"/>
              </w:rPr>
            </w:pPr>
          </w:p>
        </w:tc>
        <w:tc>
          <w:tcPr>
            <w:tcW w:w="9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20"/>
        </w:trPr>
        <w:tc>
          <w:tcPr>
            <w:tcW w:w="6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372"/>
        </w:trPr>
        <w:tc>
          <w:tcPr>
            <w:tcW w:w="1620" w:type="dxa"/>
            <w:vAlign w:val="bottom"/>
            <w:gridSpan w:val="4"/>
          </w:tcPr>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w:t>
            </w:r>
            <w:hyperlink w:anchor="page47">
              <w:r>
                <w:rPr>
                  <w:rFonts w:ascii="Times New Roman" w:cs="Times New Roman" w:eastAsia="Times New Roman" w:hAnsi="Times New Roman"/>
                  <w:sz w:val="18"/>
                  <w:szCs w:val="18"/>
                  <w:color w:val="0000FF"/>
                </w:rPr>
                <w:t>31.2</w:t>
              </w:r>
            </w:hyperlink>
          </w:p>
        </w:tc>
        <w:tc>
          <w:tcPr>
            <w:tcW w:w="9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20"/>
        </w:trPr>
        <w:tc>
          <w:tcPr>
            <w:tcW w:w="6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372"/>
        </w:trPr>
        <w:tc>
          <w:tcPr>
            <w:tcW w:w="1620" w:type="dxa"/>
            <w:vAlign w:val="bottom"/>
            <w:gridSpan w:val="4"/>
          </w:tcPr>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w:t>
            </w:r>
            <w:hyperlink w:anchor="page48">
              <w:r>
                <w:rPr>
                  <w:rFonts w:ascii="Times New Roman" w:cs="Times New Roman" w:eastAsia="Times New Roman" w:hAnsi="Times New Roman"/>
                  <w:sz w:val="18"/>
                  <w:szCs w:val="18"/>
                  <w:color w:val="0000FF"/>
                </w:rPr>
                <w:t>32.1</w:t>
              </w:r>
            </w:hyperlink>
          </w:p>
        </w:tc>
        <w:tc>
          <w:tcPr>
            <w:tcW w:w="92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Certifications of Chief Executive Officer and Chief Financial Officer pursuant to Section 906 of the Sarbanes-Oxley Act of</w:t>
            </w:r>
          </w:p>
        </w:tc>
      </w:tr>
      <w:tr>
        <w:trPr>
          <w:trHeight w:val="237"/>
        </w:trPr>
        <w:tc>
          <w:tcPr>
            <w:tcW w:w="60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2002</w:t>
            </w:r>
          </w:p>
        </w:tc>
      </w:tr>
      <w:tr>
        <w:trPr>
          <w:trHeight w:val="373"/>
        </w:trPr>
        <w:tc>
          <w:tcPr>
            <w:tcW w:w="1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Exhibit 101.INS</w:t>
            </w:r>
          </w:p>
        </w:tc>
        <w:tc>
          <w:tcPr>
            <w:tcW w:w="9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Instance Document - this instance document does not appear in the Interactive Data File because its XBRL tags are</w:t>
            </w:r>
          </w:p>
        </w:tc>
      </w:tr>
      <w:tr>
        <w:trPr>
          <w:trHeight w:val="234"/>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92"/>
        </w:trPr>
        <w:tc>
          <w:tcPr>
            <w:tcW w:w="1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Exhibit 101.SCH</w:t>
            </w:r>
          </w:p>
        </w:tc>
        <w:tc>
          <w:tcPr>
            <w:tcW w:w="9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1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Exhibit 101.CAL</w:t>
            </w:r>
          </w:p>
        </w:tc>
        <w:tc>
          <w:tcPr>
            <w:tcW w:w="9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1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Exhibit 101.DEF</w:t>
            </w:r>
          </w:p>
        </w:tc>
        <w:tc>
          <w:tcPr>
            <w:tcW w:w="9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1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Exhibit 101.LAB</w:t>
            </w:r>
          </w:p>
        </w:tc>
        <w:tc>
          <w:tcPr>
            <w:tcW w:w="9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1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Exhibit 101.PRE</w:t>
            </w:r>
          </w:p>
        </w:tc>
        <w:tc>
          <w:tcPr>
            <w:tcW w:w="9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392"/>
        </w:trPr>
        <w:tc>
          <w:tcPr>
            <w:tcW w:w="1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Exhibit 104</w:t>
            </w:r>
          </w:p>
        </w:tc>
        <w:tc>
          <w:tcPr>
            <w:tcW w:w="9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820"/>
          </w:cols>
          <w:pgMar w:left="240" w:top="351" w:right="8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Vivek Jain, certify that:</w:t>
      </w:r>
    </w:p>
    <w:p>
      <w:pPr>
        <w:spacing w:after="0" w:line="225"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ICU Medical, Inc.;</w:t>
      </w:r>
    </w:p>
    <w:p>
      <w:pPr>
        <w:spacing w:after="0" w:line="22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1300" w:right="400" w:hanging="644"/>
        <w:spacing w:after="0" w:line="313" w:lineRule="auto"/>
        <w:tabs>
          <w:tab w:leader="none" w:pos="1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Times New Roman" w:cs="Times New Roman" w:eastAsia="Times New Roman" w:hAnsi="Times New Roman"/>
          <w:sz w:val="17"/>
          <w:szCs w:val="17"/>
          <w:color w:val="auto"/>
        </w:rPr>
      </w:pPr>
    </w:p>
    <w:p>
      <w:pPr>
        <w:ind w:left="1300" w:right="20" w:hanging="644"/>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left="1300" w:right="8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1300" w:right="320" w:hanging="644"/>
        <w:spacing w:after="0" w:line="26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ind w:left="1300" w:right="62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80"/>
        <w:spacing w:after="0"/>
        <w:tabs>
          <w:tab w:leader="none" w:pos="5840" w:val="left"/>
        </w:tabs>
        <w:rPr>
          <w:sz w:val="20"/>
          <w:szCs w:val="20"/>
          <w:color w:val="auto"/>
        </w:rPr>
      </w:pPr>
      <w:r>
        <w:rPr>
          <w:rFonts w:ascii="Times New Roman" w:cs="Times New Roman" w:eastAsia="Times New Roman" w:hAnsi="Times New Roman"/>
          <w:sz w:val="18"/>
          <w:szCs w:val="18"/>
          <w:color w:val="auto"/>
        </w:rPr>
        <w:t>Date: November 12, 2019</w:t>
      </w:r>
      <w:r>
        <w:rPr>
          <w:sz w:val="20"/>
          <w:szCs w:val="20"/>
          <w:color w:val="auto"/>
        </w:rPr>
        <w:tab/>
      </w:r>
      <w:r>
        <w:rPr>
          <w:rFonts w:ascii="Times New Roman" w:cs="Times New Roman" w:eastAsia="Times New Roman" w:hAnsi="Times New Roman"/>
          <w:sz w:val="17"/>
          <w:szCs w:val="17"/>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E. Lamb, certify that:</w:t>
      </w:r>
    </w:p>
    <w:p>
      <w:pPr>
        <w:spacing w:after="0" w:line="225" w:lineRule="exact"/>
        <w:rPr>
          <w:sz w:val="20"/>
          <w:szCs w:val="20"/>
          <w:color w:val="auto"/>
        </w:rPr>
      </w:pPr>
    </w:p>
    <w:p>
      <w:pPr>
        <w:ind w:left="1160" w:hanging="585"/>
        <w:spacing w:after="0"/>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ICU Medical, Inc.;</w:t>
      </w:r>
    </w:p>
    <w:p>
      <w:pPr>
        <w:spacing w:after="0" w:line="265" w:lineRule="exact"/>
        <w:rPr>
          <w:rFonts w:ascii="Times New Roman" w:cs="Times New Roman" w:eastAsia="Times New Roman" w:hAnsi="Times New Roman"/>
          <w:sz w:val="18"/>
          <w:szCs w:val="18"/>
          <w:color w:val="auto"/>
        </w:rPr>
      </w:pPr>
    </w:p>
    <w:p>
      <w:pPr>
        <w:jc w:val="both"/>
        <w:ind w:left="1140" w:right="80" w:hanging="565"/>
        <w:spacing w:after="0" w:line="266"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1140" w:right="40" w:hanging="565"/>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140" w:right="180" w:hanging="565"/>
        <w:spacing w:after="0" w:line="266"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left="1140" w:right="60" w:hanging="565"/>
        <w:spacing w:after="0" w:line="266"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140" w:right="380" w:hanging="565"/>
        <w:spacing w:after="0" w:line="266"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140" w:right="540" w:hanging="565"/>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40" w:right="60" w:hanging="565"/>
        <w:spacing w:after="0" w:line="266"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1140" w:right="140" w:hanging="565"/>
        <w:spacing w:after="0" w:line="313" w:lineRule="auto"/>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sz w:val="20"/>
          <w:szCs w:val="20"/>
          <w:color w:val="auto"/>
        </w:rPr>
      </w:pPr>
    </w:p>
    <w:p>
      <w:pPr>
        <w:ind w:left="1140" w:right="800" w:hanging="565"/>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480" w:hanging="565"/>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60"/>
        <w:spacing w:after="0"/>
        <w:tabs>
          <w:tab w:leader="none" w:pos="5380" w:val="left"/>
        </w:tabs>
        <w:rPr>
          <w:sz w:val="20"/>
          <w:szCs w:val="20"/>
          <w:color w:val="auto"/>
        </w:rPr>
      </w:pPr>
      <w:r>
        <w:rPr>
          <w:rFonts w:ascii="Times New Roman" w:cs="Times New Roman" w:eastAsia="Times New Roman" w:hAnsi="Times New Roman"/>
          <w:sz w:val="18"/>
          <w:szCs w:val="18"/>
          <w:color w:val="auto"/>
        </w:rPr>
        <w:t>Date: November 12, 2019</w:t>
      </w:r>
      <w:r>
        <w:rPr>
          <w:sz w:val="20"/>
          <w:szCs w:val="20"/>
          <w:color w:val="auto"/>
        </w:rPr>
        <w:tab/>
      </w:r>
      <w:r>
        <w:rPr>
          <w:rFonts w:ascii="Times New Roman" w:cs="Times New Roman" w:eastAsia="Times New Roman" w:hAnsi="Times New Roman"/>
          <w:sz w:val="17"/>
          <w:szCs w:val="17"/>
          <w:color w:val="auto"/>
        </w:rPr>
        <w:t>/s/ 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34290</wp:posOffset>
            </wp:positionV>
            <wp:extent cx="36791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ICU Medical, Inc. (the “Company”) on Form 10-Q for the period ended September 30, 2019 as filed with the Securities and Exchange Commission on the date hereof (the “Report”), I, Vivek Jain, Chief Executive Officer of the Company, certify, pursuant to 18 U.S.C. § 1350, as adopted pursuant to §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Times New Roman" w:cs="Times New Roman" w:eastAsia="Times New Roman" w:hAnsi="Times New Roman"/>
          <w:sz w:val="18"/>
          <w:szCs w:val="18"/>
          <w:color w:val="auto"/>
        </w:rPr>
        <w:t>November 12, 2019</w:t>
      </w:r>
      <w:r>
        <w:rPr>
          <w:sz w:val="20"/>
          <w:szCs w:val="20"/>
          <w:color w:val="auto"/>
        </w:rPr>
        <w:tab/>
      </w:r>
      <w:r>
        <w:rPr>
          <w:rFonts w:ascii="Times New Roman" w:cs="Times New Roman" w:eastAsia="Times New Roman" w:hAnsi="Times New Roman"/>
          <w:sz w:val="17"/>
          <w:szCs w:val="17"/>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Vivek Jain</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ICU Medical, Inc. (the “Company”) on Form 10-Q for the period ended September 30, 2019 as filed with the Securities and Exchange Commission on the date hereof (the “Report”), I, Scott E. Lamb, Chief Financial Officer of the Company, certify, pursuant to 18 U.S.C. § 1350, as adopted pursuant to §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Times New Roman" w:cs="Times New Roman" w:eastAsia="Times New Roman" w:hAnsi="Times New Roman"/>
          <w:sz w:val="18"/>
          <w:szCs w:val="18"/>
          <w:color w:val="auto"/>
        </w:rPr>
        <w:t>November 12, 2019</w:t>
      </w:r>
      <w:r>
        <w:rPr>
          <w:sz w:val="20"/>
          <w:szCs w:val="20"/>
          <w:color w:val="auto"/>
        </w:rPr>
        <w:tab/>
      </w:r>
      <w:r>
        <w:rPr>
          <w:rFonts w:ascii="Times New Roman" w:cs="Times New Roman" w:eastAsia="Times New Roman" w:hAnsi="Times New Roman"/>
          <w:sz w:val="17"/>
          <w:szCs w:val="17"/>
          <w:color w:val="auto"/>
        </w:rPr>
        <w:t>/s/ 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8"/>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5"/>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2019-12-28T01:49:14Z</dcterms:created>
  <dcterms:modified xsi:type="dcterms:W3CDTF">2019-12-28T01:49:14Z</dcterms:modified>
</cp:coreProperties>
</file>