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93" w:lineRule="exact"/>
        <w:rPr>
          <w:sz w:val="24"/>
          <w:szCs w:val="24"/>
          <w:color w:val="auto"/>
        </w:rPr>
      </w:pPr>
    </w:p>
    <w:p>
      <w:pPr>
        <w:jc w:val="center"/>
        <w:ind w:right="-139"/>
        <w:spacing w:after="0"/>
        <w:rPr>
          <w:sz w:val="20"/>
          <w:szCs w:val="20"/>
          <w:color w:val="auto"/>
        </w:rPr>
      </w:pPr>
      <w:r>
        <w:rPr>
          <w:rFonts w:ascii="Arial" w:cs="Arial" w:eastAsia="Arial" w:hAnsi="Arial"/>
          <w:sz w:val="25"/>
          <w:szCs w:val="25"/>
          <w:b w:val="1"/>
          <w:bCs w:val="1"/>
          <w:color w:val="auto"/>
        </w:rPr>
        <w:t>FORM 10-Q</w:t>
      </w:r>
    </w:p>
    <w:p>
      <w:pPr>
        <w:spacing w:after="0" w:line="284" w:lineRule="exact"/>
        <w:rPr>
          <w:sz w:val="24"/>
          <w:szCs w:val="24"/>
          <w:color w:val="auto"/>
        </w:rPr>
      </w:pPr>
    </w:p>
    <w:p>
      <w:pPr>
        <w:ind w:left="500" w:hanging="307"/>
        <w:spacing w:after="0"/>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6" w:lineRule="exact"/>
        <w:rPr>
          <w:sz w:val="24"/>
          <w:szCs w:val="24"/>
          <w:color w:val="auto"/>
        </w:rPr>
      </w:pPr>
    </w:p>
    <w:p>
      <w:pPr>
        <w:ind w:left="500" w:hanging="307"/>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52" w:lineRule="exact"/>
        <w:rPr>
          <w:sz w:val="24"/>
          <w:szCs w:val="24"/>
          <w:color w:val="auto"/>
        </w:rPr>
      </w:pPr>
    </w:p>
    <w:tbl>
      <w:tblPr>
        <w:tblLayout w:type="fixed"/>
        <w:tblInd w:w="1060" w:type="dxa"/>
        <w:tblCellMar>
          <w:top w:w="0" w:type="dxa"/>
          <w:left w:w="0" w:type="dxa"/>
          <w:bottom w:w="0" w:type="dxa"/>
          <w:right w:w="0" w:type="dxa"/>
        </w:tblCellMar>
      </w:tblPr>
      <w:tr>
        <w:trPr>
          <w:trHeight w:val="234"/>
        </w:trPr>
        <w:tc>
          <w:tcPr>
            <w:tcW w:w="6000" w:type="dxa"/>
            <w:vAlign w:val="bottom"/>
          </w:tcPr>
          <w:p>
            <w:pPr>
              <w:ind w:left="3080"/>
              <w:spacing w:after="0"/>
              <w:rPr>
                <w:sz w:val="20"/>
                <w:szCs w:val="20"/>
                <w:color w:val="auto"/>
              </w:rPr>
            </w:pPr>
            <w:r>
              <w:rPr>
                <w:rFonts w:ascii="Arial" w:cs="Arial" w:eastAsia="Arial" w:hAnsi="Arial"/>
                <w:sz w:val="18"/>
                <w:szCs w:val="18"/>
                <w:b w:val="1"/>
                <w:bCs w:val="1"/>
                <w:color w:val="auto"/>
              </w:rPr>
              <w:t>For the transition period from:</w:t>
            </w:r>
          </w:p>
        </w:tc>
        <w:tc>
          <w:tcPr>
            <w:tcW w:w="2200" w:type="dxa"/>
            <w:vAlign w:val="bottom"/>
          </w:tcPr>
          <w:p>
            <w:pPr>
              <w:ind w:left="80"/>
              <w:spacing w:after="0"/>
              <w:rPr>
                <w:sz w:val="20"/>
                <w:szCs w:val="20"/>
                <w:color w:val="auto"/>
              </w:rPr>
            </w:pPr>
            <w:r>
              <w:rPr>
                <w:rFonts w:ascii="Arial" w:cs="Arial" w:eastAsia="Arial" w:hAnsi="Arial"/>
                <w:sz w:val="18"/>
                <w:szCs w:val="18"/>
                <w:b w:val="1"/>
                <w:bCs w:val="1"/>
                <w:color w:val="auto"/>
              </w:rPr>
              <w:t>to</w:t>
            </w:r>
          </w:p>
        </w:tc>
      </w:tr>
      <w:tr>
        <w:trPr>
          <w:trHeight w:val="432"/>
        </w:trPr>
        <w:tc>
          <w:tcPr>
            <w:tcW w:w="6000" w:type="dxa"/>
            <w:vAlign w:val="bottom"/>
          </w:tcPr>
          <w:p>
            <w:pPr>
              <w:jc w:val="center"/>
              <w:ind w:left="3226"/>
              <w:spacing w:after="0"/>
              <w:rPr>
                <w:sz w:val="20"/>
                <w:szCs w:val="20"/>
                <w:color w:val="auto"/>
              </w:rPr>
            </w:pPr>
            <w:r>
              <w:rPr>
                <w:rFonts w:ascii="Arial" w:cs="Arial" w:eastAsia="Arial" w:hAnsi="Arial"/>
                <w:sz w:val="18"/>
                <w:szCs w:val="18"/>
                <w:b w:val="1"/>
                <w:bCs w:val="1"/>
                <w:color w:val="auto"/>
                <w:w w:val="90"/>
              </w:rPr>
              <w:t>Commission File No.: 001-34634</w:t>
            </w:r>
          </w:p>
        </w:tc>
        <w:tc>
          <w:tcPr>
            <w:tcW w:w="2200" w:type="dxa"/>
            <w:vAlign w:val="bottom"/>
          </w:tcPr>
          <w:p>
            <w:pPr>
              <w:spacing w:after="0"/>
              <w:rPr>
                <w:sz w:val="24"/>
                <w:szCs w:val="24"/>
                <w:color w:val="auto"/>
              </w:rPr>
            </w:pPr>
          </w:p>
        </w:tc>
      </w:tr>
      <w:tr>
        <w:trPr>
          <w:trHeight w:val="391"/>
        </w:trPr>
        <w:tc>
          <w:tcPr>
            <w:tcW w:w="6000" w:type="dxa"/>
            <w:vAlign w:val="bottom"/>
          </w:tcPr>
          <w:p>
            <w:pPr>
              <w:ind w:left="3480"/>
              <w:spacing w:after="0"/>
              <w:rPr>
                <w:sz w:val="20"/>
                <w:szCs w:val="20"/>
                <w:color w:val="auto"/>
              </w:rPr>
            </w:pPr>
            <w:r>
              <w:rPr>
                <w:rFonts w:ascii="Arial" w:cs="Arial" w:eastAsia="Arial" w:hAnsi="Arial"/>
                <w:sz w:val="25"/>
                <w:szCs w:val="25"/>
                <w:b w:val="1"/>
                <w:bCs w:val="1"/>
                <w:color w:val="auto"/>
              </w:rPr>
              <w:t>ICU MEDICAL, INC.</w:t>
            </w:r>
          </w:p>
        </w:tc>
        <w:tc>
          <w:tcPr>
            <w:tcW w:w="2200" w:type="dxa"/>
            <w:vAlign w:val="bottom"/>
          </w:tcPr>
          <w:p>
            <w:pPr>
              <w:spacing w:after="0"/>
              <w:rPr>
                <w:sz w:val="24"/>
                <w:szCs w:val="24"/>
                <w:color w:val="auto"/>
              </w:rPr>
            </w:pPr>
          </w:p>
        </w:tc>
      </w:tr>
      <w:tr>
        <w:trPr>
          <w:trHeight w:val="230"/>
        </w:trPr>
        <w:tc>
          <w:tcPr>
            <w:tcW w:w="8200" w:type="dxa"/>
            <w:vAlign w:val="bottom"/>
            <w:gridSpan w:val="2"/>
          </w:tcPr>
          <w:p>
            <w:pPr>
              <w:jc w:val="center"/>
              <w:ind w:left="1006"/>
              <w:spacing w:after="0"/>
              <w:rPr>
                <w:sz w:val="20"/>
                <w:szCs w:val="20"/>
                <w:color w:val="auto"/>
              </w:rPr>
            </w:pPr>
            <w:r>
              <w:rPr>
                <w:rFonts w:ascii="Arial" w:cs="Arial" w:eastAsia="Arial" w:hAnsi="Arial"/>
                <w:sz w:val="18"/>
                <w:szCs w:val="18"/>
                <w:color w:val="auto"/>
                <w:w w:val="90"/>
              </w:rPr>
              <w:t>(Exact name of Registrant as specified in its charter)</w:t>
            </w:r>
          </w:p>
        </w:tc>
      </w:tr>
      <w:tr>
        <w:trPr>
          <w:trHeight w:val="702"/>
        </w:trPr>
        <w:tc>
          <w:tcPr>
            <w:tcW w:w="6000" w:type="dxa"/>
            <w:vAlign w:val="bottom"/>
          </w:tcPr>
          <w:p>
            <w:pPr>
              <w:jc w:val="center"/>
              <w:ind w:right="2326"/>
              <w:spacing w:after="0"/>
              <w:rPr>
                <w:sz w:val="20"/>
                <w:szCs w:val="20"/>
                <w:color w:val="auto"/>
              </w:rPr>
            </w:pPr>
            <w:r>
              <w:rPr>
                <w:rFonts w:ascii="Arial" w:cs="Arial" w:eastAsia="Arial" w:hAnsi="Arial"/>
                <w:sz w:val="18"/>
                <w:szCs w:val="18"/>
                <w:b w:val="1"/>
                <w:bCs w:val="1"/>
                <w:color w:val="auto"/>
                <w:w w:val="93"/>
              </w:rPr>
              <w:t>Delaware</w:t>
            </w:r>
          </w:p>
        </w:tc>
        <w:tc>
          <w:tcPr>
            <w:tcW w:w="2200" w:type="dxa"/>
            <w:vAlign w:val="bottom"/>
          </w:tcPr>
          <w:p>
            <w:pPr>
              <w:jc w:val="right"/>
              <w:ind w:right="150"/>
              <w:spacing w:after="0"/>
              <w:rPr>
                <w:sz w:val="20"/>
                <w:szCs w:val="20"/>
                <w:color w:val="auto"/>
              </w:rPr>
            </w:pPr>
            <w:r>
              <w:rPr>
                <w:rFonts w:ascii="Arial" w:cs="Arial" w:eastAsia="Arial" w:hAnsi="Arial"/>
                <w:sz w:val="18"/>
                <w:szCs w:val="18"/>
                <w:b w:val="1"/>
                <w:bCs w:val="1"/>
                <w:color w:val="auto"/>
              </w:rPr>
              <w:t>33-0022692</w:t>
            </w:r>
          </w:p>
        </w:tc>
      </w:tr>
      <w:tr>
        <w:trPr>
          <w:trHeight w:val="270"/>
        </w:trPr>
        <w:tc>
          <w:tcPr>
            <w:tcW w:w="6000" w:type="dxa"/>
            <w:vAlign w:val="bottom"/>
          </w:tcPr>
          <w:p>
            <w:pPr>
              <w:jc w:val="center"/>
              <w:ind w:right="2326"/>
              <w:spacing w:after="0"/>
              <w:rPr>
                <w:sz w:val="20"/>
                <w:szCs w:val="20"/>
                <w:color w:val="auto"/>
              </w:rPr>
            </w:pPr>
            <w:r>
              <w:rPr>
                <w:rFonts w:ascii="Arial" w:cs="Arial" w:eastAsia="Arial" w:hAnsi="Arial"/>
                <w:sz w:val="18"/>
                <w:szCs w:val="18"/>
                <w:color w:val="auto"/>
                <w:w w:val="93"/>
              </w:rPr>
              <w:t>(State or other jurisdiction of</w:t>
            </w:r>
          </w:p>
        </w:tc>
        <w:tc>
          <w:tcPr>
            <w:tcW w:w="2200" w:type="dxa"/>
            <w:vAlign w:val="bottom"/>
          </w:tcPr>
          <w:p>
            <w:pPr>
              <w:jc w:val="center"/>
              <w:ind w:left="750"/>
              <w:spacing w:after="0"/>
              <w:rPr>
                <w:sz w:val="20"/>
                <w:szCs w:val="20"/>
                <w:color w:val="auto"/>
              </w:rPr>
            </w:pPr>
            <w:r>
              <w:rPr>
                <w:rFonts w:ascii="Arial" w:cs="Arial" w:eastAsia="Arial" w:hAnsi="Arial"/>
                <w:sz w:val="18"/>
                <w:szCs w:val="18"/>
                <w:color w:val="auto"/>
                <w:w w:val="93"/>
              </w:rPr>
              <w:t>(I.R.S. Employer</w:t>
            </w:r>
          </w:p>
        </w:tc>
      </w:tr>
      <w:tr>
        <w:trPr>
          <w:trHeight w:val="270"/>
        </w:trPr>
        <w:tc>
          <w:tcPr>
            <w:tcW w:w="6000" w:type="dxa"/>
            <w:vAlign w:val="bottom"/>
          </w:tcPr>
          <w:p>
            <w:pPr>
              <w:jc w:val="center"/>
              <w:ind w:right="2326"/>
              <w:spacing w:after="0"/>
              <w:rPr>
                <w:sz w:val="20"/>
                <w:szCs w:val="20"/>
                <w:color w:val="auto"/>
              </w:rPr>
            </w:pPr>
            <w:r>
              <w:rPr>
                <w:rFonts w:ascii="Arial" w:cs="Arial" w:eastAsia="Arial" w:hAnsi="Arial"/>
                <w:sz w:val="18"/>
                <w:szCs w:val="18"/>
                <w:color w:val="auto"/>
                <w:w w:val="93"/>
              </w:rPr>
              <w:t>incorporation or organization)</w:t>
            </w:r>
          </w:p>
        </w:tc>
        <w:tc>
          <w:tcPr>
            <w:tcW w:w="2200" w:type="dxa"/>
            <w:vAlign w:val="bottom"/>
          </w:tcPr>
          <w:p>
            <w:pPr>
              <w:jc w:val="center"/>
              <w:ind w:left="770"/>
              <w:spacing w:after="0"/>
              <w:rPr>
                <w:sz w:val="20"/>
                <w:szCs w:val="20"/>
                <w:color w:val="auto"/>
              </w:rPr>
            </w:pPr>
            <w:r>
              <w:rPr>
                <w:rFonts w:ascii="Arial" w:cs="Arial" w:eastAsia="Arial" w:hAnsi="Arial"/>
                <w:sz w:val="18"/>
                <w:szCs w:val="18"/>
                <w:color w:val="auto"/>
                <w:w w:val="95"/>
              </w:rPr>
              <w:t>Identification No.)</w:t>
            </w:r>
          </w:p>
        </w:tc>
      </w:tr>
      <w:tr>
        <w:trPr>
          <w:trHeight w:val="513"/>
        </w:trPr>
        <w:tc>
          <w:tcPr>
            <w:tcW w:w="6000" w:type="dxa"/>
            <w:vAlign w:val="bottom"/>
          </w:tcPr>
          <w:p>
            <w:pPr>
              <w:jc w:val="center"/>
              <w:ind w:right="2326"/>
              <w:spacing w:after="0"/>
              <w:rPr>
                <w:sz w:val="20"/>
                <w:szCs w:val="20"/>
                <w:color w:val="auto"/>
              </w:rPr>
            </w:pPr>
            <w:r>
              <w:rPr>
                <w:rFonts w:ascii="Arial" w:cs="Arial" w:eastAsia="Arial" w:hAnsi="Arial"/>
                <w:sz w:val="18"/>
                <w:szCs w:val="18"/>
                <w:b w:val="1"/>
                <w:bCs w:val="1"/>
                <w:color w:val="auto"/>
                <w:w w:val="91"/>
              </w:rPr>
              <w:t>951 Calle Amanecer, San Clemente, California</w:t>
            </w:r>
          </w:p>
        </w:tc>
        <w:tc>
          <w:tcPr>
            <w:tcW w:w="2200" w:type="dxa"/>
            <w:vAlign w:val="bottom"/>
          </w:tcPr>
          <w:p>
            <w:pPr>
              <w:jc w:val="right"/>
              <w:ind w:right="370"/>
              <w:spacing w:after="0"/>
              <w:rPr>
                <w:sz w:val="20"/>
                <w:szCs w:val="20"/>
                <w:color w:val="auto"/>
              </w:rPr>
            </w:pPr>
            <w:r>
              <w:rPr>
                <w:rFonts w:ascii="Arial" w:cs="Arial" w:eastAsia="Arial" w:hAnsi="Arial"/>
                <w:sz w:val="18"/>
                <w:szCs w:val="18"/>
                <w:b w:val="1"/>
                <w:bCs w:val="1"/>
                <w:color w:val="auto"/>
              </w:rPr>
              <w:t>92673</w:t>
            </w:r>
          </w:p>
        </w:tc>
      </w:tr>
      <w:tr>
        <w:trPr>
          <w:trHeight w:val="270"/>
        </w:trPr>
        <w:tc>
          <w:tcPr>
            <w:tcW w:w="6000" w:type="dxa"/>
            <w:vAlign w:val="bottom"/>
          </w:tcPr>
          <w:p>
            <w:pPr>
              <w:jc w:val="center"/>
              <w:ind w:right="2326"/>
              <w:spacing w:after="0"/>
              <w:rPr>
                <w:sz w:val="20"/>
                <w:szCs w:val="20"/>
                <w:color w:val="auto"/>
              </w:rPr>
            </w:pPr>
            <w:r>
              <w:rPr>
                <w:rFonts w:ascii="Arial" w:cs="Arial" w:eastAsia="Arial" w:hAnsi="Arial"/>
                <w:sz w:val="18"/>
                <w:szCs w:val="18"/>
                <w:color w:val="auto"/>
                <w:w w:val="92"/>
              </w:rPr>
              <w:t>(Address of principal executive offices)</w:t>
            </w:r>
          </w:p>
        </w:tc>
        <w:tc>
          <w:tcPr>
            <w:tcW w:w="2200" w:type="dxa"/>
            <w:vAlign w:val="bottom"/>
          </w:tcPr>
          <w:p>
            <w:pPr>
              <w:jc w:val="center"/>
              <w:ind w:left="750"/>
              <w:spacing w:after="0"/>
              <w:rPr>
                <w:sz w:val="20"/>
                <w:szCs w:val="20"/>
                <w:color w:val="auto"/>
              </w:rPr>
            </w:pPr>
            <w:r>
              <w:rPr>
                <w:rFonts w:ascii="Arial" w:cs="Arial" w:eastAsia="Arial" w:hAnsi="Arial"/>
                <w:sz w:val="18"/>
                <w:szCs w:val="18"/>
                <w:color w:val="auto"/>
                <w:w w:val="94"/>
              </w:rPr>
              <w:t>(Zip Code)</w:t>
            </w:r>
          </w:p>
        </w:tc>
      </w:tr>
      <w:tr>
        <w:trPr>
          <w:trHeight w:val="243"/>
        </w:trPr>
        <w:tc>
          <w:tcPr>
            <w:tcW w:w="6000" w:type="dxa"/>
            <w:vAlign w:val="bottom"/>
          </w:tcPr>
          <w:p>
            <w:pPr>
              <w:jc w:val="center"/>
              <w:ind w:left="3266"/>
              <w:spacing w:after="0"/>
              <w:rPr>
                <w:sz w:val="20"/>
                <w:szCs w:val="20"/>
                <w:color w:val="auto"/>
              </w:rPr>
            </w:pPr>
            <w:r>
              <w:rPr>
                <w:rFonts w:ascii="Arial" w:cs="Arial" w:eastAsia="Arial" w:hAnsi="Arial"/>
                <w:sz w:val="18"/>
                <w:szCs w:val="18"/>
                <w:b w:val="1"/>
                <w:bCs w:val="1"/>
                <w:color w:val="auto"/>
                <w:w w:val="90"/>
              </w:rPr>
              <w:t>(949) 366-2183</w:t>
            </w:r>
          </w:p>
        </w:tc>
        <w:tc>
          <w:tcPr>
            <w:tcW w:w="2200" w:type="dxa"/>
            <w:vAlign w:val="bottom"/>
          </w:tcPr>
          <w:p>
            <w:pPr>
              <w:spacing w:after="0"/>
              <w:rPr>
                <w:sz w:val="21"/>
                <w:szCs w:val="21"/>
                <w:color w:val="auto"/>
              </w:rPr>
            </w:pPr>
          </w:p>
        </w:tc>
      </w:tr>
    </w:tbl>
    <w:p>
      <w:pPr>
        <w:jc w:val="center"/>
        <w:ind w:right="-79"/>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ind w:right="60" w:firstLine="324"/>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81" w:lineRule="exact"/>
        <w:rPr>
          <w:sz w:val="24"/>
          <w:szCs w:val="24"/>
          <w:color w:val="auto"/>
        </w:rPr>
      </w:pPr>
    </w:p>
    <w:p>
      <w:pPr>
        <w:ind w:right="180" w:firstLine="324"/>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181" w:lineRule="exact"/>
        <w:rPr>
          <w:sz w:val="24"/>
          <w:szCs w:val="24"/>
          <w:color w:val="auto"/>
        </w:rPr>
      </w:pPr>
    </w:p>
    <w:p>
      <w:pPr>
        <w:ind w:firstLine="324"/>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286" w:lineRule="exact"/>
        <w:rPr>
          <w:sz w:val="24"/>
          <w:szCs w:val="24"/>
          <w:color w:val="auto"/>
        </w:rPr>
      </w:pPr>
    </w:p>
    <w:tbl>
      <w:tblPr>
        <w:tblLayout w:type="fixed"/>
        <w:tblInd w:w="1000" w:type="dxa"/>
        <w:tblCellMar>
          <w:top w:w="0" w:type="dxa"/>
          <w:left w:w="0" w:type="dxa"/>
          <w:bottom w:w="0" w:type="dxa"/>
          <w:right w:w="0" w:type="dxa"/>
        </w:tblCellMar>
      </w:tblPr>
      <w:tr>
        <w:trPr>
          <w:trHeight w:val="230"/>
        </w:trPr>
        <w:tc>
          <w:tcPr>
            <w:tcW w:w="4840" w:type="dxa"/>
            <w:vAlign w:val="bottom"/>
          </w:tcPr>
          <w:p>
            <w:pPr>
              <w:jc w:val="center"/>
              <w:ind w:right="1430"/>
              <w:spacing w:after="0"/>
              <w:rPr>
                <w:sz w:val="20"/>
                <w:szCs w:val="20"/>
                <w:color w:val="auto"/>
              </w:rPr>
            </w:pPr>
            <w:r>
              <w:rPr>
                <w:rFonts w:ascii="Arial" w:cs="Arial" w:eastAsia="Arial" w:hAnsi="Arial"/>
                <w:sz w:val="18"/>
                <w:szCs w:val="18"/>
                <w:color w:val="auto"/>
                <w:w w:val="91"/>
              </w:rPr>
              <w:t>Large accelerated filer x</w:t>
            </w:r>
          </w:p>
        </w:tc>
        <w:tc>
          <w:tcPr>
            <w:tcW w:w="3600" w:type="dxa"/>
            <w:vAlign w:val="bottom"/>
          </w:tcPr>
          <w:p>
            <w:pPr>
              <w:jc w:val="center"/>
              <w:ind w:left="1410"/>
              <w:spacing w:after="0"/>
              <w:rPr>
                <w:sz w:val="20"/>
                <w:szCs w:val="20"/>
                <w:color w:val="auto"/>
              </w:rPr>
            </w:pPr>
            <w:r>
              <w:rPr>
                <w:rFonts w:ascii="Arial" w:cs="Arial" w:eastAsia="Arial" w:hAnsi="Arial"/>
                <w:sz w:val="18"/>
                <w:szCs w:val="18"/>
                <w:color w:val="auto"/>
                <w:w w:val="92"/>
              </w:rPr>
              <w:t>Accelerated filer o</w:t>
            </w:r>
          </w:p>
        </w:tc>
      </w:tr>
      <w:tr>
        <w:trPr>
          <w:trHeight w:val="392"/>
        </w:trPr>
        <w:tc>
          <w:tcPr>
            <w:tcW w:w="4840" w:type="dxa"/>
            <w:vAlign w:val="bottom"/>
          </w:tcPr>
          <w:p>
            <w:pPr>
              <w:jc w:val="center"/>
              <w:ind w:right="1410"/>
              <w:spacing w:after="0"/>
              <w:rPr>
                <w:sz w:val="20"/>
                <w:szCs w:val="20"/>
                <w:color w:val="auto"/>
              </w:rPr>
            </w:pPr>
            <w:r>
              <w:rPr>
                <w:rFonts w:ascii="Arial" w:cs="Arial" w:eastAsia="Arial" w:hAnsi="Arial"/>
                <w:sz w:val="18"/>
                <w:szCs w:val="18"/>
                <w:color w:val="auto"/>
                <w:w w:val="91"/>
              </w:rPr>
              <w:t>Non-accelerated filer o</w:t>
            </w:r>
          </w:p>
        </w:tc>
        <w:tc>
          <w:tcPr>
            <w:tcW w:w="3600" w:type="dxa"/>
            <w:vAlign w:val="bottom"/>
          </w:tcPr>
          <w:p>
            <w:pPr>
              <w:jc w:val="center"/>
              <w:ind w:left="1410"/>
              <w:spacing w:after="0"/>
              <w:rPr>
                <w:sz w:val="20"/>
                <w:szCs w:val="20"/>
                <w:color w:val="auto"/>
              </w:rPr>
            </w:pPr>
            <w:r>
              <w:rPr>
                <w:rFonts w:ascii="Arial" w:cs="Arial" w:eastAsia="Arial" w:hAnsi="Arial"/>
                <w:sz w:val="18"/>
                <w:szCs w:val="18"/>
                <w:color w:val="auto"/>
                <w:w w:val="91"/>
              </w:rPr>
              <w:t>Smaller reporting company o</w:t>
            </w:r>
          </w:p>
        </w:tc>
      </w:tr>
      <w:tr>
        <w:trPr>
          <w:trHeight w:val="392"/>
        </w:trPr>
        <w:tc>
          <w:tcPr>
            <w:tcW w:w="4840" w:type="dxa"/>
            <w:vAlign w:val="bottom"/>
          </w:tcPr>
          <w:p>
            <w:pPr>
              <w:jc w:val="center"/>
              <w:ind w:right="1410"/>
              <w:spacing w:after="0"/>
              <w:rPr>
                <w:sz w:val="20"/>
                <w:szCs w:val="20"/>
                <w:color w:val="auto"/>
              </w:rPr>
            </w:pPr>
            <w:r>
              <w:rPr>
                <w:rFonts w:ascii="Arial" w:cs="Arial" w:eastAsia="Arial" w:hAnsi="Arial"/>
                <w:sz w:val="18"/>
                <w:szCs w:val="18"/>
                <w:color w:val="auto"/>
                <w:w w:val="91"/>
              </w:rPr>
              <w:t>(Do not check if a smaller reporting company)</w:t>
            </w:r>
          </w:p>
        </w:tc>
        <w:tc>
          <w:tcPr>
            <w:tcW w:w="3600" w:type="dxa"/>
            <w:vAlign w:val="bottom"/>
          </w:tcPr>
          <w:p>
            <w:pPr>
              <w:jc w:val="center"/>
              <w:ind w:left="1410"/>
              <w:spacing w:after="0"/>
              <w:rPr>
                <w:sz w:val="20"/>
                <w:szCs w:val="20"/>
                <w:color w:val="auto"/>
              </w:rPr>
            </w:pPr>
            <w:r>
              <w:rPr>
                <w:rFonts w:ascii="Arial" w:cs="Arial" w:eastAsia="Arial" w:hAnsi="Arial"/>
                <w:sz w:val="18"/>
                <w:szCs w:val="18"/>
                <w:color w:val="auto"/>
                <w:w w:val="91"/>
              </w:rPr>
              <w:t>Emerging growth company o</w:t>
            </w:r>
          </w:p>
        </w:tc>
      </w:tr>
    </w:tbl>
    <w:p>
      <w:pPr>
        <w:spacing w:after="0" w:line="229" w:lineRule="exact"/>
        <w:rPr>
          <w:sz w:val="24"/>
          <w:szCs w:val="24"/>
          <w:color w:val="auto"/>
        </w:rPr>
      </w:pPr>
    </w:p>
    <w:p>
      <w:pPr>
        <w:ind w:right="240" w:firstLine="369"/>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70" w:lineRule="exact"/>
        <w:rPr>
          <w:sz w:val="24"/>
          <w:szCs w:val="24"/>
          <w:color w:val="auto"/>
        </w:rPr>
      </w:pPr>
    </w:p>
    <w:p>
      <w:pPr>
        <w:ind w:left="340"/>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200" w:lineRule="exact"/>
        <w:rPr>
          <w:sz w:val="24"/>
          <w:szCs w:val="24"/>
          <w:color w:val="auto"/>
        </w:rPr>
      </w:pPr>
    </w:p>
    <w:p>
      <w:pPr>
        <w:spacing w:after="0" w:line="233" w:lineRule="exact"/>
        <w:rPr>
          <w:sz w:val="24"/>
          <w:szCs w:val="24"/>
          <w:color w:val="auto"/>
        </w:rPr>
      </w:pPr>
    </w:p>
    <w:tbl>
      <w:tblPr>
        <w:tblLayout w:type="fixed"/>
        <w:tblInd w:w="200" w:type="dxa"/>
        <w:tblCellMar>
          <w:top w:w="0" w:type="dxa"/>
          <w:left w:w="0" w:type="dxa"/>
          <w:bottom w:w="0" w:type="dxa"/>
          <w:right w:w="0" w:type="dxa"/>
        </w:tblCellMar>
      </w:tblPr>
      <w:tr>
        <w:trPr>
          <w:trHeight w:val="192"/>
        </w:trPr>
        <w:tc>
          <w:tcPr>
            <w:tcW w:w="5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Class</w:t>
            </w:r>
          </w:p>
        </w:tc>
        <w:tc>
          <w:tcPr>
            <w:tcW w:w="440" w:type="dxa"/>
            <w:vAlign w:val="bottom"/>
          </w:tcPr>
          <w:p>
            <w:pPr>
              <w:spacing w:after="0"/>
              <w:rPr>
                <w:sz w:val="16"/>
                <w:szCs w:val="16"/>
                <w:color w:val="auto"/>
              </w:rPr>
            </w:pPr>
          </w:p>
        </w:tc>
        <w:tc>
          <w:tcPr>
            <w:tcW w:w="5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Outstanding at April 30, 2018</w:t>
            </w:r>
          </w:p>
        </w:tc>
      </w:tr>
      <w:tr>
        <w:trPr>
          <w:trHeight w:val="243"/>
        </w:trPr>
        <w:tc>
          <w:tcPr>
            <w:tcW w:w="5740" w:type="dxa"/>
            <w:vAlign w:val="bottom"/>
            <w:gridSpan w:val="2"/>
          </w:tcPr>
          <w:p>
            <w:pPr>
              <w:jc w:val="center"/>
              <w:ind w:right="440"/>
              <w:spacing w:after="0"/>
              <w:rPr>
                <w:sz w:val="20"/>
                <w:szCs w:val="20"/>
                <w:color w:val="auto"/>
              </w:rPr>
            </w:pPr>
            <w:r>
              <w:rPr>
                <w:rFonts w:ascii="Arial" w:cs="Arial" w:eastAsia="Arial" w:hAnsi="Arial"/>
                <w:sz w:val="18"/>
                <w:szCs w:val="18"/>
                <w:color w:val="auto"/>
                <w:w w:val="90"/>
              </w:rPr>
              <w:t>Common</w:t>
            </w:r>
          </w:p>
        </w:tc>
        <w:tc>
          <w:tcPr>
            <w:tcW w:w="5300" w:type="dxa"/>
            <w:vAlign w:val="bottom"/>
          </w:tcPr>
          <w:p>
            <w:pPr>
              <w:jc w:val="right"/>
              <w:ind w:right="2179"/>
              <w:spacing w:after="0"/>
              <w:rPr>
                <w:sz w:val="20"/>
                <w:szCs w:val="20"/>
                <w:color w:val="auto"/>
              </w:rPr>
            </w:pPr>
            <w:r>
              <w:rPr>
                <w:rFonts w:ascii="Arial" w:cs="Arial" w:eastAsia="Arial" w:hAnsi="Arial"/>
                <w:sz w:val="18"/>
                <w:szCs w:val="18"/>
                <w:color w:val="auto"/>
              </w:rPr>
              <w:t>20,317,014</w:t>
            </w:r>
          </w:p>
        </w:tc>
      </w:tr>
    </w:tbl>
    <w:p>
      <w:pPr>
        <w:spacing w:after="0" w:line="67" w:lineRule="exact"/>
        <w:rPr>
          <w:sz w:val="24"/>
          <w:szCs w:val="24"/>
          <w:color w:val="auto"/>
        </w:rPr>
      </w:pPr>
    </w:p>
    <w:p>
      <w:pPr>
        <w:ind w:left="6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o No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522" w:right="319" w:bottom="1440" w:gutter="0" w:footer="0" w:header="0"/>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March 31, 2018</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380" w:type="dxa"/>
            <w:vAlign w:val="bottom"/>
          </w:tcPr>
          <w:p>
            <w:pPr>
              <w:ind w:left="1360"/>
              <w:spacing w:after="0"/>
              <w:rPr>
                <w:sz w:val="20"/>
                <w:szCs w:val="20"/>
                <w:color w:val="auto"/>
              </w:rPr>
            </w:pPr>
            <w:r>
              <w:rPr>
                <w:rFonts w:ascii="Arial" w:cs="Arial" w:eastAsia="Arial" w:hAnsi="Arial"/>
                <w:sz w:val="18"/>
                <w:szCs w:val="18"/>
                <w:b w:val="1"/>
                <w:bCs w:val="1"/>
                <w:color w:val="auto"/>
              </w:rPr>
              <w:t>Table of Contents</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0"/>
              </w:rPr>
              <w:t>PART I.</w:t>
            </w:r>
          </w:p>
        </w:tc>
        <w:tc>
          <w:tcPr>
            <w:tcW w:w="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2"/>
              </w:rPr>
              <w:t>Financial Information</w:t>
            </w:r>
          </w:p>
        </w:tc>
        <w:tc>
          <w:tcPr>
            <w:tcW w:w="6380" w:type="dxa"/>
            <w:vAlign w:val="bottom"/>
          </w:tcPr>
          <w:p>
            <w:pPr>
              <w:spacing w:after="0"/>
              <w:rPr>
                <w:sz w:val="22"/>
                <w:szCs w:val="22"/>
                <w:color w:val="auto"/>
              </w:rPr>
            </w:pPr>
          </w:p>
        </w:tc>
        <w:tc>
          <w:tcPr>
            <w:tcW w:w="1360" w:type="dxa"/>
            <w:vAlign w:val="bottom"/>
          </w:tcPr>
          <w:p>
            <w:pPr>
              <w:jc w:val="right"/>
              <w:ind w:right="171"/>
              <w:spacing w:after="0"/>
              <w:rPr>
                <w:sz w:val="20"/>
                <w:szCs w:val="20"/>
                <w:color w:val="auto"/>
              </w:rPr>
            </w:pPr>
            <w:r>
              <w:rPr>
                <w:rFonts w:ascii="Arial" w:cs="Arial" w:eastAsia="Arial" w:hAnsi="Arial"/>
                <w:sz w:val="14"/>
                <w:szCs w:val="14"/>
                <w:b w:val="1"/>
                <w:bCs w:val="1"/>
                <w:color w:val="auto"/>
              </w:rPr>
              <w:t>Page Number</w:t>
            </w:r>
          </w:p>
        </w:tc>
        <w:tc>
          <w:tcPr>
            <w:tcW w:w="0" w:type="dxa"/>
            <w:vAlign w:val="bottom"/>
          </w:tcPr>
          <w:p>
            <w:pPr>
              <w:spacing w:after="0"/>
              <w:rPr>
                <w:sz w:val="1"/>
                <w:szCs w:val="1"/>
                <w:color w:val="auto"/>
              </w:rPr>
            </w:pPr>
          </w:p>
        </w:tc>
      </w:tr>
      <w:tr>
        <w:trPr>
          <w:trHeight w:val="48"/>
        </w:trPr>
        <w:tc>
          <w:tcPr>
            <w:tcW w:w="700" w:type="dxa"/>
            <w:vAlign w:val="bottom"/>
            <w:gridSpan w:val="3"/>
            <w:vMerge w:val="restart"/>
          </w:tcPr>
          <w:p>
            <w:pPr>
              <w:spacing w:after="0"/>
              <w:rPr>
                <w:sz w:val="20"/>
                <w:szCs w:val="20"/>
                <w:color w:val="auto"/>
              </w:rPr>
            </w:pPr>
            <w:r>
              <w:rPr>
                <w:rFonts w:ascii="Arial" w:cs="Arial" w:eastAsia="Arial" w:hAnsi="Arial"/>
                <w:sz w:val="18"/>
                <w:szCs w:val="18"/>
                <w:color w:val="auto"/>
              </w:rPr>
              <w:t>Item 1.</w:t>
            </w:r>
          </w:p>
        </w:tc>
        <w:tc>
          <w:tcPr>
            <w:tcW w:w="9320" w:type="dxa"/>
            <w:vAlign w:val="bottom"/>
            <w:gridSpan w:val="4"/>
            <w:vMerge w:val="restart"/>
          </w:tcPr>
          <w:p>
            <w:pPr>
              <w:ind w:left="1240"/>
              <w:spacing w:after="0"/>
              <w:rPr>
                <w:sz w:val="20"/>
                <w:szCs w:val="20"/>
                <w:color w:val="auto"/>
              </w:rPr>
            </w:pPr>
            <w:r>
              <w:rPr>
                <w:rFonts w:ascii="Arial" w:cs="Arial" w:eastAsia="Arial" w:hAnsi="Arial"/>
                <w:sz w:val="18"/>
                <w:szCs w:val="18"/>
                <w:color w:val="auto"/>
              </w:rPr>
              <w:t>Financial Statements (Unaudited)</w:t>
            </w:r>
          </w:p>
        </w:tc>
        <w:tc>
          <w:tcPr>
            <w:tcW w:w="13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507"/>
        </w:trPr>
        <w:tc>
          <w:tcPr>
            <w:tcW w:w="700" w:type="dxa"/>
            <w:vAlign w:val="bottom"/>
            <w:gridSpan w:val="3"/>
            <w:vMerge w:val="continue"/>
          </w:tcPr>
          <w:p>
            <w:pPr>
              <w:spacing w:after="0"/>
              <w:rPr>
                <w:sz w:val="24"/>
                <w:szCs w:val="24"/>
                <w:color w:val="auto"/>
              </w:rPr>
            </w:pPr>
          </w:p>
        </w:tc>
        <w:tc>
          <w:tcPr>
            <w:tcW w:w="9320" w:type="dxa"/>
            <w:vAlign w:val="bottom"/>
            <w:gridSpan w:val="4"/>
            <w:vMerge w:val="continue"/>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320" w:type="dxa"/>
            <w:vAlign w:val="bottom"/>
            <w:gridSpan w:val="4"/>
          </w:tcPr>
          <w:p>
            <w:pPr>
              <w:ind w:left="1240"/>
              <w:spacing w:after="0"/>
              <w:rPr>
                <w:sz w:val="20"/>
                <w:szCs w:val="20"/>
                <w:color w:val="auto"/>
              </w:rPr>
            </w:pPr>
            <w:r>
              <w:rPr>
                <w:rFonts w:ascii="Arial" w:cs="Arial" w:eastAsia="Arial" w:hAnsi="Arial"/>
                <w:sz w:val="18"/>
                <w:szCs w:val="18"/>
                <w:color w:val="auto"/>
              </w:rPr>
              <w:t>Condensed Consolidated Balance Sheet, at March 31, 2018 and December 31, 2017</w:t>
            </w:r>
          </w:p>
        </w:tc>
        <w:tc>
          <w:tcPr>
            <w:tcW w:w="136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3</w:t>
              </w:r>
            </w:hyperlink>
          </w:p>
        </w:tc>
        <w:tc>
          <w:tcPr>
            <w:tcW w:w="0" w:type="dxa"/>
            <w:vAlign w:val="bottom"/>
          </w:tcPr>
          <w:p>
            <w:pPr>
              <w:spacing w:after="0"/>
              <w:rPr>
                <w:sz w:val="1"/>
                <w:szCs w:val="1"/>
                <w:color w:val="auto"/>
              </w:rPr>
            </w:pPr>
          </w:p>
        </w:tc>
      </w:tr>
      <w:tr>
        <w:trPr>
          <w:trHeight w:val="540"/>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320" w:type="dxa"/>
            <w:vAlign w:val="bottom"/>
            <w:gridSpan w:val="4"/>
          </w:tcPr>
          <w:p>
            <w:pPr>
              <w:ind w:left="1240"/>
              <w:spacing w:after="0"/>
              <w:rPr>
                <w:sz w:val="20"/>
                <w:szCs w:val="20"/>
                <w:color w:val="auto"/>
              </w:rPr>
            </w:pPr>
            <w:r>
              <w:rPr>
                <w:rFonts w:ascii="Arial" w:cs="Arial" w:eastAsia="Arial" w:hAnsi="Arial"/>
                <w:sz w:val="18"/>
                <w:szCs w:val="18"/>
                <w:color w:val="auto"/>
                <w:w w:val="94"/>
              </w:rPr>
              <w:t>Condensed Consolidated Statements of Operations for the Three Months Ended March 31, 2018 and 2017</w:t>
            </w:r>
          </w:p>
        </w:tc>
        <w:tc>
          <w:tcPr>
            <w:tcW w:w="1360" w:type="dxa"/>
            <w:vAlign w:val="bottom"/>
          </w:tcPr>
          <w:p>
            <w:pPr>
              <w:jc w:val="right"/>
              <w:spacing w:after="0"/>
              <w:rPr>
                <w:rFonts w:ascii="Arial" w:cs="Arial" w:eastAsia="Arial" w:hAnsi="Arial"/>
                <w:sz w:val="18"/>
                <w:szCs w:val="18"/>
                <w:color w:val="auto"/>
              </w:rPr>
            </w:pPr>
            <w:hyperlink w:anchor="page4">
              <w:r>
                <w:rPr>
                  <w:rFonts w:ascii="Arial" w:cs="Arial" w:eastAsia="Arial" w:hAnsi="Arial"/>
                  <w:sz w:val="18"/>
                  <w:szCs w:val="18"/>
                  <w:color w:val="auto"/>
                </w:rPr>
                <w:t>4</w:t>
              </w:r>
            </w:hyperlink>
          </w:p>
        </w:tc>
        <w:tc>
          <w:tcPr>
            <w:tcW w:w="0" w:type="dxa"/>
            <w:vAlign w:val="bottom"/>
          </w:tcPr>
          <w:p>
            <w:pPr>
              <w:spacing w:after="0"/>
              <w:rPr>
                <w:sz w:val="1"/>
                <w:szCs w:val="1"/>
                <w:color w:val="auto"/>
              </w:rPr>
            </w:pPr>
          </w:p>
        </w:tc>
      </w:tr>
      <w:tr>
        <w:trPr>
          <w:trHeight w:val="526"/>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320" w:type="dxa"/>
            <w:vAlign w:val="bottom"/>
            <w:gridSpan w:val="4"/>
          </w:tcPr>
          <w:p>
            <w:pPr>
              <w:ind w:left="1240"/>
              <w:spacing w:after="0"/>
              <w:rPr>
                <w:sz w:val="20"/>
                <w:szCs w:val="20"/>
                <w:color w:val="auto"/>
              </w:rPr>
            </w:pPr>
            <w:r>
              <w:rPr>
                <w:rFonts w:ascii="Arial" w:cs="Arial" w:eastAsia="Arial" w:hAnsi="Arial"/>
                <w:sz w:val="18"/>
                <w:szCs w:val="18"/>
                <w:color w:val="auto"/>
                <w:w w:val="97"/>
              </w:rPr>
              <w:t>Condensed Consolidated Statements of Comprehensive Income for the Three Months Ended March 31,</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320" w:type="dxa"/>
            <w:vAlign w:val="bottom"/>
            <w:gridSpan w:val="4"/>
          </w:tcPr>
          <w:p>
            <w:pPr>
              <w:ind w:left="1240"/>
              <w:spacing w:after="0"/>
              <w:rPr>
                <w:sz w:val="20"/>
                <w:szCs w:val="20"/>
                <w:color w:val="auto"/>
              </w:rPr>
            </w:pPr>
            <w:r>
              <w:rPr>
                <w:rFonts w:ascii="Arial" w:cs="Arial" w:eastAsia="Arial" w:hAnsi="Arial"/>
                <w:sz w:val="18"/>
                <w:szCs w:val="18"/>
                <w:color w:val="auto"/>
              </w:rPr>
              <w:t>2018 and 2017</w:t>
            </w:r>
          </w:p>
        </w:tc>
        <w:tc>
          <w:tcPr>
            <w:tcW w:w="1360" w:type="dxa"/>
            <w:vAlign w:val="bottom"/>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5</w:t>
              </w:r>
            </w:hyperlink>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320" w:type="dxa"/>
            <w:vAlign w:val="bottom"/>
            <w:gridSpan w:val="4"/>
          </w:tcPr>
          <w:p>
            <w:pPr>
              <w:ind w:left="1240"/>
              <w:spacing w:after="0"/>
              <w:rPr>
                <w:sz w:val="20"/>
                <w:szCs w:val="20"/>
                <w:color w:val="auto"/>
              </w:rPr>
            </w:pPr>
            <w:r>
              <w:rPr>
                <w:rFonts w:ascii="Arial" w:cs="Arial" w:eastAsia="Arial" w:hAnsi="Arial"/>
                <w:sz w:val="18"/>
                <w:szCs w:val="18"/>
                <w:color w:val="auto"/>
                <w:w w:val="94"/>
              </w:rPr>
              <w:t>Condensed Consolidated Statements of Cash Flows for the Three Months Ended March 31, 2018 and 2017</w:t>
            </w:r>
          </w:p>
        </w:tc>
        <w:tc>
          <w:tcPr>
            <w:tcW w:w="1360" w:type="dxa"/>
            <w:vAlign w:val="bottom"/>
          </w:tcPr>
          <w:p>
            <w:pPr>
              <w:jc w:val="right"/>
              <w:spacing w:after="0"/>
              <w:rPr>
                <w:rFonts w:ascii="Arial" w:cs="Arial" w:eastAsia="Arial" w:hAnsi="Arial"/>
                <w:sz w:val="18"/>
                <w:szCs w:val="18"/>
                <w:color w:val="auto"/>
              </w:rPr>
            </w:pPr>
            <w:hyperlink w:anchor="page6">
              <w:r>
                <w:rPr>
                  <w:rFonts w:ascii="Arial" w:cs="Arial" w:eastAsia="Arial" w:hAnsi="Arial"/>
                  <w:sz w:val="18"/>
                  <w:szCs w:val="18"/>
                  <w:color w:val="auto"/>
                </w:rPr>
                <w:t>6</w:t>
              </w:r>
            </w:hyperlink>
          </w:p>
        </w:tc>
        <w:tc>
          <w:tcPr>
            <w:tcW w:w="0" w:type="dxa"/>
            <w:vAlign w:val="bottom"/>
          </w:tcPr>
          <w:p>
            <w:pPr>
              <w:spacing w:after="0"/>
              <w:rPr>
                <w:sz w:val="1"/>
                <w:szCs w:val="1"/>
                <w:color w:val="auto"/>
              </w:rPr>
            </w:pPr>
          </w:p>
        </w:tc>
      </w:tr>
      <w:tr>
        <w:trPr>
          <w:trHeight w:val="540"/>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320" w:type="dxa"/>
            <w:vAlign w:val="bottom"/>
            <w:gridSpan w:val="4"/>
          </w:tcPr>
          <w:p>
            <w:pPr>
              <w:ind w:left="1240"/>
              <w:spacing w:after="0"/>
              <w:rPr>
                <w:rFonts w:ascii="Arial" w:cs="Arial" w:eastAsia="Arial" w:hAnsi="Arial"/>
                <w:sz w:val="18"/>
                <w:szCs w:val="18"/>
                <w:color w:val="auto"/>
              </w:rPr>
            </w:pPr>
            <w:hyperlink w:anchor="page8">
              <w:r>
                <w:rPr>
                  <w:rFonts w:ascii="Arial" w:cs="Arial" w:eastAsia="Arial" w:hAnsi="Arial"/>
                  <w:sz w:val="18"/>
                  <w:szCs w:val="18"/>
                  <w:color w:val="auto"/>
                </w:rPr>
                <w:t>Notes to Condensed Consolidated Financial Statements</w:t>
              </w:r>
            </w:hyperlink>
          </w:p>
        </w:tc>
        <w:tc>
          <w:tcPr>
            <w:tcW w:w="1360" w:type="dxa"/>
            <w:vAlign w:val="bottom"/>
          </w:tcPr>
          <w:p>
            <w:pPr>
              <w:jc w:val="right"/>
              <w:spacing w:after="0"/>
              <w:rPr>
                <w:rFonts w:ascii="Arial" w:cs="Arial" w:eastAsia="Arial" w:hAnsi="Arial"/>
                <w:sz w:val="18"/>
                <w:szCs w:val="18"/>
                <w:color w:val="auto"/>
              </w:rPr>
            </w:pPr>
            <w:hyperlink w:anchor="page8">
              <w:r>
                <w:rPr>
                  <w:rFonts w:ascii="Arial" w:cs="Arial" w:eastAsia="Arial" w:hAnsi="Arial"/>
                  <w:sz w:val="18"/>
                  <w:szCs w:val="18"/>
                  <w:color w:val="auto"/>
                </w:rPr>
                <w:t>8</w:t>
              </w:r>
            </w:hyperlink>
          </w:p>
        </w:tc>
        <w:tc>
          <w:tcPr>
            <w:tcW w:w="0" w:type="dxa"/>
            <w:vAlign w:val="bottom"/>
          </w:tcPr>
          <w:p>
            <w:pPr>
              <w:spacing w:after="0"/>
              <w:rPr>
                <w:sz w:val="1"/>
                <w:szCs w:val="1"/>
                <w:color w:val="auto"/>
              </w:rPr>
            </w:pPr>
          </w:p>
        </w:tc>
      </w:tr>
      <w:tr>
        <w:trPr>
          <w:trHeight w:val="540"/>
        </w:trPr>
        <w:tc>
          <w:tcPr>
            <w:tcW w:w="700" w:type="dxa"/>
            <w:vAlign w:val="bottom"/>
            <w:gridSpan w:val="3"/>
          </w:tcPr>
          <w:p>
            <w:pPr>
              <w:spacing w:after="0"/>
              <w:rPr>
                <w:sz w:val="20"/>
                <w:szCs w:val="20"/>
                <w:color w:val="auto"/>
              </w:rPr>
            </w:pPr>
            <w:r>
              <w:rPr>
                <w:rFonts w:ascii="Arial" w:cs="Arial" w:eastAsia="Arial" w:hAnsi="Arial"/>
                <w:sz w:val="18"/>
                <w:szCs w:val="18"/>
                <w:color w:val="auto"/>
              </w:rPr>
              <w:t>Item 2.</w:t>
            </w:r>
          </w:p>
        </w:tc>
        <w:tc>
          <w:tcPr>
            <w:tcW w:w="9320" w:type="dxa"/>
            <w:vAlign w:val="bottom"/>
            <w:gridSpan w:val="4"/>
          </w:tcPr>
          <w:p>
            <w:pPr>
              <w:ind w:left="1240"/>
              <w:spacing w:after="0"/>
              <w:rPr>
                <w:rFonts w:ascii="Arial" w:cs="Arial" w:eastAsia="Arial" w:hAnsi="Arial"/>
                <w:sz w:val="18"/>
                <w:szCs w:val="18"/>
                <w:color w:val="auto"/>
              </w:rPr>
            </w:pPr>
            <w:hyperlink w:anchor="page27">
              <w:r>
                <w:rPr>
                  <w:rFonts w:ascii="Arial" w:cs="Arial" w:eastAsia="Arial" w:hAnsi="Arial"/>
                  <w:sz w:val="18"/>
                  <w:szCs w:val="18"/>
                  <w:color w:val="auto"/>
                </w:rPr>
                <w:t>Management’s Discussion and Analysis of Financial Condition and Results of Operations</w:t>
              </w:r>
            </w:hyperlink>
          </w:p>
        </w:tc>
        <w:tc>
          <w:tcPr>
            <w:tcW w:w="1360" w:type="dxa"/>
            <w:vAlign w:val="bottom"/>
          </w:tcPr>
          <w:p>
            <w:pPr>
              <w:jc w:val="right"/>
              <w:spacing w:after="0"/>
              <w:rPr>
                <w:rFonts w:ascii="Arial" w:cs="Arial" w:eastAsia="Arial" w:hAnsi="Arial"/>
                <w:sz w:val="18"/>
                <w:szCs w:val="18"/>
                <w:color w:val="auto"/>
              </w:rPr>
            </w:pPr>
            <w:hyperlink w:anchor="page27">
              <w:r>
                <w:rPr>
                  <w:rFonts w:ascii="Arial" w:cs="Arial" w:eastAsia="Arial" w:hAnsi="Arial"/>
                  <w:sz w:val="18"/>
                  <w:szCs w:val="18"/>
                  <w:color w:val="auto"/>
                </w:rPr>
                <w:t>27</w:t>
              </w:r>
            </w:hyperlink>
          </w:p>
        </w:tc>
        <w:tc>
          <w:tcPr>
            <w:tcW w:w="0" w:type="dxa"/>
            <w:vAlign w:val="bottom"/>
          </w:tcPr>
          <w:p>
            <w:pPr>
              <w:spacing w:after="0"/>
              <w:rPr>
                <w:sz w:val="1"/>
                <w:szCs w:val="1"/>
                <w:color w:val="auto"/>
              </w:rPr>
            </w:pPr>
          </w:p>
        </w:tc>
      </w:tr>
      <w:tr>
        <w:trPr>
          <w:trHeight w:val="540"/>
        </w:trPr>
        <w:tc>
          <w:tcPr>
            <w:tcW w:w="700" w:type="dxa"/>
            <w:vAlign w:val="bottom"/>
            <w:gridSpan w:val="3"/>
          </w:tcPr>
          <w:p>
            <w:pPr>
              <w:spacing w:after="0"/>
              <w:rPr>
                <w:sz w:val="20"/>
                <w:szCs w:val="20"/>
                <w:color w:val="auto"/>
              </w:rPr>
            </w:pPr>
            <w:r>
              <w:rPr>
                <w:rFonts w:ascii="Arial" w:cs="Arial" w:eastAsia="Arial" w:hAnsi="Arial"/>
                <w:sz w:val="18"/>
                <w:szCs w:val="18"/>
                <w:color w:val="auto"/>
              </w:rPr>
              <w:t>Item 3.</w:t>
            </w:r>
          </w:p>
        </w:tc>
        <w:tc>
          <w:tcPr>
            <w:tcW w:w="9320" w:type="dxa"/>
            <w:vAlign w:val="bottom"/>
            <w:gridSpan w:val="4"/>
          </w:tcPr>
          <w:p>
            <w:pPr>
              <w:ind w:left="1240"/>
              <w:spacing w:after="0"/>
              <w:rPr>
                <w:rFonts w:ascii="Arial" w:cs="Arial" w:eastAsia="Arial" w:hAnsi="Arial"/>
                <w:sz w:val="18"/>
                <w:szCs w:val="18"/>
                <w:color w:val="auto"/>
              </w:rPr>
            </w:pPr>
            <w:hyperlink w:anchor="page39">
              <w:r>
                <w:rPr>
                  <w:rFonts w:ascii="Arial" w:cs="Arial" w:eastAsia="Arial" w:hAnsi="Arial"/>
                  <w:sz w:val="18"/>
                  <w:szCs w:val="18"/>
                  <w:color w:val="auto"/>
                </w:rPr>
                <w:t>Quantitative and Qualitative Disclosures About Market Risk</w:t>
              </w:r>
            </w:hyperlink>
          </w:p>
        </w:tc>
        <w:tc>
          <w:tcPr>
            <w:tcW w:w="1360" w:type="dxa"/>
            <w:vAlign w:val="bottom"/>
          </w:tcPr>
          <w:p>
            <w:pPr>
              <w:jc w:val="right"/>
              <w:spacing w:after="0"/>
              <w:rPr>
                <w:rFonts w:ascii="Arial" w:cs="Arial" w:eastAsia="Arial" w:hAnsi="Arial"/>
                <w:sz w:val="18"/>
                <w:szCs w:val="18"/>
                <w:color w:val="auto"/>
              </w:rPr>
            </w:pPr>
            <w:hyperlink w:anchor="page39">
              <w:r>
                <w:rPr>
                  <w:rFonts w:ascii="Arial" w:cs="Arial" w:eastAsia="Arial" w:hAnsi="Arial"/>
                  <w:sz w:val="18"/>
                  <w:szCs w:val="18"/>
                  <w:color w:val="auto"/>
                </w:rPr>
                <w:t>39</w:t>
              </w:r>
            </w:hyperlink>
          </w:p>
        </w:tc>
        <w:tc>
          <w:tcPr>
            <w:tcW w:w="0" w:type="dxa"/>
            <w:vAlign w:val="bottom"/>
          </w:tcPr>
          <w:p>
            <w:pPr>
              <w:spacing w:after="0"/>
              <w:rPr>
                <w:sz w:val="1"/>
                <w:szCs w:val="1"/>
                <w:color w:val="auto"/>
              </w:rPr>
            </w:pPr>
          </w:p>
        </w:tc>
      </w:tr>
      <w:tr>
        <w:trPr>
          <w:trHeight w:val="540"/>
        </w:trPr>
        <w:tc>
          <w:tcPr>
            <w:tcW w:w="700" w:type="dxa"/>
            <w:vAlign w:val="bottom"/>
            <w:gridSpan w:val="3"/>
          </w:tcPr>
          <w:p>
            <w:pPr>
              <w:spacing w:after="0"/>
              <w:rPr>
                <w:sz w:val="20"/>
                <w:szCs w:val="20"/>
                <w:color w:val="auto"/>
              </w:rPr>
            </w:pPr>
            <w:r>
              <w:rPr>
                <w:rFonts w:ascii="Arial" w:cs="Arial" w:eastAsia="Arial" w:hAnsi="Arial"/>
                <w:sz w:val="18"/>
                <w:szCs w:val="18"/>
                <w:color w:val="auto"/>
              </w:rPr>
              <w:t>Item 4.</w:t>
            </w:r>
          </w:p>
        </w:tc>
        <w:tc>
          <w:tcPr>
            <w:tcW w:w="9320" w:type="dxa"/>
            <w:vAlign w:val="bottom"/>
            <w:gridSpan w:val="4"/>
          </w:tcPr>
          <w:p>
            <w:pPr>
              <w:ind w:left="1240"/>
              <w:spacing w:after="0"/>
              <w:rPr>
                <w:rFonts w:ascii="Arial" w:cs="Arial" w:eastAsia="Arial" w:hAnsi="Arial"/>
                <w:sz w:val="18"/>
                <w:szCs w:val="18"/>
                <w:color w:val="auto"/>
              </w:rPr>
            </w:pPr>
            <w:hyperlink w:anchor="page39">
              <w:r>
                <w:rPr>
                  <w:rFonts w:ascii="Arial" w:cs="Arial" w:eastAsia="Arial" w:hAnsi="Arial"/>
                  <w:sz w:val="18"/>
                  <w:szCs w:val="18"/>
                  <w:color w:val="auto"/>
                </w:rPr>
                <w:t>Controls and Procedures</w:t>
              </w:r>
            </w:hyperlink>
          </w:p>
        </w:tc>
        <w:tc>
          <w:tcPr>
            <w:tcW w:w="1360" w:type="dxa"/>
            <w:vAlign w:val="bottom"/>
          </w:tcPr>
          <w:p>
            <w:pPr>
              <w:jc w:val="right"/>
              <w:spacing w:after="0"/>
              <w:rPr>
                <w:rFonts w:ascii="Arial" w:cs="Arial" w:eastAsia="Arial" w:hAnsi="Arial"/>
                <w:sz w:val="18"/>
                <w:szCs w:val="18"/>
                <w:color w:val="auto"/>
              </w:rPr>
            </w:pPr>
            <w:hyperlink w:anchor="page39">
              <w:r>
                <w:rPr>
                  <w:rFonts w:ascii="Arial" w:cs="Arial" w:eastAsia="Arial" w:hAnsi="Arial"/>
                  <w:sz w:val="18"/>
                  <w:szCs w:val="18"/>
                  <w:color w:val="auto"/>
                </w:rPr>
                <w:t>39</w:t>
              </w:r>
            </w:hyperlink>
          </w:p>
        </w:tc>
        <w:tc>
          <w:tcPr>
            <w:tcW w:w="0" w:type="dxa"/>
            <w:vAlign w:val="bottom"/>
          </w:tcPr>
          <w:p>
            <w:pPr>
              <w:spacing w:after="0"/>
              <w:rPr>
                <w:sz w:val="1"/>
                <w:szCs w:val="1"/>
                <w:color w:val="auto"/>
              </w:rPr>
            </w:pPr>
          </w:p>
        </w:tc>
      </w:tr>
      <w:tr>
        <w:trPr>
          <w:trHeight w:val="500"/>
        </w:trPr>
        <w:tc>
          <w:tcPr>
            <w:tcW w:w="700" w:type="dxa"/>
            <w:vAlign w:val="bottom"/>
            <w:gridSpan w:val="3"/>
          </w:tcPr>
          <w:p>
            <w:pPr>
              <w:spacing w:after="0"/>
              <w:rPr>
                <w:sz w:val="20"/>
                <w:szCs w:val="20"/>
                <w:color w:val="auto"/>
              </w:rPr>
            </w:pPr>
            <w:r>
              <w:rPr>
                <w:rFonts w:ascii="Arial" w:cs="Arial" w:eastAsia="Arial" w:hAnsi="Arial"/>
                <w:sz w:val="18"/>
                <w:szCs w:val="18"/>
                <w:b w:val="1"/>
                <w:bCs w:val="1"/>
                <w:color w:val="auto"/>
                <w:w w:val="98"/>
              </w:rPr>
              <w:t>PART II.</w:t>
            </w:r>
          </w:p>
        </w:tc>
        <w:tc>
          <w:tcPr>
            <w:tcW w:w="9320" w:type="dxa"/>
            <w:vAlign w:val="bottom"/>
            <w:gridSpan w:val="4"/>
          </w:tcPr>
          <w:p>
            <w:pPr>
              <w:ind w:left="1240"/>
              <w:spacing w:after="0"/>
              <w:rPr>
                <w:rFonts w:ascii="Arial" w:cs="Arial" w:eastAsia="Arial" w:hAnsi="Arial"/>
                <w:sz w:val="18"/>
                <w:szCs w:val="18"/>
                <w:b w:val="1"/>
                <w:bCs w:val="1"/>
                <w:color w:val="auto"/>
              </w:rPr>
            </w:pPr>
            <w:hyperlink w:anchor="page39">
              <w:r>
                <w:rPr>
                  <w:rFonts w:ascii="Arial" w:cs="Arial" w:eastAsia="Arial" w:hAnsi="Arial"/>
                  <w:sz w:val="18"/>
                  <w:szCs w:val="18"/>
                  <w:b w:val="1"/>
                  <w:bCs w:val="1"/>
                  <w:color w:val="auto"/>
                </w:rPr>
                <w:t>Other Information</w:t>
              </w:r>
            </w:hyperlink>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00" w:type="dxa"/>
            <w:vAlign w:val="bottom"/>
            <w:gridSpan w:val="3"/>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664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700" w:type="dxa"/>
            <w:vAlign w:val="bottom"/>
            <w:gridSpan w:val="3"/>
          </w:tcPr>
          <w:p>
            <w:pPr>
              <w:spacing w:after="0"/>
              <w:rPr>
                <w:sz w:val="20"/>
                <w:szCs w:val="20"/>
                <w:color w:val="auto"/>
              </w:rPr>
            </w:pPr>
            <w:r>
              <w:rPr>
                <w:rFonts w:ascii="Arial" w:cs="Arial" w:eastAsia="Arial" w:hAnsi="Arial"/>
                <w:sz w:val="18"/>
                <w:szCs w:val="18"/>
                <w:color w:val="auto"/>
              </w:rPr>
              <w:t>Item 1.</w:t>
            </w:r>
          </w:p>
        </w:tc>
        <w:tc>
          <w:tcPr>
            <w:tcW w:w="9320" w:type="dxa"/>
            <w:vAlign w:val="bottom"/>
            <w:gridSpan w:val="4"/>
          </w:tcPr>
          <w:p>
            <w:pPr>
              <w:ind w:left="1240"/>
              <w:spacing w:after="0"/>
              <w:rPr>
                <w:rFonts w:ascii="Arial" w:cs="Arial" w:eastAsia="Arial" w:hAnsi="Arial"/>
                <w:sz w:val="18"/>
                <w:szCs w:val="18"/>
                <w:color w:val="auto"/>
              </w:rPr>
            </w:pPr>
            <w:hyperlink w:anchor="page39">
              <w:r>
                <w:rPr>
                  <w:rFonts w:ascii="Arial" w:cs="Arial" w:eastAsia="Arial" w:hAnsi="Arial"/>
                  <w:sz w:val="18"/>
                  <w:szCs w:val="18"/>
                  <w:color w:val="auto"/>
                </w:rPr>
                <w:t>Legal Proceedings</w:t>
              </w:r>
            </w:hyperlink>
          </w:p>
        </w:tc>
        <w:tc>
          <w:tcPr>
            <w:tcW w:w="1360" w:type="dxa"/>
            <w:vAlign w:val="bottom"/>
          </w:tcPr>
          <w:p>
            <w:pPr>
              <w:jc w:val="right"/>
              <w:spacing w:after="0"/>
              <w:rPr>
                <w:rFonts w:ascii="Arial" w:cs="Arial" w:eastAsia="Arial" w:hAnsi="Arial"/>
                <w:sz w:val="18"/>
                <w:szCs w:val="18"/>
                <w:color w:val="auto"/>
              </w:rPr>
            </w:pPr>
            <w:hyperlink w:anchor="page39">
              <w:r>
                <w:rPr>
                  <w:rFonts w:ascii="Arial" w:cs="Arial" w:eastAsia="Arial" w:hAnsi="Arial"/>
                  <w:sz w:val="18"/>
                  <w:szCs w:val="18"/>
                  <w:color w:val="auto"/>
                </w:rPr>
                <w:t>39</w:t>
              </w:r>
            </w:hyperlink>
          </w:p>
        </w:tc>
        <w:tc>
          <w:tcPr>
            <w:tcW w:w="0" w:type="dxa"/>
            <w:vAlign w:val="bottom"/>
          </w:tcPr>
          <w:p>
            <w:pPr>
              <w:spacing w:after="0"/>
              <w:rPr>
                <w:sz w:val="1"/>
                <w:szCs w:val="1"/>
                <w:color w:val="auto"/>
              </w:rPr>
            </w:pPr>
          </w:p>
        </w:tc>
      </w:tr>
      <w:tr>
        <w:trPr>
          <w:trHeight w:val="540"/>
        </w:trPr>
        <w:tc>
          <w:tcPr>
            <w:tcW w:w="700" w:type="dxa"/>
            <w:vAlign w:val="bottom"/>
            <w:gridSpan w:val="3"/>
          </w:tcPr>
          <w:p>
            <w:pPr>
              <w:spacing w:after="0"/>
              <w:rPr>
                <w:sz w:val="20"/>
                <w:szCs w:val="20"/>
                <w:color w:val="auto"/>
              </w:rPr>
            </w:pPr>
            <w:r>
              <w:rPr>
                <w:rFonts w:ascii="Arial" w:cs="Arial" w:eastAsia="Arial" w:hAnsi="Arial"/>
                <w:sz w:val="18"/>
                <w:szCs w:val="18"/>
                <w:color w:val="auto"/>
              </w:rPr>
              <w:t>Item1A.</w:t>
            </w:r>
          </w:p>
        </w:tc>
        <w:tc>
          <w:tcPr>
            <w:tcW w:w="9320" w:type="dxa"/>
            <w:vAlign w:val="bottom"/>
            <w:gridSpan w:val="4"/>
          </w:tcPr>
          <w:p>
            <w:pPr>
              <w:ind w:left="1240"/>
              <w:spacing w:after="0"/>
              <w:rPr>
                <w:rFonts w:ascii="Arial" w:cs="Arial" w:eastAsia="Arial" w:hAnsi="Arial"/>
                <w:sz w:val="18"/>
                <w:szCs w:val="18"/>
                <w:color w:val="auto"/>
              </w:rPr>
            </w:pPr>
            <w:hyperlink w:anchor="page40">
              <w:r>
                <w:rPr>
                  <w:rFonts w:ascii="Arial" w:cs="Arial" w:eastAsia="Arial" w:hAnsi="Arial"/>
                  <w:sz w:val="18"/>
                  <w:szCs w:val="18"/>
                  <w:color w:val="auto"/>
                </w:rPr>
                <w:t>Risk Factors</w:t>
              </w:r>
            </w:hyperlink>
          </w:p>
        </w:tc>
        <w:tc>
          <w:tcPr>
            <w:tcW w:w="1360" w:type="dxa"/>
            <w:vAlign w:val="bottom"/>
          </w:tcPr>
          <w:p>
            <w:pPr>
              <w:jc w:val="right"/>
              <w:spacing w:after="0"/>
              <w:rPr>
                <w:rFonts w:ascii="Arial" w:cs="Arial" w:eastAsia="Arial" w:hAnsi="Arial"/>
                <w:sz w:val="18"/>
                <w:szCs w:val="18"/>
                <w:color w:val="auto"/>
              </w:rPr>
            </w:pPr>
            <w:hyperlink w:anchor="page40">
              <w:r>
                <w:rPr>
                  <w:rFonts w:ascii="Arial" w:cs="Arial" w:eastAsia="Arial" w:hAnsi="Arial"/>
                  <w:sz w:val="18"/>
                  <w:szCs w:val="18"/>
                  <w:color w:val="auto"/>
                </w:rPr>
                <w:t>40</w:t>
              </w:r>
            </w:hyperlink>
          </w:p>
        </w:tc>
        <w:tc>
          <w:tcPr>
            <w:tcW w:w="0" w:type="dxa"/>
            <w:vAlign w:val="bottom"/>
          </w:tcPr>
          <w:p>
            <w:pPr>
              <w:spacing w:after="0"/>
              <w:rPr>
                <w:sz w:val="1"/>
                <w:szCs w:val="1"/>
                <w:color w:val="auto"/>
              </w:rPr>
            </w:pPr>
          </w:p>
        </w:tc>
      </w:tr>
      <w:tr>
        <w:trPr>
          <w:trHeight w:val="540"/>
        </w:trPr>
        <w:tc>
          <w:tcPr>
            <w:tcW w:w="700" w:type="dxa"/>
            <w:vAlign w:val="bottom"/>
            <w:gridSpan w:val="3"/>
          </w:tcPr>
          <w:p>
            <w:pPr>
              <w:spacing w:after="0"/>
              <w:rPr>
                <w:sz w:val="20"/>
                <w:szCs w:val="20"/>
                <w:color w:val="auto"/>
              </w:rPr>
            </w:pPr>
            <w:r>
              <w:rPr>
                <w:rFonts w:ascii="Arial" w:cs="Arial" w:eastAsia="Arial" w:hAnsi="Arial"/>
                <w:sz w:val="18"/>
                <w:szCs w:val="18"/>
                <w:color w:val="auto"/>
              </w:rPr>
              <w:t>Item 2.</w:t>
            </w:r>
          </w:p>
        </w:tc>
        <w:tc>
          <w:tcPr>
            <w:tcW w:w="9320" w:type="dxa"/>
            <w:vAlign w:val="bottom"/>
            <w:gridSpan w:val="4"/>
          </w:tcPr>
          <w:p>
            <w:pPr>
              <w:ind w:left="1240"/>
              <w:spacing w:after="0"/>
              <w:rPr>
                <w:rFonts w:ascii="Arial" w:cs="Arial" w:eastAsia="Arial" w:hAnsi="Arial"/>
                <w:sz w:val="18"/>
                <w:szCs w:val="18"/>
                <w:color w:val="auto"/>
              </w:rPr>
            </w:pPr>
            <w:hyperlink w:anchor="page40">
              <w:r>
                <w:rPr>
                  <w:rFonts w:ascii="Arial" w:cs="Arial" w:eastAsia="Arial" w:hAnsi="Arial"/>
                  <w:sz w:val="18"/>
                  <w:szCs w:val="18"/>
                  <w:color w:val="auto"/>
                </w:rPr>
                <w:t>Unregistered Sales of Equity Securities and Use of Proceeds</w:t>
              </w:r>
            </w:hyperlink>
          </w:p>
        </w:tc>
        <w:tc>
          <w:tcPr>
            <w:tcW w:w="1360" w:type="dxa"/>
            <w:vAlign w:val="bottom"/>
          </w:tcPr>
          <w:p>
            <w:pPr>
              <w:jc w:val="right"/>
              <w:spacing w:after="0"/>
              <w:rPr>
                <w:rFonts w:ascii="Arial" w:cs="Arial" w:eastAsia="Arial" w:hAnsi="Arial"/>
                <w:sz w:val="18"/>
                <w:szCs w:val="18"/>
                <w:color w:val="auto"/>
              </w:rPr>
            </w:pPr>
            <w:hyperlink w:anchor="page40">
              <w:r>
                <w:rPr>
                  <w:rFonts w:ascii="Arial" w:cs="Arial" w:eastAsia="Arial" w:hAnsi="Arial"/>
                  <w:sz w:val="18"/>
                  <w:szCs w:val="18"/>
                  <w:color w:val="auto"/>
                </w:rPr>
                <w:t>40</w:t>
              </w:r>
            </w:hyperlink>
          </w:p>
        </w:tc>
        <w:tc>
          <w:tcPr>
            <w:tcW w:w="0" w:type="dxa"/>
            <w:vAlign w:val="bottom"/>
          </w:tcPr>
          <w:p>
            <w:pPr>
              <w:spacing w:after="0"/>
              <w:rPr>
                <w:sz w:val="1"/>
                <w:szCs w:val="1"/>
                <w:color w:val="auto"/>
              </w:rPr>
            </w:pPr>
          </w:p>
        </w:tc>
      </w:tr>
      <w:tr>
        <w:trPr>
          <w:trHeight w:val="540"/>
        </w:trPr>
        <w:tc>
          <w:tcPr>
            <w:tcW w:w="700" w:type="dxa"/>
            <w:vAlign w:val="bottom"/>
            <w:gridSpan w:val="3"/>
          </w:tcPr>
          <w:p>
            <w:pPr>
              <w:spacing w:after="0"/>
              <w:rPr>
                <w:sz w:val="20"/>
                <w:szCs w:val="20"/>
                <w:color w:val="auto"/>
              </w:rPr>
            </w:pPr>
            <w:r>
              <w:rPr>
                <w:rFonts w:ascii="Arial" w:cs="Arial" w:eastAsia="Arial" w:hAnsi="Arial"/>
                <w:sz w:val="18"/>
                <w:szCs w:val="18"/>
                <w:color w:val="auto"/>
              </w:rPr>
              <w:t>Item 6.</w:t>
            </w:r>
          </w:p>
        </w:tc>
        <w:tc>
          <w:tcPr>
            <w:tcW w:w="9320" w:type="dxa"/>
            <w:vAlign w:val="bottom"/>
            <w:gridSpan w:val="4"/>
          </w:tcPr>
          <w:p>
            <w:pPr>
              <w:ind w:left="1240"/>
              <w:spacing w:after="0"/>
              <w:rPr>
                <w:rFonts w:ascii="Arial" w:cs="Arial" w:eastAsia="Arial" w:hAnsi="Arial"/>
                <w:sz w:val="18"/>
                <w:szCs w:val="18"/>
                <w:color w:val="auto"/>
              </w:rPr>
            </w:pPr>
            <w:hyperlink w:anchor="page41">
              <w:r>
                <w:rPr>
                  <w:rFonts w:ascii="Arial" w:cs="Arial" w:eastAsia="Arial" w:hAnsi="Arial"/>
                  <w:sz w:val="18"/>
                  <w:szCs w:val="18"/>
                  <w:color w:val="auto"/>
                </w:rPr>
                <w:t>Exhibits</w:t>
              </w:r>
            </w:hyperlink>
          </w:p>
        </w:tc>
        <w:tc>
          <w:tcPr>
            <w:tcW w:w="1360" w:type="dxa"/>
            <w:vAlign w:val="bottom"/>
          </w:tcPr>
          <w:p>
            <w:pPr>
              <w:jc w:val="right"/>
              <w:spacing w:after="0"/>
              <w:rPr>
                <w:rFonts w:ascii="Arial" w:cs="Arial" w:eastAsia="Arial" w:hAnsi="Arial"/>
                <w:sz w:val="18"/>
                <w:szCs w:val="18"/>
                <w:color w:val="auto"/>
              </w:rPr>
            </w:pPr>
            <w:hyperlink w:anchor="page41">
              <w:r>
                <w:rPr>
                  <w:rFonts w:ascii="Arial" w:cs="Arial" w:eastAsia="Arial" w:hAnsi="Arial"/>
                  <w:sz w:val="18"/>
                  <w:szCs w:val="18"/>
                  <w:color w:val="auto"/>
                </w:rPr>
                <w:t>41</w:t>
              </w:r>
            </w:hyperlink>
          </w:p>
        </w:tc>
        <w:tc>
          <w:tcPr>
            <w:tcW w:w="0" w:type="dxa"/>
            <w:vAlign w:val="bottom"/>
          </w:tcPr>
          <w:p>
            <w:pPr>
              <w:spacing w:after="0"/>
              <w:rPr>
                <w:sz w:val="1"/>
                <w:szCs w:val="1"/>
                <w:color w:val="auto"/>
              </w:rPr>
            </w:pPr>
          </w:p>
        </w:tc>
      </w:tr>
      <w:tr>
        <w:trPr>
          <w:trHeight w:val="540"/>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320" w:type="dxa"/>
            <w:vAlign w:val="bottom"/>
            <w:gridSpan w:val="4"/>
          </w:tcPr>
          <w:p>
            <w:pPr>
              <w:ind w:left="1240"/>
              <w:spacing w:after="0"/>
              <w:rPr>
                <w:rFonts w:ascii="Arial" w:cs="Arial" w:eastAsia="Arial" w:hAnsi="Arial"/>
                <w:sz w:val="18"/>
                <w:szCs w:val="18"/>
                <w:color w:val="auto"/>
              </w:rPr>
            </w:pPr>
            <w:hyperlink w:anchor="page42">
              <w:r>
                <w:rPr>
                  <w:rFonts w:ascii="Arial" w:cs="Arial" w:eastAsia="Arial" w:hAnsi="Arial"/>
                  <w:sz w:val="18"/>
                  <w:szCs w:val="18"/>
                  <w:color w:val="auto"/>
                </w:rPr>
                <w:t>Signature</w:t>
              </w:r>
            </w:hyperlink>
          </w:p>
        </w:tc>
        <w:tc>
          <w:tcPr>
            <w:tcW w:w="1360" w:type="dxa"/>
            <w:vAlign w:val="bottom"/>
          </w:tcPr>
          <w:p>
            <w:pPr>
              <w:jc w:val="right"/>
              <w:spacing w:after="0"/>
              <w:rPr>
                <w:rFonts w:ascii="Arial" w:cs="Arial" w:eastAsia="Arial" w:hAnsi="Arial"/>
                <w:sz w:val="18"/>
                <w:szCs w:val="18"/>
                <w:color w:val="auto"/>
              </w:rPr>
            </w:pPr>
            <w:hyperlink w:anchor="page42">
              <w:r>
                <w:rPr>
                  <w:rFonts w:ascii="Arial" w:cs="Arial" w:eastAsia="Arial" w:hAnsi="Arial"/>
                  <w:sz w:val="18"/>
                  <w:szCs w:val="18"/>
                  <w:color w:val="auto"/>
                </w:rPr>
                <w:t>42</w:t>
              </w:r>
            </w:hyperlink>
          </w:p>
        </w:tc>
        <w:tc>
          <w:tcPr>
            <w:tcW w:w="0" w:type="dxa"/>
            <w:vAlign w:val="bottom"/>
          </w:tcPr>
          <w:p>
            <w:pPr>
              <w:spacing w:after="0"/>
              <w:rPr>
                <w:sz w:val="1"/>
                <w:szCs w:val="1"/>
                <w:color w:val="auto"/>
              </w:rPr>
            </w:pPr>
          </w:p>
        </w:tc>
      </w:tr>
      <w:tr>
        <w:trPr>
          <w:trHeight w:val="702"/>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320" w:type="dxa"/>
            <w:vAlign w:val="bottom"/>
            <w:gridSpan w:val="4"/>
          </w:tcPr>
          <w:p>
            <w:pPr>
              <w:ind w:left="4920"/>
              <w:spacing w:after="0"/>
              <w:rPr>
                <w:sz w:val="20"/>
                <w:szCs w:val="20"/>
                <w:color w:val="auto"/>
              </w:rPr>
            </w:pPr>
            <w:r>
              <w:rPr>
                <w:rFonts w:ascii="Arial" w:cs="Arial" w:eastAsia="Arial" w:hAnsi="Arial"/>
                <w:sz w:val="18"/>
                <w:szCs w:val="18"/>
                <w:color w:val="auto"/>
              </w:rPr>
              <w:t>2</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80" w:top="553"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u w:val="single" w:color="auto"/>
          <w:color w:val="auto"/>
        </w:rPr>
        <w:t>Item1.</w:t>
      </w:r>
      <w:r>
        <w:rPr>
          <w:sz w:val="20"/>
          <w:szCs w:val="20"/>
          <w:color w:val="auto"/>
        </w:rPr>
        <w:tab/>
      </w:r>
      <w:r>
        <w:rPr>
          <w:rFonts w:ascii="Arial" w:cs="Arial" w:eastAsia="Arial" w:hAnsi="Arial"/>
          <w:sz w:val="16"/>
          <w:szCs w:val="16"/>
          <w:b w:val="1"/>
          <w:bCs w:val="1"/>
          <w:u w:val="single" w:color="auto"/>
          <w:color w:val="auto"/>
        </w:rPr>
        <w:t>Financial Statements (Unaudited)</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ICU MEDICAL,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5"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(In thousands, except par value data)</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5"/>
              </w:rPr>
              <w:t>March 31,</w:t>
            </w:r>
          </w:p>
        </w:tc>
        <w:tc>
          <w:tcPr>
            <w:tcW w:w="200" w:type="dxa"/>
            <w:vAlign w:val="bottom"/>
          </w:tcPr>
          <w:p>
            <w:pPr>
              <w:spacing w:after="0"/>
              <w:rPr>
                <w:sz w:val="14"/>
                <w:szCs w:val="14"/>
                <w:color w:val="auto"/>
              </w:rPr>
            </w:pPr>
          </w:p>
        </w:tc>
        <w:tc>
          <w:tcPr>
            <w:tcW w:w="1260" w:type="dxa"/>
            <w:vAlign w:val="bottom"/>
          </w:tcPr>
          <w:p>
            <w:pPr>
              <w:jc w:val="right"/>
              <w:ind w:right="248"/>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2"/>
        </w:trPr>
        <w:tc>
          <w:tcPr>
            <w:tcW w:w="83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68"/>
              <w:spacing w:after="0"/>
              <w:rPr>
                <w:sz w:val="20"/>
                <w:szCs w:val="20"/>
                <w:color w:val="auto"/>
              </w:rPr>
            </w:pPr>
            <w:r>
              <w:rPr>
                <w:rFonts w:ascii="Arial" w:cs="Arial" w:eastAsia="Arial" w:hAnsi="Arial"/>
                <w:sz w:val="14"/>
                <w:szCs w:val="14"/>
                <w:b w:val="1"/>
                <w:bCs w:val="1"/>
                <w:color w:val="auto"/>
                <w:w w:val="96"/>
              </w:rPr>
              <w:t>2018</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8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(Unaudited)</w:t>
            </w:r>
          </w:p>
        </w:tc>
        <w:tc>
          <w:tcPr>
            <w:tcW w:w="200" w:type="dxa"/>
            <w:vAlign w:val="bottom"/>
          </w:tcPr>
          <w:p>
            <w:pPr>
              <w:spacing w:after="0"/>
              <w:rPr>
                <w:sz w:val="21"/>
                <w:szCs w:val="21"/>
                <w:color w:val="auto"/>
              </w:rPr>
            </w:pPr>
          </w:p>
        </w:tc>
        <w:tc>
          <w:tcPr>
            <w:tcW w:w="1260" w:type="dxa"/>
            <w:vAlign w:val="bottom"/>
          </w:tcPr>
          <w:p>
            <w:pPr>
              <w:jc w:val="right"/>
              <w:ind w:right="568"/>
              <w:spacing w:after="0"/>
              <w:rPr>
                <w:sz w:val="20"/>
                <w:szCs w:val="20"/>
                <w:color w:val="auto"/>
              </w:rPr>
            </w:pPr>
            <w:r>
              <w:rPr>
                <w:rFonts w:ascii="Arial" w:cs="Arial" w:eastAsia="Arial" w:hAnsi="Arial"/>
                <w:sz w:val="14"/>
                <w:szCs w:val="14"/>
                <w:b w:val="1"/>
                <w:bCs w:val="1"/>
                <w:color w:val="auto"/>
              </w:rPr>
              <w:t>(1)</w:t>
            </w: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3920"/>
              <w:spacing w:after="0"/>
              <w:rPr>
                <w:sz w:val="20"/>
                <w:szCs w:val="20"/>
                <w:color w:val="auto"/>
              </w:rPr>
            </w:pPr>
            <w:r>
              <w:rPr>
                <w:rFonts w:ascii="Arial" w:cs="Arial" w:eastAsia="Arial" w:hAnsi="Arial"/>
                <w:sz w:val="14"/>
                <w:szCs w:val="14"/>
                <w:color w:val="auto"/>
              </w:rPr>
              <w:t>ASSETS</w:t>
            </w: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CURRENT ASSETS:</w:t>
            </w:r>
          </w:p>
        </w:tc>
        <w:tc>
          <w:tcPr>
            <w:tcW w:w="2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Cash and cash equivalents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254,536</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290,072</w:t>
            </w: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Short-term investment securities</w:t>
            </w:r>
          </w:p>
        </w:tc>
        <w:tc>
          <w:tcPr>
            <w:tcW w:w="2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14,180</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10,061</w:t>
            </w:r>
          </w:p>
        </w:tc>
        <w:tc>
          <w:tcPr>
            <w:tcW w:w="0" w:type="dxa"/>
            <w:vAlign w:val="bottom"/>
          </w:tcPr>
          <w:p>
            <w:pPr>
              <w:spacing w:after="0"/>
              <w:rPr>
                <w:sz w:val="1"/>
                <w:szCs w:val="1"/>
                <w:color w:val="auto"/>
              </w:rPr>
            </w:pPr>
          </w:p>
        </w:tc>
      </w:tr>
      <w:tr>
        <w:trPr>
          <w:trHeight w:val="256"/>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TOTAL CASH, CASH EQUIVALENTS AND INVESTMENT SECURITIES</w:t>
            </w:r>
          </w:p>
        </w:tc>
        <w:tc>
          <w:tcPr>
            <w:tcW w:w="24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268,716</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300,133</w:t>
            </w:r>
          </w:p>
        </w:tc>
        <w:tc>
          <w:tcPr>
            <w:tcW w:w="0" w:type="dxa"/>
            <w:vAlign w:val="bottom"/>
          </w:tcPr>
          <w:p>
            <w:pPr>
              <w:spacing w:after="0"/>
              <w:rPr>
                <w:sz w:val="1"/>
                <w:szCs w:val="1"/>
                <w:color w:val="auto"/>
              </w:rPr>
            </w:pPr>
          </w:p>
        </w:tc>
      </w:tr>
      <w:tr>
        <w:trPr>
          <w:trHeight w:val="264"/>
        </w:trPr>
        <w:tc>
          <w:tcPr>
            <w:tcW w:w="8340" w:type="dxa"/>
            <w:vAlign w:val="bottom"/>
          </w:tcPr>
          <w:p>
            <w:pPr>
              <w:ind w:left="180"/>
              <w:spacing w:after="0"/>
              <w:rPr>
                <w:sz w:val="20"/>
                <w:szCs w:val="20"/>
                <w:color w:val="auto"/>
              </w:rPr>
            </w:pPr>
            <w:r>
              <w:rPr>
                <w:rFonts w:ascii="Arial" w:cs="Arial" w:eastAsia="Arial" w:hAnsi="Arial"/>
                <w:sz w:val="14"/>
                <w:szCs w:val="14"/>
                <w:color w:val="auto"/>
              </w:rPr>
              <w:t>Accounts receivable, net of allowance for doubtful accounts of $3,839 at March 31, 2018 and $3,311 at December 31, 2017</w:t>
            </w:r>
          </w:p>
        </w:tc>
        <w:tc>
          <w:tcPr>
            <w:tcW w:w="240" w:type="dxa"/>
            <w:vAlign w:val="bottom"/>
          </w:tcPr>
          <w:p>
            <w:pPr>
              <w:spacing w:after="0"/>
              <w:rPr>
                <w:sz w:val="22"/>
                <w:szCs w:val="22"/>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123,477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112,696</w:t>
            </w: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Inventories</w:t>
            </w: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295,548</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288,657</w:t>
            </w:r>
          </w:p>
        </w:tc>
        <w:tc>
          <w:tcPr>
            <w:tcW w:w="0" w:type="dxa"/>
            <w:vAlign w:val="bottom"/>
          </w:tcPr>
          <w:p>
            <w:pPr>
              <w:spacing w:after="0"/>
              <w:rPr>
                <w:sz w:val="1"/>
                <w:szCs w:val="1"/>
                <w:color w:val="auto"/>
              </w:rPr>
            </w:pPr>
          </w:p>
        </w:tc>
      </w:tr>
      <w:tr>
        <w:trPr>
          <w:trHeight w:val="264"/>
        </w:trPr>
        <w:tc>
          <w:tcPr>
            <w:tcW w:w="8340" w:type="dxa"/>
            <w:vAlign w:val="bottom"/>
          </w:tcPr>
          <w:p>
            <w:pPr>
              <w:ind w:left="180"/>
              <w:spacing w:after="0"/>
              <w:rPr>
                <w:sz w:val="20"/>
                <w:szCs w:val="20"/>
                <w:color w:val="auto"/>
              </w:rPr>
            </w:pPr>
            <w:r>
              <w:rPr>
                <w:rFonts w:ascii="Arial" w:cs="Arial" w:eastAsia="Arial" w:hAnsi="Arial"/>
                <w:sz w:val="14"/>
                <w:szCs w:val="14"/>
                <w:color w:val="auto"/>
              </w:rPr>
              <w:t>Prepaid income tax</w:t>
            </w:r>
          </w:p>
        </w:tc>
        <w:tc>
          <w:tcPr>
            <w:tcW w:w="240" w:type="dxa"/>
            <w:vAlign w:val="bottom"/>
          </w:tcPr>
          <w:p>
            <w:pPr>
              <w:spacing w:after="0"/>
              <w:rPr>
                <w:sz w:val="22"/>
                <w:szCs w:val="22"/>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16,111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10,594</w:t>
            </w: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Prepaid expenses and other current assets</w:t>
            </w: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32,406</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41,286</w:t>
            </w:r>
          </w:p>
        </w:tc>
        <w:tc>
          <w:tcPr>
            <w:tcW w:w="0" w:type="dxa"/>
            <w:vAlign w:val="bottom"/>
          </w:tcPr>
          <w:p>
            <w:pPr>
              <w:spacing w:after="0"/>
              <w:rPr>
                <w:sz w:val="1"/>
                <w:szCs w:val="1"/>
                <w:color w:val="auto"/>
              </w:rPr>
            </w:pPr>
          </w:p>
        </w:tc>
      </w:tr>
      <w:tr>
        <w:trPr>
          <w:trHeight w:val="264"/>
        </w:trPr>
        <w:tc>
          <w:tcPr>
            <w:tcW w:w="8340" w:type="dxa"/>
            <w:vAlign w:val="bottom"/>
          </w:tcPr>
          <w:p>
            <w:pPr>
              <w:ind w:left="180"/>
              <w:spacing w:after="0"/>
              <w:rPr>
                <w:sz w:val="20"/>
                <w:szCs w:val="20"/>
                <w:color w:val="auto"/>
              </w:rPr>
            </w:pPr>
            <w:r>
              <w:rPr>
                <w:rFonts w:ascii="Arial" w:cs="Arial" w:eastAsia="Arial" w:hAnsi="Arial"/>
                <w:sz w:val="14"/>
                <w:szCs w:val="14"/>
                <w:color w:val="auto"/>
              </w:rPr>
              <w:t>Related-party receivable</w:t>
            </w:r>
          </w:p>
        </w:tc>
        <w:tc>
          <w:tcPr>
            <w:tcW w:w="240" w:type="dxa"/>
            <w:vAlign w:val="bottom"/>
          </w:tcPr>
          <w:p>
            <w:pPr>
              <w:spacing w:after="0"/>
              <w:rPr>
                <w:sz w:val="22"/>
                <w:szCs w:val="22"/>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132,272</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98,807</w:t>
            </w:r>
          </w:p>
        </w:tc>
        <w:tc>
          <w:tcPr>
            <w:tcW w:w="0" w:type="dxa"/>
            <w:vAlign w:val="bottom"/>
          </w:tcPr>
          <w:p>
            <w:pPr>
              <w:spacing w:after="0"/>
              <w:rPr>
                <w:sz w:val="1"/>
                <w:szCs w:val="1"/>
                <w:color w:val="auto"/>
              </w:rPr>
            </w:pPr>
          </w:p>
        </w:tc>
      </w:tr>
      <w:tr>
        <w:trPr>
          <w:trHeight w:val="270"/>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Assets held-for-sale</w:t>
            </w:r>
          </w:p>
        </w:tc>
        <w:tc>
          <w:tcPr>
            <w:tcW w:w="24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12,489</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TOTAL CURRENT ASSETS</w:t>
            </w:r>
          </w:p>
        </w:tc>
        <w:tc>
          <w:tcPr>
            <w:tcW w:w="240" w:type="dxa"/>
            <w:vAlign w:val="bottom"/>
            <w:tcBorders>
              <w:top w:val="single" w:sz="8" w:color="auto"/>
              <w:bottom w:val="single" w:sz="8" w:color="auto"/>
            </w:tcBorders>
          </w:tcPr>
          <w:p>
            <w:pPr>
              <w:spacing w:after="0"/>
              <w:rPr>
                <w:sz w:val="21"/>
                <w:szCs w:val="21"/>
                <w:color w:val="auto"/>
              </w:rPr>
            </w:pPr>
          </w:p>
        </w:tc>
        <w:tc>
          <w:tcPr>
            <w:tcW w:w="12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868,530</w:t>
            </w:r>
          </w:p>
        </w:tc>
        <w:tc>
          <w:tcPr>
            <w:tcW w:w="12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2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864,662</w:t>
            </w:r>
          </w:p>
        </w:tc>
        <w:tc>
          <w:tcPr>
            <w:tcW w:w="0" w:type="dxa"/>
            <w:vAlign w:val="bottom"/>
          </w:tcPr>
          <w:p>
            <w:pPr>
              <w:spacing w:after="0"/>
              <w:rPr>
                <w:sz w:val="1"/>
                <w:szCs w:val="1"/>
                <w:color w:val="auto"/>
              </w:rPr>
            </w:pPr>
          </w:p>
        </w:tc>
      </w:tr>
      <w:tr>
        <w:trPr>
          <w:trHeight w:val="216"/>
        </w:trPr>
        <w:tc>
          <w:tcPr>
            <w:tcW w:w="8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PROPERTY AND EQUIPMENT, net</w:t>
            </w:r>
          </w:p>
        </w:tc>
        <w:tc>
          <w:tcPr>
            <w:tcW w:w="240" w:type="dxa"/>
            <w:vAlign w:val="bottom"/>
          </w:tcPr>
          <w:p>
            <w:pPr>
              <w:spacing w:after="0"/>
              <w:rPr>
                <w:sz w:val="22"/>
                <w:szCs w:val="22"/>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407,582</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398,684</w:t>
            </w: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LONG-TERM INVESTMENT SECURITIES</w:t>
            </w: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9,896</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14,579</w:t>
            </w:r>
          </w:p>
        </w:tc>
        <w:tc>
          <w:tcPr>
            <w:tcW w:w="0" w:type="dxa"/>
            <w:vAlign w:val="bottom"/>
          </w:tcPr>
          <w:p>
            <w:pPr>
              <w:spacing w:after="0"/>
              <w:rPr>
                <w:sz w:val="1"/>
                <w:szCs w:val="1"/>
                <w:color w:val="auto"/>
              </w:rPr>
            </w:pP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GOODWILL</w:t>
            </w:r>
          </w:p>
        </w:tc>
        <w:tc>
          <w:tcPr>
            <w:tcW w:w="240" w:type="dxa"/>
            <w:vAlign w:val="bottom"/>
          </w:tcPr>
          <w:p>
            <w:pPr>
              <w:spacing w:after="0"/>
              <w:rPr>
                <w:sz w:val="22"/>
                <w:szCs w:val="22"/>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12,314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12,357</w:t>
            </w: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INTANGIBLE ASSETS, net</w:t>
            </w: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136,645</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143,753</w:t>
            </w:r>
          </w:p>
        </w:tc>
        <w:tc>
          <w:tcPr>
            <w:tcW w:w="0" w:type="dxa"/>
            <w:vAlign w:val="bottom"/>
          </w:tcPr>
          <w:p>
            <w:pPr>
              <w:spacing w:after="0"/>
              <w:rPr>
                <w:sz w:val="1"/>
                <w:szCs w:val="1"/>
                <w:color w:val="auto"/>
              </w:rPr>
            </w:pP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DEFERRED INCOME TAXES</w:t>
            </w:r>
          </w:p>
        </w:tc>
        <w:tc>
          <w:tcPr>
            <w:tcW w:w="240" w:type="dxa"/>
            <w:vAlign w:val="bottom"/>
          </w:tcPr>
          <w:p>
            <w:pPr>
              <w:spacing w:after="0"/>
              <w:rPr>
                <w:sz w:val="22"/>
                <w:szCs w:val="22"/>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20,073</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24,775</w:t>
            </w:r>
          </w:p>
        </w:tc>
        <w:tc>
          <w:tcPr>
            <w:tcW w:w="0" w:type="dxa"/>
            <w:vAlign w:val="bottom"/>
          </w:tcPr>
          <w:p>
            <w:pPr>
              <w:spacing w:after="0"/>
              <w:rPr>
                <w:sz w:val="1"/>
                <w:szCs w:val="1"/>
                <w:color w:val="auto"/>
              </w:rPr>
            </w:pP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ASSETS</w:t>
            </w:r>
          </w:p>
        </w:tc>
        <w:tc>
          <w:tcPr>
            <w:tcW w:w="24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37,702</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38,141</w:t>
            </w:r>
          </w:p>
        </w:tc>
        <w:tc>
          <w:tcPr>
            <w:tcW w:w="0" w:type="dxa"/>
            <w:vAlign w:val="bottom"/>
          </w:tcPr>
          <w:p>
            <w:pPr>
              <w:spacing w:after="0"/>
              <w:rPr>
                <w:sz w:val="1"/>
                <w:szCs w:val="1"/>
                <w:color w:val="auto"/>
              </w:rPr>
            </w:pPr>
          </w:p>
        </w:tc>
      </w:tr>
      <w:tr>
        <w:trPr>
          <w:trHeight w:val="283"/>
        </w:trPr>
        <w:tc>
          <w:tcPr>
            <w:tcW w:w="83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TOTAL ASSETS</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1,492,742</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1,496,951</w:t>
            </w:r>
          </w:p>
        </w:tc>
        <w:tc>
          <w:tcPr>
            <w:tcW w:w="0" w:type="dxa"/>
            <w:vAlign w:val="bottom"/>
          </w:tcPr>
          <w:p>
            <w:pPr>
              <w:spacing w:after="0"/>
              <w:rPr>
                <w:sz w:val="1"/>
                <w:szCs w:val="1"/>
                <w:color w:val="auto"/>
              </w:rPr>
            </w:pPr>
          </w:p>
        </w:tc>
      </w:tr>
      <w:tr>
        <w:trPr>
          <w:trHeight w:val="251"/>
        </w:trPr>
        <w:tc>
          <w:tcPr>
            <w:tcW w:w="83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8340" w:type="dxa"/>
            <w:vAlign w:val="bottom"/>
          </w:tcPr>
          <w:p>
            <w:pPr>
              <w:ind w:left="2700"/>
              <w:spacing w:after="0"/>
              <w:rPr>
                <w:sz w:val="20"/>
                <w:szCs w:val="20"/>
                <w:color w:val="auto"/>
              </w:rPr>
            </w:pPr>
            <w:r>
              <w:rPr>
                <w:rFonts w:ascii="Arial" w:cs="Arial" w:eastAsia="Arial" w:hAnsi="Arial"/>
                <w:sz w:val="14"/>
                <w:szCs w:val="14"/>
                <w:color w:val="auto"/>
              </w:rPr>
              <w:t>LIABILITIES AND STOCKHOLDERS’ EQUITY</w:t>
            </w:r>
          </w:p>
        </w:tc>
        <w:tc>
          <w:tcPr>
            <w:tcW w:w="2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CURRENT LIABILITIES:</w:t>
            </w: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340" w:type="dxa"/>
            <w:vAlign w:val="bottom"/>
          </w:tcPr>
          <w:p>
            <w:pPr>
              <w:ind w:left="180"/>
              <w:spacing w:after="0"/>
              <w:rPr>
                <w:sz w:val="20"/>
                <w:szCs w:val="20"/>
                <w:color w:val="auto"/>
              </w:rPr>
            </w:pPr>
            <w:r>
              <w:rPr>
                <w:rFonts w:ascii="Arial" w:cs="Arial" w:eastAsia="Arial" w:hAnsi="Arial"/>
                <w:sz w:val="14"/>
                <w:szCs w:val="14"/>
                <w:color w:val="auto"/>
              </w:rPr>
              <w:t>Accounts payable</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82,195</w:t>
            </w:r>
          </w:p>
        </w:tc>
        <w:tc>
          <w:tcPr>
            <w:tcW w:w="12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78,228</w:t>
            </w:r>
          </w:p>
        </w:tc>
        <w:tc>
          <w:tcPr>
            <w:tcW w:w="0" w:type="dxa"/>
            <w:vAlign w:val="bottom"/>
          </w:tcPr>
          <w:p>
            <w:pPr>
              <w:spacing w:after="0"/>
              <w:rPr>
                <w:sz w:val="1"/>
                <w:szCs w:val="1"/>
                <w:color w:val="auto"/>
              </w:rPr>
            </w:pPr>
          </w:p>
        </w:tc>
      </w:tr>
      <w:tr>
        <w:trPr>
          <w:trHeight w:val="270"/>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Accrued liabilities</w:t>
            </w:r>
          </w:p>
        </w:tc>
        <w:tc>
          <w:tcPr>
            <w:tcW w:w="24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116,448</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132,064</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TOTAL CURRENT LIABILITIES</w:t>
            </w:r>
          </w:p>
        </w:tc>
        <w:tc>
          <w:tcPr>
            <w:tcW w:w="2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198,643</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210,292</w:t>
            </w:r>
          </w:p>
        </w:tc>
        <w:tc>
          <w:tcPr>
            <w:tcW w:w="0" w:type="dxa"/>
            <w:vAlign w:val="bottom"/>
          </w:tcPr>
          <w:p>
            <w:pPr>
              <w:spacing w:after="0"/>
              <w:rPr>
                <w:sz w:val="1"/>
                <w:szCs w:val="1"/>
                <w:color w:val="auto"/>
              </w:rPr>
            </w:pPr>
          </w:p>
        </w:tc>
      </w:tr>
      <w:tr>
        <w:trPr>
          <w:trHeight w:val="229"/>
        </w:trPr>
        <w:tc>
          <w:tcPr>
            <w:tcW w:w="83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CONTINGENT EARN-OUT LIABILITY</w:t>
            </w:r>
          </w:p>
        </w:tc>
        <w:tc>
          <w:tcPr>
            <w:tcW w:w="240" w:type="dxa"/>
            <w:vAlign w:val="bottom"/>
          </w:tcPr>
          <w:p>
            <w:pPr>
              <w:spacing w:after="0"/>
              <w:rPr>
                <w:sz w:val="22"/>
                <w:szCs w:val="22"/>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23,000</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27,000</w:t>
            </w: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LONG-TERM LIABILITIES</w:t>
            </w: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35,074</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55,326</w:t>
            </w:r>
          </w:p>
        </w:tc>
        <w:tc>
          <w:tcPr>
            <w:tcW w:w="0" w:type="dxa"/>
            <w:vAlign w:val="bottom"/>
          </w:tcPr>
          <w:p>
            <w:pPr>
              <w:spacing w:after="0"/>
              <w:rPr>
                <w:sz w:val="1"/>
                <w:szCs w:val="1"/>
                <w:color w:val="auto"/>
              </w:rPr>
            </w:pP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DEFERRED INCOME TAXES</w:t>
            </w:r>
          </w:p>
        </w:tc>
        <w:tc>
          <w:tcPr>
            <w:tcW w:w="240" w:type="dxa"/>
            <w:vAlign w:val="bottom"/>
          </w:tcPr>
          <w:p>
            <w:pPr>
              <w:spacing w:after="0"/>
              <w:rPr>
                <w:sz w:val="22"/>
                <w:szCs w:val="22"/>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1,482</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1,487</w:t>
            </w: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TAX LIABILITY</w:t>
            </w: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4,592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4,592</w:t>
            </w:r>
          </w:p>
        </w:tc>
        <w:tc>
          <w:tcPr>
            <w:tcW w:w="0" w:type="dxa"/>
            <w:vAlign w:val="bottom"/>
          </w:tcPr>
          <w:p>
            <w:pPr>
              <w:spacing w:after="0"/>
              <w:rPr>
                <w:sz w:val="1"/>
                <w:szCs w:val="1"/>
                <w:color w:val="auto"/>
              </w:rPr>
            </w:pP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COMMITMENTS AND CONTINGENCIES</w:t>
            </w:r>
          </w:p>
        </w:tc>
        <w:tc>
          <w:tcPr>
            <w:tcW w:w="240" w:type="dxa"/>
            <w:vAlign w:val="bottom"/>
          </w:tcPr>
          <w:p>
            <w:pPr>
              <w:spacing w:after="0"/>
              <w:rPr>
                <w:sz w:val="22"/>
                <w:szCs w:val="22"/>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STOCKHOLDERS’ EQUITY:</w:t>
            </w: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340" w:type="dxa"/>
            <w:vAlign w:val="bottom"/>
          </w:tcPr>
          <w:p>
            <w:pPr>
              <w:ind w:left="180"/>
              <w:spacing w:after="0"/>
              <w:rPr>
                <w:sz w:val="20"/>
                <w:szCs w:val="20"/>
                <w:color w:val="auto"/>
              </w:rPr>
            </w:pPr>
            <w:r>
              <w:rPr>
                <w:rFonts w:ascii="Arial" w:cs="Arial" w:eastAsia="Arial" w:hAnsi="Arial"/>
                <w:sz w:val="14"/>
                <w:szCs w:val="14"/>
                <w:color w:val="auto"/>
              </w:rPr>
              <w:t>Convertible preferred stock, $1.00 par value Authorized—500 shares; Issued and outstanding— none</w:t>
            </w:r>
          </w:p>
        </w:tc>
        <w:tc>
          <w:tcPr>
            <w:tcW w:w="240" w:type="dxa"/>
            <w:vAlign w:val="bottom"/>
          </w:tcPr>
          <w:p>
            <w:pPr>
              <w:spacing w:after="0"/>
              <w:rPr>
                <w:sz w:val="22"/>
                <w:szCs w:val="22"/>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3"/>
              </w:rPr>
              <w:t>Common stock, $0.10 par value — Authorized, 80,000 shares; Issued 20,317 shares at March 31, 2018 and 20,210 shares at December 31,</w:t>
            </w:r>
          </w:p>
        </w:tc>
        <w:tc>
          <w:tcPr>
            <w:tcW w:w="24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2017; Outstanding, 20,304 shares at March 31, 2018 and 20,210 shares at December 31, 2017</w:t>
            </w:r>
          </w:p>
        </w:tc>
        <w:tc>
          <w:tcPr>
            <w:tcW w:w="24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2,032</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2,021</w:t>
            </w:r>
          </w:p>
        </w:tc>
        <w:tc>
          <w:tcPr>
            <w:tcW w:w="0" w:type="dxa"/>
            <w:vAlign w:val="bottom"/>
          </w:tcPr>
          <w:p>
            <w:pPr>
              <w:spacing w:after="0"/>
              <w:rPr>
                <w:sz w:val="1"/>
                <w:szCs w:val="1"/>
                <w:color w:val="auto"/>
              </w:rPr>
            </w:pPr>
          </w:p>
        </w:tc>
      </w:tr>
      <w:tr>
        <w:trPr>
          <w:trHeight w:val="264"/>
        </w:trPr>
        <w:tc>
          <w:tcPr>
            <w:tcW w:w="8340" w:type="dxa"/>
            <w:vAlign w:val="bottom"/>
          </w:tcPr>
          <w:p>
            <w:pPr>
              <w:ind w:left="180"/>
              <w:spacing w:after="0"/>
              <w:rPr>
                <w:sz w:val="20"/>
                <w:szCs w:val="20"/>
                <w:color w:val="auto"/>
              </w:rPr>
            </w:pPr>
            <w:r>
              <w:rPr>
                <w:rFonts w:ascii="Arial" w:cs="Arial" w:eastAsia="Arial" w:hAnsi="Arial"/>
                <w:sz w:val="14"/>
                <w:szCs w:val="14"/>
                <w:color w:val="auto"/>
              </w:rPr>
              <w:t>Additional paid-in capital</w:t>
            </w:r>
          </w:p>
        </w:tc>
        <w:tc>
          <w:tcPr>
            <w:tcW w:w="240" w:type="dxa"/>
            <w:vAlign w:val="bottom"/>
          </w:tcPr>
          <w:p>
            <w:pPr>
              <w:spacing w:after="0"/>
              <w:rPr>
                <w:sz w:val="22"/>
                <w:szCs w:val="22"/>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632,012</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625,568</w:t>
            </w: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Treasury stock, at cost</w:t>
            </w: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(3,176)</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8340" w:type="dxa"/>
            <w:vAlign w:val="bottom"/>
          </w:tcPr>
          <w:p>
            <w:pPr>
              <w:ind w:left="180"/>
              <w:spacing w:after="0"/>
              <w:rPr>
                <w:sz w:val="20"/>
                <w:szCs w:val="20"/>
                <w:color w:val="auto"/>
              </w:rPr>
            </w:pPr>
            <w:r>
              <w:rPr>
                <w:rFonts w:ascii="Arial" w:cs="Arial" w:eastAsia="Arial" w:hAnsi="Arial"/>
                <w:sz w:val="14"/>
                <w:szCs w:val="14"/>
                <w:color w:val="auto"/>
              </w:rPr>
              <w:t>Retained earnings</w:t>
            </w:r>
          </w:p>
        </w:tc>
        <w:tc>
          <w:tcPr>
            <w:tcW w:w="240" w:type="dxa"/>
            <w:vAlign w:val="bottom"/>
          </w:tcPr>
          <w:p>
            <w:pPr>
              <w:spacing w:after="0"/>
              <w:rPr>
                <w:sz w:val="22"/>
                <w:szCs w:val="22"/>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596,829</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585,624</w:t>
            </w:r>
          </w:p>
        </w:tc>
        <w:tc>
          <w:tcPr>
            <w:tcW w:w="0" w:type="dxa"/>
            <w:vAlign w:val="bottom"/>
          </w:tcPr>
          <w:p>
            <w:pPr>
              <w:spacing w:after="0"/>
              <w:rPr>
                <w:sz w:val="1"/>
                <w:szCs w:val="1"/>
                <w:color w:val="auto"/>
              </w:rPr>
            </w:pPr>
          </w:p>
        </w:tc>
      </w:tr>
      <w:tr>
        <w:trPr>
          <w:trHeight w:val="270"/>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Accumulated other comprehensive income (loss)</w:t>
            </w:r>
          </w:p>
        </w:tc>
        <w:tc>
          <w:tcPr>
            <w:tcW w:w="24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2,254</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(14,959)</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TOTAL STOCKHOLDERS' EQUITY</w:t>
            </w:r>
          </w:p>
        </w:tc>
        <w:tc>
          <w:tcPr>
            <w:tcW w:w="2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1,229,951</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1,198,254</w:t>
            </w:r>
          </w:p>
        </w:tc>
        <w:tc>
          <w:tcPr>
            <w:tcW w:w="0" w:type="dxa"/>
            <w:vAlign w:val="bottom"/>
          </w:tcPr>
          <w:p>
            <w:pPr>
              <w:spacing w:after="0"/>
              <w:rPr>
                <w:sz w:val="1"/>
                <w:szCs w:val="1"/>
                <w:color w:val="auto"/>
              </w:rPr>
            </w:pPr>
          </w:p>
        </w:tc>
      </w:tr>
      <w:tr>
        <w:trPr>
          <w:trHeight w:val="243"/>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 LIABILITIES AND STOCKHOLDERS' EQUITY</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1,492,742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1,496,951</w:t>
            </w:r>
          </w:p>
        </w:tc>
        <w:tc>
          <w:tcPr>
            <w:tcW w:w="0" w:type="dxa"/>
            <w:vAlign w:val="bottom"/>
          </w:tcPr>
          <w:p>
            <w:pPr>
              <w:spacing w:after="0"/>
              <w:rPr>
                <w:sz w:val="1"/>
                <w:szCs w:val="1"/>
                <w:color w:val="auto"/>
              </w:rPr>
            </w:pPr>
          </w:p>
        </w:tc>
      </w:tr>
      <w:tr>
        <w:trPr>
          <w:trHeight w:val="20"/>
        </w:trPr>
        <w:tc>
          <w:tcPr>
            <w:tcW w:w="8340" w:type="dxa"/>
            <w:vAlign w:val="bottom"/>
            <w:vMerge w:val="restart"/>
          </w:tcPr>
          <w:p>
            <w:pPr>
              <w:spacing w:after="0"/>
              <w:rPr>
                <w:sz w:val="20"/>
                <w:szCs w:val="20"/>
                <w:color w:val="auto"/>
              </w:rPr>
            </w:pPr>
            <w:r>
              <w:rPr>
                <w:rFonts w:ascii="Arial" w:cs="Arial" w:eastAsia="Arial" w:hAnsi="Arial"/>
                <w:sz w:val="18"/>
                <w:szCs w:val="18"/>
                <w:color w:val="auto"/>
              </w:rPr>
              <w:t>______________________________________________________</w:t>
            </w: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3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4"/>
          <w:szCs w:val="14"/>
          <w:color w:val="auto"/>
        </w:rPr>
        <w:t>(1) December 31, 2017 balances were derived from audited consolidated financial statements.</w:t>
      </w:r>
    </w:p>
    <w:p>
      <w:pPr>
        <w:spacing w:after="0" w:line="97" w:lineRule="exact"/>
        <w:rPr>
          <w:sz w:val="20"/>
          <w:szCs w:val="20"/>
          <w:color w:val="auto"/>
        </w:rPr>
      </w:pPr>
    </w:p>
    <w:p>
      <w:pPr>
        <w:ind w:left="2880"/>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p>
      <w:pPr>
        <w:sectPr>
          <w:pgSz w:w="11900" w:h="16838" w:orient="portrait"/>
          <w:cols w:equalWidth="0" w:num="1">
            <w:col w:w="11420"/>
          </w:cols>
          <w:pgMar w:left="240" w:top="364" w:right="239" w:bottom="1440" w:gutter="0" w:footer="0" w:header="0"/>
        </w:sect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364" w:right="239" w:bottom="1440"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left="260" w:right="2520"/>
        <w:spacing w:after="0" w:line="266" w:lineRule="auto"/>
        <w:rPr>
          <w:sz w:val="20"/>
          <w:szCs w:val="20"/>
          <w:color w:val="auto"/>
        </w:rPr>
      </w:pPr>
      <w:r>
        <w:rPr>
          <w:rFonts w:ascii="Arial" w:cs="Arial" w:eastAsia="Arial" w:hAnsi="Arial"/>
          <w:sz w:val="18"/>
          <w:szCs w:val="18"/>
          <w:b w:val="1"/>
          <w:bCs w:val="1"/>
          <w:color w:val="auto"/>
        </w:rPr>
        <w:t xml:space="preserve">ICU MEDICAL, INC. AND SUBSIDIARIES CONDENSED CONSOLIDATED STATEMENTS OF OPERATIONS (Unaudited) </w:t>
      </w:r>
      <w:r>
        <w:rPr>
          <w:rFonts w:ascii="Arial" w:cs="Arial" w:eastAsia="Arial" w:hAnsi="Arial"/>
          <w:sz w:val="18"/>
          <w:szCs w:val="18"/>
          <w:color w:val="auto"/>
        </w:rPr>
        <w:t>(In thousands, except per share data)</w:t>
      </w:r>
    </w:p>
    <w:p>
      <w:pPr>
        <w:spacing w:after="0" w:line="338" w:lineRule="exact"/>
        <w:rPr>
          <w:sz w:val="20"/>
          <w:szCs w:val="20"/>
          <w:color w:val="auto"/>
        </w:rPr>
      </w:pPr>
    </w:p>
    <w:p>
      <w:pPr>
        <w:ind w:left="920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ind w:left="962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22860</wp:posOffset>
            </wp:positionV>
            <wp:extent cx="18097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Net sales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372,033</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231,788</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15,951</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TOTAL REVENUE</w:t>
            </w: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372,033</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247,739</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GOODS SOLD</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223,032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158,794</w:t>
            </w:r>
          </w:p>
        </w:tc>
      </w:tr>
      <w:tr>
        <w:trPr>
          <w:trHeight w:val="237"/>
        </w:trPr>
        <w:tc>
          <w:tcPr>
            <w:tcW w:w="8580" w:type="dxa"/>
            <w:vAlign w:val="bottom"/>
          </w:tcPr>
          <w:p>
            <w:pPr>
              <w:ind w:left="180"/>
              <w:spacing w:after="0"/>
              <w:rPr>
                <w:sz w:val="20"/>
                <w:szCs w:val="20"/>
                <w:color w:val="auto"/>
              </w:rPr>
            </w:pPr>
            <w:r>
              <w:rPr>
                <w:rFonts w:ascii="Arial" w:cs="Arial" w:eastAsia="Arial" w:hAnsi="Arial"/>
                <w:sz w:val="18"/>
                <w:szCs w:val="18"/>
                <w:color w:val="auto"/>
              </w:rPr>
              <w:t>GROSS PROFIT</w:t>
            </w: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149,001</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88,945</w:t>
            </w: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86,997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64,886</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12,586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11,641</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Restructuring, strategic transaction and integration</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21,569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29,401</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 in fair value of contingent earn-out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Contract settlement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28,917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146,069</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105,928</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INCOME (LOSS) FROM OPERATIONS</w:t>
            </w: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2,932</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(16,983)</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BARGAIN PURCHASE GAIN</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63,237</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(513)</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1,026</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3,823</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45,848</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BENEFIT FOR INCOME TAXES</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10,015</w:t>
            </w:r>
          </w:p>
        </w:tc>
      </w:tr>
      <w:tr>
        <w:trPr>
          <w:trHeight w:val="297"/>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4,875</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55,863</w:t>
            </w:r>
          </w:p>
        </w:tc>
      </w:tr>
      <w:tr>
        <w:trPr>
          <w:trHeight w:val="23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PER SHARE</w:t>
            </w: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Basic</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0.24</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3.03</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2.86</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WEIGHTED AVERAGE NUMBER OF SHARES</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20,255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18,439</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Diluted</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21,400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19,549</w:t>
            </w: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373" w:lineRule="exact"/>
        <w:rPr>
          <w:sz w:val="20"/>
          <w:szCs w:val="20"/>
          <w:color w:val="auto"/>
        </w:rPr>
      </w:pPr>
    </w:p>
    <w:p>
      <w:pPr>
        <w:ind w:left="928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ind w:left="966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33020</wp:posOffset>
            </wp:positionV>
            <wp:extent cx="18097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45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2017</w:t>
            </w:r>
          </w:p>
        </w:tc>
      </w:tr>
      <w:tr>
        <w:trPr>
          <w:trHeight w:val="33"/>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4,875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55,863</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Other comprehensive income, net of tax:</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flow hedge adjustments, net of taxes of $573 for the three months ended March 31, 2018</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1,814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29"/>
        </w:trPr>
        <w:tc>
          <w:tcPr>
            <w:tcW w:w="8580" w:type="dxa"/>
            <w:vAlign w:val="bottom"/>
          </w:tcPr>
          <w:p>
            <w:pPr>
              <w:ind w:left="180"/>
              <w:spacing w:after="0"/>
              <w:rPr>
                <w:sz w:val="20"/>
                <w:szCs w:val="20"/>
                <w:color w:val="auto"/>
              </w:rPr>
            </w:pPr>
            <w:r>
              <w:rPr>
                <w:rFonts w:ascii="Arial" w:cs="Arial" w:eastAsia="Arial" w:hAnsi="Arial"/>
                <w:sz w:val="18"/>
                <w:szCs w:val="18"/>
                <w:color w:val="auto"/>
                <w:w w:val="91"/>
              </w:rPr>
              <w:t>Foreign currency translation adjustment, net of taxes of $0 and $48 for the three months ended March 31, 2018 and</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8580" w:type="dxa"/>
            <w:vAlign w:val="bottom"/>
          </w:tcPr>
          <w:p>
            <w:pPr>
              <w:ind w:left="180"/>
              <w:spacing w:after="0"/>
              <w:rPr>
                <w:sz w:val="20"/>
                <w:szCs w:val="20"/>
                <w:color w:val="auto"/>
              </w:rPr>
            </w:pPr>
            <w:r>
              <w:rPr>
                <w:rFonts w:ascii="Arial" w:cs="Arial" w:eastAsia="Arial" w:hAnsi="Arial"/>
                <w:sz w:val="18"/>
                <w:szCs w:val="18"/>
                <w:color w:val="auto"/>
              </w:rPr>
              <w:t>2017, respectively</w:t>
            </w: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15,397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2,029</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adjustments, net of taxes of $0 for the three months ended March 31, 2018</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23"/>
        </w:trPr>
        <w:tc>
          <w:tcPr>
            <w:tcW w:w="8580" w:type="dxa"/>
            <w:vAlign w:val="bottom"/>
          </w:tcPr>
          <w:p>
            <w:pPr>
              <w:ind w:left="40"/>
              <w:spacing w:after="0"/>
              <w:rPr>
                <w:sz w:val="20"/>
                <w:szCs w:val="20"/>
                <w:color w:val="auto"/>
              </w:rPr>
            </w:pPr>
            <w:r>
              <w:rPr>
                <w:rFonts w:ascii="Arial" w:cs="Arial" w:eastAsia="Arial" w:hAnsi="Arial"/>
                <w:sz w:val="18"/>
                <w:szCs w:val="18"/>
                <w:color w:val="auto"/>
              </w:rPr>
              <w:t>Other comprehensive income, net of taxes</w:t>
            </w: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17,213</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2,029</w:t>
            </w: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COMPREHENSIVE INCOME</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22,088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57,892</w:t>
            </w:r>
          </w:p>
        </w:tc>
      </w:tr>
      <w:tr>
        <w:trPr>
          <w:trHeight w:val="20"/>
        </w:trPr>
        <w:tc>
          <w:tcPr>
            <w:tcW w:w="8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 xml:space="preserve">ICU MEDICAL, INC. AND SUBSIDIARIES CONDENSED CONSOLIDATED STATEMENTS OF CASH FLOWS (Unaudited) </w:t>
      </w:r>
      <w:r>
        <w:rPr>
          <w:rFonts w:ascii="Arial" w:cs="Arial" w:eastAsia="Arial" w:hAnsi="Arial"/>
          <w:sz w:val="18"/>
          <w:szCs w:val="18"/>
          <w:color w:val="auto"/>
        </w:rPr>
        <w:t>(In thousands)</w:t>
      </w:r>
    </w:p>
    <w:p>
      <w:pPr>
        <w:spacing w:after="0" w:line="200" w:lineRule="exact"/>
        <w:rPr>
          <w:sz w:val="20"/>
          <w:szCs w:val="20"/>
          <w:color w:val="auto"/>
        </w:rPr>
      </w:pPr>
    </w:p>
    <w:p>
      <w:pPr>
        <w:spacing w:after="0" w:line="357" w:lineRule="exact"/>
        <w:rPr>
          <w:sz w:val="20"/>
          <w:szCs w:val="20"/>
          <w:color w:val="auto"/>
        </w:rPr>
      </w:pPr>
    </w:p>
    <w:p>
      <w:pPr>
        <w:ind w:left="916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ind w:left="954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33020</wp:posOffset>
            </wp:positionV>
            <wp:extent cx="19551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49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2017</w:t>
            </w:r>
          </w:p>
        </w:tc>
      </w:tr>
      <w:tr>
        <w:trPr>
          <w:trHeight w:val="33"/>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OPERATING ACTIVITIES:</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4,875</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55,863</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Adjustments to reconcile net income to net cash used in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Depreciation and amortization</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18,304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11,594</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Provision for doubtful accounts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Provision for warranty and returns</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367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1,286</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Stock compensation</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5,462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4,006</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Loss on disposal of property and equipment</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53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18</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Bond premium amortization</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Debt issuance costs amortization</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72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Bargain purchase gain</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(63,237)</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Change in fair value of contingent earn-out</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(4,000)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Impairment of assets held for sale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Write-off of acquired intangible</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5,000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2,435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Changes in operating assets and liabilities, net of effects of acquisitions:</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Accounts receivable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(11,901)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(82,266)</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Inventories</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10,942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22,233</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Prepaid expenses and other assets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3,569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(66,573)</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Related-party receivables</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(32,779)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Accounts payable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8,737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11,456</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Accrued liabilities</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(29,455)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39,907</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Income taxes, including excess tax benefits and deferred income taxes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(3,272)</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(10,909)</w:t>
            </w:r>
          </w:p>
        </w:tc>
      </w:tr>
      <w:tr>
        <w:trPr>
          <w:trHeight w:val="217"/>
        </w:trPr>
        <w:tc>
          <w:tcPr>
            <w:tcW w:w="8340" w:type="dxa"/>
            <w:vAlign w:val="bottom"/>
          </w:tcPr>
          <w:p>
            <w:pPr>
              <w:ind w:left="180"/>
              <w:spacing w:after="0"/>
              <w:rPr>
                <w:sz w:val="20"/>
                <w:szCs w:val="20"/>
                <w:color w:val="auto"/>
              </w:rPr>
            </w:pPr>
            <w:r>
              <w:rPr>
                <w:rFonts w:ascii="Arial" w:cs="Arial" w:eastAsia="Arial" w:hAnsi="Arial"/>
                <w:sz w:val="16"/>
                <w:szCs w:val="16"/>
                <w:color w:val="auto"/>
              </w:rPr>
              <w:t>Net cash used in operating activities</w:t>
            </w: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(20,732)</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(76,609)</w:t>
            </w:r>
          </w:p>
        </w:tc>
      </w:tr>
      <w:tr>
        <w:trPr>
          <w:trHeight w:val="33"/>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INVESTING ACTIVITIES:</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Purchases of property and equipment</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(26,544)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(16,396)</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Proceeds from sale of asset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13,000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Business acquisitions, net of cash acquired</w:t>
            </w:r>
          </w:p>
        </w:tc>
        <w:tc>
          <w:tcPr>
            <w:tcW w:w="34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(157,097)</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Intangible asset additions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(1,899)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(410)</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Purchases of investment securities</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(4,478)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Proceeds from sale of investment securities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4,900</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17"/>
        </w:trPr>
        <w:tc>
          <w:tcPr>
            <w:tcW w:w="8340" w:type="dxa"/>
            <w:vAlign w:val="bottom"/>
          </w:tcPr>
          <w:p>
            <w:pPr>
              <w:ind w:left="180"/>
              <w:spacing w:after="0"/>
              <w:rPr>
                <w:sz w:val="20"/>
                <w:szCs w:val="20"/>
                <w:color w:val="auto"/>
              </w:rPr>
            </w:pPr>
            <w:r>
              <w:rPr>
                <w:rFonts w:ascii="Arial" w:cs="Arial" w:eastAsia="Arial" w:hAnsi="Arial"/>
                <w:sz w:val="16"/>
                <w:szCs w:val="16"/>
                <w:color w:val="auto"/>
              </w:rPr>
              <w:t>Net cash used in investing activities</w:t>
            </w: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(15,021)</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(173,903)</w:t>
            </w:r>
          </w:p>
        </w:tc>
      </w:tr>
      <w:tr>
        <w:trPr>
          <w:trHeight w:val="33"/>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FINANCING ACTIVITIES:</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Proceeds from exercise of stock options</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3,155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8,992</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Proceeds from employee stock purchase plan</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1,326</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Purchase of treasury stock</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(5,338)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(3,718)</w:t>
            </w:r>
          </w:p>
        </w:tc>
      </w:tr>
      <w:tr>
        <w:trPr>
          <w:trHeight w:val="33"/>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cash (used in) provided by financing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(2,183)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6,600</w:t>
            </w:r>
          </w:p>
        </w:tc>
      </w:tr>
      <w:tr>
        <w:trPr>
          <w:trHeight w:val="217"/>
        </w:trPr>
        <w:tc>
          <w:tcPr>
            <w:tcW w:w="8340" w:type="dxa"/>
            <w:vAlign w:val="bottom"/>
          </w:tcPr>
          <w:p>
            <w:pPr>
              <w:ind w:left="40"/>
              <w:spacing w:after="0"/>
              <w:rPr>
                <w:sz w:val="20"/>
                <w:szCs w:val="20"/>
                <w:color w:val="auto"/>
              </w:rPr>
            </w:pPr>
            <w:r>
              <w:rPr>
                <w:rFonts w:ascii="Arial" w:cs="Arial" w:eastAsia="Arial" w:hAnsi="Arial"/>
                <w:sz w:val="16"/>
                <w:szCs w:val="16"/>
                <w:color w:val="auto"/>
              </w:rPr>
              <w:t>Effect of exchange rate changes on cash</w:t>
            </w: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2,400</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692</w:t>
            </w:r>
          </w:p>
        </w:tc>
      </w:tr>
      <w:tr>
        <w:trPr>
          <w:trHeight w:val="33"/>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DECREASE CASH AND CASH EQUIVALENTS</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(35,536)</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(243,220)</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CASH AND CASH EQUIVALENTS, beginning of period</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290,072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445,082</w:t>
            </w:r>
          </w:p>
        </w:tc>
      </w:tr>
      <w:tr>
        <w:trPr>
          <w:trHeight w:val="33"/>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end of period</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254,536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201,862</w:t>
            </w: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25" w:right="239" w:bottom="1440"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ICU MEDICAL, INC. AND SUBSIDIARIES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CONSOLIDATED STATEMENTS OF CASH FLOWS - CONTINUED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 thousands)</w:t>
      </w:r>
    </w:p>
    <w:p>
      <w:pPr>
        <w:spacing w:after="0" w:line="373" w:lineRule="exact"/>
        <w:rPr>
          <w:sz w:val="20"/>
          <w:szCs w:val="20"/>
          <w:color w:val="auto"/>
        </w:rPr>
      </w:pPr>
    </w:p>
    <w:p>
      <w:pPr>
        <w:ind w:left="924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ind w:left="962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5433695</wp:posOffset>
            </wp:positionH>
            <wp:positionV relativeFrom="paragraph">
              <wp:posOffset>33020</wp:posOffset>
            </wp:positionV>
            <wp:extent cx="179260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92605" cy="8890"/>
                    </a:xfrm>
                    <a:prstGeom prst="rect">
                      <a:avLst/>
                    </a:prstGeom>
                    <a:noFill/>
                  </pic:spPr>
                </pic:pic>
              </a:graphicData>
            </a:graphic>
          </wp:anchor>
        </w:drawing>
      </w:r>
    </w:p>
    <w:p>
      <w:pPr>
        <w:spacing w:after="0" w:line="72" w:lineRule="exact"/>
        <w:rPr>
          <w:sz w:val="20"/>
          <w:szCs w:val="20"/>
          <w:color w:val="auto"/>
        </w:rPr>
      </w:pPr>
    </w:p>
    <w:tbl>
      <w:tblPr>
        <w:tblLayout w:type="fixed"/>
        <w:tblInd w:w="60" w:type="dxa"/>
        <w:tblCellMar>
          <w:top w:w="0" w:type="dxa"/>
          <w:left w:w="0" w:type="dxa"/>
          <w:bottom w:w="0" w:type="dxa"/>
          <w:right w:w="0" w:type="dxa"/>
        </w:tblCellMar>
      </w:tblPr>
      <w:tr>
        <w:trPr>
          <w:trHeight w:val="210"/>
        </w:trPr>
        <w:tc>
          <w:tcPr>
            <w:tcW w:w="85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2017</w:t>
            </w:r>
          </w:p>
        </w:tc>
      </w:tr>
      <w:tr>
        <w:trPr>
          <w:trHeight w:val="33"/>
        </w:trPr>
        <w:tc>
          <w:tcPr>
            <w:tcW w:w="85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SUPPLEMENTAL DISCLOSURE OF NON-CASH INVESTING ACTIVITIES:</w:t>
            </w:r>
          </w:p>
        </w:tc>
        <w:tc>
          <w:tcPr>
            <w:tcW w:w="9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8500" w:type="dxa"/>
            <w:vAlign w:val="bottom"/>
          </w:tcPr>
          <w:p>
            <w:pPr>
              <w:ind w:left="100"/>
              <w:spacing w:after="0"/>
              <w:rPr>
                <w:sz w:val="20"/>
                <w:szCs w:val="20"/>
                <w:color w:val="auto"/>
              </w:rPr>
            </w:pPr>
            <w:r>
              <w:rPr>
                <w:rFonts w:ascii="Arial" w:cs="Arial" w:eastAsia="Arial" w:hAnsi="Arial"/>
                <w:sz w:val="16"/>
                <w:szCs w:val="16"/>
                <w:color w:val="auto"/>
              </w:rPr>
              <w:t>Accounts payable for property and equipment</w:t>
            </w:r>
          </w:p>
        </w:tc>
        <w:tc>
          <w:tcPr>
            <w:tcW w:w="920" w:type="dxa"/>
            <w:vAlign w:val="bottom"/>
          </w:tcPr>
          <w:p>
            <w:pPr>
              <w:jc w:val="right"/>
              <w:ind w:right="739"/>
              <w:spacing w:after="0"/>
              <w:rPr>
                <w:sz w:val="20"/>
                <w:szCs w:val="20"/>
                <w:color w:val="auto"/>
              </w:rPr>
            </w:pPr>
            <w:r>
              <w:rPr>
                <w:rFonts w:ascii="Arial" w:cs="Arial" w:eastAsia="Arial" w:hAnsi="Arial"/>
                <w:sz w:val="16"/>
                <w:szCs w:val="16"/>
                <w:color w:val="auto"/>
                <w:w w:val="89"/>
              </w:rPr>
              <w:t>$</w:t>
            </w:r>
          </w:p>
        </w:tc>
        <w:tc>
          <w:tcPr>
            <w:tcW w:w="460" w:type="dxa"/>
            <w:vAlign w:val="bottom"/>
          </w:tcPr>
          <w:p>
            <w:pPr>
              <w:jc w:val="right"/>
              <w:ind w:right="59"/>
              <w:spacing w:after="0"/>
              <w:rPr>
                <w:sz w:val="20"/>
                <w:szCs w:val="20"/>
                <w:color w:val="auto"/>
              </w:rPr>
            </w:pPr>
            <w:r>
              <w:rPr>
                <w:rFonts w:ascii="Arial" w:cs="Arial" w:eastAsia="Arial" w:hAnsi="Arial"/>
                <w:sz w:val="16"/>
                <w:szCs w:val="16"/>
                <w:color w:val="auto"/>
              </w:rPr>
              <w:t>280</w:t>
            </w:r>
          </w:p>
        </w:tc>
        <w:tc>
          <w:tcPr>
            <w:tcW w:w="10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437</w:t>
            </w:r>
          </w:p>
        </w:tc>
      </w:tr>
      <w:tr>
        <w:trPr>
          <w:trHeight w:val="33"/>
        </w:trPr>
        <w:tc>
          <w:tcPr>
            <w:tcW w:w="8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324"/>
        </w:trPr>
        <w:tc>
          <w:tcPr>
            <w:tcW w:w="85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37"/>
        </w:trPr>
        <w:tc>
          <w:tcPr>
            <w:tcW w:w="8500" w:type="dxa"/>
            <w:vAlign w:val="bottom"/>
          </w:tcPr>
          <w:p>
            <w:pPr>
              <w:ind w:left="100"/>
              <w:spacing w:after="0"/>
              <w:rPr>
                <w:sz w:val="20"/>
                <w:szCs w:val="20"/>
                <w:color w:val="auto"/>
              </w:rPr>
            </w:pPr>
            <w:r>
              <w:rPr>
                <w:rFonts w:ascii="Arial" w:cs="Arial" w:eastAsia="Arial" w:hAnsi="Arial"/>
                <w:sz w:val="16"/>
                <w:szCs w:val="16"/>
                <w:color w:val="auto"/>
              </w:rPr>
              <w:t>Detail of acquisitions:</w:t>
            </w:r>
          </w:p>
        </w:tc>
        <w:tc>
          <w:tcPr>
            <w:tcW w:w="9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3"/>
        </w:trPr>
        <w:tc>
          <w:tcPr>
            <w:tcW w:w="8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Fair value of assets acquired</w:t>
            </w:r>
          </w:p>
        </w:tc>
        <w:tc>
          <w:tcPr>
            <w:tcW w:w="92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881,732</w:t>
            </w:r>
          </w:p>
        </w:tc>
      </w:tr>
      <w:tr>
        <w:trPr>
          <w:trHeight w:val="237"/>
        </w:trPr>
        <w:tc>
          <w:tcPr>
            <w:tcW w:w="8500" w:type="dxa"/>
            <w:vAlign w:val="bottom"/>
          </w:tcPr>
          <w:p>
            <w:pPr>
              <w:ind w:left="260"/>
              <w:spacing w:after="0"/>
              <w:rPr>
                <w:sz w:val="20"/>
                <w:szCs w:val="20"/>
                <w:color w:val="auto"/>
              </w:rPr>
            </w:pPr>
            <w:r>
              <w:rPr>
                <w:rFonts w:ascii="Arial" w:cs="Arial" w:eastAsia="Arial" w:hAnsi="Arial"/>
                <w:sz w:val="16"/>
                <w:szCs w:val="16"/>
                <w:color w:val="auto"/>
              </w:rPr>
              <w:t>Cash paid for acquisitions, net of cash acquired</w:t>
            </w:r>
          </w:p>
        </w:tc>
        <w:tc>
          <w:tcPr>
            <w:tcW w:w="920" w:type="dxa"/>
            <w:vAlign w:val="bottom"/>
          </w:tcPr>
          <w:p>
            <w:pPr>
              <w:spacing w:after="0"/>
              <w:rPr>
                <w:sz w:val="20"/>
                <w:szCs w:val="20"/>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(157,097)</w:t>
            </w:r>
          </w:p>
        </w:tc>
      </w:tr>
      <w:tr>
        <w:trPr>
          <w:trHeight w:val="33"/>
        </w:trPr>
        <w:tc>
          <w:tcPr>
            <w:tcW w:w="8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Non-cash seller note</w:t>
            </w:r>
          </w:p>
        </w:tc>
        <w:tc>
          <w:tcPr>
            <w:tcW w:w="9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(75,000)</w:t>
            </w:r>
          </w:p>
        </w:tc>
      </w:tr>
      <w:tr>
        <w:trPr>
          <w:trHeight w:val="237"/>
        </w:trPr>
        <w:tc>
          <w:tcPr>
            <w:tcW w:w="8500" w:type="dxa"/>
            <w:vAlign w:val="bottom"/>
          </w:tcPr>
          <w:p>
            <w:pPr>
              <w:ind w:left="260"/>
              <w:spacing w:after="0"/>
              <w:rPr>
                <w:sz w:val="20"/>
                <w:szCs w:val="20"/>
                <w:color w:val="auto"/>
              </w:rPr>
            </w:pPr>
            <w:r>
              <w:rPr>
                <w:rFonts w:ascii="Arial" w:cs="Arial" w:eastAsia="Arial" w:hAnsi="Arial"/>
                <w:sz w:val="16"/>
                <w:szCs w:val="16"/>
                <w:color w:val="auto"/>
              </w:rPr>
              <w:t>Estimated working capital adjustment</w:t>
            </w:r>
          </w:p>
        </w:tc>
        <w:tc>
          <w:tcPr>
            <w:tcW w:w="920" w:type="dxa"/>
            <w:vAlign w:val="bottom"/>
          </w:tcPr>
          <w:p>
            <w:pPr>
              <w:spacing w:after="0"/>
              <w:rPr>
                <w:sz w:val="20"/>
                <w:szCs w:val="20"/>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7,512</w:t>
            </w:r>
          </w:p>
        </w:tc>
      </w:tr>
      <w:tr>
        <w:trPr>
          <w:trHeight w:val="33"/>
        </w:trPr>
        <w:tc>
          <w:tcPr>
            <w:tcW w:w="8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Contingent consideration</w:t>
            </w:r>
          </w:p>
        </w:tc>
        <w:tc>
          <w:tcPr>
            <w:tcW w:w="9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(19,000)</w:t>
            </w:r>
          </w:p>
        </w:tc>
      </w:tr>
      <w:tr>
        <w:trPr>
          <w:trHeight w:val="237"/>
        </w:trPr>
        <w:tc>
          <w:tcPr>
            <w:tcW w:w="8500" w:type="dxa"/>
            <w:vAlign w:val="bottom"/>
          </w:tcPr>
          <w:p>
            <w:pPr>
              <w:ind w:left="260"/>
              <w:spacing w:after="0"/>
              <w:rPr>
                <w:sz w:val="20"/>
                <w:szCs w:val="20"/>
                <w:color w:val="auto"/>
              </w:rPr>
            </w:pPr>
            <w:r>
              <w:rPr>
                <w:rFonts w:ascii="Arial" w:cs="Arial" w:eastAsia="Arial" w:hAnsi="Arial"/>
                <w:sz w:val="16"/>
                <w:szCs w:val="16"/>
                <w:color w:val="auto"/>
              </w:rPr>
              <w:t>Issuance of common stock</w:t>
            </w:r>
          </w:p>
        </w:tc>
        <w:tc>
          <w:tcPr>
            <w:tcW w:w="920" w:type="dxa"/>
            <w:vAlign w:val="bottom"/>
          </w:tcPr>
          <w:p>
            <w:pPr>
              <w:spacing w:after="0"/>
              <w:rPr>
                <w:sz w:val="20"/>
                <w:szCs w:val="20"/>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(413,139)</w:t>
            </w:r>
          </w:p>
        </w:tc>
      </w:tr>
      <w:tr>
        <w:trPr>
          <w:trHeight w:val="33"/>
        </w:trPr>
        <w:tc>
          <w:tcPr>
            <w:tcW w:w="8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Bargain purchase gain</w:t>
            </w:r>
          </w:p>
        </w:tc>
        <w:tc>
          <w:tcPr>
            <w:tcW w:w="9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(63,237)</w:t>
            </w:r>
          </w:p>
        </w:tc>
      </w:tr>
      <w:tr>
        <w:trPr>
          <w:trHeight w:val="237"/>
        </w:trPr>
        <w:tc>
          <w:tcPr>
            <w:tcW w:w="8500" w:type="dxa"/>
            <w:vAlign w:val="bottom"/>
          </w:tcPr>
          <w:p>
            <w:pPr>
              <w:ind w:left="260"/>
              <w:spacing w:after="0"/>
              <w:rPr>
                <w:sz w:val="20"/>
                <w:szCs w:val="20"/>
                <w:color w:val="auto"/>
              </w:rPr>
            </w:pPr>
            <w:r>
              <w:rPr>
                <w:rFonts w:ascii="Arial" w:cs="Arial" w:eastAsia="Arial" w:hAnsi="Arial"/>
                <w:sz w:val="16"/>
                <w:szCs w:val="16"/>
                <w:color w:val="auto"/>
              </w:rPr>
              <w:t>Goodwill</w:t>
            </w:r>
          </w:p>
        </w:tc>
        <w:tc>
          <w:tcPr>
            <w:tcW w:w="920" w:type="dxa"/>
            <w:vAlign w:val="bottom"/>
          </w:tcPr>
          <w:p>
            <w:pPr>
              <w:spacing w:after="0"/>
              <w:rPr>
                <w:sz w:val="20"/>
                <w:szCs w:val="20"/>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1,015</w:t>
            </w:r>
          </w:p>
        </w:tc>
      </w:tr>
      <w:tr>
        <w:trPr>
          <w:trHeight w:val="33"/>
        </w:trPr>
        <w:tc>
          <w:tcPr>
            <w:tcW w:w="85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500" w:type="dxa"/>
            <w:vAlign w:val="bottom"/>
            <w:shd w:val="clear" w:color="auto" w:fill="CCEEFF"/>
          </w:tcPr>
          <w:p>
            <w:pPr>
              <w:ind w:left="420"/>
              <w:spacing w:after="0"/>
              <w:rPr>
                <w:sz w:val="20"/>
                <w:szCs w:val="20"/>
                <w:color w:val="auto"/>
              </w:rPr>
            </w:pPr>
            <w:r>
              <w:rPr>
                <w:rFonts w:ascii="Arial" w:cs="Arial" w:eastAsia="Arial" w:hAnsi="Arial"/>
                <w:sz w:val="16"/>
                <w:szCs w:val="16"/>
                <w:color w:val="auto"/>
              </w:rPr>
              <w:t>Liabilities assumed</w:t>
            </w:r>
          </w:p>
        </w:tc>
        <w:tc>
          <w:tcPr>
            <w:tcW w:w="920" w:type="dxa"/>
            <w:vAlign w:val="bottom"/>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162,786</w:t>
            </w:r>
          </w:p>
        </w:tc>
      </w:tr>
      <w:tr>
        <w:trPr>
          <w:trHeight w:val="20"/>
        </w:trPr>
        <w:tc>
          <w:tcPr>
            <w:tcW w:w="85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125" w:right="27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w:t>
      </w:r>
    </w:p>
    <w:p>
      <w:pPr>
        <w:spacing w:after="0" w:line="229"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The accompanying unaudited interim condensed consolidated financial statements have been prepared in accordance with accounting principles generally accepted in the United States of America ("U.S.") and pursuant to the rules and regulations of the Securities and Exchange Commission (“SEC”) and reflect all adjustments, consisting of only normal recurring adjustments, which are, in the opinion of management, necessary for a fair statement of the consolidated results for the interim periods presented. Results for the interim period are not necessarily indicative of results for the full year. Certain information and footnote disclosures normally included in annual consolidated financial statements prepared in accordance with generally accepted accounting principles have been condensed or omitted pursuant to such rules and regulations. The condensed consolidated financial statements should be read in conjunction with the consolidated financial statements and notes thereto included in the Annual Report on Form 10-K of ICU Medical, Inc., ("ICU") a Delaware corporation, filed with the SEC for the year ended December 31, 2017.</w:t>
      </w:r>
    </w:p>
    <w:p>
      <w:pPr>
        <w:spacing w:after="0" w:line="179"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We are engaged in the development, manufacturing and sale of innovative medical devices used in infusion therapy, and critical care markets. We sell the majority of our products through our direct sales force and through independent distributors throughout the U. S. and internationally. Additionally, we sell our products on an original equipment manufacturer basis to other medical device manufacturers. All subsidiaries are wholly owned and are included in the condensed consolidated financial statements. All intercompany balances and transactions have been eliminated.</w:t>
      </w:r>
    </w:p>
    <w:p>
      <w:pPr>
        <w:spacing w:after="0" w:line="252" w:lineRule="exact"/>
        <w:rPr>
          <w:sz w:val="20"/>
          <w:szCs w:val="20"/>
          <w:color w:val="auto"/>
        </w:rPr>
      </w:pPr>
    </w:p>
    <w:p>
      <w:pPr>
        <w:ind w:right="760" w:firstLine="648"/>
        <w:spacing w:after="0" w:line="277" w:lineRule="auto"/>
        <w:rPr>
          <w:sz w:val="20"/>
          <w:szCs w:val="20"/>
          <w:color w:val="auto"/>
        </w:rPr>
      </w:pPr>
      <w:r>
        <w:rPr>
          <w:rFonts w:ascii="Arial" w:cs="Arial" w:eastAsia="Arial" w:hAnsi="Arial"/>
          <w:sz w:val="18"/>
          <w:szCs w:val="18"/>
          <w:color w:val="auto"/>
        </w:rPr>
        <w:t>Certain prior year amounts have been reclassified to conform to the current period’s presentation. These reclassifications had no impact on previously reported results of operations.</w:t>
      </w:r>
    </w:p>
    <w:p>
      <w:pPr>
        <w:spacing w:after="0" w:line="247"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5"/>
          <w:szCs w:val="15"/>
          <w:b w:val="1"/>
          <w:bCs w:val="1"/>
          <w:color w:val="auto"/>
        </w:rPr>
        <w:t>New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Standards</w:t>
      </w:r>
    </w:p>
    <w:p>
      <w:pPr>
        <w:spacing w:after="0" w:line="225"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In August 2017, the Financial Accounting Standards Board ("FASB") issued Accounting Standard Update ("ASU") No. 2017-12, Derivatives and Hedging (Topic 815): Targeted Improvements to Accounting for Hedging Activities. The amendments in this update change both the designation and measurement guidance for qualifying hedging relationships and the presentation of hedge results to facilitate financial reporting that more closely reflects an entity's risk management activities. The amendments in this update also make certain targeted improvements to simplify the application of hedge accounting guidance and ease the administrative burden of hedge documentation requirements and assessing hedge effectiveness. The amendments are effective for the fiscal years, and interim reporting periods within those years, beginning on or after December 15, 2018. For cash flow and net investment hedges existing at the date of adoption, an entity should apply a cumulative-effect adjustment related to eliminating the separate measurement of ineffectiveness to accumulated other comprehensive income with a corresponding adjustment to the opening balance of retained earnings as of the beginning of the fiscal year that an entity adopts the update. We early adopted this ASU on January 1, 2018 and this ASU did not have a material impact on our consolidated financial statements or related footnote disclosures.</w:t>
      </w:r>
    </w:p>
    <w:p>
      <w:pPr>
        <w:spacing w:after="0" w:line="178"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color w:val="auto"/>
        </w:rPr>
        <w:t>In May 2017, the FASB issued ASU No. 2017-09, Compensation-Stock Compensation (Topic 718): Scope of Modification Accounting. The amendments in this update provide guidance about which changes to the terms or conditions of a share-based payment award require an entity to apply modification accounting. Under the ASU, an entity will account for the effects of a modification unless (i) the fair value of the modified award is the same as the fair value of the original award immediately before the original award is modified, (ii) the vesting conditions of the modified award are the same vesting conditions as the original award immediately before the original award is modified, and (iii) the classification of the modified award as an equity instrument or a liability instrument is the same as the classification of the original award immediately before the original award is modified. The amendments in this ASU are effective prospectively for annual periods, and interim periods within those annual periods, beginning after December 15, 2017. We adopted this ASU on January 1, 2018 and this ASU did not have a material impact on our consolidated financial statements or related footnote disclosures.</w:t>
      </w:r>
    </w:p>
    <w:p>
      <w:pPr>
        <w:spacing w:after="0" w:line="166"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In January 2017, the FASB issued ASU No. 2017-01, Business Combinations (Topic 805): Clarifying the Definition of a Business. The amendments in this update clarify the definition of a business with the objective of adding guidance to assist entities with evaluating whether transactions should be accounted for as acquisitions (or disposals) of assets or businesses. The amendments in this update provide a screen to determine when a set (integrated set of assets and activities) is not a business. If the screen is not met, it (1) requires that to be considered a business, a set must include, at a minimum, an input and a substantive process that together significantly contribute to the ability to create output and (2) removes the evaluation of</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121" w:right="25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3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whether a market participant could replace the missing elements. The amendments in ASU 2017-01 are effective for annual periods and interim periods within those annual periods beginning after December 15, 2017. The amendments in this ASU should be applied prospectively on or after the effective date. We adopted this ASU on January 1, 2018 and this ASU did not have a material impact on our consolidated financial statements or related footnote disclosures.</w:t>
      </w:r>
    </w:p>
    <w:p>
      <w:pPr>
        <w:spacing w:after="0" w:line="187" w:lineRule="exact"/>
        <w:rPr>
          <w:sz w:val="20"/>
          <w:szCs w:val="20"/>
          <w:color w:val="auto"/>
        </w:rPr>
      </w:pPr>
    </w:p>
    <w:p>
      <w:pPr>
        <w:ind w:right="260" w:firstLine="648"/>
        <w:spacing w:after="0" w:line="273" w:lineRule="auto"/>
        <w:rPr>
          <w:sz w:val="20"/>
          <w:szCs w:val="20"/>
          <w:color w:val="auto"/>
        </w:rPr>
      </w:pPr>
      <w:r>
        <w:rPr>
          <w:rFonts w:ascii="Arial" w:cs="Arial" w:eastAsia="Arial" w:hAnsi="Arial"/>
          <w:sz w:val="17"/>
          <w:szCs w:val="17"/>
          <w:color w:val="auto"/>
        </w:rPr>
        <w:t>In October 2016, the FASB issued ASU No. 2016-16, Income Taxes (Topic 740): Intra-Entity Transfers of Assets Other Than Inventory. Current generally accepted accounting principles prohibits the recognition of current and deferred income taxes for an intra-entity asset transfer until after the asset has been sold to an outside party. The amendments in ASU 2016-16 eliminates this prohibition. Accordingly an entity should recognize the income tax consequences of an intra-entity transfer of an asset other than inventory when the transfer occurs. Amendments in this update are effective for annual reporting periods beginning after December 15, 2017. We adopted this ASU on January 1, 2018 and this ASU did not have a material impact on our consolidated financial statements or related footnote disclosures.</w:t>
      </w:r>
    </w:p>
    <w:p>
      <w:pPr>
        <w:spacing w:after="0" w:line="178"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In August 2016, the FASB issued ASU No. 2016-15, Statement of Cash Flows (Topic 230): Classification of Certain Cash Receipts and Cash Payments. ASU 2016-15 provides specific guidance on eight cash flow issues where current guidance is unclear or does not include any specifics on classification. The eight specific cash flow issues are: debt prepayment or debt extinguishment costs; settlement of zero-coupon debt instruments or other debt instruments with zero coupon interest rates that are insignificant in relation to the effective interest rate of the borrowing; contingent consideration payments made after a business combination; proceeds from the settlement of insurance claims; proceeds from the settlement of corporate-owned life insurance policies, including bank-owned policies; distributions received from equity method investees; beneficial interests in securitization transactions; and separately identifiable cash flows and application of the predominance principle. The amendments in ASU 2016-15 are effective for annual periods and interim periods within those annual periods beginning after December 15, 2017. Amendments should be applied using a retrospective transition method to each period presented. We adopted this ASU on January 1, 2018 and this ASU did not have a material impact on our consolidated financial statements or related footnote disclosures.</w:t>
      </w:r>
    </w:p>
    <w:p>
      <w:pPr>
        <w:spacing w:after="0" w:line="19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January 2016, the FASB issued ASU No. 2016-01, Financial Instruments – Overall (Subtopic 825-10): Recognition and Measurement of Financial Assets and Financial Liabilities, which amends certain aspects of recognition, measurement, presentation and disclosure of financial instruments. This amendment requires all equity investments to be measured at fair value with changes in the fair value recognized through net income (other than those accounted for under the equity method of accounting or those that result in the consolidation of the investee). The amendments in this update will be effective for fiscal years beginning after December 15, 2017. We adopted this ASU on January 1, 2018 and this ASU did not have a material impact on our consolidated financial statements or related footnote disclosures.</w:t>
      </w:r>
    </w:p>
    <w:p>
      <w:pPr>
        <w:spacing w:after="0" w:line="193"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In May 2014, the FASB issued ASU No. 2014-09, Revenue from Contracts with Customers (Topic 606). ASU 2014-09 removes inconsistencies and weaknesses in revenue requirements, provides a more robust framework for addressing revenue issues, improves comparability of revenue recognition practices across entities, industries, jurisdictions and capital markets, provides more useful information to users of financial statements through improved disclosure requirements and simplifies the preparation of financial statements by reducing the number of requirements to which an entity must refer. This guidance requires that an entity depict the consideration by applying a five-step analysis in determining when and how revenue is recognized. The new model will require revenue recognition to depict the transfer of promised goods or services to customers in an amount that reflects the consideration a company expects to receive in exchange for those goods or services. On April 1, 2015, the FASB voted for a one-year deferral of the effective date of the new revenue recognition standard, ASU 2014-09. On July 15, 2015, the FASB affirmed these changes, which requires public entities to apply the amendments in ASU 2014-09 for annual reporting beginning after December 15, 2017. Subsequent to the issuance of this ASU, the FASB issued three amendments: ASU No. 2016-08, which clarifies principal versus agent considerations; ASU 2016-10, which clarifies guidance related to identifying performance obligations and licensing implementation; and ASU 2016-12, which provides narrow-scope improvements and practical expedients. All of the amendments have the same effective date mentioned above.</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adopted the standard effective January 1, 2018. See Note 5, Revenue for a discussion of the impact and the required enhanced disclosures.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Standards</w:t>
      </w:r>
    </w:p>
    <w:p>
      <w:pPr>
        <w:spacing w:after="0" w:line="225"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In March 2018, the FASB issued ASU No. 2018-05, Income Taxes (Topic 740): Amendments to SEC Paragraphs Pursuant to SEC Staff Accounting Bulletin No. 118. This update adds SEC paragraphs pursuant to the SEC Staff Accounting Bulletin No. 118, which expresses the view of the staff regarding application of Topic 740, Income Taxes, in the reporting</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1" w:right="23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38"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period that includes December 22, 2017 - the date on which the Tax Cuts and Jobs Act was signed into law. This ASU is not expected to have a material impact on our consolidated financial statements or related footnote disclosures.</w:t>
      </w:r>
    </w:p>
    <w:p>
      <w:pPr>
        <w:spacing w:after="0" w:line="170"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In February 2018, the FASB issued ASU No. 2018-02, Income Statement-Reporting Comprehensive Income (Topic 220): Reclassification of Certain Tax Effects from Accumulated Other Comprehensive Income. The amendments in this update allow a reclassification from accumulated other comprehensive income to retained earnings for stranded tax effects resulting from the Tax Cuts and Jobs Act. The amendments in this update also require certain disclosures about stranded tax effects. The amendments in ASU 2018-02 are effective for fiscal years beginning after December 15, 2018. Early adoption is permitted. We are currently evaluating the impact of this ASU on the consolidated financial statements and related disclosures.</w:t>
      </w:r>
    </w:p>
    <w:p>
      <w:pPr>
        <w:spacing w:after="0" w:line="173"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In January 2017, the FASB issued ASU No. 2017-04, Intangibles-Goodwill and Other (Topic 350): Simplifying the Test for Goodwill Impairment. The amendments in this update remove the second step of the impairment test. An entity will apply a one-step quantitative test and record the amount of goodwill impairment as the excess of a reporting unit's carrying amount over its fair value, not to exceed the total amount of goodwill allocated to the reporting unit. The new guidance does not amend the optional qualitative assessment of goodwill impairment. The amendments in ASU 2017-04 are effective for the annual or interim impairment test in fiscal years beginning after December 15, 2019. Early adoption is permitted for interim or annual goodwill impairment tests performed on testing dates after January 1, 2017. This ASU is not expected to have a material impact on our consolidated financial statements or related footnote disclosures.</w:t>
      </w:r>
    </w:p>
    <w:p>
      <w:pPr>
        <w:spacing w:after="0" w:line="18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June 2016, the FASB issued ASU No. 2016-13, Financial Instruments-Credit Losses (Topic 326): Measurement of Credit Losses on Financial Instruments. This update amends the FASB's guidance on the impairment of financial instruments by requiring timelier recording of credit losses on loans and other financial instruments. The ASU adds an impairment model that is based on expected losses rather than incurred losses. The ASU also amends the accounting for credit losses on available-for-sale debt securities and purchased financial assets with credit deterioration. The amendments in this update will be effective for fiscal years beginning after December 15, 2019. Early adoption is permitted as of the fiscal years beginning after December 15, 2018. The updated guidance requires a modified retrospective adoption. We are currently evaluating the impact of this ASU on the consolidated financial statements and related disclosures.</w:t>
      </w:r>
    </w:p>
    <w:p>
      <w:pPr>
        <w:spacing w:after="0" w:line="189"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In February 2016, the FASB issued ASU No. 2016-02, Leases (Topic 842). The amendments in this update require an entity to recognize a right-of-use asset and lease liability for all leases with terms of more than 12 months. Recognition, measurement and presentation of expenses will depend on classification as finance or operating lease. The amendments also require certain quantitative and qualitative disclosures about leasing arrangements. The amendments in this update will be effective for fiscal years beginning after December 15, 2019. Early adoption is permitted. The updated guidance requires a modified retrospective adoption. We are currently evaluating the impact of this ASU on the consolidated financial statements and related disclosures.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Acquisition, Strategic Transaction and Integration Expenses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w:t>
      </w:r>
    </w:p>
    <w:p>
      <w:pPr>
        <w:spacing w:after="0" w:line="225"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On February 1, 2017, we acquired 100% interest in Fannin (UK) Limited ("Fannin") for total consideration of approximately $1.5 million. Fannin provides infusion therapy consumable products to the healthcare sector in the United Kingdom and Ireland.</w:t>
      </w:r>
    </w:p>
    <w:p>
      <w:pPr>
        <w:spacing w:after="0" w:line="170" w:lineRule="exact"/>
        <w:rPr>
          <w:sz w:val="20"/>
          <w:szCs w:val="20"/>
          <w:color w:val="auto"/>
        </w:rPr>
      </w:pPr>
    </w:p>
    <w:p>
      <w:pPr>
        <w:ind w:right="20" w:firstLine="648"/>
        <w:spacing w:after="0" w:line="285" w:lineRule="auto"/>
        <w:rPr>
          <w:sz w:val="20"/>
          <w:szCs w:val="20"/>
          <w:color w:val="auto"/>
        </w:rPr>
      </w:pPr>
      <w:r>
        <w:rPr>
          <w:rFonts w:ascii="Arial" w:cs="Arial" w:eastAsia="Arial" w:hAnsi="Arial"/>
          <w:sz w:val="16"/>
          <w:szCs w:val="16"/>
          <w:color w:val="auto"/>
        </w:rPr>
        <w:t>On February 3, 2017, we acquired 100% interest in Pfizer Inc.’s (“Pfizer”) Hospira Infusion Systems ("HIS") business for total cash consideration of approximately $255.8 million (net of estimated working capital adjustments paid at closing), which was financed with existing cash balances and a $75 million three-year interest-only seller note. We also issued 3.2 million shares of our common stock. The fair value of the common shares issued to Pfizer was determined based on the closing price of our common shares on the issuance date, discounted to reflect a contractual lock-up period whereby Pfizer cannot transfer the shares, subject to certain exceptions, until the earlier of (i) the expiration of Pfizer’s services to us in the related transitional services agreement or</w:t>
      </w:r>
    </w:p>
    <w:p>
      <w:pPr>
        <w:spacing w:after="0" w:line="2" w:lineRule="exact"/>
        <w:rPr>
          <w:sz w:val="20"/>
          <w:szCs w:val="20"/>
          <w:color w:val="auto"/>
        </w:rPr>
      </w:pPr>
    </w:p>
    <w:p>
      <w:pPr>
        <w:ind w:right="80" w:firstLine="8"/>
        <w:spacing w:after="0" w:line="252" w:lineRule="auto"/>
        <w:tabs>
          <w:tab w:leader="none" w:pos="265" w:val="left"/>
        </w:tabs>
        <w:numPr>
          <w:ilvl w:val="0"/>
          <w:numId w:val="3"/>
        </w:numPr>
        <w:rPr>
          <w:rFonts w:ascii="Arial" w:cs="Arial" w:eastAsia="Arial" w:hAnsi="Arial"/>
          <w:sz w:val="18"/>
          <w:szCs w:val="18"/>
          <w:color w:val="auto"/>
        </w:rPr>
      </w:pPr>
      <w:r>
        <w:rPr>
          <w:rFonts w:ascii="Arial" w:cs="Arial" w:eastAsia="Arial" w:hAnsi="Arial"/>
          <w:sz w:val="18"/>
          <w:szCs w:val="18"/>
          <w:color w:val="auto"/>
        </w:rPr>
        <w:t>eighteen months from the closing date. Additionally, Pfizer also may be entitled up to an additional $225 million in cash contingent consideration based on the achievement of performance targets for the combined company for the three years ending December 31, 2019 ("Earnout Period"). In the event that the sum of our Adjusted EBITDA as defined in the Amended and Restated Stock and Asset Purchase Agreement between us and Pfizer (the “HIS Purchase Agreement”) for the three years in the Earnout Period (the "Cumulative Adjusted EBITDA") is equal to or exceeds approximately $1 billion ("the "Earnout Target"), then Pfizer will be entitled to receive the full amount of the earnout. In the event that the Cumulative Adjusted EBITDA is equal to or greater than 85% of the Earnout Target (but less than the Earnout Target), Pfizer will be entitled to receive the corresponding percentage of the earnout. In the event that the Cumulative</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121" w:right="25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38"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Adjusted EBITDA is less than 85% of the Earnout Target, then no earnout amount will be earned by Pfizer. The initial fair value of the earn-out was determined by employing a Monte Carlo simulation in a risk neutral framework. The underlying simulated variable was adjusted EBITDA. The adjusted EBITDA volatility estimate was based on a study of historical asset volatility for a set of comparable public companies. The model includes other assumptions including the market price of risk, which was calculated as the weighted average cost of capital ("WACC") less the long-term risk-free rate. We believe that the acquisition of the HIS business, which includes IV pumps, solutions and consumable devices complements our pre-existing business by creating a company that has a complete infusion therapy product portfolio. We believe that the acquisition significantly enhances our global footprint and platform for continued competitiveness and growth.</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purchase price allocation for HIS was completed during the fourth quarter of 2017.</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Final Purchase Price</w:t>
      </w:r>
    </w:p>
    <w:p>
      <w:pPr>
        <w:spacing w:after="0" w:line="225"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following table summarizes the final purchase price and the final allocation of the purchase price related to the assets and liabilities purchased (in thousands, except per share data):</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20" w:type="dxa"/>
            <w:vAlign w:val="bottom"/>
          </w:tcPr>
          <w:p>
            <w:pPr>
              <w:spacing w:after="0"/>
              <w:rPr>
                <w:sz w:val="23"/>
                <w:szCs w:val="23"/>
                <w:color w:val="auto"/>
              </w:rPr>
            </w:pPr>
          </w:p>
        </w:tc>
        <w:tc>
          <w:tcPr>
            <w:tcW w:w="9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consideration for acquired assets</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180,785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rPr>
              <w:t>Fair value of Seller Note</w:t>
            </w:r>
          </w:p>
        </w:tc>
        <w:tc>
          <w:tcPr>
            <w:tcW w:w="5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75,000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9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Fair value of contingent consideration payable to Pfizer (long-term)</w:t>
            </w: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19,000</w:t>
            </w: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9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9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Issuance of ICU Medical, Inc. common shares:</w:t>
            </w: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800" w:type="dxa"/>
            <w:vAlign w:val="bottom"/>
            <w:gridSpan w:val="2"/>
          </w:tcPr>
          <w:p>
            <w:pPr>
              <w:ind w:left="280"/>
              <w:spacing w:after="0"/>
              <w:rPr>
                <w:sz w:val="20"/>
                <w:szCs w:val="20"/>
                <w:color w:val="auto"/>
              </w:rPr>
            </w:pPr>
            <w:r>
              <w:rPr>
                <w:rFonts w:ascii="Arial" w:cs="Arial" w:eastAsia="Arial" w:hAnsi="Arial"/>
                <w:sz w:val="18"/>
                <w:szCs w:val="18"/>
                <w:color w:val="auto"/>
              </w:rPr>
              <w:t>Number of shares issued to Pfizer</w:t>
            </w:r>
          </w:p>
        </w:tc>
        <w:tc>
          <w:tcPr>
            <w:tcW w:w="5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3,200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98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Price per share (ICU's trading closing share price on the Closing Date)</w:t>
            </w: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140.75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800" w:type="dxa"/>
            <w:vAlign w:val="bottom"/>
            <w:gridSpan w:val="2"/>
          </w:tcPr>
          <w:p>
            <w:pPr>
              <w:ind w:left="280"/>
              <w:spacing w:after="0"/>
              <w:rPr>
                <w:sz w:val="20"/>
                <w:szCs w:val="20"/>
                <w:color w:val="auto"/>
              </w:rPr>
            </w:pPr>
            <w:r>
              <w:rPr>
                <w:rFonts w:ascii="Arial" w:cs="Arial" w:eastAsia="Arial" w:hAnsi="Arial"/>
                <w:sz w:val="18"/>
                <w:szCs w:val="18"/>
                <w:color w:val="auto"/>
              </w:rPr>
              <w:t>Market price of ICU shares issued to Pfizer</w:t>
            </w:r>
          </w:p>
        </w:tc>
        <w:tc>
          <w:tcPr>
            <w:tcW w:w="50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450,400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98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Less: Discount due to lack of marketability of 8.3%</w:t>
            </w:r>
          </w:p>
        </w:tc>
        <w:tc>
          <w:tcPr>
            <w:tcW w:w="5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(37,261)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800" w:type="dxa"/>
            <w:vAlign w:val="bottom"/>
            <w:gridSpan w:val="2"/>
          </w:tcPr>
          <w:p>
            <w:pPr>
              <w:ind w:left="280"/>
              <w:spacing w:after="0"/>
              <w:rPr>
                <w:sz w:val="20"/>
                <w:szCs w:val="20"/>
                <w:color w:val="auto"/>
              </w:rPr>
            </w:pPr>
            <w:r>
              <w:rPr>
                <w:rFonts w:ascii="Arial" w:cs="Arial" w:eastAsia="Arial" w:hAnsi="Arial"/>
                <w:sz w:val="18"/>
                <w:szCs w:val="18"/>
                <w:color w:val="auto"/>
              </w:rPr>
              <w:t>Equity portion of purchase price</w:t>
            </w:r>
          </w:p>
        </w:tc>
        <w:tc>
          <w:tcPr>
            <w:tcW w:w="5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413,139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6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9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Consideration</w:t>
            </w: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687,924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20" w:type="dxa"/>
            <w:vAlign w:val="bottom"/>
          </w:tcPr>
          <w:p>
            <w:pPr>
              <w:spacing w:after="0"/>
              <w:rPr>
                <w:sz w:val="24"/>
                <w:szCs w:val="24"/>
                <w:color w:val="auto"/>
              </w:rPr>
            </w:pPr>
          </w:p>
        </w:tc>
        <w:tc>
          <w:tcPr>
            <w:tcW w:w="9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9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Purchase Price Allocation:</w:t>
            </w:r>
          </w:p>
        </w:tc>
        <w:tc>
          <w:tcPr>
            <w:tcW w:w="5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6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Cash and cash equivalents</w:t>
            </w:r>
          </w:p>
        </w:tc>
        <w:tc>
          <w:tcPr>
            <w:tcW w:w="120" w:type="dxa"/>
            <w:vAlign w:val="bottom"/>
          </w:tcPr>
          <w:p>
            <w:pPr>
              <w:spacing w:after="0"/>
              <w:rPr>
                <w:sz w:val="20"/>
                <w:szCs w:val="20"/>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31,082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9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Trade receivables</w:t>
            </w: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rPr>
              <w:t>Inventories</w:t>
            </w:r>
          </w:p>
        </w:tc>
        <w:tc>
          <w:tcPr>
            <w:tcW w:w="5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417,622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9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Prepaid expenses and other assets</w:t>
            </w: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13,911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rPr>
              <w:t>Property and equipment</w:t>
            </w:r>
          </w:p>
        </w:tc>
        <w:tc>
          <w:tcPr>
            <w:tcW w:w="5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288,134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9800" w:type="dxa"/>
            <w:vAlign w:val="bottom"/>
            <w:gridSpan w:val="2"/>
            <w:shd w:val="clear" w:color="auto" w:fill="CCEEFF"/>
          </w:tcPr>
          <w:p>
            <w:pPr>
              <w:ind w:left="20"/>
              <w:spacing w:after="0" w:line="270" w:lineRule="exact"/>
              <w:rPr>
                <w:sz w:val="20"/>
                <w:szCs w:val="20"/>
                <w:color w:val="auto"/>
              </w:rPr>
            </w:pPr>
            <w:r>
              <w:rPr>
                <w:rFonts w:ascii="Arial" w:cs="Arial" w:eastAsia="Arial" w:hAnsi="Arial"/>
                <w:sz w:val="18"/>
                <w:szCs w:val="18"/>
                <w:color w:val="auto"/>
              </w:rPr>
              <w:t>Intangible assets</w:t>
            </w:r>
            <w:r>
              <w:rPr>
                <w:rFonts w:ascii="Arial" w:cs="Arial" w:eastAsia="Arial" w:hAnsi="Arial"/>
                <w:sz w:val="25"/>
                <w:szCs w:val="25"/>
                <w:color w:val="auto"/>
                <w:vertAlign w:val="superscript"/>
              </w:rPr>
              <w:t>(1)</w:t>
            </w:r>
          </w:p>
        </w:tc>
        <w:tc>
          <w:tcPr>
            <w:tcW w:w="5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131,000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rPr>
              <w:t>Other assets</w:t>
            </w:r>
          </w:p>
        </w:tc>
        <w:tc>
          <w:tcPr>
            <w:tcW w:w="5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29,270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9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(12,381)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rPr>
              <w:t>Accrued liabilities</w:t>
            </w:r>
          </w:p>
        </w:tc>
        <w:tc>
          <w:tcPr>
            <w:tcW w:w="5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(47,936)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9800" w:type="dxa"/>
            <w:vAlign w:val="bottom"/>
            <w:gridSpan w:val="2"/>
            <w:shd w:val="clear" w:color="auto" w:fill="CCEEFF"/>
          </w:tcPr>
          <w:p>
            <w:pPr>
              <w:ind w:left="20"/>
              <w:spacing w:after="0" w:line="270" w:lineRule="exact"/>
              <w:rPr>
                <w:sz w:val="20"/>
                <w:szCs w:val="20"/>
                <w:color w:val="auto"/>
              </w:rPr>
            </w:pPr>
            <w:r>
              <w:rPr>
                <w:rFonts w:ascii="Arial" w:cs="Arial" w:eastAsia="Arial" w:hAnsi="Arial"/>
                <w:sz w:val="18"/>
                <w:szCs w:val="18"/>
                <w:color w:val="auto"/>
              </w:rPr>
              <w:t>Long-term liabilities</w:t>
            </w:r>
            <w:r>
              <w:rPr>
                <w:rFonts w:ascii="Arial" w:cs="Arial" w:eastAsia="Arial" w:hAnsi="Arial"/>
                <w:sz w:val="25"/>
                <w:szCs w:val="25"/>
                <w:color w:val="auto"/>
                <w:vertAlign w:val="superscript"/>
              </w:rPr>
              <w:t>(2)</w:t>
            </w:r>
          </w:p>
        </w:tc>
        <w:tc>
          <w:tcPr>
            <w:tcW w:w="5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(67,170)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rPr>
              <w:t>Total identifiable net assets acquired</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783,894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6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9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Deferred tax liability</w:t>
            </w: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(25,080)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rPr>
              <w:t>Gain on Bargain Purchase</w:t>
            </w:r>
          </w:p>
        </w:tc>
        <w:tc>
          <w:tcPr>
            <w:tcW w:w="5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(70,890)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6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9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Purchase Consideration</w:t>
            </w: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687,924</w:t>
            </w:r>
          </w:p>
        </w:tc>
        <w:tc>
          <w:tcPr>
            <w:tcW w:w="0" w:type="dxa"/>
            <w:vAlign w:val="bottom"/>
          </w:tcPr>
          <w:p>
            <w:pPr>
              <w:spacing w:after="0"/>
              <w:rPr>
                <w:sz w:val="1"/>
                <w:szCs w:val="1"/>
                <w:color w:val="auto"/>
              </w:rPr>
            </w:pPr>
          </w:p>
        </w:tc>
      </w:tr>
      <w:tr>
        <w:trPr>
          <w:trHeight w:val="20"/>
        </w:trPr>
        <w:tc>
          <w:tcPr>
            <w:tcW w:w="9700" w:type="dxa"/>
            <w:vAlign w:val="bottom"/>
            <w:gridSpan w:val="2"/>
            <w:vMerge w:val="restart"/>
          </w:tcPr>
          <w:p>
            <w:pPr>
              <w:jc w:val="right"/>
              <w:ind w:right="6910"/>
              <w:spacing w:after="0"/>
              <w:rPr>
                <w:sz w:val="20"/>
                <w:szCs w:val="20"/>
                <w:color w:val="auto"/>
              </w:rPr>
            </w:pPr>
            <w:r>
              <w:rPr>
                <w:rFonts w:ascii="Arial" w:cs="Arial" w:eastAsia="Arial" w:hAnsi="Arial"/>
                <w:sz w:val="18"/>
                <w:szCs w:val="18"/>
                <w:color w:val="auto"/>
                <w:w w:val="89"/>
              </w:rPr>
              <w:t>______________________________</w:t>
            </w:r>
          </w:p>
        </w:tc>
        <w:tc>
          <w:tcPr>
            <w:tcW w:w="120" w:type="dxa"/>
            <w:vAlign w:val="bottom"/>
            <w:vMerge w:val="restart"/>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700" w:type="dxa"/>
            <w:vAlign w:val="bottom"/>
            <w:gridSpan w:val="2"/>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8"/>
        <w:spacing w:after="0" w:line="421" w:lineRule="auto"/>
        <w:tabs>
          <w:tab w:leader="none" w:pos="178" w:val="left"/>
        </w:tabs>
        <w:numPr>
          <w:ilvl w:val="0"/>
          <w:numId w:val="4"/>
        </w:numPr>
        <w:rPr>
          <w:rFonts w:ascii="Arial" w:cs="Arial" w:eastAsia="Arial" w:hAnsi="Arial"/>
          <w:sz w:val="20"/>
          <w:szCs w:val="20"/>
          <w:color w:val="auto"/>
          <w:vertAlign w:val="superscript"/>
        </w:rPr>
      </w:pPr>
      <w:r>
        <w:rPr>
          <w:rFonts w:ascii="Arial" w:cs="Arial" w:eastAsia="Arial" w:hAnsi="Arial"/>
          <w:sz w:val="15"/>
          <w:szCs w:val="15"/>
          <w:color w:val="auto"/>
        </w:rPr>
        <w:t>Identifiable intangible assets includes $48 million of customer relationships, $44 million of developed technology - pumps and dedicated sets, $34 million of developed technology - consumables, and $5 million of in-process research and development ("IPR&amp;D"). The weighted amortization period are as follows: approximately nine years for the total identifiable assets; eight years for customer relationships; ten years for the developed technology - pumps and dedicated sets; and twelve years for the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121" w:right="25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developed technology - consumables. The IPR&amp;D is non-amortizing until the associated research and development efforts are complete.</w:t>
      </w:r>
    </w:p>
    <w:p>
      <w:pPr>
        <w:spacing w:after="0" w:line="214" w:lineRule="exact"/>
        <w:rPr>
          <w:sz w:val="20"/>
          <w:szCs w:val="20"/>
          <w:color w:val="auto"/>
        </w:rPr>
      </w:pPr>
    </w:p>
    <w:p>
      <w:pPr>
        <w:ind w:left="180" w:hanging="172"/>
        <w:spacing w:after="0"/>
        <w:tabs>
          <w:tab w:leader="none" w:pos="180" w:val="left"/>
        </w:tabs>
        <w:numPr>
          <w:ilvl w:val="0"/>
          <w:numId w:val="5"/>
        </w:numPr>
        <w:rPr>
          <w:rFonts w:ascii="Arial" w:cs="Arial" w:eastAsia="Arial" w:hAnsi="Arial"/>
          <w:sz w:val="21"/>
          <w:szCs w:val="21"/>
          <w:color w:val="auto"/>
          <w:vertAlign w:val="superscript"/>
        </w:rPr>
      </w:pPr>
      <w:r>
        <w:rPr>
          <w:rFonts w:ascii="Arial" w:cs="Arial" w:eastAsia="Arial" w:hAnsi="Arial"/>
          <w:sz w:val="15"/>
          <w:szCs w:val="15"/>
          <w:color w:val="auto"/>
        </w:rPr>
        <w:t>Long-term liabilities primarily consisted of contract liabilities, product liabilities and long-term employee benefits.</w:t>
      </w:r>
    </w:p>
    <w:p>
      <w:pPr>
        <w:spacing w:after="0" w:line="202"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The fair value of the assets acquired and liabilities assumed exceeded the fair value of the consideration to be paid resulting in a bargain purchase gain. Before recognizing a gain on a bargain purchase, we reassessed the methods used in the purchase accounting and verified that we had identified all of the assets acquired and all of the liabilities assumed, and that there were no additional assets or liabilities to be considered. We also reevaluated the fair value of the contingent consideration transferred to determine that it was appropriate. We determined that the bargain purchase gain was primarily attributable to expected restructuring costs as well as a reduction to the initially agreed upon transaction price caused primarily by revenue shortfalls across all market segments of the HIS business, negative manufacturing variance due to the drop in revenue and higher operating and required stand up costs, when compared to forecasts of the HIS business at the time that the purchase price was agreed upon. After the continuing review of the product demand and operations of the HIS business, including the resulting expected restructuring activities, we forecasted our estimated Adjusted EBITDA from the HIS business in 2017 to be $35 million - $40 million, which is considerably lower than the forecast contemplated in initial negotiations with Pfizer, which resulted in an estimated fair value of $19 million related to the $225 million earn out. Restructuring costs, if incurred, would be expensed in future periods (see Note 4: Restructuring Charges). The bargain purchase gain is separately stated below income from operations in the accompanying condensed consolidated statements of operations for the three months ended March 31, 2017.</w:t>
      </w:r>
    </w:p>
    <w:p>
      <w:pPr>
        <w:spacing w:after="0" w:line="180"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 identifiable intangible assets and other long-lived assets acquired have been valued as Level 3 assets at fair market value. The estimated fair value of identifiable intangible assets were developed using the income approach and are based on critical estimates, judgments and assumptions derived from analysis of market conditions, discount rate, discounted cash flows, royalty rates, customer retention rates and estimated useful lives. Fixed assets were valued with the consideration of remaining economic lives. The raw materials inventory was valued at historical cost and adjusted for any obsolescence, the work in process was valued at estimated sales proceeds less costs to complete and costs to sell, and finished goods inventory was valued at estimated sales proceeds less costs to sell. The prepaid expenses and other current assets and assumed liabilities were recorded at their carrying values as of the date of the acquisition, as their carrying values approximated their fair values due to their short-term nature.</w:t>
      </w:r>
    </w:p>
    <w:p>
      <w:pPr>
        <w:spacing w:after="0" w:line="178"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On November 29, 2017, we acquired Medical Australia for total consideration of $9.0 million. Medical Australia delivers similar consumable Infusion products as our current businesses to Australia and surrounding regions. The purchase price allocation is preliminary and subject to future revision as the acquired assets and liabilities assumed are dependent upon the finalization of the related valuations.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Strategic Transaction and Integration Expenses</w:t>
      </w:r>
    </w:p>
    <w:p>
      <w:pPr>
        <w:spacing w:after="0" w:line="225"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We incurred and expensed $19.8 million in transaction and integration expenses during the three months ended March 31, 2018 primarily related to the integration of the HIS business. These costs primarily related to consulting, legal and the transitional service agreement. We incurred $21.1 million in transaction and integration expenses during the three months ended March 31, 2017. The transaction and integration expenses were primarily related to our acquisition of the HIS business.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Restructuring Charges</w:t>
      </w:r>
    </w:p>
    <w:p>
      <w:pPr>
        <w:spacing w:after="0" w:line="229"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During the three months ended March 31, 2018 and the year ended December 31, 2017, restructuring charges were incurred as a result of integrating the HIS acquired operations into our business and include severance costs related to involuntary employee terminations and facility exit costs related to the closure of the Dominican Republic manufacturing facility, which was sold in March 2018. All material charges in regard to these restructuring activities have been incurred as of March 31, 2018. The cumulative amount incurred to date in connection with the HIS acquisition is $20.6 million. Restructuring charges are included in the restructuring, strategic transaction and integration line item in our condensed consolidated statement of operations.</w:t>
      </w:r>
    </w:p>
    <w:p>
      <w:pPr>
        <w:spacing w:after="0" w:line="158" w:lineRule="exact"/>
        <w:rPr>
          <w:sz w:val="20"/>
          <w:szCs w:val="20"/>
          <w:color w:val="auto"/>
        </w:rPr>
      </w:pPr>
    </w:p>
    <w:p>
      <w:pPr>
        <w:ind w:right="240" w:firstLine="648"/>
        <w:spacing w:after="0" w:line="312" w:lineRule="auto"/>
        <w:rPr>
          <w:sz w:val="20"/>
          <w:szCs w:val="20"/>
          <w:color w:val="auto"/>
        </w:rPr>
      </w:pPr>
      <w:r>
        <w:rPr>
          <w:rFonts w:ascii="Arial" w:cs="Arial" w:eastAsia="Arial" w:hAnsi="Arial"/>
          <w:sz w:val="16"/>
          <w:szCs w:val="16"/>
          <w:color w:val="auto"/>
        </w:rPr>
        <w:t>During the year ended December 31, 2015, we incurred restructuring charges related to an agreement with Dr. Lopez, a member of our Board of Directors and a former employee in our research and development department, pursuant to which we bought out Dr. Lopez's right to employment under his then-existing employment agreement. The buy-out, including payroll taxes, is paid in equal monthly installments until December 2020.</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1"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summarizes the details of changes in our restructuring-related accrual for the period ending March 31, 2018 (in thousands):</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center"/>
              <w:ind w:right="34"/>
              <w:spacing w:after="0"/>
              <w:rPr>
                <w:sz w:val="20"/>
                <w:szCs w:val="20"/>
                <w:color w:val="auto"/>
              </w:rPr>
            </w:pPr>
            <w:r>
              <w:rPr>
                <w:rFonts w:ascii="Arial" w:cs="Arial" w:eastAsia="Arial" w:hAnsi="Arial"/>
                <w:sz w:val="16"/>
                <w:szCs w:val="16"/>
                <w:b w:val="1"/>
                <w:bCs w:val="1"/>
                <w:color w:val="auto"/>
                <w:w w:val="90"/>
              </w:rPr>
              <w:t>Accrued Balance</w:t>
            </w:r>
          </w:p>
        </w:tc>
      </w:tr>
      <w:tr>
        <w:trPr>
          <w:trHeight w:val="203"/>
        </w:trPr>
        <w:tc>
          <w:tcPr>
            <w:tcW w:w="4360" w:type="dxa"/>
            <w:vAlign w:val="bottom"/>
          </w:tcPr>
          <w:p>
            <w:pPr>
              <w:spacing w:after="0"/>
              <w:rPr>
                <w:sz w:val="17"/>
                <w:szCs w:val="17"/>
                <w:color w:val="auto"/>
              </w:rPr>
            </w:pPr>
          </w:p>
        </w:tc>
        <w:tc>
          <w:tcPr>
            <w:tcW w:w="1500" w:type="dxa"/>
            <w:vAlign w:val="bottom"/>
            <w:gridSpan w:val="3"/>
          </w:tcPr>
          <w:p>
            <w:pPr>
              <w:ind w:left="100"/>
              <w:spacing w:after="0"/>
              <w:rPr>
                <w:sz w:val="20"/>
                <w:szCs w:val="20"/>
                <w:color w:val="auto"/>
              </w:rPr>
            </w:pPr>
            <w:r>
              <w:rPr>
                <w:rFonts w:ascii="Arial" w:cs="Arial" w:eastAsia="Arial" w:hAnsi="Arial"/>
                <w:sz w:val="16"/>
                <w:szCs w:val="16"/>
                <w:b w:val="1"/>
                <w:bCs w:val="1"/>
                <w:color w:val="auto"/>
              </w:rPr>
              <w:t>Accrued Balance</w:t>
            </w:r>
          </w:p>
        </w:tc>
        <w:tc>
          <w:tcPr>
            <w:tcW w:w="220" w:type="dxa"/>
            <w:vAlign w:val="bottom"/>
          </w:tcPr>
          <w:p>
            <w:pPr>
              <w:spacing w:after="0"/>
              <w:rPr>
                <w:sz w:val="17"/>
                <w:szCs w:val="17"/>
                <w:color w:val="auto"/>
              </w:rPr>
            </w:pPr>
          </w:p>
        </w:tc>
        <w:tc>
          <w:tcPr>
            <w:tcW w:w="1140" w:type="dxa"/>
            <w:vAlign w:val="bottom"/>
            <w:gridSpan w:val="2"/>
          </w:tcPr>
          <w:p>
            <w:pPr>
              <w:ind w:left="120"/>
              <w:spacing w:after="0"/>
              <w:rPr>
                <w:sz w:val="20"/>
                <w:szCs w:val="20"/>
                <w:color w:val="auto"/>
              </w:rPr>
            </w:pPr>
            <w:r>
              <w:rPr>
                <w:rFonts w:ascii="Arial" w:cs="Arial" w:eastAsia="Arial" w:hAnsi="Arial"/>
                <w:sz w:val="16"/>
                <w:szCs w:val="16"/>
                <w:b w:val="1"/>
                <w:bCs w:val="1"/>
                <w:color w:val="auto"/>
              </w:rPr>
              <w:t>Charges</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8"/>
              </w:rPr>
              <w:t>Other</w:t>
            </w:r>
          </w:p>
        </w:tc>
        <w:tc>
          <w:tcPr>
            <w:tcW w:w="140" w:type="dxa"/>
            <w:vAlign w:val="bottom"/>
          </w:tcPr>
          <w:p>
            <w:pPr>
              <w:spacing w:after="0"/>
              <w:rPr>
                <w:sz w:val="17"/>
                <w:szCs w:val="17"/>
                <w:color w:val="auto"/>
              </w:rPr>
            </w:pPr>
          </w:p>
        </w:tc>
        <w:tc>
          <w:tcPr>
            <w:tcW w:w="1340" w:type="dxa"/>
            <w:vAlign w:val="bottom"/>
          </w:tcPr>
          <w:p>
            <w:pPr>
              <w:jc w:val="center"/>
              <w:ind w:right="54"/>
              <w:spacing w:after="0"/>
              <w:rPr>
                <w:sz w:val="20"/>
                <w:szCs w:val="20"/>
                <w:color w:val="auto"/>
              </w:rPr>
            </w:pPr>
            <w:r>
              <w:rPr>
                <w:rFonts w:ascii="Arial" w:cs="Arial" w:eastAsia="Arial" w:hAnsi="Arial"/>
                <w:sz w:val="16"/>
                <w:szCs w:val="16"/>
                <w:b w:val="1"/>
                <w:bCs w:val="1"/>
                <w:color w:val="auto"/>
                <w:w w:val="97"/>
              </w:rPr>
              <w:t>March 31,</w:t>
            </w:r>
          </w:p>
        </w:tc>
      </w:tr>
      <w:tr>
        <w:trPr>
          <w:trHeight w:val="210"/>
        </w:trPr>
        <w:tc>
          <w:tcPr>
            <w:tcW w:w="4360" w:type="dxa"/>
            <w:vAlign w:val="bottom"/>
          </w:tcPr>
          <w:p>
            <w:pPr>
              <w:spacing w:after="0"/>
              <w:rPr>
                <w:sz w:val="18"/>
                <w:szCs w:val="18"/>
                <w:color w:val="auto"/>
              </w:rPr>
            </w:pPr>
          </w:p>
        </w:tc>
        <w:tc>
          <w:tcPr>
            <w:tcW w:w="1500" w:type="dxa"/>
            <w:vAlign w:val="bottom"/>
            <w:gridSpan w:val="3"/>
          </w:tcPr>
          <w:p>
            <w:pPr>
              <w:ind w:left="40"/>
              <w:spacing w:after="0"/>
              <w:rPr>
                <w:sz w:val="20"/>
                <w:szCs w:val="20"/>
                <w:color w:val="auto"/>
              </w:rPr>
            </w:pPr>
            <w:r>
              <w:rPr>
                <w:rFonts w:ascii="Arial" w:cs="Arial" w:eastAsia="Arial" w:hAnsi="Arial"/>
                <w:sz w:val="16"/>
                <w:szCs w:val="16"/>
                <w:b w:val="1"/>
                <w:bCs w:val="1"/>
                <w:color w:val="auto"/>
                <w:w w:val="99"/>
              </w:rPr>
              <w:t>December 31, 2017</w:t>
            </w:r>
          </w:p>
        </w:tc>
        <w:tc>
          <w:tcPr>
            <w:tcW w:w="220" w:type="dxa"/>
            <w:vAlign w:val="bottom"/>
          </w:tcPr>
          <w:p>
            <w:pPr>
              <w:spacing w:after="0"/>
              <w:rPr>
                <w:sz w:val="18"/>
                <w:szCs w:val="18"/>
                <w:color w:val="auto"/>
              </w:rPr>
            </w:pPr>
          </w:p>
        </w:tc>
        <w:tc>
          <w:tcPr>
            <w:tcW w:w="1140" w:type="dxa"/>
            <w:vAlign w:val="bottom"/>
            <w:gridSpan w:val="2"/>
          </w:tcPr>
          <w:p>
            <w:pPr>
              <w:ind w:left="100"/>
              <w:spacing w:after="0"/>
              <w:rPr>
                <w:sz w:val="20"/>
                <w:szCs w:val="20"/>
                <w:color w:val="auto"/>
              </w:rPr>
            </w:pPr>
            <w:r>
              <w:rPr>
                <w:rFonts w:ascii="Arial" w:cs="Arial" w:eastAsia="Arial" w:hAnsi="Arial"/>
                <w:sz w:val="16"/>
                <w:szCs w:val="16"/>
                <w:b w:val="1"/>
                <w:bCs w:val="1"/>
                <w:color w:val="auto"/>
              </w:rPr>
              <w:t>Incurred</w:t>
            </w:r>
          </w:p>
        </w:tc>
        <w:tc>
          <w:tcPr>
            <w:tcW w:w="200" w:type="dxa"/>
            <w:vAlign w:val="bottom"/>
          </w:tcPr>
          <w:p>
            <w:pPr>
              <w:spacing w:after="0"/>
              <w:rPr>
                <w:sz w:val="18"/>
                <w:szCs w:val="18"/>
                <w:color w:val="auto"/>
              </w:rPr>
            </w:pPr>
          </w:p>
        </w:tc>
        <w:tc>
          <w:tcPr>
            <w:tcW w:w="1160" w:type="dxa"/>
            <w:vAlign w:val="bottom"/>
            <w:gridSpan w:val="2"/>
          </w:tcPr>
          <w:p>
            <w:pPr>
              <w:ind w:left="100"/>
              <w:spacing w:after="0"/>
              <w:rPr>
                <w:sz w:val="20"/>
                <w:szCs w:val="20"/>
                <w:color w:val="auto"/>
              </w:rPr>
            </w:pPr>
            <w:r>
              <w:rPr>
                <w:rFonts w:ascii="Arial" w:cs="Arial" w:eastAsia="Arial" w:hAnsi="Arial"/>
                <w:sz w:val="16"/>
                <w:szCs w:val="16"/>
                <w:b w:val="1"/>
                <w:bCs w:val="1"/>
                <w:color w:val="auto"/>
              </w:rPr>
              <w:t>Payments</w:t>
            </w:r>
          </w:p>
        </w:tc>
        <w:tc>
          <w:tcPr>
            <w:tcW w:w="16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Adjustments</w:t>
            </w:r>
          </w:p>
        </w:tc>
        <w:tc>
          <w:tcPr>
            <w:tcW w:w="140" w:type="dxa"/>
            <w:vAlign w:val="bottom"/>
          </w:tcPr>
          <w:p>
            <w:pPr>
              <w:spacing w:after="0"/>
              <w:rPr>
                <w:sz w:val="18"/>
                <w:szCs w:val="18"/>
                <w:color w:val="auto"/>
              </w:rPr>
            </w:pPr>
          </w:p>
        </w:tc>
        <w:tc>
          <w:tcPr>
            <w:tcW w:w="1340" w:type="dxa"/>
            <w:vAlign w:val="bottom"/>
          </w:tcPr>
          <w:p>
            <w:pPr>
              <w:jc w:val="center"/>
              <w:ind w:right="14"/>
              <w:spacing w:after="0"/>
              <w:rPr>
                <w:sz w:val="20"/>
                <w:szCs w:val="20"/>
                <w:color w:val="auto"/>
              </w:rPr>
            </w:pPr>
            <w:r>
              <w:rPr>
                <w:rFonts w:ascii="Arial" w:cs="Arial" w:eastAsia="Arial" w:hAnsi="Arial"/>
                <w:sz w:val="16"/>
                <w:szCs w:val="16"/>
                <w:b w:val="1"/>
                <w:bCs w:val="1"/>
                <w:color w:val="auto"/>
                <w:w w:val="89"/>
              </w:rPr>
              <w:t>2018</w:t>
            </w:r>
          </w:p>
        </w:tc>
      </w:tr>
      <w:tr>
        <w:trPr>
          <w:trHeight w:val="33"/>
        </w:trPr>
        <w:tc>
          <w:tcPr>
            <w:tcW w:w="43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Severance pay and benefits</w:t>
            </w:r>
          </w:p>
        </w:tc>
        <w:tc>
          <w:tcPr>
            <w:tcW w:w="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1,772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1,027</w:t>
            </w: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Employment agreement buyout</w:t>
            </w:r>
          </w:p>
        </w:tc>
        <w:tc>
          <w:tcPr>
            <w:tcW w:w="5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1,114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1,011</w:t>
            </w:r>
          </w:p>
        </w:tc>
      </w:tr>
      <w:tr>
        <w:trPr>
          <w:trHeight w:val="27"/>
        </w:trPr>
        <w:tc>
          <w:tcPr>
            <w:tcW w:w="4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Facility closure expenses</w:t>
            </w:r>
          </w:p>
        </w:tc>
        <w:tc>
          <w:tcPr>
            <w:tcW w:w="5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37"/>
        </w:trPr>
        <w:tc>
          <w:tcPr>
            <w:tcW w:w="4360" w:type="dxa"/>
            <w:vAlign w:val="bottom"/>
          </w:tcPr>
          <w:p>
            <w:pPr>
              <w:spacing w:after="0"/>
              <w:rPr>
                <w:sz w:val="20"/>
                <w:szCs w:val="20"/>
                <w:color w:val="auto"/>
              </w:rPr>
            </w:pPr>
          </w:p>
        </w:tc>
        <w:tc>
          <w:tcPr>
            <w:tcW w:w="5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2,029</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1,800</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(1,784)</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2,038</w:t>
            </w:r>
          </w:p>
        </w:tc>
      </w:tr>
      <w:tr>
        <w:trPr>
          <w:trHeight w:val="27"/>
        </w:trPr>
        <w:tc>
          <w:tcPr>
            <w:tcW w:w="436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
        </w:trPr>
        <w:tc>
          <w:tcPr>
            <w:tcW w:w="43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Revenue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Adoption of ASC Topic 606, “Revenue from Contracts with Customers”</w:t>
      </w:r>
    </w:p>
    <w:p>
      <w:pPr>
        <w:spacing w:after="0" w:line="144" w:lineRule="exact"/>
        <w:rPr>
          <w:sz w:val="20"/>
          <w:szCs w:val="20"/>
          <w:color w:val="auto"/>
        </w:rPr>
      </w:pPr>
    </w:p>
    <w:p>
      <w:pPr>
        <w:ind w:right="320" w:firstLine="648"/>
        <w:spacing w:after="0" w:line="259" w:lineRule="auto"/>
        <w:rPr>
          <w:sz w:val="20"/>
          <w:szCs w:val="20"/>
          <w:color w:val="auto"/>
        </w:rPr>
      </w:pPr>
      <w:r>
        <w:rPr>
          <w:rFonts w:ascii="Arial" w:cs="Arial" w:eastAsia="Arial" w:hAnsi="Arial"/>
          <w:sz w:val="18"/>
          <w:szCs w:val="18"/>
          <w:color w:val="auto"/>
        </w:rPr>
        <w:t>We adopted ASU No. 2014-09, Revenue from Contracts with Customers (ASC Topic 606), effective January 1, 2018 using the modified retrospective method applied to those contracts which were not completed as of January 1, 2018. Results for reporting beginning after January 1, 2018 are presented under ASC Topic 606, while prior period amounts are not adjusted and will continue to be reported in accordance with our historic accounting under ASC Topic 605, Revenue Recognition.</w:t>
      </w:r>
    </w:p>
    <w:p>
      <w:pPr>
        <w:spacing w:after="0" w:line="187" w:lineRule="exact"/>
        <w:rPr>
          <w:sz w:val="20"/>
          <w:szCs w:val="20"/>
          <w:color w:val="auto"/>
        </w:rPr>
      </w:pPr>
    </w:p>
    <w:p>
      <w:pPr>
        <w:ind w:right="140" w:firstLine="648"/>
        <w:spacing w:after="0" w:line="271" w:lineRule="auto"/>
        <w:rPr>
          <w:sz w:val="20"/>
          <w:szCs w:val="20"/>
          <w:color w:val="auto"/>
        </w:rPr>
      </w:pPr>
      <w:r>
        <w:rPr>
          <w:rFonts w:ascii="Arial" w:cs="Arial" w:eastAsia="Arial" w:hAnsi="Arial"/>
          <w:sz w:val="17"/>
          <w:szCs w:val="17"/>
          <w:color w:val="auto"/>
        </w:rPr>
        <w:t>Due to the cumulative impact, net of tax, of adopting ASC Topic 606, we recorded a net increase of $6.3 million to opening retained earnings as of January 1, 2018. The impact is primarily related to our bundled arrangements where we sell software licenses and implementation services, in addition to equipment, consumables and solutions. Under ASC Topic 605, revenue for the equipment was recognized upon delivery and software licenses and implementation services were typically recognized over the contract term. Under ASC Topic 606, revenue for the bundled equipment, software and software implementation services are recognized upon implementation. This results in an acceleration of software related revenue, offset by a delay in the recognition of related revenue of the equipment. Under ASC Topic 605, consumables and solutions revenues were typically recognized upon delivery. Under ASC 606, consumables and solutions revenues are recognized as the customer obtains control of the asset, which is at shipping point. This results in an acceleration in the recognition of consumables and solutions revenue.</w:t>
      </w:r>
    </w:p>
    <w:p>
      <w:pPr>
        <w:spacing w:after="0" w:line="179"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Additionally, the timing of revenue recognition for software license renewals changed under ASC Topic 606. Under ASC Topic 605, revenue related to software renewals was recognized on a ratable basis over the license period. Under ASC Topic 606, the license, which is considered functional IP, is considered to be transferred to the customer at a point in time, specifically, at the start of each annual renewal period. As a result, under ASC Topic 606, revenue related to our annual software license renewals is accelerated when compared to ASC Topic 605.</w:t>
      </w:r>
    </w:p>
    <w:p>
      <w:pPr>
        <w:spacing w:after="0" w:line="171"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Revenues are recognized when control of the promised goods or services is transferred to the customer, in an amount that reflects the consideration we expect to be entitled to in exchange for those goods or services.</w:t>
      </w:r>
    </w:p>
    <w:p>
      <w:pPr>
        <w:spacing w:after="0" w:line="170"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The following tables represent the amounts by which each financial statement line item is affected in the current year as a result of applying ASC Topic 606 (in thousands):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680" w:type="dxa"/>
            <w:vAlign w:val="bottom"/>
            <w:gridSpan w:val="7"/>
          </w:tcPr>
          <w:p>
            <w:pPr>
              <w:jc w:val="center"/>
              <w:ind w:right="270"/>
              <w:spacing w:after="0"/>
              <w:rPr>
                <w:sz w:val="20"/>
                <w:szCs w:val="20"/>
                <w:color w:val="auto"/>
              </w:rPr>
            </w:pPr>
            <w:r>
              <w:rPr>
                <w:rFonts w:ascii="Arial" w:cs="Arial" w:eastAsia="Arial" w:hAnsi="Arial"/>
                <w:sz w:val="18"/>
                <w:szCs w:val="18"/>
                <w:b w:val="1"/>
                <w:bCs w:val="1"/>
                <w:color w:val="auto"/>
                <w:w w:val="90"/>
              </w:rPr>
              <w:t>For the three months ended March 31, 2018</w:t>
            </w:r>
          </w:p>
        </w:tc>
      </w:tr>
      <w:tr>
        <w:trPr>
          <w:trHeight w:val="27"/>
        </w:trPr>
        <w:tc>
          <w:tcPr>
            <w:tcW w:w="43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18"/>
        </w:trPr>
        <w:tc>
          <w:tcPr>
            <w:tcW w:w="4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Without Adoption of ASC</w:t>
            </w:r>
          </w:p>
        </w:tc>
        <w:tc>
          <w:tcPr>
            <w:tcW w:w="280" w:type="dxa"/>
            <w:vAlign w:val="bottom"/>
          </w:tcPr>
          <w:p>
            <w:pPr>
              <w:spacing w:after="0"/>
              <w:rPr>
                <w:sz w:val="18"/>
                <w:szCs w:val="18"/>
                <w:color w:val="auto"/>
              </w:rPr>
            </w:pPr>
          </w:p>
        </w:tc>
        <w:tc>
          <w:tcPr>
            <w:tcW w:w="2000" w:type="dxa"/>
            <w:vAlign w:val="bottom"/>
          </w:tcPr>
          <w:p>
            <w:pPr>
              <w:spacing w:after="0"/>
              <w:rPr>
                <w:sz w:val="18"/>
                <w:szCs w:val="18"/>
                <w:color w:val="auto"/>
              </w:rPr>
            </w:pPr>
          </w:p>
        </w:tc>
      </w:tr>
      <w:tr>
        <w:trPr>
          <w:trHeight w:val="234"/>
        </w:trPr>
        <w:tc>
          <w:tcPr>
            <w:tcW w:w="4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0" w:type="dxa"/>
            <w:vAlign w:val="bottom"/>
            <w:gridSpan w:val="2"/>
          </w:tcPr>
          <w:p>
            <w:pPr>
              <w:ind w:left="280"/>
              <w:spacing w:after="0"/>
              <w:rPr>
                <w:sz w:val="20"/>
                <w:szCs w:val="20"/>
                <w:color w:val="auto"/>
              </w:rPr>
            </w:pPr>
            <w:r>
              <w:rPr>
                <w:rFonts w:ascii="Arial" w:cs="Arial" w:eastAsia="Arial" w:hAnsi="Arial"/>
                <w:sz w:val="18"/>
                <w:szCs w:val="18"/>
                <w:b w:val="1"/>
                <w:bCs w:val="1"/>
                <w:color w:val="auto"/>
              </w:rPr>
              <w:t>As Reported</w:t>
            </w:r>
          </w:p>
        </w:tc>
        <w:tc>
          <w:tcPr>
            <w:tcW w:w="140" w:type="dxa"/>
            <w:vAlign w:val="bottom"/>
          </w:tcPr>
          <w:p>
            <w:pPr>
              <w:spacing w:after="0"/>
              <w:rPr>
                <w:sz w:val="20"/>
                <w:szCs w:val="20"/>
                <w:color w:val="auto"/>
              </w:rPr>
            </w:pPr>
          </w:p>
        </w:tc>
        <w:tc>
          <w:tcPr>
            <w:tcW w:w="2140" w:type="dxa"/>
            <w:vAlign w:val="bottom"/>
          </w:tcPr>
          <w:p>
            <w:pPr>
              <w:jc w:val="center"/>
              <w:ind w:right="30"/>
              <w:spacing w:after="0"/>
              <w:rPr>
                <w:sz w:val="20"/>
                <w:szCs w:val="20"/>
                <w:color w:val="auto"/>
              </w:rPr>
            </w:pPr>
            <w:r>
              <w:rPr>
                <w:rFonts w:ascii="Arial" w:cs="Arial" w:eastAsia="Arial" w:hAnsi="Arial"/>
                <w:sz w:val="18"/>
                <w:szCs w:val="18"/>
                <w:b w:val="1"/>
                <w:bCs w:val="1"/>
                <w:color w:val="auto"/>
                <w:w w:val="86"/>
              </w:rPr>
              <w:t>606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0" w:type="dxa"/>
            <w:vAlign w:val="bottom"/>
          </w:tcPr>
          <w:p>
            <w:pPr>
              <w:jc w:val="right"/>
              <w:ind w:right="350"/>
              <w:spacing w:after="0"/>
              <w:rPr>
                <w:sz w:val="20"/>
                <w:szCs w:val="20"/>
                <w:color w:val="auto"/>
              </w:rPr>
            </w:pPr>
            <w:r>
              <w:rPr>
                <w:rFonts w:ascii="Arial" w:cs="Arial" w:eastAsia="Arial" w:hAnsi="Arial"/>
                <w:sz w:val="18"/>
                <w:szCs w:val="18"/>
                <w:b w:val="1"/>
                <w:bCs w:val="1"/>
                <w:color w:val="auto"/>
                <w:w w:val="98"/>
              </w:rPr>
              <w:t>Effect of Adoption</w:t>
            </w:r>
          </w:p>
        </w:tc>
      </w:tr>
      <w:tr>
        <w:trPr>
          <w:trHeight w:val="27"/>
        </w:trPr>
        <w:tc>
          <w:tcPr>
            <w:tcW w:w="43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44"/>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372,033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374,045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(2,012)</w:t>
            </w: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223,032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140" w:type="dxa"/>
            <w:vAlign w:val="bottom"/>
          </w:tcPr>
          <w:p>
            <w:pPr>
              <w:jc w:val="right"/>
              <w:ind w:right="10"/>
              <w:spacing w:after="0"/>
              <w:rPr>
                <w:sz w:val="20"/>
                <w:szCs w:val="20"/>
                <w:color w:val="auto"/>
              </w:rPr>
            </w:pPr>
            <w:r>
              <w:rPr>
                <w:rFonts w:ascii="Arial" w:cs="Arial" w:eastAsia="Arial" w:hAnsi="Arial"/>
                <w:sz w:val="18"/>
                <w:szCs w:val="18"/>
                <w:color w:val="auto"/>
              </w:rPr>
              <w:t>223,011</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21</w:t>
            </w:r>
          </w:p>
        </w:tc>
      </w:tr>
      <w:tr>
        <w:trPr>
          <w:trHeight w:val="27"/>
        </w:trPr>
        <w:tc>
          <w:tcPr>
            <w:tcW w:w="4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149,001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151,034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(2,033)</w:t>
            </w:r>
          </w:p>
        </w:tc>
      </w:tr>
      <w:tr>
        <w:trPr>
          <w:trHeight w:val="459"/>
        </w:trPr>
        <w:tc>
          <w:tcPr>
            <w:tcW w:w="4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900" w:type="dxa"/>
            <w:vAlign w:val="bottom"/>
          </w:tcPr>
          <w:p>
            <w:pPr>
              <w:jc w:val="right"/>
              <w:ind w:right="75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6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As of March 31, 2018</w:t>
            </w:r>
          </w:p>
        </w:tc>
        <w:tc>
          <w:tcPr>
            <w:tcW w:w="280" w:type="dxa"/>
            <w:vAlign w:val="bottom"/>
          </w:tcPr>
          <w:p>
            <w:pPr>
              <w:spacing w:after="0"/>
              <w:rPr>
                <w:sz w:val="20"/>
                <w:szCs w:val="20"/>
                <w:color w:val="auto"/>
              </w:rPr>
            </w:pPr>
          </w:p>
        </w:tc>
        <w:tc>
          <w:tcPr>
            <w:tcW w:w="2000" w:type="dxa"/>
            <w:vAlign w:val="bottom"/>
          </w:tcPr>
          <w:p>
            <w:pPr>
              <w:spacing w:after="0"/>
              <w:rPr>
                <w:sz w:val="20"/>
                <w:szCs w:val="20"/>
                <w:color w:val="auto"/>
              </w:rPr>
            </w:pPr>
          </w:p>
        </w:tc>
      </w:tr>
      <w:tr>
        <w:trPr>
          <w:trHeight w:val="27"/>
        </w:trPr>
        <w:tc>
          <w:tcPr>
            <w:tcW w:w="4360" w:type="dxa"/>
            <w:vAlign w:val="bottom"/>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18"/>
        </w:trPr>
        <w:tc>
          <w:tcPr>
            <w:tcW w:w="43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Without Adoption of ASC</w:t>
            </w:r>
          </w:p>
        </w:tc>
        <w:tc>
          <w:tcPr>
            <w:tcW w:w="280" w:type="dxa"/>
            <w:vAlign w:val="bottom"/>
          </w:tcPr>
          <w:p>
            <w:pPr>
              <w:spacing w:after="0"/>
              <w:rPr>
                <w:sz w:val="18"/>
                <w:szCs w:val="18"/>
                <w:color w:val="auto"/>
              </w:rPr>
            </w:pPr>
          </w:p>
        </w:tc>
        <w:tc>
          <w:tcPr>
            <w:tcW w:w="2000" w:type="dxa"/>
            <w:vAlign w:val="bottom"/>
          </w:tcPr>
          <w:p>
            <w:pPr>
              <w:spacing w:after="0"/>
              <w:rPr>
                <w:sz w:val="18"/>
                <w:szCs w:val="18"/>
                <w:color w:val="auto"/>
              </w:rPr>
            </w:pPr>
          </w:p>
        </w:tc>
      </w:tr>
      <w:tr>
        <w:trPr>
          <w:trHeight w:val="234"/>
        </w:trPr>
        <w:tc>
          <w:tcPr>
            <w:tcW w:w="4360" w:type="dxa"/>
            <w:vAlign w:val="bottom"/>
          </w:tcPr>
          <w:p>
            <w:pPr>
              <w:spacing w:after="0"/>
              <w:rPr>
                <w:sz w:val="20"/>
                <w:szCs w:val="20"/>
                <w:color w:val="auto"/>
              </w:rPr>
            </w:pPr>
          </w:p>
        </w:tc>
        <w:tc>
          <w:tcPr>
            <w:tcW w:w="2380" w:type="dxa"/>
            <w:vAlign w:val="bottom"/>
            <w:gridSpan w:val="2"/>
          </w:tcPr>
          <w:p>
            <w:pPr>
              <w:ind w:left="660"/>
              <w:spacing w:after="0"/>
              <w:rPr>
                <w:sz w:val="20"/>
                <w:szCs w:val="20"/>
                <w:color w:val="auto"/>
              </w:rPr>
            </w:pPr>
            <w:r>
              <w:rPr>
                <w:rFonts w:ascii="Arial" w:cs="Arial" w:eastAsia="Arial" w:hAnsi="Arial"/>
                <w:sz w:val="18"/>
                <w:szCs w:val="18"/>
                <w:b w:val="1"/>
                <w:bCs w:val="1"/>
                <w:color w:val="auto"/>
              </w:rPr>
              <w:t>As Reported</w:t>
            </w:r>
          </w:p>
        </w:tc>
        <w:tc>
          <w:tcPr>
            <w:tcW w:w="140" w:type="dxa"/>
            <w:vAlign w:val="bottom"/>
          </w:tcPr>
          <w:p>
            <w:pPr>
              <w:spacing w:after="0"/>
              <w:rPr>
                <w:sz w:val="20"/>
                <w:szCs w:val="20"/>
                <w:color w:val="auto"/>
              </w:rPr>
            </w:pPr>
          </w:p>
        </w:tc>
        <w:tc>
          <w:tcPr>
            <w:tcW w:w="22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Topic 606</w:t>
            </w:r>
          </w:p>
        </w:tc>
        <w:tc>
          <w:tcPr>
            <w:tcW w:w="280" w:type="dxa"/>
            <w:vAlign w:val="bottom"/>
          </w:tcPr>
          <w:p>
            <w:pPr>
              <w:spacing w:after="0"/>
              <w:rPr>
                <w:sz w:val="20"/>
                <w:szCs w:val="20"/>
                <w:color w:val="auto"/>
              </w:rPr>
            </w:pPr>
          </w:p>
        </w:tc>
        <w:tc>
          <w:tcPr>
            <w:tcW w:w="2000" w:type="dxa"/>
            <w:vAlign w:val="bottom"/>
          </w:tcPr>
          <w:p>
            <w:pPr>
              <w:jc w:val="right"/>
              <w:ind w:right="350"/>
              <w:spacing w:after="0"/>
              <w:rPr>
                <w:sz w:val="20"/>
                <w:szCs w:val="20"/>
                <w:color w:val="auto"/>
              </w:rPr>
            </w:pPr>
            <w:r>
              <w:rPr>
                <w:rFonts w:ascii="Arial" w:cs="Arial" w:eastAsia="Arial" w:hAnsi="Arial"/>
                <w:sz w:val="18"/>
                <w:szCs w:val="18"/>
                <w:b w:val="1"/>
                <w:bCs w:val="1"/>
                <w:color w:val="auto"/>
                <w:w w:val="98"/>
              </w:rPr>
              <w:t>Effect of Adoption</w:t>
            </w:r>
          </w:p>
        </w:tc>
      </w:tr>
      <w:tr>
        <w:trPr>
          <w:trHeight w:val="27"/>
        </w:trPr>
        <w:tc>
          <w:tcPr>
            <w:tcW w:w="4360" w:type="dxa"/>
            <w:vAlign w:val="bottom"/>
            <w:tcBorders>
              <w:bottom w:val="single" w:sz="8" w:color="CCEEFF"/>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44"/>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Prepaid expenses and other current assets</w:t>
            </w:r>
          </w:p>
        </w:tc>
        <w:tc>
          <w:tcPr>
            <w:tcW w:w="2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32,406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35,529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(3,123)</w:t>
            </w: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Accrued liabilities</w:t>
            </w:r>
          </w:p>
        </w:tc>
        <w:tc>
          <w:tcPr>
            <w:tcW w:w="2280" w:type="dxa"/>
            <w:vAlign w:val="bottom"/>
          </w:tcPr>
          <w:p>
            <w:pPr>
              <w:jc w:val="right"/>
              <w:ind w:right="10"/>
              <w:spacing w:after="0"/>
              <w:rPr>
                <w:sz w:val="20"/>
                <w:szCs w:val="20"/>
                <w:color w:val="auto"/>
              </w:rPr>
            </w:pPr>
            <w:r>
              <w:rPr>
                <w:rFonts w:ascii="Arial" w:cs="Arial" w:eastAsia="Arial" w:hAnsi="Arial"/>
                <w:sz w:val="18"/>
                <w:szCs w:val="18"/>
                <w:color w:val="auto"/>
              </w:rPr>
              <w:t>116,448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140" w:type="dxa"/>
            <w:vAlign w:val="bottom"/>
          </w:tcPr>
          <w:p>
            <w:pPr>
              <w:jc w:val="right"/>
              <w:ind w:right="10"/>
              <w:spacing w:after="0"/>
              <w:rPr>
                <w:sz w:val="20"/>
                <w:szCs w:val="20"/>
                <w:color w:val="auto"/>
              </w:rPr>
            </w:pPr>
            <w:r>
              <w:rPr>
                <w:rFonts w:ascii="Arial" w:cs="Arial" w:eastAsia="Arial" w:hAnsi="Arial"/>
                <w:sz w:val="18"/>
                <w:szCs w:val="18"/>
                <w:color w:val="auto"/>
              </w:rPr>
              <w:t>129,932</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2000" w:type="dxa"/>
            <w:vAlign w:val="bottom"/>
          </w:tcPr>
          <w:p>
            <w:pPr>
              <w:jc w:val="right"/>
              <w:spacing w:after="0"/>
              <w:rPr>
                <w:sz w:val="20"/>
                <w:szCs w:val="20"/>
                <w:color w:val="auto"/>
              </w:rPr>
            </w:pPr>
            <w:r>
              <w:rPr>
                <w:rFonts w:ascii="Arial" w:cs="Arial" w:eastAsia="Arial" w:hAnsi="Arial"/>
                <w:sz w:val="18"/>
                <w:szCs w:val="18"/>
                <w:color w:val="auto"/>
              </w:rPr>
              <w:t>(13,484)</w:t>
            </w:r>
          </w:p>
        </w:tc>
      </w:tr>
      <w:tr>
        <w:trPr>
          <w:trHeight w:val="27"/>
        </w:trPr>
        <w:tc>
          <w:tcPr>
            <w:tcW w:w="43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43"/>
        </w:trPr>
        <w:tc>
          <w:tcPr>
            <w:tcW w:w="4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2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20,073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22,072</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(1,999)</w:t>
            </w:r>
          </w:p>
        </w:tc>
      </w:tr>
      <w:tr>
        <w:trPr>
          <w:trHeight w:val="27"/>
        </w:trPr>
        <w:tc>
          <w:tcPr>
            <w:tcW w:w="4360" w:type="dxa"/>
            <w:vAlign w:val="bottom"/>
            <w:shd w:val="clear" w:color="auto" w:fill="CCEEFF"/>
          </w:tcPr>
          <w:p>
            <w:pPr>
              <w:spacing w:after="0"/>
              <w:rPr>
                <w:sz w:val="2"/>
                <w:szCs w:val="2"/>
                <w:color w:val="auto"/>
              </w:rPr>
            </w:pPr>
          </w:p>
        </w:tc>
        <w:tc>
          <w:tcPr>
            <w:tcW w:w="2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0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represents our revenues disaggregated by geography (in thousands):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180" w:type="dxa"/>
            <w:vAlign w:val="bottom"/>
            <w:gridSpan w:val="4"/>
          </w:tcPr>
          <w:p>
            <w:pPr>
              <w:jc w:val="right"/>
              <w:ind w:right="750"/>
              <w:spacing w:after="0"/>
              <w:rPr>
                <w:sz w:val="20"/>
                <w:szCs w:val="20"/>
                <w:color w:val="auto"/>
              </w:rPr>
            </w:pPr>
            <w:r>
              <w:rPr>
                <w:rFonts w:ascii="Arial" w:cs="Arial" w:eastAsia="Arial" w:hAnsi="Arial"/>
                <w:sz w:val="18"/>
                <w:szCs w:val="18"/>
                <w:b w:val="1"/>
                <w:bCs w:val="1"/>
                <w:color w:val="auto"/>
              </w:rPr>
              <w:t>For the three months ended March 31,</w:t>
            </w:r>
          </w:p>
        </w:tc>
      </w:tr>
      <w:tr>
        <w:trPr>
          <w:trHeight w:val="27"/>
        </w:trPr>
        <w:tc>
          <w:tcPr>
            <w:tcW w:w="674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Geography</w:t>
            </w:r>
          </w:p>
        </w:tc>
        <w:tc>
          <w:tcPr>
            <w:tcW w:w="50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tcPr>
          <w:p>
            <w:pPr>
              <w:jc w:val="right"/>
              <w:ind w:right="770"/>
              <w:spacing w:after="0" w:line="264" w:lineRule="exact"/>
              <w:rPr>
                <w:sz w:val="20"/>
                <w:szCs w:val="20"/>
                <w:color w:val="auto"/>
              </w:rPr>
            </w:pPr>
            <w:r>
              <w:rPr>
                <w:rFonts w:ascii="Arial" w:cs="Arial" w:eastAsia="Arial" w:hAnsi="Arial"/>
                <w:sz w:val="18"/>
                <w:szCs w:val="18"/>
                <w:b w:val="1"/>
                <w:bCs w:val="1"/>
                <w:color w:val="auto"/>
              </w:rPr>
              <w:t xml:space="preserve">2017 </w:t>
            </w:r>
            <w:r>
              <w:rPr>
                <w:rFonts w:ascii="Arial" w:cs="Arial" w:eastAsia="Arial" w:hAnsi="Arial"/>
                <w:sz w:val="25"/>
                <w:szCs w:val="25"/>
                <w:b w:val="1"/>
                <w:bCs w:val="1"/>
                <w:color w:val="auto"/>
                <w:vertAlign w:val="superscript"/>
              </w:rPr>
              <w:t>(1)</w:t>
            </w:r>
          </w:p>
        </w:tc>
      </w:tr>
      <w:tr>
        <w:trPr>
          <w:trHeight w:val="244"/>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EMEA</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39,524</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24,953</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APAC</w:t>
            </w:r>
          </w:p>
        </w:tc>
        <w:tc>
          <w:tcPr>
            <w:tcW w:w="50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18,624</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11,416</w:t>
            </w:r>
          </w:p>
        </w:tc>
      </w:tr>
      <w:tr>
        <w:trPr>
          <w:trHeight w:val="27"/>
        </w:trPr>
        <w:tc>
          <w:tcPr>
            <w:tcW w:w="6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LATAM</w:t>
            </w:r>
          </w:p>
        </w:tc>
        <w:tc>
          <w:tcPr>
            <w:tcW w:w="5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13,093</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6,477</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North America</w:t>
            </w:r>
          </w:p>
        </w:tc>
        <w:tc>
          <w:tcPr>
            <w:tcW w:w="50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19,135</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11,561</w:t>
            </w:r>
          </w:p>
        </w:tc>
      </w:tr>
      <w:tr>
        <w:trPr>
          <w:trHeight w:val="27"/>
        </w:trPr>
        <w:tc>
          <w:tcPr>
            <w:tcW w:w="6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50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Total Foreign</w:t>
            </w:r>
          </w:p>
        </w:tc>
        <w:tc>
          <w:tcPr>
            <w:tcW w:w="500" w:type="dxa"/>
            <w:vAlign w:val="bottom"/>
            <w:tcBorders>
              <w:top w:val="single" w:sz="8" w:color="auto"/>
            </w:tcBorders>
          </w:tcPr>
          <w:p>
            <w:pPr>
              <w:spacing w:after="0"/>
              <w:rPr>
                <w:sz w:val="20"/>
                <w:szCs w:val="20"/>
                <w:color w:val="auto"/>
              </w:rPr>
            </w:pPr>
          </w:p>
        </w:tc>
        <w:tc>
          <w:tcPr>
            <w:tcW w:w="17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90,456</w:t>
            </w: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54,407</w:t>
            </w:r>
          </w:p>
        </w:tc>
      </w:tr>
      <w:tr>
        <w:trPr>
          <w:trHeight w:val="27"/>
        </w:trPr>
        <w:tc>
          <w:tcPr>
            <w:tcW w:w="67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United States</w:t>
            </w:r>
          </w:p>
        </w:tc>
        <w:tc>
          <w:tcPr>
            <w:tcW w:w="50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281,577</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193,332</w:t>
            </w: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Total Revenues</w:t>
            </w: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372,033</w:t>
            </w:r>
          </w:p>
        </w:tc>
        <w:tc>
          <w:tcPr>
            <w:tcW w:w="12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247,739</w:t>
            </w:r>
          </w:p>
        </w:tc>
      </w:tr>
      <w:tr>
        <w:trPr>
          <w:trHeight w:val="20"/>
        </w:trPr>
        <w:tc>
          <w:tcPr>
            <w:tcW w:w="67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represents our revenues disaggregated by product (in thousands):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180" w:type="dxa"/>
            <w:vAlign w:val="bottom"/>
            <w:gridSpan w:val="4"/>
          </w:tcPr>
          <w:p>
            <w:pPr>
              <w:jc w:val="right"/>
              <w:ind w:right="750"/>
              <w:spacing w:after="0"/>
              <w:rPr>
                <w:sz w:val="20"/>
                <w:szCs w:val="20"/>
                <w:color w:val="auto"/>
              </w:rPr>
            </w:pPr>
            <w:r>
              <w:rPr>
                <w:rFonts w:ascii="Arial" w:cs="Arial" w:eastAsia="Arial" w:hAnsi="Arial"/>
                <w:sz w:val="18"/>
                <w:szCs w:val="18"/>
                <w:b w:val="1"/>
                <w:bCs w:val="1"/>
                <w:color w:val="auto"/>
              </w:rPr>
              <w:t>For the three months ended March 31,</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Product line</w:t>
            </w:r>
          </w:p>
        </w:tc>
        <w:tc>
          <w:tcPr>
            <w:tcW w:w="50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tcPr>
          <w:p>
            <w:pPr>
              <w:jc w:val="right"/>
              <w:ind w:right="770"/>
              <w:spacing w:after="0" w:line="264" w:lineRule="exact"/>
              <w:rPr>
                <w:sz w:val="20"/>
                <w:szCs w:val="20"/>
                <w:color w:val="auto"/>
              </w:rPr>
            </w:pPr>
            <w:r>
              <w:rPr>
                <w:rFonts w:ascii="Arial" w:cs="Arial" w:eastAsia="Arial" w:hAnsi="Arial"/>
                <w:sz w:val="18"/>
                <w:szCs w:val="18"/>
                <w:b w:val="1"/>
                <w:bCs w:val="1"/>
                <w:color w:val="auto"/>
              </w:rPr>
              <w:t xml:space="preserve">2017 </w:t>
            </w:r>
            <w:r>
              <w:rPr>
                <w:rFonts w:ascii="Arial" w:cs="Arial" w:eastAsia="Arial" w:hAnsi="Arial"/>
                <w:sz w:val="25"/>
                <w:szCs w:val="25"/>
                <w:b w:val="1"/>
                <w:bCs w:val="1"/>
                <w:color w:val="auto"/>
                <w:vertAlign w:val="superscript"/>
              </w:rPr>
              <w:t>(1)</w:t>
            </w: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Infusion Consumables</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119,911</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75,713</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IV Solutions</w:t>
            </w:r>
          </w:p>
        </w:tc>
        <w:tc>
          <w:tcPr>
            <w:tcW w:w="50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144,440</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97,370</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 xml:space="preserve">Infusion Systems </w:t>
            </w:r>
            <w:r>
              <w:rPr>
                <w:rFonts w:ascii="Arial" w:cs="Arial" w:eastAsia="Arial" w:hAnsi="Arial"/>
                <w:sz w:val="25"/>
                <w:szCs w:val="25"/>
                <w:color w:val="auto"/>
                <w:vertAlign w:val="superscript"/>
              </w:rPr>
              <w:t>(2)</w:t>
            </w:r>
          </w:p>
        </w:tc>
        <w:tc>
          <w:tcPr>
            <w:tcW w:w="500" w:type="dxa"/>
            <w:vAlign w:val="bottom"/>
            <w:shd w:val="clear" w:color="auto" w:fill="CCEEFF"/>
          </w:tcPr>
          <w:p>
            <w:pPr>
              <w:spacing w:after="0"/>
              <w:rPr>
                <w:sz w:val="23"/>
                <w:szCs w:val="23"/>
                <w:color w:val="auto"/>
              </w:rPr>
            </w:pPr>
          </w:p>
        </w:tc>
        <w:tc>
          <w:tcPr>
            <w:tcW w:w="1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93,439</w:t>
            </w:r>
          </w:p>
        </w:tc>
        <w:tc>
          <w:tcPr>
            <w:tcW w:w="1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46,670</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Critical Care</w:t>
            </w:r>
          </w:p>
        </w:tc>
        <w:tc>
          <w:tcPr>
            <w:tcW w:w="50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14,243</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12,396</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50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15,590</w:t>
            </w:r>
          </w:p>
        </w:tc>
        <w:tc>
          <w:tcPr>
            <w:tcW w:w="0" w:type="dxa"/>
            <w:vAlign w:val="bottom"/>
          </w:tcPr>
          <w:p>
            <w:pPr>
              <w:spacing w:after="0"/>
              <w:rPr>
                <w:sz w:val="1"/>
                <w:szCs w:val="1"/>
                <w:color w:val="auto"/>
              </w:rPr>
            </w:pP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Total Revenues</w:t>
            </w: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372,033</w:t>
            </w:r>
          </w:p>
        </w:tc>
        <w:tc>
          <w:tcPr>
            <w:tcW w:w="12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247,739</w:t>
            </w:r>
          </w:p>
        </w:tc>
        <w:tc>
          <w:tcPr>
            <w:tcW w:w="0" w:type="dxa"/>
            <w:vAlign w:val="bottom"/>
          </w:tcPr>
          <w:p>
            <w:pPr>
              <w:spacing w:after="0"/>
              <w:rPr>
                <w:sz w:val="1"/>
                <w:szCs w:val="1"/>
                <w:color w:val="auto"/>
              </w:rPr>
            </w:pPr>
          </w:p>
        </w:tc>
      </w:tr>
      <w:tr>
        <w:trPr>
          <w:trHeight w:val="20"/>
        </w:trPr>
        <w:tc>
          <w:tcPr>
            <w:tcW w:w="6740" w:type="dxa"/>
            <w:vAlign w:val="bottom"/>
            <w:vMerge w:val="restart"/>
          </w:tcPr>
          <w:p>
            <w:pPr>
              <w:spacing w:after="0"/>
              <w:rPr>
                <w:sz w:val="20"/>
                <w:szCs w:val="20"/>
                <w:color w:val="auto"/>
              </w:rPr>
            </w:pPr>
            <w:r>
              <w:rPr>
                <w:rFonts w:ascii="Arial" w:cs="Arial" w:eastAsia="Arial" w:hAnsi="Arial"/>
                <w:sz w:val="18"/>
                <w:szCs w:val="18"/>
                <w:color w:val="auto"/>
              </w:rPr>
              <w:t>_______________________________</w:t>
            </w:r>
          </w:p>
        </w:tc>
        <w:tc>
          <w:tcPr>
            <w:tcW w:w="5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740" w:type="dxa"/>
            <w:vAlign w:val="bottom"/>
            <w:vMerge w:val="continue"/>
          </w:tcPr>
          <w:p>
            <w:pPr>
              <w:spacing w:after="0"/>
              <w:rPr>
                <w:sz w:val="17"/>
                <w:szCs w:val="17"/>
                <w:color w:val="auto"/>
              </w:rPr>
            </w:pPr>
          </w:p>
        </w:tc>
        <w:tc>
          <w:tcPr>
            <w:tcW w:w="5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9" w:lineRule="exact"/>
        <w:rPr>
          <w:sz w:val="20"/>
          <w:szCs w:val="20"/>
          <w:color w:val="auto"/>
        </w:rPr>
      </w:pPr>
    </w:p>
    <w:p>
      <w:pPr>
        <w:ind w:left="180" w:hanging="172"/>
        <w:spacing w:after="0"/>
        <w:tabs>
          <w:tab w:leader="none" w:pos="180" w:val="left"/>
        </w:tabs>
        <w:numPr>
          <w:ilvl w:val="0"/>
          <w:numId w:val="6"/>
        </w:numPr>
        <w:rPr>
          <w:rFonts w:ascii="Arial" w:cs="Arial" w:eastAsia="Arial" w:hAnsi="Arial"/>
          <w:sz w:val="21"/>
          <w:szCs w:val="21"/>
          <w:color w:val="auto"/>
          <w:vertAlign w:val="superscript"/>
        </w:rPr>
      </w:pPr>
      <w:r>
        <w:rPr>
          <w:rFonts w:ascii="Arial" w:cs="Arial" w:eastAsia="Arial" w:hAnsi="Arial"/>
          <w:sz w:val="15"/>
          <w:szCs w:val="15"/>
          <w:color w:val="auto"/>
        </w:rPr>
        <w:t>As noted above, prior period amounts have not been adjusted under the modified retrospective method.</w:t>
      </w:r>
    </w:p>
    <w:p>
      <w:pPr>
        <w:spacing w:after="0" w:line="1" w:lineRule="exact"/>
        <w:rPr>
          <w:rFonts w:ascii="Arial" w:cs="Arial" w:eastAsia="Arial" w:hAnsi="Arial"/>
          <w:sz w:val="21"/>
          <w:szCs w:val="21"/>
          <w:color w:val="auto"/>
          <w:vertAlign w:val="superscript"/>
        </w:rPr>
      </w:pPr>
    </w:p>
    <w:p>
      <w:pPr>
        <w:ind w:right="560" w:firstLine="8"/>
        <w:spacing w:after="0" w:line="278" w:lineRule="auto"/>
        <w:tabs>
          <w:tab w:leader="none" w:pos="178" w:val="left"/>
        </w:tabs>
        <w:numPr>
          <w:ilvl w:val="0"/>
          <w:numId w:val="6"/>
        </w:numPr>
        <w:rPr>
          <w:rFonts w:ascii="Arial" w:cs="Arial" w:eastAsia="Arial" w:hAnsi="Arial"/>
          <w:sz w:val="20"/>
          <w:szCs w:val="20"/>
          <w:color w:val="auto"/>
          <w:vertAlign w:val="superscript"/>
        </w:rPr>
      </w:pPr>
      <w:r>
        <w:rPr>
          <w:rFonts w:ascii="Arial" w:cs="Arial" w:eastAsia="Arial" w:hAnsi="Arial"/>
          <w:sz w:val="15"/>
          <w:szCs w:val="15"/>
          <w:color w:val="auto"/>
        </w:rPr>
        <w:t>For the three months ended March 31, 2018, Infusion Systems revenue includes $1.3 million in revenue recognized over time. The remainder of our revenue is recognized at a point in time. See below for details related to arrangements with multiple performance obligations.</w:t>
      </w:r>
    </w:p>
    <w:p>
      <w:pPr>
        <w:spacing w:after="0" w:line="166"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Our primary product lines are Infusion Consumables, IV Solutions, Infusion Systems and Critical Care. The vast majority of our sales of these products are made on a stand-alone basis to hospitals, group purchasing organization (“GPO”) member hospitals and distributors. Our product sales are typically free on board shipping point and ownership of the product transfers to the customer on shipment. As a result, revenue is typically recognized upon transfer of control of the products, which we deem to be at point of shipment.</w:t>
      </w:r>
    </w:p>
    <w:p>
      <w:pPr>
        <w:spacing w:after="0" w:line="187"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Payment is typically due in full within 30 days of delivery or the start of the contract term. Revenue is recorded in an amount that reflects the consideration we expect to be entitled to in exchange for those goods or services. We offer certain volume-based rebates to our distribution customers, which we record as variable consideration when calculating the transaction price. Rebates are offered on both a fixed and tiered/variable basis. In both cases, we use information available at the time and our historical experience with each customer to estimate the most likely rebate amount.</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1"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38"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We also warrant products against defects and have a policy permitting the return of defective products, for which we accrue and expense at the time of sale using information available and our historical experience. We also provide for extended service-type warranties, which we consider to be separate performance obligations. We allocate a portion of the transaction price to the extended service-type warranty based on its estimated relative selling price, and recognize revenue over the period the warranty service is provided.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Arrangements with Multiple Performance Obligations</w:t>
      </w:r>
    </w:p>
    <w:p>
      <w:pPr>
        <w:spacing w:after="0" w:line="225" w:lineRule="exact"/>
        <w:rPr>
          <w:sz w:val="20"/>
          <w:szCs w:val="20"/>
          <w:color w:val="auto"/>
        </w:rPr>
      </w:pPr>
    </w:p>
    <w:p>
      <w:pPr>
        <w:ind w:right="180" w:firstLine="648"/>
        <w:spacing w:after="0" w:line="273" w:lineRule="auto"/>
        <w:rPr>
          <w:sz w:val="20"/>
          <w:szCs w:val="20"/>
          <w:color w:val="auto"/>
        </w:rPr>
      </w:pPr>
      <w:r>
        <w:rPr>
          <w:rFonts w:ascii="Arial" w:cs="Arial" w:eastAsia="Arial" w:hAnsi="Arial"/>
          <w:sz w:val="17"/>
          <w:szCs w:val="17"/>
          <w:color w:val="auto"/>
        </w:rPr>
        <w:t>We also enter into arrangements which include multiple performance obligations. These arrangements typically consist of the sale of infusion systems equipment, along with annual software licenses and related software implementation services, as well as infusion consumables, IV solutions and extended warranties. For such arrangements, we allocate the transaction price to each performance obligation based on its relative standalone selling price. Equipment, software licenses and software implementation services are typically combined into a single performance obligation and recognized upon implementation. As annual software licenses are renewed, we recognize revenue for the license at a point in time, at the start of each annual renewal period. Consumables and solutions are separate performance obligations, recognized at a point in time.</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most significant judgments related to these arrangements include:</w:t>
      </w:r>
    </w:p>
    <w:p>
      <w:pPr>
        <w:spacing w:after="0" w:line="225"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Identifying the various performance obligations of these arrangements.</w:t>
      </w:r>
    </w:p>
    <w:p>
      <w:pPr>
        <w:spacing w:after="0" w:line="23" w:lineRule="exact"/>
        <w:rPr>
          <w:rFonts w:ascii="Arial" w:cs="Arial" w:eastAsia="Arial" w:hAnsi="Arial"/>
          <w:sz w:val="18"/>
          <w:szCs w:val="18"/>
          <w:color w:val="auto"/>
        </w:rPr>
      </w:pPr>
    </w:p>
    <w:p>
      <w:pPr>
        <w:ind w:left="660" w:right="280" w:hanging="328"/>
        <w:spacing w:after="0" w:line="261"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Estimating the relative standalone selling price of each performance obligation, typically using directly observable method or calculated on a cost plus margin basis method.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our changes in the contract balances for the three months ended March 31, 2018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20" w:type="dxa"/>
            <w:vAlign w:val="bottom"/>
          </w:tcPr>
          <w:p>
            <w:pPr>
              <w:jc w:val="right"/>
              <w:ind w:right="290"/>
              <w:spacing w:after="0"/>
              <w:rPr>
                <w:sz w:val="20"/>
                <w:szCs w:val="20"/>
                <w:color w:val="auto"/>
              </w:rPr>
            </w:pPr>
            <w:r>
              <w:rPr>
                <w:rFonts w:ascii="Arial" w:cs="Arial" w:eastAsia="Arial" w:hAnsi="Arial"/>
                <w:sz w:val="18"/>
                <w:szCs w:val="18"/>
                <w:b w:val="1"/>
                <w:bCs w:val="1"/>
                <w:color w:val="auto"/>
                <w:w w:val="99"/>
              </w:rPr>
              <w:t>Contract Liabilities</w:t>
            </w:r>
          </w:p>
        </w:tc>
      </w:tr>
      <w:tr>
        <w:trPr>
          <w:trHeight w:val="27"/>
        </w:trPr>
        <w:tc>
          <w:tcPr>
            <w:tcW w:w="91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44"/>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 January 1, 2018</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(7,066)</w:t>
            </w:r>
          </w:p>
        </w:tc>
      </w:tr>
      <w:tr>
        <w:trPr>
          <w:trHeight w:val="243"/>
        </w:trPr>
        <w:tc>
          <w:tcPr>
            <w:tcW w:w="9140" w:type="dxa"/>
            <w:vAlign w:val="bottom"/>
          </w:tcPr>
          <w:p>
            <w:pPr>
              <w:ind w:left="180"/>
              <w:spacing w:after="0"/>
              <w:rPr>
                <w:sz w:val="20"/>
                <w:szCs w:val="20"/>
                <w:color w:val="auto"/>
              </w:rPr>
            </w:pPr>
            <w:r>
              <w:rPr>
                <w:rFonts w:ascii="Arial" w:cs="Arial" w:eastAsia="Arial" w:hAnsi="Arial"/>
                <w:sz w:val="18"/>
                <w:szCs w:val="18"/>
                <w:color w:val="auto"/>
              </w:rPr>
              <w:t>Equipment revenue recognized</w:t>
            </w: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288</w:t>
            </w:r>
          </w:p>
        </w:tc>
      </w:tr>
      <w:tr>
        <w:trPr>
          <w:trHeight w:val="27"/>
        </w:trPr>
        <w:tc>
          <w:tcPr>
            <w:tcW w:w="9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Equipment revenue deferred due to implementation</w:t>
            </w: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(1,558)</w:t>
            </w:r>
          </w:p>
        </w:tc>
      </w:tr>
      <w:tr>
        <w:trPr>
          <w:trHeight w:val="243"/>
        </w:trPr>
        <w:tc>
          <w:tcPr>
            <w:tcW w:w="9140" w:type="dxa"/>
            <w:vAlign w:val="bottom"/>
          </w:tcPr>
          <w:p>
            <w:pPr>
              <w:ind w:left="180"/>
              <w:spacing w:after="0"/>
              <w:rPr>
                <w:sz w:val="20"/>
                <w:szCs w:val="20"/>
                <w:color w:val="auto"/>
              </w:rPr>
            </w:pPr>
            <w:r>
              <w:rPr>
                <w:rFonts w:ascii="Arial" w:cs="Arial" w:eastAsia="Arial" w:hAnsi="Arial"/>
                <w:sz w:val="18"/>
                <w:szCs w:val="18"/>
                <w:color w:val="auto"/>
              </w:rPr>
              <w:t>Software revenue recognized</w:t>
            </w: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655</w:t>
            </w:r>
          </w:p>
        </w:tc>
      </w:tr>
      <w:tr>
        <w:trPr>
          <w:trHeight w:val="27"/>
        </w:trPr>
        <w:tc>
          <w:tcPr>
            <w:tcW w:w="9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70"/>
        </w:trPr>
        <w:tc>
          <w:tcPr>
            <w:tcW w:w="9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Software revenue deferred due to implementation</w:t>
            </w:r>
          </w:p>
        </w:tc>
        <w:tc>
          <w:tcPr>
            <w:tcW w:w="26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(4,080)</w:t>
            </w:r>
          </w:p>
        </w:tc>
      </w:tr>
      <w:tr>
        <w:trPr>
          <w:trHeight w:val="257"/>
        </w:trPr>
        <w:tc>
          <w:tcPr>
            <w:tcW w:w="9140" w:type="dxa"/>
            <w:vAlign w:val="bottom"/>
          </w:tcPr>
          <w:p>
            <w:pPr>
              <w:ind w:left="40"/>
              <w:spacing w:after="0"/>
              <w:rPr>
                <w:sz w:val="20"/>
                <w:szCs w:val="20"/>
                <w:color w:val="auto"/>
              </w:rPr>
            </w:pPr>
            <w:r>
              <w:rPr>
                <w:rFonts w:ascii="Arial" w:cs="Arial" w:eastAsia="Arial" w:hAnsi="Arial"/>
                <w:sz w:val="18"/>
                <w:szCs w:val="18"/>
                <w:color w:val="auto"/>
              </w:rPr>
              <w:t>Ending balance, March 31, 2018</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(11,761)</w:t>
            </w:r>
          </w:p>
        </w:tc>
      </w:tr>
      <w:tr>
        <w:trPr>
          <w:trHeight w:val="20"/>
        </w:trPr>
        <w:tc>
          <w:tcPr>
            <w:tcW w:w="9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As of March 31, 2018, revenue from remaining performance obligations related to implementation of software and equipment is $7.6 million. We expect to recognize substantially all of this revenue within the next six months. Revenue from remaining performance obligations related to annual software licenses is $4.2 million. We expect to recognize substantially all of this revenue over the next twelve months.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 to Obtain a Contract with a Customer</w:t>
      </w:r>
    </w:p>
    <w:p>
      <w:pPr>
        <w:spacing w:after="0" w:line="225"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As part of the cost to obtain a contract, we may pay incremental commissions to sales employees upon entering into a sales contract. Under ASC Topic 606, we have elected to expense these costs as incurred as the period of benefit is less than one year.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Practical expedients and exemptions</w:t>
      </w:r>
    </w:p>
    <w:p>
      <w:pPr>
        <w:spacing w:after="0" w:line="225"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In addition to the practical expedient applied to sales commissions, under ASC Topic 606, we elected to apply the practical expedient for shipping and handling costs incurred after the customer has obtained control of a good. We will continue to treat these costs as a fulfillment cost rather than as an additional promised service.</w:t>
      </w:r>
    </w:p>
    <w:p>
      <w:pPr>
        <w:spacing w:after="0" w:line="17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6"/>
          <w:szCs w:val="16"/>
          <w:b w:val="1"/>
          <w:bCs w:val="1"/>
          <w:color w:val="auto"/>
        </w:rPr>
        <w:t>Net Income Per Share</w:t>
      </w:r>
    </w:p>
    <w:p>
      <w:pPr>
        <w:spacing w:after="0" w:line="229"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Basic earnings per share is computed by dividing net income by the weighted-average number of common shares outstanding during the period. Diluted earnings per share is computed by dividing net income by the weighted-average number of common shares outstanding during the period plus dilutive securities. Dilutive securities include outstanding common stock</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1"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3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options and unvested restricted stock units, less the number of shares that could have been purchased with the proceeds from the exercise of the options, using the treasury stock method. Options that are anti-dilutive, where their exercise price exceeds the average market price of the common stock are not included in the treasury stock method calculation. There were 24,781 anti-dilutive securities for the three months ended March 31, 2018. There were 6,239 anti-dilutive securities for the three months ended March 31, 2017.</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presents the calculation of net earnings per common share (“EPS”) — basic and diluted (in thousands, except per share data):</w:t>
      </w:r>
    </w:p>
    <w:p>
      <w:pPr>
        <w:spacing w:after="0" w:line="195" w:lineRule="exact"/>
        <w:rPr>
          <w:sz w:val="20"/>
          <w:szCs w:val="20"/>
          <w:color w:val="auto"/>
        </w:rPr>
      </w:pPr>
    </w:p>
    <w:p>
      <w:pPr>
        <w:ind w:left="928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ind w:left="966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33020</wp:posOffset>
            </wp:positionV>
            <wp:extent cx="18097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31"/>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31"/>
              <w:spacing w:after="0"/>
              <w:rPr>
                <w:sz w:val="20"/>
                <w:szCs w:val="20"/>
                <w:color w:val="auto"/>
              </w:rPr>
            </w:pPr>
            <w:r>
              <w:rPr>
                <w:rFonts w:ascii="Arial" w:cs="Arial" w:eastAsia="Arial" w:hAnsi="Arial"/>
                <w:sz w:val="16"/>
                <w:szCs w:val="16"/>
                <w:b w:val="1"/>
                <w:bCs w:val="1"/>
                <w:color w:val="auto"/>
              </w:rPr>
              <w:t>2017</w:t>
            </w:r>
          </w:p>
        </w:tc>
      </w:tr>
      <w:tr>
        <w:trPr>
          <w:trHeight w:val="33"/>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4,875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55,863</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Weighted-average number of common shares outstanding (for basic calculation)</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20,255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18,439</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Dilutive securities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1,145</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1,110</w:t>
            </w:r>
          </w:p>
        </w:tc>
      </w:tr>
      <w:tr>
        <w:trPr>
          <w:trHeight w:val="297"/>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Weighted-average common and common equivalent shares outstanding (for diluted calculation)</w:t>
            </w:r>
          </w:p>
        </w:tc>
        <w:tc>
          <w:tcPr>
            <w:tcW w:w="32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21,400</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19,549</w:t>
            </w:r>
          </w:p>
        </w:tc>
      </w:tr>
      <w:tr>
        <w:trPr>
          <w:trHeight w:val="23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EPS — basic</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0.24</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3.03</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EPS — diluted</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0.23</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2.86</w:t>
            </w:r>
          </w:p>
        </w:tc>
      </w:tr>
    </w:tbl>
    <w:p>
      <w:pPr>
        <w:spacing w:after="0" w:line="200" w:lineRule="exact"/>
        <w:rPr>
          <w:sz w:val="20"/>
          <w:szCs w:val="20"/>
          <w:color w:val="auto"/>
        </w:rPr>
      </w:pPr>
    </w:p>
    <w:p>
      <w:pPr>
        <w:spacing w:after="0" w:line="241"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6"/>
          <w:szCs w:val="16"/>
          <w:b w:val="1"/>
          <w:bCs w:val="1"/>
          <w:color w:val="auto"/>
        </w:rPr>
        <w:t>Derivatives and Hedging Activities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Hedge Accounting and Hedging Program</w:t>
      </w:r>
    </w:p>
    <w:p>
      <w:pPr>
        <w:spacing w:after="0" w:line="225" w:lineRule="exact"/>
        <w:rPr>
          <w:sz w:val="20"/>
          <w:szCs w:val="20"/>
          <w:color w:val="auto"/>
        </w:rPr>
      </w:pPr>
    </w:p>
    <w:p>
      <w:pPr>
        <w:ind w:right="340" w:firstLine="648"/>
        <w:spacing w:after="0" w:line="264" w:lineRule="auto"/>
        <w:rPr>
          <w:sz w:val="20"/>
          <w:szCs w:val="20"/>
          <w:color w:val="auto"/>
        </w:rPr>
      </w:pPr>
      <w:r>
        <w:rPr>
          <w:rFonts w:ascii="Arial" w:cs="Arial" w:eastAsia="Arial" w:hAnsi="Arial"/>
          <w:sz w:val="18"/>
          <w:szCs w:val="18"/>
          <w:color w:val="auto"/>
        </w:rPr>
        <w:t>During the second quarter of 2017, we implemented a cash flow hedging program. The purpose of our hedging program is to manage the foreign currency exchange rate risk on forecasted expenses denominated in currencies other than the functional currency of the operating unit. We do not issue derivatives for trading or speculative purposes.</w:t>
      </w:r>
    </w:p>
    <w:p>
      <w:pPr>
        <w:spacing w:after="0" w:line="181"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In May 2017, we entered into a two-year cross-currency par forward contract to hedge a portion of our Mexico forecasted expenses denominated in Pesos ("MXN"). To receive hedge accounting treatment, all hedging relationships are formally documented at the inception of the hedge, and the hedges must be highly effective in offsetting changes to future cash flows on hedged transactions. The par forward contract is designated and qualifies as a cash flow hedge. Our derivative instrument is recorded at fair value on the condensed consolidated balance sheets and is classified based on the instrument's maturity date. We record changes in the intrinsic value of the effective portion of the gain or loss on the derivative instrument as a component of Other Comprehensive Income and we reclassify that gain or loss into earnings in the same line item associated with the forecasted transaction and in the same period during which the hedged transaction affects earnings. The total notional amount of our outstanding derivative as of March 31, 2018 was approximately 420.2 million MXN. The term of our currency forward contract is May 1, 2017 to May 1, 2019. The derivative instrument matures in equal monthly amounts at a fixed forward rate of 20.01MXN/USD over the term of the two-year contract.</w:t>
      </w:r>
    </w:p>
    <w:p>
      <w:pPr>
        <w:spacing w:after="0" w:line="182"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In January 2018, we entered into an additional six-month cross-currency par forward contract that extends our current hedge of a portion of our Mexico forecasted expenses denominated in MXN. The total notional amount of this outstanding derivative as of March 31, 2018 was approximately 183.9 million MXN. The term of the six-month contract is May 1, 2019 to November 1, 2019. The derivative instrument matures in equal monthly amounts at a fixed forward rate of 20.43 MXN/USD over the term of the six-month contract.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presents the fair values of our derivative instruments included within the Condensed Consolidated Balance Sheet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March 31, 2018 and December 31, 2017 (in thousands):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1"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460" w:type="dxa"/>
            <w:vAlign w:val="bottom"/>
          </w:tcPr>
          <w:p>
            <w:pPr>
              <w:spacing w:after="0"/>
              <w:rPr>
                <w:sz w:val="18"/>
                <w:szCs w:val="18"/>
                <w:color w:val="auto"/>
              </w:rPr>
            </w:pPr>
          </w:p>
        </w:tc>
        <w:tc>
          <w:tcPr>
            <w:tcW w:w="402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Derivatives</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33"/>
        </w:trPr>
        <w:tc>
          <w:tcPr>
            <w:tcW w:w="4460" w:type="dxa"/>
            <w:vAlign w:val="bottom"/>
          </w:tcPr>
          <w:p>
            <w:pPr>
              <w:spacing w:after="0"/>
              <w:rPr>
                <w:sz w:val="2"/>
                <w:szCs w:val="2"/>
                <w:color w:val="auto"/>
              </w:rPr>
            </w:pPr>
          </w:p>
        </w:tc>
        <w:tc>
          <w:tcPr>
            <w:tcW w:w="40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9"/>
        </w:trPr>
        <w:tc>
          <w:tcPr>
            <w:tcW w:w="4460" w:type="dxa"/>
            <w:vAlign w:val="bottom"/>
          </w:tcPr>
          <w:p>
            <w:pPr>
              <w:spacing w:after="0"/>
              <w:rPr>
                <w:sz w:val="18"/>
                <w:szCs w:val="18"/>
                <w:color w:val="auto"/>
              </w:rPr>
            </w:pPr>
          </w:p>
        </w:tc>
        <w:tc>
          <w:tcPr>
            <w:tcW w:w="40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Condensed Consolidated Balance Sheet</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w w:val="94"/>
              </w:rPr>
              <w:t>December 31,</w:t>
            </w:r>
          </w:p>
        </w:tc>
      </w:tr>
      <w:tr>
        <w:trPr>
          <w:trHeight w:val="210"/>
        </w:trPr>
        <w:tc>
          <w:tcPr>
            <w:tcW w:w="4460" w:type="dxa"/>
            <w:vAlign w:val="bottom"/>
          </w:tcPr>
          <w:p>
            <w:pPr>
              <w:spacing w:after="0"/>
              <w:rPr>
                <w:sz w:val="18"/>
                <w:szCs w:val="18"/>
                <w:color w:val="auto"/>
              </w:rPr>
            </w:pPr>
          </w:p>
        </w:tc>
        <w:tc>
          <w:tcPr>
            <w:tcW w:w="40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Location</w:t>
            </w:r>
          </w:p>
        </w:tc>
        <w:tc>
          <w:tcPr>
            <w:tcW w:w="160" w:type="dxa"/>
            <w:vAlign w:val="bottom"/>
          </w:tcPr>
          <w:p>
            <w:pPr>
              <w:spacing w:after="0"/>
              <w:rPr>
                <w:sz w:val="18"/>
                <w:szCs w:val="18"/>
                <w:color w:val="auto"/>
              </w:rPr>
            </w:pPr>
          </w:p>
        </w:tc>
        <w:tc>
          <w:tcPr>
            <w:tcW w:w="1420" w:type="dxa"/>
            <w:vAlign w:val="bottom"/>
            <w:gridSpan w:val="2"/>
          </w:tcPr>
          <w:p>
            <w:pPr>
              <w:ind w:left="40"/>
              <w:spacing w:after="0"/>
              <w:rPr>
                <w:sz w:val="20"/>
                <w:szCs w:val="20"/>
                <w:color w:val="auto"/>
              </w:rPr>
            </w:pPr>
            <w:r>
              <w:rPr>
                <w:rFonts w:ascii="Arial" w:cs="Arial" w:eastAsia="Arial" w:hAnsi="Arial"/>
                <w:sz w:val="16"/>
                <w:szCs w:val="16"/>
                <w:b w:val="1"/>
                <w:bCs w:val="1"/>
                <w:color w:val="auto"/>
              </w:rPr>
              <w:t>March 31, 2018</w:t>
            </w:r>
          </w:p>
        </w:tc>
        <w:tc>
          <w:tcPr>
            <w:tcW w:w="160" w:type="dxa"/>
            <w:vAlign w:val="bottom"/>
          </w:tcPr>
          <w:p>
            <w:pPr>
              <w:spacing w:after="0"/>
              <w:rPr>
                <w:sz w:val="18"/>
                <w:szCs w:val="18"/>
                <w:color w:val="auto"/>
              </w:rPr>
            </w:pPr>
          </w:p>
        </w:tc>
        <w:tc>
          <w:tcPr>
            <w:tcW w:w="1200" w:type="dxa"/>
            <w:vAlign w:val="bottom"/>
          </w:tcPr>
          <w:p>
            <w:pPr>
              <w:jc w:val="right"/>
              <w:ind w:right="439"/>
              <w:spacing w:after="0"/>
              <w:rPr>
                <w:sz w:val="20"/>
                <w:szCs w:val="20"/>
                <w:color w:val="auto"/>
              </w:rPr>
            </w:pPr>
            <w:r>
              <w:rPr>
                <w:rFonts w:ascii="Arial" w:cs="Arial" w:eastAsia="Arial" w:hAnsi="Arial"/>
                <w:sz w:val="16"/>
                <w:szCs w:val="16"/>
                <w:b w:val="1"/>
                <w:bCs w:val="1"/>
                <w:color w:val="auto"/>
              </w:rPr>
              <w:t>2017</w:t>
            </w:r>
          </w:p>
        </w:tc>
      </w:tr>
      <w:tr>
        <w:trPr>
          <w:trHeight w:val="33"/>
        </w:trPr>
        <w:tc>
          <w:tcPr>
            <w:tcW w:w="4460" w:type="dxa"/>
            <w:vAlign w:val="bottom"/>
            <w:tcBorders>
              <w:bottom w:val="single" w:sz="8" w:color="CCEEFF"/>
            </w:tcBorders>
          </w:tcPr>
          <w:p>
            <w:pPr>
              <w:spacing w:after="0"/>
              <w:rPr>
                <w:sz w:val="2"/>
                <w:szCs w:val="2"/>
                <w:color w:val="auto"/>
              </w:rPr>
            </w:pPr>
          </w:p>
        </w:tc>
        <w:tc>
          <w:tcPr>
            <w:tcW w:w="3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i w:val="1"/>
                <w:iCs w:val="1"/>
                <w:color w:val="auto"/>
              </w:rPr>
              <w:t>Derivatives designated as cash flow hedging instruments</w:t>
            </w:r>
          </w:p>
        </w:tc>
        <w:tc>
          <w:tcPr>
            <w:tcW w:w="3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37"/>
        </w:trPr>
        <w:tc>
          <w:tcPr>
            <w:tcW w:w="4460" w:type="dxa"/>
            <w:vAlign w:val="bottom"/>
          </w:tcPr>
          <w:p>
            <w:pPr>
              <w:ind w:left="180"/>
              <w:spacing w:after="0"/>
              <w:rPr>
                <w:sz w:val="20"/>
                <w:szCs w:val="20"/>
                <w:color w:val="auto"/>
              </w:rPr>
            </w:pPr>
            <w:r>
              <w:rPr>
                <w:rFonts w:ascii="Arial" w:cs="Arial" w:eastAsia="Arial" w:hAnsi="Arial"/>
                <w:sz w:val="16"/>
                <w:szCs w:val="16"/>
                <w:color w:val="auto"/>
              </w:rPr>
              <w:t>Foreign exchange forward contract:</w:t>
            </w:r>
          </w:p>
        </w:tc>
        <w:tc>
          <w:tcPr>
            <w:tcW w:w="4020" w:type="dxa"/>
            <w:vAlign w:val="bottom"/>
            <w:gridSpan w:val="2"/>
          </w:tcPr>
          <w:p>
            <w:pPr>
              <w:jc w:val="right"/>
              <w:ind w:right="160"/>
              <w:spacing w:after="0"/>
              <w:rPr>
                <w:sz w:val="20"/>
                <w:szCs w:val="20"/>
                <w:color w:val="auto"/>
              </w:rPr>
            </w:pPr>
            <w:r>
              <w:rPr>
                <w:rFonts w:ascii="Arial" w:cs="Arial" w:eastAsia="Arial" w:hAnsi="Arial"/>
                <w:sz w:val="16"/>
                <w:szCs w:val="16"/>
                <w:color w:val="auto"/>
              </w:rPr>
              <w:t>Prepaid expenses and other current assets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1,299</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46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spacing w:after="0"/>
              <w:rPr>
                <w:sz w:val="21"/>
                <w:szCs w:val="21"/>
                <w:color w:val="auto"/>
              </w:rPr>
            </w:pPr>
          </w:p>
        </w:tc>
        <w:tc>
          <w:tcPr>
            <w:tcW w:w="4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Other assets</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4460" w:type="dxa"/>
            <w:vAlign w:val="bottom"/>
          </w:tcPr>
          <w:p>
            <w:pPr>
              <w:spacing w:after="0"/>
              <w:rPr>
                <w:sz w:val="20"/>
                <w:szCs w:val="20"/>
                <w:color w:val="auto"/>
              </w:rPr>
            </w:pPr>
          </w:p>
        </w:tc>
        <w:tc>
          <w:tcPr>
            <w:tcW w:w="4020" w:type="dxa"/>
            <w:vAlign w:val="bottom"/>
            <w:gridSpan w:val="2"/>
          </w:tcPr>
          <w:p>
            <w:pPr>
              <w:jc w:val="right"/>
              <w:ind w:right="160"/>
              <w:spacing w:after="0"/>
              <w:rPr>
                <w:sz w:val="20"/>
                <w:szCs w:val="20"/>
                <w:color w:val="auto"/>
              </w:rPr>
            </w:pPr>
            <w:r>
              <w:rPr>
                <w:rFonts w:ascii="Arial" w:cs="Arial" w:eastAsia="Arial" w:hAnsi="Arial"/>
                <w:sz w:val="16"/>
                <w:szCs w:val="16"/>
                <w:color w:val="auto"/>
              </w:rPr>
              <w:t>Accrued Liabilities</w:t>
            </w:r>
          </w:p>
        </w:tc>
        <w:tc>
          <w:tcPr>
            <w:tcW w:w="160" w:type="dxa"/>
            <w:vAlign w:val="bottom"/>
          </w:tcPr>
          <w:p>
            <w:pPr>
              <w:spacing w:after="0"/>
              <w:rPr>
                <w:sz w:val="20"/>
                <w:szCs w:val="20"/>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187</w:t>
            </w:r>
          </w:p>
        </w:tc>
      </w:tr>
      <w:tr>
        <w:trPr>
          <w:trHeight w:val="33"/>
        </w:trPr>
        <w:tc>
          <w:tcPr>
            <w:tcW w:w="446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460" w:type="dxa"/>
            <w:vAlign w:val="bottom"/>
            <w:tcBorders>
              <w:bottom w:val="single" w:sz="8" w:color="CCEEFF"/>
            </w:tcBorders>
            <w:shd w:val="clear" w:color="auto" w:fill="CCEEFF"/>
          </w:tcPr>
          <w:p>
            <w:pPr>
              <w:spacing w:after="0"/>
              <w:rPr>
                <w:sz w:val="23"/>
                <w:szCs w:val="23"/>
                <w:color w:val="auto"/>
              </w:rPr>
            </w:pPr>
          </w:p>
        </w:tc>
        <w:tc>
          <w:tcPr>
            <w:tcW w:w="4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Other long-term liabilities</w:t>
            </w: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402</w:t>
            </w:r>
          </w:p>
        </w:tc>
      </w:tr>
      <w:tr>
        <w:trPr>
          <w:trHeight w:val="244"/>
        </w:trPr>
        <w:tc>
          <w:tcPr>
            <w:tcW w:w="4460" w:type="dxa"/>
            <w:vAlign w:val="bottom"/>
          </w:tcPr>
          <w:p>
            <w:pPr>
              <w:ind w:left="40"/>
              <w:spacing w:after="0"/>
              <w:rPr>
                <w:sz w:val="20"/>
                <w:szCs w:val="20"/>
                <w:color w:val="auto"/>
              </w:rPr>
            </w:pPr>
            <w:r>
              <w:rPr>
                <w:rFonts w:ascii="Arial" w:cs="Arial" w:eastAsia="Arial" w:hAnsi="Arial"/>
                <w:sz w:val="16"/>
                <w:szCs w:val="16"/>
                <w:color w:val="auto"/>
                <w:w w:val="99"/>
              </w:rPr>
              <w:t>Total derivatives designated as cash flow hedging instruments</w:t>
            </w:r>
          </w:p>
        </w:tc>
        <w:tc>
          <w:tcPr>
            <w:tcW w:w="3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1,799</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589</w:t>
            </w:r>
          </w:p>
        </w:tc>
      </w:tr>
      <w:tr>
        <w:trPr>
          <w:trHeight w:val="20"/>
        </w:trPr>
        <w:tc>
          <w:tcPr>
            <w:tcW w:w="446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The following table presents the amounts affecting the Condensed Consolidated Statements of Operations for the three months ended March 31, 2018 and 2017 (in thousands):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960" w:type="dxa"/>
            <w:vAlign w:val="bottom"/>
          </w:tcPr>
          <w:p>
            <w:pPr>
              <w:spacing w:after="0"/>
              <w:rPr>
                <w:sz w:val="17"/>
                <w:szCs w:val="17"/>
                <w:color w:val="auto"/>
              </w:rPr>
            </w:pPr>
          </w:p>
        </w:tc>
        <w:tc>
          <w:tcPr>
            <w:tcW w:w="2940" w:type="dxa"/>
            <w:vAlign w:val="bottom"/>
            <w:gridSpan w:val="3"/>
            <w:vMerge w:val="restart"/>
          </w:tcPr>
          <w:p>
            <w:pPr>
              <w:jc w:val="center"/>
              <w:ind w:right="440"/>
              <w:spacing w:after="0"/>
              <w:rPr>
                <w:sz w:val="20"/>
                <w:szCs w:val="20"/>
                <w:color w:val="auto"/>
              </w:rPr>
            </w:pPr>
            <w:r>
              <w:rPr>
                <w:rFonts w:ascii="Arial" w:cs="Arial" w:eastAsia="Arial" w:hAnsi="Arial"/>
                <w:sz w:val="16"/>
                <w:szCs w:val="16"/>
                <w:b w:val="1"/>
                <w:bCs w:val="1"/>
                <w:color w:val="auto"/>
                <w:w w:val="93"/>
              </w:rPr>
              <w:t>Line Item in the</w:t>
            </w:r>
          </w:p>
        </w:tc>
        <w:tc>
          <w:tcPr>
            <w:tcW w:w="2520" w:type="dxa"/>
            <w:vAlign w:val="bottom"/>
            <w:gridSpan w:val="4"/>
          </w:tcPr>
          <w:p>
            <w:pPr>
              <w:jc w:val="center"/>
              <w:ind w:right="259"/>
              <w:spacing w:after="0"/>
              <w:rPr>
                <w:sz w:val="20"/>
                <w:szCs w:val="20"/>
                <w:color w:val="auto"/>
              </w:rPr>
            </w:pPr>
            <w:r>
              <w:rPr>
                <w:rFonts w:ascii="Arial" w:cs="Arial" w:eastAsia="Arial" w:hAnsi="Arial"/>
                <w:sz w:val="16"/>
                <w:szCs w:val="16"/>
                <w:b w:val="1"/>
                <w:bCs w:val="1"/>
                <w:color w:val="auto"/>
                <w:w w:val="90"/>
              </w:rPr>
              <w:t>Three months ended</w:t>
            </w:r>
          </w:p>
        </w:tc>
        <w:tc>
          <w:tcPr>
            <w:tcW w:w="0" w:type="dxa"/>
            <w:vAlign w:val="bottom"/>
          </w:tcPr>
          <w:p>
            <w:pPr>
              <w:spacing w:after="0"/>
              <w:rPr>
                <w:sz w:val="1"/>
                <w:szCs w:val="1"/>
                <w:color w:val="auto"/>
              </w:rPr>
            </w:pPr>
          </w:p>
        </w:tc>
      </w:tr>
      <w:tr>
        <w:trPr>
          <w:trHeight w:val="81"/>
        </w:trPr>
        <w:tc>
          <w:tcPr>
            <w:tcW w:w="5960" w:type="dxa"/>
            <w:vAlign w:val="bottom"/>
          </w:tcPr>
          <w:p>
            <w:pPr>
              <w:spacing w:after="0"/>
              <w:rPr>
                <w:sz w:val="7"/>
                <w:szCs w:val="7"/>
                <w:color w:val="auto"/>
              </w:rPr>
            </w:pPr>
          </w:p>
        </w:tc>
        <w:tc>
          <w:tcPr>
            <w:tcW w:w="2940" w:type="dxa"/>
            <w:vAlign w:val="bottom"/>
            <w:gridSpan w:val="3"/>
            <w:vMerge w:val="continue"/>
          </w:tcPr>
          <w:p>
            <w:pPr>
              <w:spacing w:after="0"/>
              <w:rPr>
                <w:sz w:val="7"/>
                <w:szCs w:val="7"/>
                <w:color w:val="auto"/>
              </w:rPr>
            </w:pPr>
          </w:p>
        </w:tc>
        <w:tc>
          <w:tcPr>
            <w:tcW w:w="1580" w:type="dxa"/>
            <w:vAlign w:val="bottom"/>
            <w:gridSpan w:val="3"/>
            <w:vMerge w:val="restart"/>
          </w:tcPr>
          <w:p>
            <w:pPr>
              <w:jc w:val="center"/>
              <w:ind w:left="559"/>
              <w:spacing w:after="0"/>
              <w:rPr>
                <w:sz w:val="20"/>
                <w:szCs w:val="20"/>
                <w:color w:val="auto"/>
              </w:rPr>
            </w:pPr>
            <w:r>
              <w:rPr>
                <w:rFonts w:ascii="Arial" w:cs="Arial" w:eastAsia="Arial" w:hAnsi="Arial"/>
                <w:sz w:val="16"/>
                <w:szCs w:val="16"/>
                <w:b w:val="1"/>
                <w:bCs w:val="1"/>
                <w:color w:val="auto"/>
                <w:w w:val="94"/>
              </w:rPr>
              <w:t>March 31,</w:t>
            </w: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5960" w:type="dxa"/>
            <w:vAlign w:val="bottom"/>
          </w:tcPr>
          <w:p>
            <w:pPr>
              <w:spacing w:after="0"/>
              <w:rPr>
                <w:sz w:val="11"/>
                <w:szCs w:val="11"/>
                <w:color w:val="auto"/>
              </w:rPr>
            </w:pPr>
          </w:p>
        </w:tc>
        <w:tc>
          <w:tcPr>
            <w:tcW w:w="2620" w:type="dxa"/>
            <w:vAlign w:val="bottom"/>
            <w:gridSpan w:val="2"/>
            <w:vMerge w:val="restart"/>
          </w:tcPr>
          <w:p>
            <w:pPr>
              <w:jc w:val="center"/>
              <w:ind w:right="140"/>
              <w:spacing w:after="0" w:line="142" w:lineRule="exact"/>
              <w:rPr>
                <w:sz w:val="20"/>
                <w:szCs w:val="20"/>
                <w:color w:val="auto"/>
              </w:rPr>
            </w:pPr>
            <w:r>
              <w:rPr>
                <w:rFonts w:ascii="Arial" w:cs="Arial" w:eastAsia="Arial" w:hAnsi="Arial"/>
                <w:sz w:val="16"/>
                <w:szCs w:val="16"/>
                <w:b w:val="1"/>
                <w:bCs w:val="1"/>
                <w:color w:val="auto"/>
                <w:w w:val="89"/>
              </w:rPr>
              <w:t>Condensed Consolidated</w:t>
            </w:r>
          </w:p>
        </w:tc>
        <w:tc>
          <w:tcPr>
            <w:tcW w:w="320" w:type="dxa"/>
            <w:vAlign w:val="bottom"/>
            <w:vMerge w:val="restart"/>
          </w:tcPr>
          <w:p>
            <w:pPr>
              <w:spacing w:after="0"/>
              <w:rPr>
                <w:sz w:val="11"/>
                <w:szCs w:val="11"/>
                <w:color w:val="auto"/>
              </w:rPr>
            </w:pPr>
          </w:p>
        </w:tc>
        <w:tc>
          <w:tcPr>
            <w:tcW w:w="1580" w:type="dxa"/>
            <w:vAlign w:val="bottom"/>
            <w:gridSpan w:val="3"/>
            <w:vMerge w:val="continue"/>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5960" w:type="dxa"/>
            <w:vAlign w:val="bottom"/>
          </w:tcPr>
          <w:p>
            <w:pPr>
              <w:spacing w:after="0"/>
              <w:rPr>
                <w:sz w:val="2"/>
                <w:szCs w:val="2"/>
                <w:color w:val="auto"/>
              </w:rPr>
            </w:pPr>
          </w:p>
        </w:tc>
        <w:tc>
          <w:tcPr>
            <w:tcW w:w="2620" w:type="dxa"/>
            <w:vAlign w:val="bottom"/>
            <w:gridSpan w:val="2"/>
            <w:vMerge w:val="continue"/>
          </w:tcPr>
          <w:p>
            <w:pPr>
              <w:spacing w:after="0"/>
              <w:rPr>
                <w:sz w:val="2"/>
                <w:szCs w:val="2"/>
                <w:color w:val="auto"/>
              </w:rPr>
            </w:pPr>
          </w:p>
        </w:tc>
        <w:tc>
          <w:tcPr>
            <w:tcW w:w="320" w:type="dxa"/>
            <w:vAlign w:val="bottom"/>
            <w:tcBorders>
              <w:bottom w:val="single" w:sz="8" w:color="auto"/>
            </w:tcBorders>
            <w:vMerge w:val="continue"/>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960" w:type="dxa"/>
            <w:vAlign w:val="bottom"/>
          </w:tcPr>
          <w:p>
            <w:pPr>
              <w:spacing w:after="0"/>
              <w:rPr>
                <w:sz w:val="20"/>
                <w:szCs w:val="20"/>
                <w:color w:val="auto"/>
              </w:rPr>
            </w:pPr>
          </w:p>
        </w:tc>
        <w:tc>
          <w:tcPr>
            <w:tcW w:w="2940" w:type="dxa"/>
            <w:vAlign w:val="bottom"/>
            <w:gridSpan w:val="3"/>
          </w:tcPr>
          <w:p>
            <w:pPr>
              <w:jc w:val="center"/>
              <w:ind w:right="460"/>
              <w:spacing w:after="0"/>
              <w:rPr>
                <w:sz w:val="20"/>
                <w:szCs w:val="20"/>
                <w:color w:val="auto"/>
              </w:rPr>
            </w:pPr>
            <w:r>
              <w:rPr>
                <w:rFonts w:ascii="Arial" w:cs="Arial" w:eastAsia="Arial" w:hAnsi="Arial"/>
                <w:sz w:val="16"/>
                <w:szCs w:val="16"/>
                <w:b w:val="1"/>
                <w:bCs w:val="1"/>
                <w:color w:val="auto"/>
                <w:w w:val="90"/>
              </w:rPr>
              <w:t>Statements of Operations</w:t>
            </w:r>
          </w:p>
        </w:tc>
        <w:tc>
          <w:tcPr>
            <w:tcW w:w="1060" w:type="dxa"/>
            <w:vAlign w:val="bottom"/>
          </w:tcPr>
          <w:p>
            <w:pPr>
              <w:jc w:val="right"/>
              <w:ind w:right="43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33"/>
        </w:trPr>
        <w:tc>
          <w:tcPr>
            <w:tcW w:w="5960" w:type="dxa"/>
            <w:vAlign w:val="bottom"/>
            <w:tcBorders>
              <w:bottom w:val="single" w:sz="8" w:color="CCEEFF"/>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i w:val="1"/>
                <w:iCs w:val="1"/>
                <w:color w:val="auto"/>
              </w:rPr>
              <w:t>Derivatives designated as cash flow hedging instruments</w:t>
            </w:r>
          </w:p>
        </w:tc>
        <w:tc>
          <w:tcPr>
            <w:tcW w:w="2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960" w:type="dxa"/>
            <w:vAlign w:val="bottom"/>
          </w:tcPr>
          <w:p>
            <w:pPr>
              <w:ind w:left="180"/>
              <w:spacing w:after="0"/>
              <w:rPr>
                <w:sz w:val="20"/>
                <w:szCs w:val="20"/>
                <w:color w:val="auto"/>
              </w:rPr>
            </w:pPr>
            <w:r>
              <w:rPr>
                <w:rFonts w:ascii="Arial" w:cs="Arial" w:eastAsia="Arial" w:hAnsi="Arial"/>
                <w:sz w:val="16"/>
                <w:szCs w:val="16"/>
                <w:color w:val="auto"/>
              </w:rPr>
              <w:t>Foreign exchange forward contracts</w:t>
            </w:r>
          </w:p>
        </w:tc>
        <w:tc>
          <w:tcPr>
            <w:tcW w:w="2940" w:type="dxa"/>
            <w:vAlign w:val="bottom"/>
            <w:gridSpan w:val="3"/>
          </w:tcPr>
          <w:p>
            <w:pPr>
              <w:ind w:left="1260"/>
              <w:spacing w:after="0"/>
              <w:rPr>
                <w:sz w:val="20"/>
                <w:szCs w:val="20"/>
                <w:color w:val="auto"/>
              </w:rPr>
            </w:pPr>
            <w:r>
              <w:rPr>
                <w:rFonts w:ascii="Arial" w:cs="Arial" w:eastAsia="Arial" w:hAnsi="Arial"/>
                <w:sz w:val="16"/>
                <w:szCs w:val="16"/>
                <w:color w:val="auto"/>
              </w:rPr>
              <w:t>Cost of goods sold  $</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235</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recognized the following gains on our foreign exchange contract designated as a cash flow hedge (in thousands):</w:t>
      </w:r>
    </w:p>
    <w:p>
      <w:pPr>
        <w:spacing w:after="0" w:line="388"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3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40" w:type="dxa"/>
            <w:vAlign w:val="bottom"/>
            <w:gridSpan w:val="4"/>
          </w:tcPr>
          <w:p>
            <w:pPr>
              <w:jc w:val="center"/>
              <w:ind w:right="19"/>
              <w:spacing w:after="0"/>
              <w:rPr>
                <w:sz w:val="20"/>
                <w:szCs w:val="20"/>
                <w:color w:val="auto"/>
              </w:rPr>
            </w:pPr>
            <w:r>
              <w:rPr>
                <w:rFonts w:ascii="Arial" w:cs="Arial" w:eastAsia="Arial" w:hAnsi="Arial"/>
                <w:sz w:val="16"/>
                <w:szCs w:val="16"/>
                <w:b w:val="1"/>
                <w:bCs w:val="1"/>
                <w:color w:val="auto"/>
                <w:w w:val="91"/>
              </w:rPr>
              <w:t>Amount of Gain Recognized in</w:t>
            </w:r>
          </w:p>
        </w:tc>
        <w:tc>
          <w:tcPr>
            <w:tcW w:w="10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40" w:type="dxa"/>
            <w:vAlign w:val="bottom"/>
            <w:gridSpan w:val="4"/>
          </w:tcPr>
          <w:p>
            <w:pPr>
              <w:jc w:val="center"/>
              <w:ind w:right="19"/>
              <w:spacing w:after="0"/>
              <w:rPr>
                <w:sz w:val="20"/>
                <w:szCs w:val="20"/>
                <w:color w:val="auto"/>
              </w:rPr>
            </w:pPr>
            <w:r>
              <w:rPr>
                <w:rFonts w:ascii="Arial" w:cs="Arial" w:eastAsia="Arial" w:hAnsi="Arial"/>
                <w:sz w:val="16"/>
                <w:szCs w:val="16"/>
                <w:b w:val="1"/>
                <w:bCs w:val="1"/>
                <w:color w:val="auto"/>
                <w:w w:val="91"/>
              </w:rPr>
              <w:t>Other Comprehensive Income on</w:t>
            </w:r>
          </w:p>
        </w:tc>
        <w:tc>
          <w:tcPr>
            <w:tcW w:w="100" w:type="dxa"/>
            <w:vAlign w:val="bottom"/>
          </w:tcPr>
          <w:p>
            <w:pPr>
              <w:spacing w:after="0"/>
              <w:rPr>
                <w:sz w:val="17"/>
                <w:szCs w:val="17"/>
                <w:color w:val="auto"/>
              </w:rPr>
            </w:pPr>
          </w:p>
        </w:tc>
        <w:tc>
          <w:tcPr>
            <w:tcW w:w="5180" w:type="dxa"/>
            <w:vAlign w:val="bottom"/>
            <w:gridSpan w:val="7"/>
          </w:tcPr>
          <w:p>
            <w:pPr>
              <w:ind w:left="120"/>
              <w:spacing w:after="0"/>
              <w:rPr>
                <w:sz w:val="20"/>
                <w:szCs w:val="20"/>
                <w:color w:val="auto"/>
              </w:rPr>
            </w:pPr>
            <w:r>
              <w:rPr>
                <w:rFonts w:ascii="Arial" w:cs="Arial" w:eastAsia="Arial" w:hAnsi="Arial"/>
                <w:sz w:val="16"/>
                <w:szCs w:val="16"/>
                <w:b w:val="1"/>
                <w:bCs w:val="1"/>
                <w:color w:val="auto"/>
                <w:w w:val="93"/>
              </w:rPr>
              <w:t>Amount of Gain Reclassified From Accumulated Other Comprehensive</w:t>
            </w:r>
          </w:p>
        </w:tc>
        <w:tc>
          <w:tcPr>
            <w:tcW w:w="0" w:type="dxa"/>
            <w:vAlign w:val="bottom"/>
          </w:tcPr>
          <w:p>
            <w:pPr>
              <w:spacing w:after="0"/>
              <w:rPr>
                <w:sz w:val="1"/>
                <w:szCs w:val="1"/>
                <w:color w:val="auto"/>
              </w:rPr>
            </w:pPr>
          </w:p>
        </w:tc>
      </w:tr>
      <w:tr>
        <w:trPr>
          <w:trHeight w:val="210"/>
        </w:trPr>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3"/>
          </w:tcPr>
          <w:p>
            <w:pPr>
              <w:jc w:val="center"/>
              <w:ind w:left="659"/>
              <w:spacing w:after="0"/>
              <w:rPr>
                <w:sz w:val="20"/>
                <w:szCs w:val="20"/>
                <w:color w:val="auto"/>
              </w:rPr>
            </w:pPr>
            <w:r>
              <w:rPr>
                <w:rFonts w:ascii="Arial" w:cs="Arial" w:eastAsia="Arial" w:hAnsi="Arial"/>
                <w:sz w:val="16"/>
                <w:szCs w:val="16"/>
                <w:b w:val="1"/>
                <w:bCs w:val="1"/>
                <w:color w:val="auto"/>
                <w:w w:val="91"/>
              </w:rPr>
              <w:t>Derivatives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60" w:type="dxa"/>
            <w:vAlign w:val="bottom"/>
            <w:gridSpan w:val="5"/>
          </w:tcPr>
          <w:p>
            <w:pPr>
              <w:ind w:left="1900"/>
              <w:spacing w:after="0"/>
              <w:rPr>
                <w:sz w:val="20"/>
                <w:szCs w:val="20"/>
                <w:color w:val="auto"/>
              </w:rPr>
            </w:pPr>
            <w:r>
              <w:rPr>
                <w:rFonts w:ascii="Arial" w:cs="Arial" w:eastAsia="Arial" w:hAnsi="Arial"/>
                <w:sz w:val="16"/>
                <w:szCs w:val="16"/>
                <w:b w:val="1"/>
                <w:bCs w:val="1"/>
                <w:color w:val="auto"/>
              </w:rPr>
              <w:t>Income into Income</w:t>
            </w: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gridSpan w:val="4"/>
          </w:tcPr>
          <w:p>
            <w:pPr>
              <w:spacing w:after="0"/>
              <w:rPr>
                <w:sz w:val="2"/>
                <w:szCs w:val="2"/>
                <w:color w:val="auto"/>
              </w:rPr>
            </w:pPr>
          </w:p>
        </w:tc>
        <w:tc>
          <w:tcPr>
            <w:tcW w:w="100" w:type="dxa"/>
            <w:vAlign w:val="bottom"/>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344"/>
        </w:trPr>
        <w:tc>
          <w:tcPr>
            <w:tcW w:w="3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40" w:type="dxa"/>
            <w:vAlign w:val="bottom"/>
            <w:gridSpan w:val="4"/>
          </w:tcPr>
          <w:p>
            <w:pPr>
              <w:jc w:val="center"/>
              <w:ind w:right="59"/>
              <w:spacing w:after="0"/>
              <w:rPr>
                <w:sz w:val="20"/>
                <w:szCs w:val="20"/>
                <w:color w:val="auto"/>
              </w:rPr>
            </w:pPr>
            <w:r>
              <w:rPr>
                <w:rFonts w:ascii="Arial" w:cs="Arial" w:eastAsia="Arial" w:hAnsi="Arial"/>
                <w:sz w:val="16"/>
                <w:szCs w:val="16"/>
                <w:b w:val="1"/>
                <w:bCs w:val="1"/>
                <w:color w:val="auto"/>
                <w:w w:val="90"/>
              </w:rPr>
              <w:t>Three months ended</w:t>
            </w:r>
          </w:p>
        </w:tc>
        <w:tc>
          <w:tcPr>
            <w:tcW w:w="1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00" w:type="dxa"/>
            <w:vAlign w:val="bottom"/>
            <w:gridSpan w:val="4"/>
          </w:tcPr>
          <w:p>
            <w:pPr>
              <w:jc w:val="right"/>
              <w:ind w:right="379"/>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210"/>
        </w:trPr>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3"/>
          </w:tcPr>
          <w:p>
            <w:pPr>
              <w:jc w:val="center"/>
              <w:ind w:left="659"/>
              <w:spacing w:after="0"/>
              <w:rPr>
                <w:sz w:val="20"/>
                <w:szCs w:val="20"/>
                <w:color w:val="auto"/>
              </w:rPr>
            </w:pPr>
            <w:r>
              <w:rPr>
                <w:rFonts w:ascii="Arial" w:cs="Arial" w:eastAsia="Arial" w:hAnsi="Arial"/>
                <w:sz w:val="16"/>
                <w:szCs w:val="16"/>
                <w:b w:val="1"/>
                <w:bCs w:val="1"/>
                <w:color w:val="auto"/>
                <w:w w:val="94"/>
              </w:rPr>
              <w:t>March 31,</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3"/>
          </w:tcPr>
          <w:p>
            <w:pPr>
              <w:jc w:val="right"/>
              <w:spacing w:after="0"/>
              <w:rPr>
                <w:sz w:val="20"/>
                <w:szCs w:val="20"/>
                <w:color w:val="auto"/>
              </w:rPr>
            </w:pPr>
            <w:r>
              <w:rPr>
                <w:rFonts w:ascii="Arial" w:cs="Arial" w:eastAsia="Arial" w:hAnsi="Arial"/>
                <w:sz w:val="16"/>
                <w:szCs w:val="16"/>
                <w:b w:val="1"/>
                <w:bCs w:val="1"/>
                <w:color w:val="auto"/>
              </w:rPr>
              <w:t>March 31,</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80" w:type="dxa"/>
            <w:vAlign w:val="bottom"/>
            <w:gridSpan w:val="3"/>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35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40" w:type="dxa"/>
            <w:vAlign w:val="bottom"/>
            <w:gridSpan w:val="2"/>
          </w:tcPr>
          <w:p>
            <w:pPr>
              <w:ind w:left="140"/>
              <w:spacing w:after="0"/>
              <w:rPr>
                <w:sz w:val="20"/>
                <w:szCs w:val="20"/>
                <w:color w:val="auto"/>
              </w:rPr>
            </w:pPr>
            <w:r>
              <w:rPr>
                <w:rFonts w:ascii="Arial" w:cs="Arial" w:eastAsia="Arial" w:hAnsi="Arial"/>
                <w:sz w:val="16"/>
                <w:szCs w:val="16"/>
                <w:b w:val="1"/>
                <w:bCs w:val="1"/>
                <w:color w:val="auto"/>
                <w:w w:val="99"/>
              </w:rPr>
              <w:t>Location of Gain Reclassified From</w:t>
            </w: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80" w:type="dxa"/>
            <w:vAlign w:val="bottom"/>
            <w:gridSpan w:val="3"/>
          </w:tcPr>
          <w:p>
            <w:pPr>
              <w:ind w:left="120"/>
              <w:spacing w:after="0"/>
              <w:rPr>
                <w:sz w:val="20"/>
                <w:szCs w:val="20"/>
                <w:color w:val="auto"/>
              </w:rPr>
            </w:pPr>
            <w:r>
              <w:rPr>
                <w:rFonts w:ascii="Arial" w:cs="Arial" w:eastAsia="Arial" w:hAnsi="Arial"/>
                <w:sz w:val="16"/>
                <w:szCs w:val="16"/>
                <w:b w:val="1"/>
                <w:bCs w:val="1"/>
                <w:color w:val="auto"/>
              </w:rPr>
              <w:t>Accumulated Other Comprehensive</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ind w:right="33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jc w:val="right"/>
              <w:ind w:right="399"/>
              <w:spacing w:after="0"/>
              <w:rPr>
                <w:sz w:val="20"/>
                <w:szCs w:val="20"/>
                <w:color w:val="auto"/>
              </w:rPr>
            </w:pPr>
            <w:r>
              <w:rPr>
                <w:rFonts w:ascii="Arial" w:cs="Arial" w:eastAsia="Arial" w:hAnsi="Arial"/>
                <w:sz w:val="16"/>
                <w:szCs w:val="16"/>
                <w:b w:val="1"/>
                <w:bCs w:val="1"/>
                <w:color w:val="auto"/>
                <w:w w:val="95"/>
              </w:rPr>
              <w:t>2017</w:t>
            </w:r>
          </w:p>
        </w:tc>
        <w:tc>
          <w:tcPr>
            <w:tcW w:w="100" w:type="dxa"/>
            <w:vAlign w:val="bottom"/>
          </w:tcPr>
          <w:p>
            <w:pPr>
              <w:spacing w:after="0"/>
              <w:rPr>
                <w:sz w:val="18"/>
                <w:szCs w:val="18"/>
                <w:color w:val="auto"/>
              </w:rPr>
            </w:pPr>
          </w:p>
        </w:tc>
        <w:tc>
          <w:tcPr>
            <w:tcW w:w="3080" w:type="dxa"/>
            <w:vAlign w:val="bottom"/>
            <w:gridSpan w:val="3"/>
          </w:tcPr>
          <w:p>
            <w:pPr>
              <w:ind w:left="680"/>
              <w:spacing w:after="0"/>
              <w:rPr>
                <w:sz w:val="20"/>
                <w:szCs w:val="20"/>
                <w:color w:val="auto"/>
              </w:rPr>
            </w:pPr>
            <w:r>
              <w:rPr>
                <w:rFonts w:ascii="Arial" w:cs="Arial" w:eastAsia="Arial" w:hAnsi="Arial"/>
                <w:sz w:val="16"/>
                <w:szCs w:val="16"/>
                <w:b w:val="1"/>
                <w:bCs w:val="1"/>
                <w:color w:val="auto"/>
              </w:rPr>
              <w:t>Income into Income</w:t>
            </w:r>
          </w:p>
        </w:tc>
        <w:tc>
          <w:tcPr>
            <w:tcW w:w="880" w:type="dxa"/>
            <w:vAlign w:val="bottom"/>
          </w:tcPr>
          <w:p>
            <w:pPr>
              <w:jc w:val="right"/>
              <w:ind w:right="31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ind w:right="319"/>
              <w:spacing w:after="0"/>
              <w:rPr>
                <w:sz w:val="20"/>
                <w:szCs w:val="20"/>
                <w:color w:val="auto"/>
              </w:rPr>
            </w:pPr>
            <w:r>
              <w:rPr>
                <w:rFonts w:ascii="Arial" w:cs="Arial" w:eastAsia="Arial" w:hAnsi="Arial"/>
                <w:sz w:val="16"/>
                <w:szCs w:val="16"/>
                <w:b w:val="1"/>
                <w:bCs w:val="1"/>
                <w:color w:val="auto"/>
                <w:w w:val="95"/>
              </w:rPr>
              <w:t>2017</w:t>
            </w:r>
          </w:p>
        </w:tc>
        <w:tc>
          <w:tcPr>
            <w:tcW w:w="0" w:type="dxa"/>
            <w:vAlign w:val="bottom"/>
          </w:tcPr>
          <w:p>
            <w:pPr>
              <w:spacing w:after="0"/>
              <w:rPr>
                <w:sz w:val="1"/>
                <w:szCs w:val="1"/>
                <w:color w:val="auto"/>
              </w:rPr>
            </w:pPr>
          </w:p>
        </w:tc>
      </w:tr>
      <w:tr>
        <w:trPr>
          <w:trHeight w:val="33"/>
        </w:trPr>
        <w:tc>
          <w:tcPr>
            <w:tcW w:w="35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Derivatives designated as cash flow hedges:</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540" w:type="dxa"/>
            <w:vAlign w:val="bottom"/>
          </w:tcPr>
          <w:p>
            <w:pPr>
              <w:ind w:left="160"/>
              <w:spacing w:after="0"/>
              <w:rPr>
                <w:sz w:val="20"/>
                <w:szCs w:val="20"/>
                <w:color w:val="auto"/>
              </w:rPr>
            </w:pPr>
            <w:r>
              <w:rPr>
                <w:rFonts w:ascii="Arial" w:cs="Arial" w:eastAsia="Arial" w:hAnsi="Arial"/>
                <w:sz w:val="16"/>
                <w:szCs w:val="16"/>
                <w:color w:val="auto"/>
              </w:rPr>
              <w:t>Foreign exchange forward contract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2,622</w:t>
            </w:r>
          </w:p>
        </w:tc>
        <w:tc>
          <w:tcPr>
            <w:tcW w:w="120" w:type="dxa"/>
            <w:vAlign w:val="bottom"/>
          </w:tcPr>
          <w:p>
            <w:pPr>
              <w:spacing w:after="0"/>
              <w:rPr>
                <w:sz w:val="20"/>
                <w:szCs w:val="20"/>
                <w:color w:val="auto"/>
              </w:rPr>
            </w:pP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840" w:type="dxa"/>
            <w:vAlign w:val="bottom"/>
          </w:tcPr>
          <w:p>
            <w:pPr>
              <w:ind w:left="5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3080" w:type="dxa"/>
            <w:vAlign w:val="bottom"/>
            <w:gridSpan w:val="3"/>
          </w:tcPr>
          <w:p>
            <w:pPr>
              <w:jc w:val="right"/>
              <w:ind w:right="140"/>
              <w:spacing w:after="0"/>
              <w:rPr>
                <w:sz w:val="20"/>
                <w:szCs w:val="20"/>
                <w:color w:val="auto"/>
              </w:rPr>
            </w:pPr>
            <w:r>
              <w:rPr>
                <w:rFonts w:ascii="Arial" w:cs="Arial" w:eastAsia="Arial" w:hAnsi="Arial"/>
                <w:sz w:val="16"/>
                <w:szCs w:val="16"/>
                <w:color w:val="auto"/>
              </w:rPr>
              <w:t>Cost of goods sold  $</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235</w:t>
            </w:r>
          </w:p>
        </w:tc>
        <w:tc>
          <w:tcPr>
            <w:tcW w:w="100" w:type="dxa"/>
            <w:vAlign w:val="bottom"/>
          </w:tcPr>
          <w:p>
            <w:pPr>
              <w:spacing w:after="0"/>
              <w:rPr>
                <w:sz w:val="20"/>
                <w:szCs w:val="20"/>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760" w:type="dxa"/>
            <w:vAlign w:val="bottom"/>
          </w:tcPr>
          <w:p>
            <w:pPr>
              <w:ind w:left="5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5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3540" w:type="dxa"/>
            <w:vAlign w:val="bottom"/>
            <w:shd w:val="clear" w:color="auto" w:fill="CCEEFF"/>
          </w:tcPr>
          <w:p>
            <w:pPr>
              <w:ind w:left="20"/>
              <w:spacing w:after="0"/>
              <w:rPr>
                <w:sz w:val="20"/>
                <w:szCs w:val="20"/>
                <w:color w:val="auto"/>
              </w:rPr>
            </w:pPr>
            <w:r>
              <w:rPr>
                <w:rFonts w:ascii="Arial" w:cs="Arial" w:eastAsia="Arial" w:hAnsi="Arial"/>
                <w:sz w:val="16"/>
                <w:szCs w:val="16"/>
                <w:color w:val="auto"/>
                <w:w w:val="99"/>
              </w:rPr>
              <w:t>Total derivatives designated as cash flow hedging</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2,622</w:t>
            </w:r>
          </w:p>
        </w:tc>
        <w:tc>
          <w:tcPr>
            <w:tcW w:w="120" w:type="dxa"/>
            <w:vAlign w:val="bottom"/>
            <w:shd w:val="clear" w:color="auto" w:fill="CCEEFF"/>
          </w:tcPr>
          <w:p>
            <w:pPr>
              <w:spacing w:after="0"/>
              <w:rPr>
                <w:sz w:val="17"/>
                <w:szCs w:val="17"/>
                <w:color w:val="auto"/>
              </w:rPr>
            </w:pPr>
          </w:p>
        </w:tc>
        <w:tc>
          <w:tcPr>
            <w:tcW w:w="440" w:type="dxa"/>
            <w:vAlign w:val="bottom"/>
            <w:vMerge w:val="restart"/>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840" w:type="dxa"/>
            <w:vAlign w:val="bottom"/>
            <w:vMerge w:val="restart"/>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3180" w:type="dxa"/>
            <w:vAlign w:val="bottom"/>
            <w:gridSpan w:val="4"/>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235</w:t>
            </w:r>
          </w:p>
        </w:tc>
        <w:tc>
          <w:tcPr>
            <w:tcW w:w="100" w:type="dxa"/>
            <w:vAlign w:val="bottom"/>
            <w:shd w:val="clear" w:color="auto" w:fill="CCEEFF"/>
          </w:tcPr>
          <w:p>
            <w:pPr>
              <w:spacing w:after="0"/>
              <w:rPr>
                <w:sz w:val="17"/>
                <w:szCs w:val="17"/>
                <w:color w:val="auto"/>
              </w:rPr>
            </w:pPr>
          </w:p>
        </w:tc>
        <w:tc>
          <w:tcPr>
            <w:tcW w:w="360" w:type="dxa"/>
            <w:vAlign w:val="bottom"/>
            <w:vMerge w:val="restart"/>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760" w:type="dxa"/>
            <w:vAlign w:val="bottom"/>
            <w:vMerge w:val="restart"/>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instruments</w:t>
            </w:r>
          </w:p>
        </w:tc>
        <w:tc>
          <w:tcPr>
            <w:tcW w:w="120" w:type="dxa"/>
            <w:vAlign w:val="bottom"/>
            <w:vMerge w:val="continue"/>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vMerge w:val="continue"/>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3180" w:type="dxa"/>
            <w:vAlign w:val="bottom"/>
            <w:gridSpan w:val="4"/>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vMerge w:val="continue"/>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As of March 31, 2018, we expect approximately $1.3 million of the deferred gains on the outstanding derivatives in accumulated other comprehensive income to be reclassified to net income during the next 12 months concurrent with the underlying hedged transactions also being reported in net income.</w:t>
      </w:r>
    </w:p>
    <w:p>
      <w:pPr>
        <w:spacing w:after="0" w:line="177"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8:</w:t>
      </w:r>
      <w:r>
        <w:rPr>
          <w:sz w:val="20"/>
          <w:szCs w:val="20"/>
          <w:color w:val="auto"/>
        </w:rPr>
        <w:tab/>
      </w:r>
      <w:r>
        <w:rPr>
          <w:rFonts w:ascii="Arial" w:cs="Arial" w:eastAsia="Arial" w:hAnsi="Arial"/>
          <w:sz w:val="16"/>
          <w:szCs w:val="16"/>
          <w:b w:val="1"/>
          <w:bCs w:val="1"/>
          <w:color w:val="auto"/>
        </w:rPr>
        <w:t>Fair Value Measurement</w:t>
      </w:r>
    </w:p>
    <w:p>
      <w:pPr>
        <w:spacing w:after="0" w:line="22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Fair value is the price that would be received from selling an asset or paid to transfer a liability in an orderly transaction between market participants at the measurement date. There are three levels of inputs that may be used to measure fair value:</w:t>
      </w:r>
    </w:p>
    <w:p>
      <w:pPr>
        <w:spacing w:after="0" w:line="170"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 1: quoted prices in active markets for identical assets or liabilities;</w:t>
      </w:r>
    </w:p>
    <w:p>
      <w:pPr>
        <w:spacing w:after="0" w:line="23" w:lineRule="exact"/>
        <w:rPr>
          <w:rFonts w:ascii="Arial" w:cs="Arial" w:eastAsia="Arial" w:hAnsi="Arial"/>
          <w:sz w:val="18"/>
          <w:szCs w:val="18"/>
          <w:color w:val="auto"/>
        </w:rPr>
      </w:pPr>
    </w:p>
    <w:p>
      <w:pPr>
        <w:ind w:left="660" w:right="540" w:hanging="328"/>
        <w:spacing w:after="0" w:line="261"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 2: inputs other than Level 1 that are observable, either directly or indirectly, such as quoted prices in active markets for similar assets or liabilities, quoted prices for identical or similar assets or liabilities in markets that are not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1"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65" w:lineRule="exact"/>
        <w:rPr>
          <w:sz w:val="20"/>
          <w:szCs w:val="20"/>
          <w:color w:val="auto"/>
        </w:rPr>
      </w:pPr>
    </w:p>
    <w:p>
      <w:pPr>
        <w:ind w:left="660" w:right="160"/>
        <w:spacing w:after="0" w:line="282" w:lineRule="auto"/>
        <w:rPr>
          <w:sz w:val="20"/>
          <w:szCs w:val="20"/>
          <w:color w:val="auto"/>
        </w:rPr>
      </w:pPr>
      <w:r>
        <w:rPr>
          <w:rFonts w:ascii="Arial" w:cs="Arial" w:eastAsia="Arial" w:hAnsi="Arial"/>
          <w:sz w:val="18"/>
          <w:szCs w:val="18"/>
          <w:color w:val="auto"/>
        </w:rPr>
        <w:t>active, or other inputs that are observable or can be corroborated by observable market data for substantially the full term of the assets or liabilities; or</w:t>
      </w:r>
    </w:p>
    <w:p>
      <w:pPr>
        <w:spacing w:after="0" w:line="1"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Level 3: unobservable inputs that are supported by little or no market activity and that are significant to the fair values of the assets or liabilities.</w:t>
      </w:r>
    </w:p>
    <w:p>
      <w:pPr>
        <w:spacing w:after="0" w:line="236"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During the first quarter of 2017, we recognized an earn-out liability upon the acquisition of HIS from Pfizer. Pfizer may be entitled up to $225 million in cash if certain performance targets for the combined company for the three years ending December 31, 2019 are achieved. The initial fair value of the earn-out was determined by employing a Monte Carlo simulation in a risk neutral framework. The underlying simulated variable was adjusted EBITDA. The adjusted EBITDA volatility estimate was based on a study of historical asset volatility for a set of comparable public companies. The model includes other assumptions including the market price of risk, which was calculated as the WACC less the long-term risk free-rate. The initial value assigned to the contingent consideration was a result of forecasted product demand of our HIS business, as discussed further in Note 3: Acquisition, Strategic Transaction and Integration Expenses. At each reporting date subsequent to the acquisition we re-measure the earn-out using the same methodology above and recognize any changes in value. If the probability of achieving the performance target significantly changes from what we initially anticipated, the change could have a significant impact on our financial statements in the period recognized. Our contingent earn-out liability is separately stated in our condensed consolidated balance sheets.</w:t>
      </w:r>
    </w:p>
    <w:p>
      <w:pPr>
        <w:spacing w:after="0" w:line="178"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following table provides a reconciliation of the Level 3 earn-out liability measured at estimated fair value as of December 31, 2017 to March 31, 2018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60" w:type="dxa"/>
            <w:vAlign w:val="bottom"/>
          </w:tcPr>
          <w:p>
            <w:pPr>
              <w:jc w:val="right"/>
              <w:ind w:right="412"/>
              <w:spacing w:after="0"/>
              <w:rPr>
                <w:sz w:val="20"/>
                <w:szCs w:val="20"/>
                <w:color w:val="auto"/>
              </w:rPr>
            </w:pPr>
            <w:r>
              <w:rPr>
                <w:rFonts w:ascii="Arial" w:cs="Arial" w:eastAsia="Arial" w:hAnsi="Arial"/>
                <w:sz w:val="16"/>
                <w:szCs w:val="16"/>
                <w:b w:val="1"/>
                <w:bCs w:val="1"/>
                <w:color w:val="auto"/>
              </w:rPr>
              <w:t>Earn-out Liability</w:t>
            </w:r>
          </w:p>
        </w:tc>
      </w:tr>
      <w:tr>
        <w:trPr>
          <w:trHeight w:val="33"/>
        </w:trPr>
        <w:tc>
          <w:tcPr>
            <w:tcW w:w="9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44"/>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Accrued balance, December 31, 2017</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27,000</w:t>
            </w:r>
          </w:p>
        </w:tc>
      </w:tr>
      <w:tr>
        <w:trPr>
          <w:trHeight w:val="243"/>
        </w:trPr>
        <w:tc>
          <w:tcPr>
            <w:tcW w:w="9140" w:type="dxa"/>
            <w:vAlign w:val="bottom"/>
          </w:tcPr>
          <w:p>
            <w:pPr>
              <w:ind w:left="180"/>
              <w:spacing w:after="0"/>
              <w:rPr>
                <w:sz w:val="20"/>
                <w:szCs w:val="20"/>
                <w:color w:val="auto"/>
              </w:rPr>
            </w:pPr>
            <w:r>
              <w:rPr>
                <w:rFonts w:ascii="Arial" w:cs="Arial" w:eastAsia="Arial" w:hAnsi="Arial"/>
                <w:sz w:val="18"/>
                <w:szCs w:val="18"/>
                <w:color w:val="auto"/>
              </w:rPr>
              <w:t>Change in fair value of earn-out (included in income from operations as a separate line item)</w:t>
            </w:r>
          </w:p>
        </w:tc>
        <w:tc>
          <w:tcPr>
            <w:tcW w:w="320" w:type="dxa"/>
            <w:vAlign w:val="bottom"/>
          </w:tcPr>
          <w:p>
            <w:pPr>
              <w:spacing w:after="0"/>
              <w:rPr>
                <w:sz w:val="21"/>
                <w:szCs w:val="21"/>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(4,000)</w:t>
            </w:r>
          </w:p>
        </w:tc>
      </w:tr>
      <w:tr>
        <w:trPr>
          <w:trHeight w:val="27"/>
        </w:trPr>
        <w:tc>
          <w:tcPr>
            <w:tcW w:w="9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57"/>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Accrued balance, March 31, 2018</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23,000</w:t>
            </w:r>
          </w:p>
        </w:tc>
      </w:tr>
      <w:tr>
        <w:trPr>
          <w:trHeight w:val="20"/>
        </w:trPr>
        <w:tc>
          <w:tcPr>
            <w:tcW w:w="9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0" w:firstLine="648"/>
        <w:spacing w:after="0" w:line="342" w:lineRule="auto"/>
        <w:rPr>
          <w:sz w:val="20"/>
          <w:szCs w:val="20"/>
          <w:color w:val="auto"/>
        </w:rPr>
      </w:pPr>
      <w:r>
        <w:rPr>
          <w:rFonts w:ascii="Arial" w:cs="Arial" w:eastAsia="Arial" w:hAnsi="Arial"/>
          <w:sz w:val="16"/>
          <w:szCs w:val="16"/>
          <w:color w:val="auto"/>
        </w:rPr>
        <w:t>The fair value of the earn-out at March 31, 2018 changed from the fair value calculated at December 31, 2017 due to a change in the underlying cumulative adjusted EBITDA forecast, and changes in certain assumptions used in the Monte Carlo simulation, as detailed in the below table.</w:t>
      </w:r>
    </w:p>
    <w:p>
      <w:pPr>
        <w:spacing w:after="0" w:line="124" w:lineRule="exact"/>
        <w:rPr>
          <w:sz w:val="20"/>
          <w:szCs w:val="20"/>
          <w:color w:val="auto"/>
        </w:rPr>
      </w:pPr>
    </w:p>
    <w:p>
      <w:pPr>
        <w:ind w:right="200" w:firstLine="648"/>
        <w:spacing w:after="0" w:line="342" w:lineRule="auto"/>
        <w:rPr>
          <w:sz w:val="20"/>
          <w:szCs w:val="20"/>
          <w:color w:val="auto"/>
        </w:rPr>
      </w:pPr>
      <w:r>
        <w:rPr>
          <w:rFonts w:ascii="Arial" w:cs="Arial" w:eastAsia="Arial" w:hAnsi="Arial"/>
          <w:sz w:val="16"/>
          <w:szCs w:val="16"/>
          <w:color w:val="auto"/>
        </w:rPr>
        <w:t>The following table provides quantitative information about Level 3 inputs for fair value measurement of our earn-out liability as of December 31, 2017 and March 31, 2018. Significant increases or decreases in these inputs in isolation could result in a significant impact on our fair value measurement:</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4"/>
              </w:rPr>
              <w:t>As of</w:t>
            </w:r>
          </w:p>
        </w:tc>
        <w:tc>
          <w:tcPr>
            <w:tcW w:w="1760" w:type="dxa"/>
            <w:vAlign w:val="bottom"/>
          </w:tcPr>
          <w:p>
            <w:pPr>
              <w:jc w:val="right"/>
              <w:ind w:right="619"/>
              <w:spacing w:after="0"/>
              <w:rPr>
                <w:sz w:val="20"/>
                <w:szCs w:val="20"/>
                <w:color w:val="auto"/>
              </w:rPr>
            </w:pPr>
            <w:r>
              <w:rPr>
                <w:rFonts w:ascii="Arial" w:cs="Arial" w:eastAsia="Arial" w:hAnsi="Arial"/>
                <w:sz w:val="16"/>
                <w:szCs w:val="16"/>
                <w:b w:val="1"/>
                <w:bCs w:val="1"/>
                <w:color w:val="auto"/>
              </w:rPr>
              <w:t>As of</w:t>
            </w:r>
          </w:p>
        </w:tc>
      </w:tr>
      <w:tr>
        <w:trPr>
          <w:trHeight w:val="210"/>
        </w:trPr>
        <w:tc>
          <w:tcPr>
            <w:tcW w:w="7460" w:type="dxa"/>
            <w:vAlign w:val="bottom"/>
            <w:gridSpan w:val="2"/>
          </w:tcPr>
          <w:p>
            <w:pPr>
              <w:ind w:left="40"/>
              <w:spacing w:after="0"/>
              <w:rPr>
                <w:sz w:val="20"/>
                <w:szCs w:val="20"/>
                <w:color w:val="auto"/>
              </w:rPr>
            </w:pPr>
            <w:r>
              <w:rPr>
                <w:rFonts w:ascii="Arial" w:cs="Arial" w:eastAsia="Arial" w:hAnsi="Arial"/>
                <w:sz w:val="16"/>
                <w:szCs w:val="16"/>
                <w:b w:val="1"/>
                <w:bCs w:val="1"/>
                <w:color w:val="auto"/>
              </w:rPr>
              <w:t>Simulation Input</w:t>
            </w:r>
          </w:p>
        </w:tc>
        <w:tc>
          <w:tcPr>
            <w:tcW w:w="22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March 31, 2018</w:t>
            </w:r>
          </w:p>
        </w:tc>
        <w:tc>
          <w:tcPr>
            <w:tcW w:w="1760" w:type="dxa"/>
            <w:vAlign w:val="bottom"/>
          </w:tcPr>
          <w:p>
            <w:pPr>
              <w:jc w:val="right"/>
              <w:ind w:right="139"/>
              <w:spacing w:after="0"/>
              <w:rPr>
                <w:sz w:val="20"/>
                <w:szCs w:val="20"/>
                <w:color w:val="auto"/>
              </w:rPr>
            </w:pPr>
            <w:r>
              <w:rPr>
                <w:rFonts w:ascii="Arial" w:cs="Arial" w:eastAsia="Arial" w:hAnsi="Arial"/>
                <w:sz w:val="16"/>
                <w:szCs w:val="16"/>
                <w:b w:val="1"/>
                <w:bCs w:val="1"/>
                <w:color w:val="auto"/>
              </w:rPr>
              <w:t>December 31, 2017</w:t>
            </w:r>
          </w:p>
        </w:tc>
      </w:tr>
      <w:tr>
        <w:trPr>
          <w:trHeight w:val="33"/>
        </w:trPr>
        <w:tc>
          <w:tcPr>
            <w:tcW w:w="7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30"/>
        </w:trPr>
        <w:tc>
          <w:tcPr>
            <w:tcW w:w="7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Adjusted EBITDA Volatility</w:t>
            </w:r>
          </w:p>
        </w:tc>
        <w:tc>
          <w:tcPr>
            <w:tcW w:w="2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26.00%</w:t>
            </w:r>
          </w:p>
        </w:tc>
        <w:tc>
          <w:tcPr>
            <w:tcW w:w="10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26.00%</w:t>
            </w:r>
          </w:p>
        </w:tc>
      </w:tr>
      <w:tr>
        <w:trPr>
          <w:trHeight w:val="237"/>
        </w:trPr>
        <w:tc>
          <w:tcPr>
            <w:tcW w:w="7460" w:type="dxa"/>
            <w:vAlign w:val="bottom"/>
            <w:gridSpan w:val="2"/>
          </w:tcPr>
          <w:p>
            <w:pPr>
              <w:ind w:left="40"/>
              <w:spacing w:after="0"/>
              <w:rPr>
                <w:sz w:val="20"/>
                <w:szCs w:val="20"/>
                <w:color w:val="auto"/>
              </w:rPr>
            </w:pPr>
            <w:r>
              <w:rPr>
                <w:rFonts w:ascii="Arial" w:cs="Arial" w:eastAsia="Arial" w:hAnsi="Arial"/>
                <w:sz w:val="16"/>
                <w:szCs w:val="16"/>
                <w:color w:val="auto"/>
              </w:rPr>
              <w:t>WACC</w:t>
            </w:r>
          </w:p>
        </w:tc>
        <w:tc>
          <w:tcPr>
            <w:tcW w:w="2100" w:type="dxa"/>
            <w:vAlign w:val="bottom"/>
          </w:tcPr>
          <w:p>
            <w:pPr>
              <w:jc w:val="right"/>
              <w:spacing w:after="0"/>
              <w:rPr>
                <w:sz w:val="20"/>
                <w:szCs w:val="20"/>
                <w:color w:val="auto"/>
              </w:rPr>
            </w:pPr>
            <w:r>
              <w:rPr>
                <w:rFonts w:ascii="Arial" w:cs="Arial" w:eastAsia="Arial" w:hAnsi="Arial"/>
                <w:sz w:val="16"/>
                <w:szCs w:val="16"/>
                <w:color w:val="auto"/>
              </w:rPr>
              <w:t>8.50%</w:t>
            </w:r>
          </w:p>
        </w:tc>
        <w:tc>
          <w:tcPr>
            <w:tcW w:w="10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8.75%</w:t>
            </w:r>
          </w:p>
        </w:tc>
      </w:tr>
      <w:tr>
        <w:trPr>
          <w:trHeight w:val="33"/>
        </w:trPr>
        <w:tc>
          <w:tcPr>
            <w:tcW w:w="7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7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20-year risk free rate</w:t>
            </w:r>
          </w:p>
        </w:tc>
        <w:tc>
          <w:tcPr>
            <w:tcW w:w="2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2.85%</w:t>
            </w:r>
          </w:p>
        </w:tc>
        <w:tc>
          <w:tcPr>
            <w:tcW w:w="1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2.58%</w:t>
            </w:r>
          </w:p>
        </w:tc>
      </w:tr>
      <w:tr>
        <w:trPr>
          <w:trHeight w:val="237"/>
        </w:trPr>
        <w:tc>
          <w:tcPr>
            <w:tcW w:w="7460" w:type="dxa"/>
            <w:vAlign w:val="bottom"/>
            <w:gridSpan w:val="2"/>
          </w:tcPr>
          <w:p>
            <w:pPr>
              <w:ind w:left="40"/>
              <w:spacing w:after="0"/>
              <w:rPr>
                <w:sz w:val="20"/>
                <w:szCs w:val="20"/>
                <w:color w:val="auto"/>
              </w:rPr>
            </w:pPr>
            <w:r>
              <w:rPr>
                <w:rFonts w:ascii="Arial" w:cs="Arial" w:eastAsia="Arial" w:hAnsi="Arial"/>
                <w:sz w:val="16"/>
                <w:szCs w:val="16"/>
                <w:color w:val="auto"/>
              </w:rPr>
              <w:t>Market price of risk</w:t>
            </w:r>
          </w:p>
        </w:tc>
        <w:tc>
          <w:tcPr>
            <w:tcW w:w="2100" w:type="dxa"/>
            <w:vAlign w:val="bottom"/>
          </w:tcPr>
          <w:p>
            <w:pPr>
              <w:jc w:val="right"/>
              <w:spacing w:after="0"/>
              <w:rPr>
                <w:sz w:val="20"/>
                <w:szCs w:val="20"/>
                <w:color w:val="auto"/>
              </w:rPr>
            </w:pPr>
            <w:r>
              <w:rPr>
                <w:rFonts w:ascii="Arial" w:cs="Arial" w:eastAsia="Arial" w:hAnsi="Arial"/>
                <w:sz w:val="16"/>
                <w:szCs w:val="16"/>
                <w:color w:val="auto"/>
              </w:rPr>
              <w:t>5.50%</w:t>
            </w:r>
          </w:p>
        </w:tc>
        <w:tc>
          <w:tcPr>
            <w:tcW w:w="10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5.99%</w:t>
            </w:r>
          </w:p>
        </w:tc>
      </w:tr>
      <w:tr>
        <w:trPr>
          <w:trHeight w:val="33"/>
        </w:trPr>
        <w:tc>
          <w:tcPr>
            <w:tcW w:w="7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37"/>
        </w:trPr>
        <w:tc>
          <w:tcPr>
            <w:tcW w:w="74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Cost of debt</w:t>
            </w:r>
          </w:p>
        </w:tc>
        <w:tc>
          <w:tcPr>
            <w:tcW w:w="2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4.77%</w:t>
            </w:r>
          </w:p>
        </w:tc>
        <w:tc>
          <w:tcPr>
            <w:tcW w:w="100" w:type="dxa"/>
            <w:vAlign w:val="bottom"/>
            <w:shd w:val="clear" w:color="auto" w:fill="CCEEFF"/>
          </w:tcPr>
          <w:p>
            <w:pPr>
              <w:spacing w:after="0"/>
              <w:rPr>
                <w:sz w:val="20"/>
                <w:szCs w:val="20"/>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4.08%</w:t>
            </w:r>
          </w:p>
        </w:tc>
      </w:tr>
      <w:tr>
        <w:trPr>
          <w:trHeight w:val="33"/>
        </w:trPr>
        <w:tc>
          <w:tcPr>
            <w:tcW w:w="7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fair value of our investments is estimated using observable market based inputs such as quoted prices, interest rates and yield curves or Level 2 inputs, which consisted of corporate bonds.</w:t>
      </w:r>
    </w:p>
    <w:p>
      <w:pPr>
        <w:spacing w:after="0" w:line="170" w:lineRule="exact"/>
        <w:rPr>
          <w:sz w:val="20"/>
          <w:szCs w:val="20"/>
          <w:color w:val="auto"/>
        </w:rPr>
      </w:pPr>
    </w:p>
    <w:p>
      <w:pPr>
        <w:jc w:val="both"/>
        <w:ind w:right="80" w:firstLine="648"/>
        <w:spacing w:after="0" w:line="342" w:lineRule="auto"/>
        <w:rPr>
          <w:sz w:val="20"/>
          <w:szCs w:val="20"/>
          <w:color w:val="auto"/>
        </w:rPr>
      </w:pPr>
      <w:r>
        <w:rPr>
          <w:rFonts w:ascii="Arial" w:cs="Arial" w:eastAsia="Arial" w:hAnsi="Arial"/>
          <w:sz w:val="16"/>
          <w:szCs w:val="16"/>
          <w:color w:val="auto"/>
        </w:rPr>
        <w:t>The fair value of our Level 2 forward currency contracts are estimated using observable market inputs such as known notional value amounts, spot and forward exchange rates. These inputs relate to liquid, heavily traded currencies with active markets which are available for the full term of the derivative.</w:t>
      </w:r>
    </w:p>
    <w:p>
      <w:pPr>
        <w:spacing w:after="0" w:line="124" w:lineRule="exact"/>
        <w:rPr>
          <w:sz w:val="20"/>
          <w:szCs w:val="20"/>
          <w:color w:val="auto"/>
        </w:rPr>
      </w:pPr>
    </w:p>
    <w:p>
      <w:pPr>
        <w:jc w:val="both"/>
        <w:ind w:right="80" w:firstLine="648"/>
        <w:spacing w:after="0" w:line="286" w:lineRule="auto"/>
        <w:rPr>
          <w:sz w:val="20"/>
          <w:szCs w:val="20"/>
          <w:color w:val="auto"/>
        </w:rPr>
      </w:pPr>
      <w:r>
        <w:rPr>
          <w:rFonts w:ascii="Arial" w:cs="Arial" w:eastAsia="Arial" w:hAnsi="Arial"/>
          <w:sz w:val="17"/>
          <w:szCs w:val="17"/>
          <w:color w:val="auto"/>
        </w:rPr>
        <w:t>The assets related to our Dominican Republic manufacturing facilities were classified as assets held-for-sale as of December 31, 2017. These assets are separately stated in our condensed consolidated balance sheet. The fair value of these Level 3 assets was determined as part of the HIS business valuation and was based on a market approach using comparable building and land sales data and the analysis of market conditions.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were no transfers between Levels during the three months ended March 31, 2018.</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1" w:right="239" w:bottom="1440" w:gutter="0" w:footer="0" w:header="0"/>
        </w:sectPr>
      </w:pPr>
    </w:p>
    <w:bookmarkStart w:id="18" w:name="page19"/>
    <w:bookmarkEnd w:id="18"/>
    <w:p>
      <w:pPr>
        <w:jc w:val="center"/>
        <w:ind w:right="-19"/>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254"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Our assets and liabilities measured at fair value on a recurring basis consisted of the following (Level 1, 2 and 3 inputs as defined above) (in thousands):</w:t>
      </w:r>
    </w:p>
    <w:p>
      <w:pPr>
        <w:spacing w:after="0" w:line="108"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56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6"/>
          </w:tcPr>
          <w:p>
            <w:pPr>
              <w:jc w:val="center"/>
              <w:ind w:right="100"/>
              <w:spacing w:after="0"/>
              <w:rPr>
                <w:sz w:val="20"/>
                <w:szCs w:val="20"/>
                <w:color w:val="auto"/>
              </w:rPr>
            </w:pPr>
            <w:r>
              <w:rPr>
                <w:rFonts w:ascii="Arial" w:cs="Arial" w:eastAsia="Arial" w:hAnsi="Arial"/>
                <w:sz w:val="14"/>
                <w:szCs w:val="14"/>
                <w:b w:val="1"/>
                <w:bCs w:val="1"/>
                <w:color w:val="auto"/>
                <w:w w:val="93"/>
              </w:rPr>
              <w:t>Fair value measurements at March 31, 2018</w:t>
            </w: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1"/>
              </w:rPr>
              <w:t>Quoted prices</w:t>
            </w:r>
          </w:p>
        </w:tc>
        <w:tc>
          <w:tcPr>
            <w:tcW w:w="160" w:type="dxa"/>
            <w:vAlign w:val="bottom"/>
          </w:tcPr>
          <w:p>
            <w:pPr>
              <w:spacing w:after="0"/>
              <w:rPr>
                <w:sz w:val="13"/>
                <w:szCs w:val="13"/>
                <w:color w:val="auto"/>
              </w:rPr>
            </w:pPr>
          </w:p>
        </w:tc>
        <w:tc>
          <w:tcPr>
            <w:tcW w:w="13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Significant</w:t>
            </w: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in active</w:t>
            </w:r>
          </w:p>
        </w:tc>
        <w:tc>
          <w:tcPr>
            <w:tcW w:w="1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vMerge w:val="restart"/>
          </w:tcPr>
          <w:p>
            <w:pPr>
              <w:jc w:val="center"/>
              <w:ind w:right="75"/>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5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vMerge w:val="restart"/>
          </w:tcPr>
          <w:p>
            <w:pPr>
              <w:jc w:val="center"/>
              <w:ind w:right="114"/>
              <w:spacing w:after="0"/>
              <w:rPr>
                <w:sz w:val="20"/>
                <w:szCs w:val="20"/>
                <w:color w:val="auto"/>
              </w:rPr>
            </w:pPr>
            <w:r>
              <w:rPr>
                <w:rFonts w:ascii="Arial" w:cs="Arial" w:eastAsia="Arial" w:hAnsi="Arial"/>
                <w:sz w:val="14"/>
                <w:szCs w:val="14"/>
                <w:b w:val="1"/>
                <w:bCs w:val="1"/>
                <w:color w:val="auto"/>
                <w:w w:val="94"/>
              </w:rPr>
              <w:t>Total carrying</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markets for</w:t>
            </w:r>
          </w:p>
        </w:tc>
        <w:tc>
          <w:tcPr>
            <w:tcW w:w="160" w:type="dxa"/>
            <w:vAlign w:val="bottom"/>
          </w:tcPr>
          <w:p>
            <w:pPr>
              <w:spacing w:after="0"/>
              <w:rPr>
                <w:sz w:val="12"/>
                <w:szCs w:val="12"/>
                <w:color w:val="auto"/>
              </w:rPr>
            </w:pPr>
          </w:p>
        </w:tc>
        <w:tc>
          <w:tcPr>
            <w:tcW w:w="13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other</w:t>
            </w:r>
          </w:p>
        </w:tc>
        <w:tc>
          <w:tcPr>
            <w:tcW w:w="18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identical</w:t>
            </w:r>
          </w:p>
        </w:tc>
        <w:tc>
          <w:tcPr>
            <w:tcW w:w="160" w:type="dxa"/>
            <w:vAlign w:val="bottom"/>
          </w:tcPr>
          <w:p>
            <w:pPr>
              <w:spacing w:after="0"/>
              <w:rPr>
                <w:sz w:val="12"/>
                <w:szCs w:val="12"/>
                <w:color w:val="auto"/>
              </w:rPr>
            </w:pPr>
          </w:p>
        </w:tc>
        <w:tc>
          <w:tcPr>
            <w:tcW w:w="13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observable</w:t>
            </w:r>
          </w:p>
        </w:tc>
        <w:tc>
          <w:tcPr>
            <w:tcW w:w="180" w:type="dxa"/>
            <w:vAlign w:val="bottom"/>
          </w:tcPr>
          <w:p>
            <w:pPr>
              <w:spacing w:after="0"/>
              <w:rPr>
                <w:sz w:val="12"/>
                <w:szCs w:val="12"/>
                <w:color w:val="auto"/>
              </w:rPr>
            </w:pPr>
          </w:p>
        </w:tc>
        <w:tc>
          <w:tcPr>
            <w:tcW w:w="1180" w:type="dxa"/>
            <w:vAlign w:val="bottom"/>
          </w:tcPr>
          <w:p>
            <w:pPr>
              <w:jc w:val="center"/>
              <w:ind w:right="75"/>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92"/>
        </w:trPr>
        <w:tc>
          <w:tcPr>
            <w:tcW w:w="5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jc w:val="center"/>
              <w:ind w:right="114"/>
              <w:spacing w:after="0"/>
              <w:rPr>
                <w:sz w:val="20"/>
                <w:szCs w:val="20"/>
                <w:color w:val="auto"/>
              </w:rPr>
            </w:pPr>
            <w:r>
              <w:rPr>
                <w:rFonts w:ascii="Arial" w:cs="Arial" w:eastAsia="Arial" w:hAnsi="Arial"/>
                <w:sz w:val="14"/>
                <w:szCs w:val="14"/>
                <w:b w:val="1"/>
                <w:bCs w:val="1"/>
                <w:color w:val="auto"/>
                <w:w w:val="89"/>
              </w:rPr>
              <w:t>value</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assets (level 1)</w:t>
            </w:r>
          </w:p>
        </w:tc>
        <w:tc>
          <w:tcPr>
            <w:tcW w:w="160" w:type="dxa"/>
            <w:vAlign w:val="bottom"/>
          </w:tcPr>
          <w:p>
            <w:pPr>
              <w:spacing w:after="0"/>
              <w:rPr>
                <w:sz w:val="16"/>
                <w:szCs w:val="16"/>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inputs (level 2)</w:t>
            </w:r>
          </w:p>
        </w:tc>
        <w:tc>
          <w:tcPr>
            <w:tcW w:w="180" w:type="dxa"/>
            <w:vAlign w:val="bottom"/>
          </w:tcPr>
          <w:p>
            <w:pPr>
              <w:spacing w:after="0"/>
              <w:rPr>
                <w:sz w:val="16"/>
                <w:szCs w:val="16"/>
                <w:color w:val="auto"/>
              </w:rPr>
            </w:pPr>
          </w:p>
        </w:tc>
        <w:tc>
          <w:tcPr>
            <w:tcW w:w="1180" w:type="dxa"/>
            <w:vAlign w:val="bottom"/>
          </w:tcPr>
          <w:p>
            <w:pPr>
              <w:jc w:val="center"/>
              <w:ind w:right="75"/>
              <w:spacing w:after="0"/>
              <w:rPr>
                <w:sz w:val="20"/>
                <w:szCs w:val="20"/>
                <w:color w:val="auto"/>
              </w:rPr>
            </w:pPr>
            <w:r>
              <w:rPr>
                <w:rFonts w:ascii="Arial" w:cs="Arial" w:eastAsia="Arial" w:hAnsi="Arial"/>
                <w:sz w:val="14"/>
                <w:szCs w:val="14"/>
                <w:b w:val="1"/>
                <w:bCs w:val="1"/>
                <w:color w:val="auto"/>
                <w:w w:val="91"/>
              </w:rPr>
              <w:t>inputs (level 3)</w:t>
            </w:r>
          </w:p>
        </w:tc>
        <w:tc>
          <w:tcPr>
            <w:tcW w:w="0" w:type="dxa"/>
            <w:vAlign w:val="bottom"/>
          </w:tcPr>
          <w:p>
            <w:pPr>
              <w:spacing w:after="0"/>
              <w:rPr>
                <w:sz w:val="1"/>
                <w:szCs w:val="1"/>
                <w:color w:val="auto"/>
              </w:rPr>
            </w:pPr>
          </w:p>
        </w:tc>
      </w:tr>
      <w:tr>
        <w:trPr>
          <w:trHeight w:val="250"/>
        </w:trPr>
        <w:tc>
          <w:tcPr>
            <w:tcW w:w="5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60"/>
              <w:spacing w:after="0"/>
              <w:rPr>
                <w:sz w:val="20"/>
                <w:szCs w:val="20"/>
                <w:color w:val="auto"/>
              </w:rPr>
            </w:pPr>
            <w:r>
              <w:rPr>
                <w:rFonts w:ascii="Arial" w:cs="Arial" w:eastAsia="Arial" w:hAnsi="Arial"/>
                <w:sz w:val="18"/>
                <w:szCs w:val="18"/>
                <w:color w:val="auto"/>
              </w:rPr>
              <w:t>Available for sale securities:</w:t>
            </w: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Short-term</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14,180</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14,180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600" w:type="dxa"/>
            <w:vAlign w:val="bottom"/>
          </w:tcPr>
          <w:p>
            <w:pPr>
              <w:ind w:left="280"/>
              <w:spacing w:after="0"/>
              <w:rPr>
                <w:sz w:val="20"/>
                <w:szCs w:val="20"/>
                <w:color w:val="auto"/>
              </w:rPr>
            </w:pPr>
            <w:r>
              <w:rPr>
                <w:rFonts w:ascii="Arial" w:cs="Arial" w:eastAsia="Arial" w:hAnsi="Arial"/>
                <w:sz w:val="18"/>
                <w:szCs w:val="18"/>
                <w:color w:val="auto"/>
              </w:rPr>
              <w:t>Long-term</w:t>
            </w:r>
          </w:p>
        </w:tc>
        <w:tc>
          <w:tcPr>
            <w:tcW w:w="180" w:type="dxa"/>
            <w:vAlign w:val="bottom"/>
          </w:tcPr>
          <w:p>
            <w:pPr>
              <w:spacing w:after="0"/>
              <w:rPr>
                <w:sz w:val="21"/>
                <w:szCs w:val="21"/>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9,896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37"/>
              <w:spacing w:after="0"/>
              <w:rPr>
                <w:sz w:val="20"/>
                <w:szCs w:val="20"/>
                <w:color w:val="auto"/>
              </w:rPr>
            </w:pPr>
            <w:r>
              <w:rPr>
                <w:rFonts w:ascii="Arial" w:cs="Arial" w:eastAsia="Arial" w:hAnsi="Arial"/>
                <w:sz w:val="18"/>
                <w:szCs w:val="18"/>
                <w:color w:val="auto"/>
              </w:rPr>
              <w:t>9,896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Foreign exchange forwards: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28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Pr>
          <w:p>
            <w:pPr>
              <w:spacing w:after="0"/>
              <w:rPr>
                <w:sz w:val="21"/>
                <w:szCs w:val="21"/>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1,299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37"/>
              <w:spacing w:after="0"/>
              <w:rPr>
                <w:sz w:val="20"/>
                <w:szCs w:val="20"/>
                <w:color w:val="auto"/>
              </w:rPr>
            </w:pPr>
            <w:r>
              <w:rPr>
                <w:rFonts w:ascii="Arial" w:cs="Arial" w:eastAsia="Arial" w:hAnsi="Arial"/>
                <w:sz w:val="18"/>
                <w:szCs w:val="18"/>
                <w:color w:val="auto"/>
              </w:rPr>
              <w:t>1,299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500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500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5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25,875</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ind w:left="9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25,875</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1"/>
        </w:trPr>
        <w:tc>
          <w:tcPr>
            <w:tcW w:w="56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Earn-out liability</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23,000</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23,000</w:t>
            </w:r>
          </w:p>
        </w:tc>
        <w:tc>
          <w:tcPr>
            <w:tcW w:w="0" w:type="dxa"/>
            <w:vAlign w:val="bottom"/>
          </w:tcPr>
          <w:p>
            <w:pPr>
              <w:spacing w:after="0"/>
              <w:rPr>
                <w:sz w:val="1"/>
                <w:szCs w:val="1"/>
                <w:color w:val="auto"/>
              </w:rPr>
            </w:pPr>
          </w:p>
        </w:tc>
      </w:tr>
      <w:tr>
        <w:trPr>
          <w:trHeight w:val="257"/>
        </w:trPr>
        <w:tc>
          <w:tcPr>
            <w:tcW w:w="560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23,000</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ind w:left="9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23,000</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5"/>
        </w:trPr>
        <w:tc>
          <w:tcPr>
            <w:tcW w:w="56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w w:val="92"/>
              </w:rPr>
              <w:t>Fair value measurements at December 31, 2017</w:t>
            </w: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5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1"/>
              </w:rPr>
              <w:t>Quoted prices</w:t>
            </w:r>
          </w:p>
        </w:tc>
        <w:tc>
          <w:tcPr>
            <w:tcW w:w="160" w:type="dxa"/>
            <w:vAlign w:val="bottom"/>
          </w:tcPr>
          <w:p>
            <w:pPr>
              <w:spacing w:after="0"/>
              <w:rPr>
                <w:sz w:val="13"/>
                <w:szCs w:val="13"/>
                <w:color w:val="auto"/>
              </w:rPr>
            </w:pPr>
          </w:p>
        </w:tc>
        <w:tc>
          <w:tcPr>
            <w:tcW w:w="13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Significant</w:t>
            </w: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in active</w:t>
            </w:r>
          </w:p>
        </w:tc>
        <w:tc>
          <w:tcPr>
            <w:tcW w:w="1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vMerge w:val="restart"/>
          </w:tcPr>
          <w:p>
            <w:pPr>
              <w:jc w:val="center"/>
              <w:ind w:right="75"/>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5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vMerge w:val="restart"/>
          </w:tcPr>
          <w:p>
            <w:pPr>
              <w:jc w:val="center"/>
              <w:ind w:right="114"/>
              <w:spacing w:after="0"/>
              <w:rPr>
                <w:sz w:val="20"/>
                <w:szCs w:val="20"/>
                <w:color w:val="auto"/>
              </w:rPr>
            </w:pPr>
            <w:r>
              <w:rPr>
                <w:rFonts w:ascii="Arial" w:cs="Arial" w:eastAsia="Arial" w:hAnsi="Arial"/>
                <w:sz w:val="14"/>
                <w:szCs w:val="14"/>
                <w:b w:val="1"/>
                <w:bCs w:val="1"/>
                <w:color w:val="auto"/>
                <w:w w:val="94"/>
              </w:rPr>
              <w:t>Total carrying</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markets for</w:t>
            </w:r>
          </w:p>
        </w:tc>
        <w:tc>
          <w:tcPr>
            <w:tcW w:w="160" w:type="dxa"/>
            <w:vAlign w:val="bottom"/>
          </w:tcPr>
          <w:p>
            <w:pPr>
              <w:spacing w:after="0"/>
              <w:rPr>
                <w:sz w:val="12"/>
                <w:szCs w:val="12"/>
                <w:color w:val="auto"/>
              </w:rPr>
            </w:pPr>
          </w:p>
        </w:tc>
        <w:tc>
          <w:tcPr>
            <w:tcW w:w="13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other</w:t>
            </w:r>
          </w:p>
        </w:tc>
        <w:tc>
          <w:tcPr>
            <w:tcW w:w="18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identical</w:t>
            </w:r>
          </w:p>
        </w:tc>
        <w:tc>
          <w:tcPr>
            <w:tcW w:w="160" w:type="dxa"/>
            <w:vAlign w:val="bottom"/>
          </w:tcPr>
          <w:p>
            <w:pPr>
              <w:spacing w:after="0"/>
              <w:rPr>
                <w:sz w:val="12"/>
                <w:szCs w:val="12"/>
                <w:color w:val="auto"/>
              </w:rPr>
            </w:pPr>
          </w:p>
        </w:tc>
        <w:tc>
          <w:tcPr>
            <w:tcW w:w="13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observable</w:t>
            </w:r>
          </w:p>
        </w:tc>
        <w:tc>
          <w:tcPr>
            <w:tcW w:w="180" w:type="dxa"/>
            <w:vAlign w:val="bottom"/>
          </w:tcPr>
          <w:p>
            <w:pPr>
              <w:spacing w:after="0"/>
              <w:rPr>
                <w:sz w:val="12"/>
                <w:szCs w:val="12"/>
                <w:color w:val="auto"/>
              </w:rPr>
            </w:pPr>
          </w:p>
        </w:tc>
        <w:tc>
          <w:tcPr>
            <w:tcW w:w="1180" w:type="dxa"/>
            <w:vAlign w:val="bottom"/>
          </w:tcPr>
          <w:p>
            <w:pPr>
              <w:jc w:val="center"/>
              <w:ind w:right="75"/>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92"/>
        </w:trPr>
        <w:tc>
          <w:tcPr>
            <w:tcW w:w="5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jc w:val="center"/>
              <w:ind w:right="114"/>
              <w:spacing w:after="0"/>
              <w:rPr>
                <w:sz w:val="20"/>
                <w:szCs w:val="20"/>
                <w:color w:val="auto"/>
              </w:rPr>
            </w:pPr>
            <w:r>
              <w:rPr>
                <w:rFonts w:ascii="Arial" w:cs="Arial" w:eastAsia="Arial" w:hAnsi="Arial"/>
                <w:sz w:val="14"/>
                <w:szCs w:val="14"/>
                <w:b w:val="1"/>
                <w:bCs w:val="1"/>
                <w:color w:val="auto"/>
                <w:w w:val="89"/>
              </w:rPr>
              <w:t>value</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assets (level 1)</w:t>
            </w:r>
          </w:p>
        </w:tc>
        <w:tc>
          <w:tcPr>
            <w:tcW w:w="160" w:type="dxa"/>
            <w:vAlign w:val="bottom"/>
          </w:tcPr>
          <w:p>
            <w:pPr>
              <w:spacing w:after="0"/>
              <w:rPr>
                <w:sz w:val="16"/>
                <w:szCs w:val="16"/>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inputs (level 2)</w:t>
            </w:r>
          </w:p>
        </w:tc>
        <w:tc>
          <w:tcPr>
            <w:tcW w:w="180" w:type="dxa"/>
            <w:vAlign w:val="bottom"/>
          </w:tcPr>
          <w:p>
            <w:pPr>
              <w:spacing w:after="0"/>
              <w:rPr>
                <w:sz w:val="16"/>
                <w:szCs w:val="16"/>
                <w:color w:val="auto"/>
              </w:rPr>
            </w:pPr>
          </w:p>
        </w:tc>
        <w:tc>
          <w:tcPr>
            <w:tcW w:w="1180" w:type="dxa"/>
            <w:vAlign w:val="bottom"/>
          </w:tcPr>
          <w:p>
            <w:pPr>
              <w:jc w:val="center"/>
              <w:ind w:right="75"/>
              <w:spacing w:after="0"/>
              <w:rPr>
                <w:sz w:val="20"/>
                <w:szCs w:val="20"/>
                <w:color w:val="auto"/>
              </w:rPr>
            </w:pPr>
            <w:r>
              <w:rPr>
                <w:rFonts w:ascii="Arial" w:cs="Arial" w:eastAsia="Arial" w:hAnsi="Arial"/>
                <w:sz w:val="14"/>
                <w:szCs w:val="14"/>
                <w:b w:val="1"/>
                <w:bCs w:val="1"/>
                <w:color w:val="auto"/>
                <w:w w:val="91"/>
              </w:rPr>
              <w:t>inputs (level 3)</w:t>
            </w:r>
          </w:p>
        </w:tc>
        <w:tc>
          <w:tcPr>
            <w:tcW w:w="0" w:type="dxa"/>
            <w:vAlign w:val="bottom"/>
          </w:tcPr>
          <w:p>
            <w:pPr>
              <w:spacing w:after="0"/>
              <w:rPr>
                <w:sz w:val="1"/>
                <w:szCs w:val="1"/>
                <w:color w:val="auto"/>
              </w:rPr>
            </w:pPr>
          </w:p>
        </w:tc>
      </w:tr>
      <w:tr>
        <w:trPr>
          <w:trHeight w:val="250"/>
        </w:trPr>
        <w:tc>
          <w:tcPr>
            <w:tcW w:w="5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60"/>
              <w:spacing w:after="0"/>
              <w:rPr>
                <w:sz w:val="20"/>
                <w:szCs w:val="20"/>
                <w:color w:val="auto"/>
              </w:rPr>
            </w:pPr>
            <w:r>
              <w:rPr>
                <w:rFonts w:ascii="Arial" w:cs="Arial" w:eastAsia="Arial" w:hAnsi="Arial"/>
                <w:sz w:val="18"/>
                <w:szCs w:val="18"/>
                <w:color w:val="auto"/>
              </w:rPr>
              <w:t>Available for sale securities:</w:t>
            </w: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13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Short-term</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10,061</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10,061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600" w:type="dxa"/>
            <w:vAlign w:val="bottom"/>
          </w:tcPr>
          <w:p>
            <w:pPr>
              <w:ind w:left="280"/>
              <w:spacing w:after="0"/>
              <w:rPr>
                <w:sz w:val="20"/>
                <w:szCs w:val="20"/>
                <w:color w:val="auto"/>
              </w:rPr>
            </w:pPr>
            <w:r>
              <w:rPr>
                <w:rFonts w:ascii="Arial" w:cs="Arial" w:eastAsia="Arial" w:hAnsi="Arial"/>
                <w:sz w:val="18"/>
                <w:szCs w:val="18"/>
                <w:color w:val="auto"/>
              </w:rPr>
              <w:t>Long-term</w:t>
            </w:r>
          </w:p>
        </w:tc>
        <w:tc>
          <w:tcPr>
            <w:tcW w:w="180" w:type="dxa"/>
            <w:vAlign w:val="bottom"/>
          </w:tcPr>
          <w:p>
            <w:pPr>
              <w:spacing w:after="0"/>
              <w:rPr>
                <w:sz w:val="21"/>
                <w:szCs w:val="21"/>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14,579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37"/>
              <w:spacing w:after="0"/>
              <w:rPr>
                <w:sz w:val="20"/>
                <w:szCs w:val="20"/>
                <w:color w:val="auto"/>
              </w:rPr>
            </w:pPr>
            <w:r>
              <w:rPr>
                <w:rFonts w:ascii="Arial" w:cs="Arial" w:eastAsia="Arial" w:hAnsi="Arial"/>
                <w:sz w:val="18"/>
                <w:szCs w:val="18"/>
                <w:color w:val="auto"/>
              </w:rPr>
              <w:t>14,579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24,640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24,640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5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60"/>
              <w:spacing w:after="0"/>
              <w:rPr>
                <w:sz w:val="20"/>
                <w:szCs w:val="20"/>
                <w:color w:val="auto"/>
              </w:rPr>
            </w:pPr>
            <w:r>
              <w:rPr>
                <w:rFonts w:ascii="Arial" w:cs="Arial" w:eastAsia="Arial" w:hAnsi="Arial"/>
                <w:sz w:val="18"/>
                <w:szCs w:val="18"/>
                <w:color w:val="auto"/>
              </w:rPr>
              <w:t>Earn-out liability</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27,000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27,000</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exchange forwards: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60"/>
              <w:spacing w:after="0"/>
              <w:rPr>
                <w:sz w:val="20"/>
                <w:szCs w:val="20"/>
                <w:color w:val="auto"/>
              </w:rPr>
            </w:pPr>
            <w:r>
              <w:rPr>
                <w:rFonts w:ascii="Arial" w:cs="Arial" w:eastAsia="Arial" w:hAnsi="Arial"/>
                <w:sz w:val="18"/>
                <w:szCs w:val="18"/>
                <w:color w:val="auto"/>
              </w:rPr>
              <w:t>Accrued liabilities</w:t>
            </w:r>
          </w:p>
        </w:tc>
        <w:tc>
          <w:tcPr>
            <w:tcW w:w="180" w:type="dxa"/>
            <w:vAlign w:val="bottom"/>
          </w:tcPr>
          <w:p>
            <w:pPr>
              <w:spacing w:after="0"/>
              <w:rPr>
                <w:sz w:val="21"/>
                <w:szCs w:val="21"/>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37"/>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long-term liabilities</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402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402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60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27,589</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ind w:left="9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589</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27,000</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Our assets measured at fair value on a nonrecurring basis consisted of the following (Level 1, 2 and 3 inputs as defined above) (in thousands):</w:t>
      </w: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121" w:right="25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392" w:lineRule="exact"/>
        <w:rPr>
          <w:sz w:val="20"/>
          <w:szCs w:val="20"/>
          <w:color w:val="auto"/>
        </w:rPr>
      </w:pPr>
    </w:p>
    <w:p>
      <w:pPr>
        <w:ind w:left="7080"/>
        <w:spacing w:after="0"/>
        <w:rPr>
          <w:sz w:val="20"/>
          <w:szCs w:val="20"/>
          <w:color w:val="auto"/>
        </w:rPr>
      </w:pPr>
      <w:r>
        <w:rPr>
          <w:rFonts w:ascii="Arial" w:cs="Arial" w:eastAsia="Arial" w:hAnsi="Arial"/>
          <w:sz w:val="14"/>
          <w:szCs w:val="14"/>
          <w:b w:val="1"/>
          <w:bCs w:val="1"/>
          <w:color w:val="auto"/>
        </w:rPr>
        <w:t>Fair value measurements at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23495</wp:posOffset>
            </wp:positionV>
            <wp:extent cx="36791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679190" cy="8890"/>
                    </a:xfrm>
                    <a:prstGeom prst="rect">
                      <a:avLst/>
                    </a:prstGeom>
                    <a:noFill/>
                  </pic:spPr>
                </pic:pic>
              </a:graphicData>
            </a:graphic>
          </wp:anchor>
        </w:drawing>
      </w:r>
    </w:p>
    <w:p>
      <w:pPr>
        <w:spacing w:after="0" w:line="2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Quoted prices</w:t>
            </w:r>
          </w:p>
        </w:tc>
        <w:tc>
          <w:tcPr>
            <w:tcW w:w="160" w:type="dxa"/>
            <w:vAlign w:val="bottom"/>
          </w:tcPr>
          <w:p>
            <w:pPr>
              <w:spacing w:after="0"/>
              <w:rPr>
                <w:sz w:val="14"/>
                <w:szCs w:val="14"/>
                <w:color w:val="auto"/>
              </w:rPr>
            </w:pPr>
          </w:p>
        </w:tc>
        <w:tc>
          <w:tcPr>
            <w:tcW w:w="13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Significant</w:t>
            </w: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in active</w:t>
            </w:r>
          </w:p>
        </w:tc>
        <w:tc>
          <w:tcPr>
            <w:tcW w:w="1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vMerge w:val="restart"/>
          </w:tcPr>
          <w:p>
            <w:pPr>
              <w:jc w:val="center"/>
              <w:ind w:right="81"/>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5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4"/>
              </w:rPr>
              <w:t>Total carrying</w:t>
            </w:r>
          </w:p>
        </w:tc>
        <w:tc>
          <w:tcPr>
            <w:tcW w:w="180" w:type="dxa"/>
            <w:vAlign w:val="bottom"/>
          </w:tcPr>
          <w:p>
            <w:pPr>
              <w:spacing w:after="0"/>
              <w:rPr>
                <w:sz w:val="12"/>
                <w:szCs w:val="12"/>
                <w:color w:val="auto"/>
              </w:rPr>
            </w:pPr>
          </w:p>
        </w:tc>
        <w:tc>
          <w:tcPr>
            <w:tcW w:w="13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markets for</w:t>
            </w:r>
          </w:p>
        </w:tc>
        <w:tc>
          <w:tcPr>
            <w:tcW w:w="160" w:type="dxa"/>
            <w:vAlign w:val="bottom"/>
          </w:tcPr>
          <w:p>
            <w:pPr>
              <w:spacing w:after="0"/>
              <w:rPr>
                <w:sz w:val="12"/>
                <w:szCs w:val="12"/>
                <w:color w:val="auto"/>
              </w:rPr>
            </w:pPr>
          </w:p>
        </w:tc>
        <w:tc>
          <w:tcPr>
            <w:tcW w:w="13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other</w:t>
            </w:r>
          </w:p>
        </w:tc>
        <w:tc>
          <w:tcPr>
            <w:tcW w:w="18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identical</w:t>
            </w:r>
          </w:p>
        </w:tc>
        <w:tc>
          <w:tcPr>
            <w:tcW w:w="160" w:type="dxa"/>
            <w:vAlign w:val="bottom"/>
          </w:tcPr>
          <w:p>
            <w:pPr>
              <w:spacing w:after="0"/>
              <w:rPr>
                <w:sz w:val="12"/>
                <w:szCs w:val="12"/>
                <w:color w:val="auto"/>
              </w:rPr>
            </w:pPr>
          </w:p>
        </w:tc>
        <w:tc>
          <w:tcPr>
            <w:tcW w:w="13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observable</w:t>
            </w:r>
          </w:p>
        </w:tc>
        <w:tc>
          <w:tcPr>
            <w:tcW w:w="180" w:type="dxa"/>
            <w:vAlign w:val="bottom"/>
          </w:tcPr>
          <w:p>
            <w:pPr>
              <w:spacing w:after="0"/>
              <w:rPr>
                <w:sz w:val="12"/>
                <w:szCs w:val="12"/>
                <w:color w:val="auto"/>
              </w:rPr>
            </w:pPr>
          </w:p>
        </w:tc>
        <w:tc>
          <w:tcPr>
            <w:tcW w:w="1180" w:type="dxa"/>
            <w:vAlign w:val="bottom"/>
          </w:tcPr>
          <w:p>
            <w:pPr>
              <w:jc w:val="center"/>
              <w:ind w:right="81"/>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92"/>
        </w:trPr>
        <w:tc>
          <w:tcPr>
            <w:tcW w:w="5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value</w:t>
            </w:r>
          </w:p>
        </w:tc>
        <w:tc>
          <w:tcPr>
            <w:tcW w:w="180" w:type="dxa"/>
            <w:vAlign w:val="bottom"/>
          </w:tcPr>
          <w:p>
            <w:pPr>
              <w:spacing w:after="0"/>
              <w:rPr>
                <w:sz w:val="16"/>
                <w:szCs w:val="16"/>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assets (level 1)</w:t>
            </w:r>
          </w:p>
        </w:tc>
        <w:tc>
          <w:tcPr>
            <w:tcW w:w="160" w:type="dxa"/>
            <w:vAlign w:val="bottom"/>
          </w:tcPr>
          <w:p>
            <w:pPr>
              <w:spacing w:after="0"/>
              <w:rPr>
                <w:sz w:val="16"/>
                <w:szCs w:val="16"/>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inputs (level 2)</w:t>
            </w:r>
          </w:p>
        </w:tc>
        <w:tc>
          <w:tcPr>
            <w:tcW w:w="180" w:type="dxa"/>
            <w:vAlign w:val="bottom"/>
          </w:tcPr>
          <w:p>
            <w:pPr>
              <w:spacing w:after="0"/>
              <w:rPr>
                <w:sz w:val="16"/>
                <w:szCs w:val="16"/>
                <w:color w:val="auto"/>
              </w:rPr>
            </w:pPr>
          </w:p>
        </w:tc>
        <w:tc>
          <w:tcPr>
            <w:tcW w:w="1180" w:type="dxa"/>
            <w:vAlign w:val="bottom"/>
          </w:tcPr>
          <w:p>
            <w:pPr>
              <w:jc w:val="center"/>
              <w:ind w:right="81"/>
              <w:spacing w:after="0"/>
              <w:rPr>
                <w:sz w:val="20"/>
                <w:szCs w:val="20"/>
                <w:color w:val="auto"/>
              </w:rPr>
            </w:pPr>
            <w:r>
              <w:rPr>
                <w:rFonts w:ascii="Arial" w:cs="Arial" w:eastAsia="Arial" w:hAnsi="Arial"/>
                <w:sz w:val="14"/>
                <w:szCs w:val="14"/>
                <w:b w:val="1"/>
                <w:bCs w:val="1"/>
                <w:color w:val="auto"/>
                <w:w w:val="91"/>
              </w:rPr>
              <w:t>inputs (level 3)</w:t>
            </w:r>
          </w:p>
        </w:tc>
        <w:tc>
          <w:tcPr>
            <w:tcW w:w="0" w:type="dxa"/>
            <w:vAlign w:val="bottom"/>
          </w:tcPr>
          <w:p>
            <w:pPr>
              <w:spacing w:after="0"/>
              <w:rPr>
                <w:sz w:val="1"/>
                <w:szCs w:val="1"/>
                <w:color w:val="auto"/>
              </w:rPr>
            </w:pPr>
          </w:p>
        </w:tc>
      </w:tr>
      <w:tr>
        <w:trPr>
          <w:trHeight w:val="250"/>
        </w:trPr>
        <w:tc>
          <w:tcPr>
            <w:tcW w:w="5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60"/>
              <w:spacing w:after="0"/>
              <w:rPr>
                <w:sz w:val="20"/>
                <w:szCs w:val="20"/>
                <w:color w:val="auto"/>
              </w:rPr>
            </w:pPr>
            <w:r>
              <w:rPr>
                <w:rFonts w:ascii="Arial" w:cs="Arial" w:eastAsia="Arial" w:hAnsi="Arial"/>
                <w:sz w:val="18"/>
                <w:szCs w:val="18"/>
                <w:color w:val="auto"/>
              </w:rPr>
              <w:t>Assets held-for-sale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9"/>
              <w:spacing w:after="0"/>
              <w:rPr>
                <w:sz w:val="20"/>
                <w:szCs w:val="20"/>
                <w:color w:val="auto"/>
              </w:rPr>
            </w:pPr>
            <w:r>
              <w:rPr>
                <w:rFonts w:ascii="Arial" w:cs="Arial" w:eastAsia="Arial" w:hAnsi="Arial"/>
                <w:sz w:val="18"/>
                <w:szCs w:val="18"/>
                <w:color w:val="auto"/>
              </w:rPr>
              <w:t>12,489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21"/>
              <w:spacing w:after="0"/>
              <w:rPr>
                <w:sz w:val="20"/>
                <w:szCs w:val="20"/>
                <w:color w:val="auto"/>
              </w:rPr>
            </w:pPr>
            <w:r>
              <w:rPr>
                <w:rFonts w:ascii="Arial" w:cs="Arial" w:eastAsia="Arial" w:hAnsi="Arial"/>
                <w:sz w:val="18"/>
                <w:szCs w:val="18"/>
                <w:color w:val="auto"/>
              </w:rPr>
              <w:t>12,489</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Assets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12,489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12,489</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Investment Securities</w:t>
      </w:r>
    </w:p>
    <w:p>
      <w:pPr>
        <w:spacing w:after="0" w:line="229"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Our investment securities currently consist of short-term and long-term corporate bonds. Our investment securities are considered available-for-sale and are “investment grade” and carried at fair value. Available-for-sale securities are recorded at fair value, and unrealized holding gains and losses are recorded, net of tax, as a component of accumulated other comprehensive income (loss). Unrealized losses on available-for-sale securities are charged against net earnings when a decline in fair value is determined to be other than temporary. Our management reviews several factors to determine whether a loss is other than temporary, such as the length and extent of the fair value decline, the financial condition and near term prospects of the issuer, and for equity investments, our intent and ability to hold the security for a period of time sufficient to allow for any anticipated recovery in fair value. The amortized cost of the debt securities are adjusted for the amortization of premiums computed under the effective interest method. Such amortization is included in investment income in other income on our condensed consolidated statements of income. There have been no realized gains or losses on their disposal. Realized gains and losses are accounted for on the specific identification method. The scheduled maturities of the debt securities are between 2018 and 2020. All short-term investment securities are all callable within one year.</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short and long-term investment securities consisted of the following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As of March 31, 2018</w:t>
            </w:r>
          </w:p>
        </w:tc>
        <w:tc>
          <w:tcPr>
            <w:tcW w:w="36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33"/>
        </w:trPr>
        <w:tc>
          <w:tcPr>
            <w:tcW w:w="53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gridSpan w:val="3"/>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09"/>
        </w:trPr>
        <w:tc>
          <w:tcPr>
            <w:tcW w:w="5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4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92"/>
              </w:rPr>
              <w:t>Unrealized Holding Gains</w:t>
            </w:r>
          </w:p>
        </w:tc>
        <w:tc>
          <w:tcPr>
            <w:tcW w:w="36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10"/>
        </w:trPr>
        <w:tc>
          <w:tcPr>
            <w:tcW w:w="5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80" w:type="dxa"/>
            <w:vAlign w:val="bottom"/>
            <w:gridSpan w:val="2"/>
          </w:tcPr>
          <w:p>
            <w:pPr>
              <w:ind w:left="260"/>
              <w:spacing w:after="0"/>
              <w:rPr>
                <w:sz w:val="20"/>
                <w:szCs w:val="20"/>
                <w:color w:val="auto"/>
              </w:rPr>
            </w:pPr>
            <w:r>
              <w:rPr>
                <w:rFonts w:ascii="Arial" w:cs="Arial" w:eastAsia="Arial" w:hAnsi="Arial"/>
                <w:sz w:val="16"/>
                <w:szCs w:val="16"/>
                <w:b w:val="1"/>
                <w:bCs w:val="1"/>
                <w:color w:val="auto"/>
              </w:rPr>
              <w:t>Amortized Cost</w:t>
            </w:r>
          </w:p>
        </w:tc>
        <w:tc>
          <w:tcPr>
            <w:tcW w:w="180" w:type="dxa"/>
            <w:vAlign w:val="bottom"/>
          </w:tcPr>
          <w:p>
            <w:pPr>
              <w:spacing w:after="0"/>
              <w:rPr>
                <w:sz w:val="18"/>
                <w:szCs w:val="18"/>
                <w:color w:val="auto"/>
              </w:rPr>
            </w:pPr>
          </w:p>
        </w:tc>
        <w:tc>
          <w:tcPr>
            <w:tcW w:w="18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5"/>
              </w:rPr>
              <w:t>(Losses)</w:t>
            </w:r>
          </w:p>
        </w:tc>
        <w:tc>
          <w:tcPr>
            <w:tcW w:w="360" w:type="dxa"/>
            <w:vAlign w:val="bottom"/>
          </w:tcPr>
          <w:p>
            <w:pPr>
              <w:spacing w:after="0"/>
              <w:rPr>
                <w:sz w:val="18"/>
                <w:szCs w:val="18"/>
                <w:color w:val="auto"/>
              </w:rPr>
            </w:pPr>
          </w:p>
        </w:tc>
        <w:tc>
          <w:tcPr>
            <w:tcW w:w="1580" w:type="dxa"/>
            <w:vAlign w:val="bottom"/>
          </w:tcPr>
          <w:p>
            <w:pPr>
              <w:jc w:val="right"/>
              <w:ind w:right="512"/>
              <w:spacing w:after="0"/>
              <w:rPr>
                <w:sz w:val="20"/>
                <w:szCs w:val="20"/>
                <w:color w:val="auto"/>
              </w:rPr>
            </w:pPr>
            <w:r>
              <w:rPr>
                <w:rFonts w:ascii="Arial" w:cs="Arial" w:eastAsia="Arial" w:hAnsi="Arial"/>
                <w:sz w:val="16"/>
                <w:szCs w:val="16"/>
                <w:b w:val="1"/>
                <w:bCs w:val="1"/>
                <w:color w:val="auto"/>
              </w:rPr>
              <w:t>Fair Value</w:t>
            </w:r>
          </w:p>
        </w:tc>
      </w:tr>
      <w:tr>
        <w:trPr>
          <w:trHeight w:val="33"/>
        </w:trPr>
        <w:tc>
          <w:tcPr>
            <w:tcW w:w="53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 corporate bonds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14,180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14,180</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Long-term corporate bonds</w:t>
            </w:r>
          </w:p>
        </w:tc>
        <w:tc>
          <w:tcPr>
            <w:tcW w:w="180" w:type="dxa"/>
            <w:vAlign w:val="bottom"/>
          </w:tcPr>
          <w:p>
            <w:pPr>
              <w:spacing w:after="0"/>
              <w:rPr>
                <w:sz w:val="21"/>
                <w:szCs w:val="21"/>
                <w:color w:val="auto"/>
              </w:rPr>
            </w:pPr>
          </w:p>
        </w:tc>
        <w:tc>
          <w:tcPr>
            <w:tcW w:w="1780" w:type="dxa"/>
            <w:vAlign w:val="bottom"/>
          </w:tcPr>
          <w:p>
            <w:pPr>
              <w:jc w:val="right"/>
              <w:ind w:right="12"/>
              <w:spacing w:after="0"/>
              <w:rPr>
                <w:sz w:val="20"/>
                <w:szCs w:val="20"/>
                <w:color w:val="auto"/>
              </w:rPr>
            </w:pPr>
            <w:r>
              <w:rPr>
                <w:rFonts w:ascii="Arial" w:cs="Arial" w:eastAsia="Arial" w:hAnsi="Arial"/>
                <w:sz w:val="18"/>
                <w:szCs w:val="18"/>
                <w:color w:val="auto"/>
              </w:rPr>
              <w:t>9,896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9,896</w:t>
            </w:r>
          </w:p>
        </w:tc>
      </w:tr>
      <w:tr>
        <w:trPr>
          <w:trHeight w:val="27"/>
        </w:trPr>
        <w:tc>
          <w:tcPr>
            <w:tcW w:w="53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57"/>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investment securities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24,076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24,076</w:t>
            </w:r>
          </w:p>
        </w:tc>
      </w:tr>
      <w:tr>
        <w:trPr>
          <w:trHeight w:val="20"/>
        </w:trPr>
        <w:tc>
          <w:tcPr>
            <w:tcW w:w="5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548"/>
        </w:trPr>
        <w:tc>
          <w:tcPr>
            <w:tcW w:w="5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40" w:type="dxa"/>
            <w:vAlign w:val="bottom"/>
            <w:gridSpan w:val="3"/>
          </w:tcPr>
          <w:p>
            <w:pPr>
              <w:jc w:val="right"/>
              <w:ind w:right="220"/>
              <w:spacing w:after="0"/>
              <w:rPr>
                <w:sz w:val="20"/>
                <w:szCs w:val="20"/>
                <w:color w:val="auto"/>
              </w:rPr>
            </w:pPr>
            <w:r>
              <w:rPr>
                <w:rFonts w:ascii="Arial" w:cs="Arial" w:eastAsia="Arial" w:hAnsi="Arial"/>
                <w:sz w:val="16"/>
                <w:szCs w:val="16"/>
                <w:b w:val="1"/>
                <w:bCs w:val="1"/>
                <w:color w:val="auto"/>
                <w:w w:val="95"/>
              </w:rPr>
              <w:t>As of December 31, 2017</w:t>
            </w:r>
          </w:p>
        </w:tc>
        <w:tc>
          <w:tcPr>
            <w:tcW w:w="36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33"/>
        </w:trPr>
        <w:tc>
          <w:tcPr>
            <w:tcW w:w="53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gridSpan w:val="3"/>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09"/>
        </w:trPr>
        <w:tc>
          <w:tcPr>
            <w:tcW w:w="5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4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92"/>
              </w:rPr>
              <w:t>Unrealized Holding Gains</w:t>
            </w:r>
          </w:p>
        </w:tc>
        <w:tc>
          <w:tcPr>
            <w:tcW w:w="36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10"/>
        </w:trPr>
        <w:tc>
          <w:tcPr>
            <w:tcW w:w="5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80" w:type="dxa"/>
            <w:vAlign w:val="bottom"/>
            <w:gridSpan w:val="2"/>
          </w:tcPr>
          <w:p>
            <w:pPr>
              <w:ind w:left="260"/>
              <w:spacing w:after="0"/>
              <w:rPr>
                <w:sz w:val="20"/>
                <w:szCs w:val="20"/>
                <w:color w:val="auto"/>
              </w:rPr>
            </w:pPr>
            <w:r>
              <w:rPr>
                <w:rFonts w:ascii="Arial" w:cs="Arial" w:eastAsia="Arial" w:hAnsi="Arial"/>
                <w:sz w:val="16"/>
                <w:szCs w:val="16"/>
                <w:b w:val="1"/>
                <w:bCs w:val="1"/>
                <w:color w:val="auto"/>
              </w:rPr>
              <w:t>Amortized Cost</w:t>
            </w:r>
          </w:p>
        </w:tc>
        <w:tc>
          <w:tcPr>
            <w:tcW w:w="180" w:type="dxa"/>
            <w:vAlign w:val="bottom"/>
          </w:tcPr>
          <w:p>
            <w:pPr>
              <w:spacing w:after="0"/>
              <w:rPr>
                <w:sz w:val="18"/>
                <w:szCs w:val="18"/>
                <w:color w:val="auto"/>
              </w:rPr>
            </w:pPr>
          </w:p>
        </w:tc>
        <w:tc>
          <w:tcPr>
            <w:tcW w:w="18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5"/>
              </w:rPr>
              <w:t>(Losses)</w:t>
            </w:r>
          </w:p>
        </w:tc>
        <w:tc>
          <w:tcPr>
            <w:tcW w:w="360" w:type="dxa"/>
            <w:vAlign w:val="bottom"/>
          </w:tcPr>
          <w:p>
            <w:pPr>
              <w:spacing w:after="0"/>
              <w:rPr>
                <w:sz w:val="18"/>
                <w:szCs w:val="18"/>
                <w:color w:val="auto"/>
              </w:rPr>
            </w:pPr>
          </w:p>
        </w:tc>
        <w:tc>
          <w:tcPr>
            <w:tcW w:w="1580" w:type="dxa"/>
            <w:vAlign w:val="bottom"/>
          </w:tcPr>
          <w:p>
            <w:pPr>
              <w:jc w:val="right"/>
              <w:ind w:right="512"/>
              <w:spacing w:after="0"/>
              <w:rPr>
                <w:sz w:val="20"/>
                <w:szCs w:val="20"/>
                <w:color w:val="auto"/>
              </w:rPr>
            </w:pPr>
            <w:r>
              <w:rPr>
                <w:rFonts w:ascii="Arial" w:cs="Arial" w:eastAsia="Arial" w:hAnsi="Arial"/>
                <w:sz w:val="16"/>
                <w:szCs w:val="16"/>
                <w:b w:val="1"/>
                <w:bCs w:val="1"/>
                <w:color w:val="auto"/>
              </w:rPr>
              <w:t>Fair Value</w:t>
            </w:r>
          </w:p>
        </w:tc>
      </w:tr>
      <w:tr>
        <w:trPr>
          <w:trHeight w:val="33"/>
        </w:trPr>
        <w:tc>
          <w:tcPr>
            <w:tcW w:w="53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 corporate bonds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10,061</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Long-term corporate bonds</w:t>
            </w:r>
          </w:p>
        </w:tc>
        <w:tc>
          <w:tcPr>
            <w:tcW w:w="180" w:type="dxa"/>
            <w:vAlign w:val="bottom"/>
          </w:tcPr>
          <w:p>
            <w:pPr>
              <w:spacing w:after="0"/>
              <w:rPr>
                <w:sz w:val="21"/>
                <w:szCs w:val="21"/>
                <w:color w:val="auto"/>
              </w:rPr>
            </w:pPr>
          </w:p>
        </w:tc>
        <w:tc>
          <w:tcPr>
            <w:tcW w:w="1780" w:type="dxa"/>
            <w:vAlign w:val="bottom"/>
          </w:tcPr>
          <w:p>
            <w:pPr>
              <w:jc w:val="right"/>
              <w:ind w:right="12"/>
              <w:spacing w:after="0"/>
              <w:rPr>
                <w:sz w:val="20"/>
                <w:szCs w:val="20"/>
                <w:color w:val="auto"/>
              </w:rPr>
            </w:pPr>
            <w:r>
              <w:rPr>
                <w:rFonts w:ascii="Arial" w:cs="Arial" w:eastAsia="Arial" w:hAnsi="Arial"/>
                <w:sz w:val="18"/>
                <w:szCs w:val="18"/>
                <w:color w:val="auto"/>
              </w:rPr>
              <w:t>14,579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14,579</w:t>
            </w:r>
          </w:p>
        </w:tc>
      </w:tr>
      <w:tr>
        <w:trPr>
          <w:trHeight w:val="27"/>
        </w:trPr>
        <w:tc>
          <w:tcPr>
            <w:tcW w:w="53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57"/>
        </w:trPr>
        <w:tc>
          <w:tcPr>
            <w:tcW w:w="5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investment securities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24,640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24,640</w:t>
            </w: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r>
        <w:trPr>
          <w:trHeight w:val="662"/>
        </w:trPr>
        <w:tc>
          <w:tcPr>
            <w:tcW w:w="5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tcPr>
          <w:p>
            <w:pPr>
              <w:jc w:val="right"/>
              <w:ind w:right="1452"/>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8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34"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Note 10:</w:t>
      </w:r>
      <w:r>
        <w:rPr>
          <w:sz w:val="20"/>
          <w:szCs w:val="20"/>
          <w:color w:val="auto"/>
        </w:rPr>
        <w:tab/>
      </w:r>
      <w:r>
        <w:rPr>
          <w:rFonts w:ascii="Arial" w:cs="Arial" w:eastAsia="Arial" w:hAnsi="Arial"/>
          <w:sz w:val="16"/>
          <w:szCs w:val="16"/>
          <w:b w:val="1"/>
          <w:bCs w:val="1"/>
          <w:color w:val="auto"/>
        </w:rPr>
        <w:t>Prepaid Expenses, Other Current Assets and Related-Party Receivables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Prepaid expenses and other current assets consist of the following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ind w:right="132"/>
              <w:spacing w:after="0"/>
              <w:rPr>
                <w:sz w:val="20"/>
                <w:szCs w:val="20"/>
                <w:color w:val="auto"/>
              </w:rPr>
            </w:pPr>
            <w:r>
              <w:rPr>
                <w:rFonts w:ascii="Arial" w:cs="Arial" w:eastAsia="Arial" w:hAnsi="Arial"/>
                <w:sz w:val="16"/>
                <w:szCs w:val="16"/>
                <w:b w:val="1"/>
                <w:bCs w:val="1"/>
                <w:color w:val="auto"/>
                <w:w w:val="92"/>
              </w:rPr>
              <w:t>December 31,</w:t>
            </w:r>
          </w:p>
        </w:tc>
      </w:tr>
      <w:tr>
        <w:trPr>
          <w:trHeight w:val="210"/>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ind w:left="20"/>
              <w:spacing w:after="0"/>
              <w:rPr>
                <w:sz w:val="20"/>
                <w:szCs w:val="20"/>
                <w:color w:val="auto"/>
              </w:rPr>
            </w:pPr>
            <w:r>
              <w:rPr>
                <w:rFonts w:ascii="Arial" w:cs="Arial" w:eastAsia="Arial" w:hAnsi="Arial"/>
                <w:sz w:val="16"/>
                <w:szCs w:val="16"/>
                <w:b w:val="1"/>
                <w:bCs w:val="1"/>
                <w:color w:val="auto"/>
              </w:rPr>
              <w:t>March 31, 2018</w:t>
            </w:r>
          </w:p>
        </w:tc>
        <w:tc>
          <w:tcPr>
            <w:tcW w:w="180" w:type="dxa"/>
            <w:vAlign w:val="bottom"/>
          </w:tcPr>
          <w:p>
            <w:pPr>
              <w:spacing w:after="0"/>
              <w:rPr>
                <w:sz w:val="18"/>
                <w:szCs w:val="18"/>
                <w:color w:val="auto"/>
              </w:rPr>
            </w:pPr>
          </w:p>
        </w:tc>
        <w:tc>
          <w:tcPr>
            <w:tcW w:w="1200" w:type="dxa"/>
            <w:vAlign w:val="bottom"/>
          </w:tcPr>
          <w:p>
            <w:pPr>
              <w:jc w:val="right"/>
              <w:ind w:right="432"/>
              <w:spacing w:after="0"/>
              <w:rPr>
                <w:sz w:val="20"/>
                <w:szCs w:val="20"/>
                <w:color w:val="auto"/>
              </w:rPr>
            </w:pPr>
            <w:r>
              <w:rPr>
                <w:rFonts w:ascii="Arial" w:cs="Arial" w:eastAsia="Arial" w:hAnsi="Arial"/>
                <w:sz w:val="16"/>
                <w:szCs w:val="16"/>
                <w:b w:val="1"/>
                <w:bCs w:val="1"/>
                <w:color w:val="auto"/>
              </w:rPr>
              <w:t>2017</w:t>
            </w:r>
          </w:p>
        </w:tc>
      </w:tr>
      <w:tr>
        <w:trPr>
          <w:trHeight w:val="33"/>
        </w:trPr>
        <w:tc>
          <w:tcPr>
            <w:tcW w:w="85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Deposits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21,940</w:t>
            </w:r>
          </w:p>
        </w:tc>
      </w:tr>
      <w:tr>
        <w:trPr>
          <w:trHeight w:val="243"/>
        </w:trPr>
        <w:tc>
          <w:tcPr>
            <w:tcW w:w="8560" w:type="dxa"/>
            <w:vAlign w:val="bottom"/>
          </w:tcPr>
          <w:p>
            <w:pPr>
              <w:ind w:left="40"/>
              <w:spacing w:after="0"/>
              <w:rPr>
                <w:sz w:val="20"/>
                <w:szCs w:val="20"/>
                <w:color w:val="auto"/>
              </w:rPr>
            </w:pPr>
            <w:r>
              <w:rPr>
                <w:rFonts w:ascii="Arial" w:cs="Arial" w:eastAsia="Arial" w:hAnsi="Arial"/>
                <w:sz w:val="18"/>
                <w:szCs w:val="18"/>
                <w:color w:val="auto"/>
              </w:rPr>
              <w:t>Other prepaid expenses and receivables</w:t>
            </w:r>
          </w:p>
        </w:tc>
        <w:tc>
          <w:tcPr>
            <w:tcW w:w="1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14,530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4,208</w:t>
            </w:r>
          </w:p>
        </w:tc>
      </w:tr>
      <w:tr>
        <w:trPr>
          <w:trHeight w:val="27"/>
        </w:trPr>
        <w:tc>
          <w:tcPr>
            <w:tcW w:w="8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Prepaid insurance and property taxes</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3,872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2,580</w:t>
            </w:r>
          </w:p>
        </w:tc>
      </w:tr>
      <w:tr>
        <w:trPr>
          <w:trHeight w:val="243"/>
        </w:trPr>
        <w:tc>
          <w:tcPr>
            <w:tcW w:w="8560" w:type="dxa"/>
            <w:vAlign w:val="bottom"/>
          </w:tcPr>
          <w:p>
            <w:pPr>
              <w:ind w:left="40"/>
              <w:spacing w:after="0"/>
              <w:rPr>
                <w:sz w:val="20"/>
                <w:szCs w:val="20"/>
                <w:color w:val="auto"/>
              </w:rPr>
            </w:pPr>
            <w:r>
              <w:rPr>
                <w:rFonts w:ascii="Arial" w:cs="Arial" w:eastAsia="Arial" w:hAnsi="Arial"/>
                <w:sz w:val="18"/>
                <w:szCs w:val="18"/>
                <w:color w:val="auto"/>
              </w:rPr>
              <w:t>VAT/GST receivable</w:t>
            </w:r>
          </w:p>
        </w:tc>
        <w:tc>
          <w:tcPr>
            <w:tcW w:w="1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5,567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8,097</w:t>
            </w:r>
          </w:p>
        </w:tc>
      </w:tr>
      <w:tr>
        <w:trPr>
          <w:trHeight w:val="27"/>
        </w:trPr>
        <w:tc>
          <w:tcPr>
            <w:tcW w:w="8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charge</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1,326</w:t>
            </w:r>
          </w:p>
        </w:tc>
      </w:tr>
      <w:tr>
        <w:trPr>
          <w:trHeight w:val="243"/>
        </w:trPr>
        <w:tc>
          <w:tcPr>
            <w:tcW w:w="8560" w:type="dxa"/>
            <w:vAlign w:val="bottom"/>
          </w:tcPr>
          <w:p>
            <w:pPr>
              <w:ind w:left="4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6,483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3,135</w:t>
            </w:r>
          </w:p>
        </w:tc>
      </w:tr>
      <w:tr>
        <w:trPr>
          <w:trHeight w:val="27"/>
        </w:trPr>
        <w:tc>
          <w:tcPr>
            <w:tcW w:w="85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85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32,406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41,286</w:t>
            </w: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Related-party receivables consist of the following (in thousands):</w:t>
      </w:r>
    </w:p>
    <w:p>
      <w:pPr>
        <w:spacing w:after="0" w:line="388" w:lineRule="exact"/>
        <w:rPr>
          <w:sz w:val="20"/>
          <w:szCs w:val="20"/>
          <w:color w:val="auto"/>
        </w:rPr>
      </w:pPr>
    </w:p>
    <w:tbl>
      <w:tblPr>
        <w:tblLayout w:type="fixed"/>
        <w:tblInd w:w="1120" w:type="dxa"/>
        <w:tblCellMar>
          <w:top w:w="0" w:type="dxa"/>
          <w:left w:w="0" w:type="dxa"/>
          <w:bottom w:w="0" w:type="dxa"/>
          <w:right w:w="0" w:type="dxa"/>
        </w:tblCellMar>
      </w:tblPr>
      <w:tr>
        <w:trPr>
          <w:trHeight w:val="203"/>
        </w:trPr>
        <w:tc>
          <w:tcPr>
            <w:tcW w:w="6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ind w:left="40"/>
              <w:spacing w:after="0"/>
              <w:rPr>
                <w:sz w:val="20"/>
                <w:szCs w:val="20"/>
                <w:color w:val="auto"/>
              </w:rPr>
            </w:pPr>
            <w:r>
              <w:rPr>
                <w:rFonts w:ascii="Arial" w:cs="Arial" w:eastAsia="Arial" w:hAnsi="Arial"/>
                <w:sz w:val="16"/>
                <w:szCs w:val="16"/>
                <w:b w:val="1"/>
                <w:bCs w:val="1"/>
                <w:color w:val="auto"/>
              </w:rPr>
              <w:t>March 31,</w:t>
            </w:r>
          </w:p>
        </w:tc>
        <w:tc>
          <w:tcPr>
            <w:tcW w:w="1080" w:type="dxa"/>
            <w:vAlign w:val="bottom"/>
            <w:gridSpan w:val="2"/>
          </w:tcPr>
          <w:p>
            <w:pPr>
              <w:jc w:val="right"/>
              <w:spacing w:after="0"/>
              <w:rPr>
                <w:sz w:val="20"/>
                <w:szCs w:val="20"/>
                <w:color w:val="auto"/>
              </w:rPr>
            </w:pPr>
            <w:r>
              <w:rPr>
                <w:rFonts w:ascii="Arial" w:cs="Arial" w:eastAsia="Arial" w:hAnsi="Arial"/>
                <w:sz w:val="16"/>
                <w:szCs w:val="16"/>
                <w:b w:val="1"/>
                <w:bCs w:val="1"/>
                <w:color w:val="auto"/>
                <w:w w:val="94"/>
              </w:rPr>
              <w:t>December 31,</w:t>
            </w:r>
          </w:p>
        </w:tc>
      </w:tr>
      <w:tr>
        <w:trPr>
          <w:trHeight w:val="210"/>
        </w:trPr>
        <w:tc>
          <w:tcPr>
            <w:tcW w:w="6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294"/>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292"/>
              <w:spacing w:after="0"/>
              <w:rPr>
                <w:sz w:val="20"/>
                <w:szCs w:val="20"/>
                <w:color w:val="auto"/>
              </w:rPr>
            </w:pPr>
            <w:r>
              <w:rPr>
                <w:rFonts w:ascii="Arial" w:cs="Arial" w:eastAsia="Arial" w:hAnsi="Arial"/>
                <w:sz w:val="16"/>
                <w:szCs w:val="16"/>
                <w:b w:val="1"/>
                <w:bCs w:val="1"/>
                <w:color w:val="auto"/>
              </w:rPr>
              <w:t>2017</w:t>
            </w:r>
          </w:p>
        </w:tc>
      </w:tr>
      <w:tr>
        <w:trPr>
          <w:trHeight w:val="33"/>
        </w:trPr>
        <w:tc>
          <w:tcPr>
            <w:tcW w:w="69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6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Third-party receivables due from Pfizer</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79,244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36,425</w:t>
            </w:r>
          </w:p>
        </w:tc>
      </w:tr>
      <w:tr>
        <w:trPr>
          <w:trHeight w:val="243"/>
        </w:trPr>
        <w:tc>
          <w:tcPr>
            <w:tcW w:w="6920" w:type="dxa"/>
            <w:vAlign w:val="bottom"/>
          </w:tcPr>
          <w:p>
            <w:pPr>
              <w:ind w:left="20"/>
              <w:spacing w:after="0"/>
              <w:rPr>
                <w:sz w:val="20"/>
                <w:szCs w:val="20"/>
                <w:color w:val="auto"/>
              </w:rPr>
            </w:pPr>
            <w:r>
              <w:rPr>
                <w:rFonts w:ascii="Arial" w:cs="Arial" w:eastAsia="Arial" w:hAnsi="Arial"/>
                <w:sz w:val="18"/>
                <w:szCs w:val="18"/>
                <w:color w:val="auto"/>
              </w:rPr>
              <w:t>HIS business acquisition related</w:t>
            </w: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53,028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62,382</w:t>
            </w:r>
          </w:p>
        </w:tc>
      </w:tr>
      <w:tr>
        <w:trPr>
          <w:trHeight w:val="27"/>
        </w:trPr>
        <w:tc>
          <w:tcPr>
            <w:tcW w:w="69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9"/>
        </w:trPr>
        <w:tc>
          <w:tcPr>
            <w:tcW w:w="69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132,272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98,807</w:t>
            </w: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Third-party receivables due from Pfizer relates to trade accounts receivable that has already been collected from customers by Pfizer on our behalf. HIS business acquisition related receivables include amounts due from Pfizer related to the manufacturing and supply agreements and amounts we prepaid to Pfizer for operational expenses under the transition services agreement.</w:t>
      </w:r>
    </w:p>
    <w:p>
      <w:pPr>
        <w:spacing w:after="0" w:line="181"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Pfizer became a related party to us when we issued 3.2 million shares of our common stock as partial consideration for the acquisition of HIS. On February 3, 2017, we entered into a transitional services agreement and two Manufacturing and Supply Agreements ("MSAs") with Pfizer (see Note 19, Collaborative and Other Arrangements). During the three months ended March 31, 2018 and 2017, the revenue for goods manufactured for Pfizer was $18.1 million and $14.7 million, respectively. For the three months ended March 31, 2018 and 2017, the cost of product manufactured by Pfizer for us was $17.2 million and $12.5 million,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Inventories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Inventories consisted of the following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50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gridSpan w:val="2"/>
          </w:tcPr>
          <w:p>
            <w:pPr>
              <w:ind w:left="120"/>
              <w:spacing w:after="0"/>
              <w:rPr>
                <w:sz w:val="20"/>
                <w:szCs w:val="20"/>
                <w:color w:val="auto"/>
              </w:rPr>
            </w:pPr>
            <w:r>
              <w:rPr>
                <w:rFonts w:ascii="Arial" w:cs="Arial" w:eastAsia="Arial" w:hAnsi="Arial"/>
                <w:sz w:val="16"/>
                <w:szCs w:val="16"/>
                <w:b w:val="1"/>
                <w:bCs w:val="1"/>
                <w:color w:val="auto"/>
              </w:rPr>
              <w:t>March 31, 2018</w:t>
            </w:r>
          </w:p>
        </w:tc>
        <w:tc>
          <w:tcPr>
            <w:tcW w:w="180" w:type="dxa"/>
            <w:vAlign w:val="bottom"/>
          </w:tcPr>
          <w:p>
            <w:pPr>
              <w:spacing w:after="0"/>
              <w:rPr>
                <w:sz w:val="18"/>
                <w:szCs w:val="18"/>
                <w:color w:val="auto"/>
              </w:rPr>
            </w:pPr>
          </w:p>
        </w:tc>
        <w:tc>
          <w:tcPr>
            <w:tcW w:w="1640" w:type="dxa"/>
            <w:vAlign w:val="bottom"/>
          </w:tcPr>
          <w:p>
            <w:pPr>
              <w:jc w:val="right"/>
              <w:ind w:right="172"/>
              <w:spacing w:after="0"/>
              <w:rPr>
                <w:sz w:val="20"/>
                <w:szCs w:val="20"/>
                <w:color w:val="auto"/>
              </w:rPr>
            </w:pPr>
            <w:r>
              <w:rPr>
                <w:rFonts w:ascii="Arial" w:cs="Arial" w:eastAsia="Arial" w:hAnsi="Arial"/>
                <w:sz w:val="16"/>
                <w:szCs w:val="16"/>
                <w:b w:val="1"/>
                <w:bCs w:val="1"/>
                <w:color w:val="auto"/>
                <w:w w:val="94"/>
              </w:rPr>
              <w:t>December 31, 2017</w:t>
            </w:r>
          </w:p>
        </w:tc>
        <w:tc>
          <w:tcPr>
            <w:tcW w:w="0" w:type="dxa"/>
            <w:vAlign w:val="bottom"/>
          </w:tcPr>
          <w:p>
            <w:pPr>
              <w:spacing w:after="0"/>
              <w:rPr>
                <w:sz w:val="1"/>
                <w:szCs w:val="1"/>
                <w:color w:val="auto"/>
              </w:rPr>
            </w:pPr>
          </w:p>
        </w:tc>
      </w:tr>
      <w:tr>
        <w:trPr>
          <w:trHeight w:val="33"/>
        </w:trPr>
        <w:tc>
          <w:tcPr>
            <w:tcW w:w="3500" w:type="dxa"/>
            <w:vAlign w:val="bottom"/>
            <w:tcBorders>
              <w:bottom w:val="single" w:sz="8" w:color="CCEEFF"/>
            </w:tcBorders>
          </w:tcPr>
          <w:p>
            <w:pPr>
              <w:spacing w:after="0"/>
              <w:rPr>
                <w:sz w:val="2"/>
                <w:szCs w:val="2"/>
                <w:color w:val="auto"/>
              </w:rPr>
            </w:pPr>
          </w:p>
        </w:tc>
        <w:tc>
          <w:tcPr>
            <w:tcW w:w="4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w:t>
            </w:r>
          </w:p>
        </w:tc>
        <w:tc>
          <w:tcPr>
            <w:tcW w:w="442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78,732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82,397</w:t>
            </w:r>
          </w:p>
        </w:tc>
        <w:tc>
          <w:tcPr>
            <w:tcW w:w="0" w:type="dxa"/>
            <w:vAlign w:val="bottom"/>
          </w:tcPr>
          <w:p>
            <w:pPr>
              <w:spacing w:after="0"/>
              <w:rPr>
                <w:sz w:val="1"/>
                <w:szCs w:val="1"/>
                <w:color w:val="auto"/>
              </w:rPr>
            </w:pPr>
          </w:p>
        </w:tc>
      </w:tr>
      <w:tr>
        <w:trPr>
          <w:trHeight w:val="243"/>
        </w:trPr>
        <w:tc>
          <w:tcPr>
            <w:tcW w:w="3500" w:type="dxa"/>
            <w:vAlign w:val="bottom"/>
          </w:tcPr>
          <w:p>
            <w:pPr>
              <w:ind w:left="40"/>
              <w:spacing w:after="0"/>
              <w:rPr>
                <w:sz w:val="20"/>
                <w:szCs w:val="20"/>
                <w:color w:val="auto"/>
              </w:rPr>
            </w:pPr>
            <w:r>
              <w:rPr>
                <w:rFonts w:ascii="Arial" w:cs="Arial" w:eastAsia="Arial" w:hAnsi="Arial"/>
                <w:sz w:val="18"/>
                <w:szCs w:val="18"/>
                <w:color w:val="auto"/>
              </w:rPr>
              <w:t>Work in process</w:t>
            </w:r>
          </w:p>
        </w:tc>
        <w:tc>
          <w:tcPr>
            <w:tcW w:w="4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51,545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2"/>
              <w:spacing w:after="0"/>
              <w:rPr>
                <w:sz w:val="20"/>
                <w:szCs w:val="20"/>
                <w:color w:val="auto"/>
              </w:rPr>
            </w:pPr>
            <w:r>
              <w:rPr>
                <w:rFonts w:ascii="Arial" w:cs="Arial" w:eastAsia="Arial" w:hAnsi="Arial"/>
                <w:sz w:val="18"/>
                <w:szCs w:val="18"/>
                <w:color w:val="auto"/>
              </w:rPr>
              <w:t>42,304</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4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416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165,271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163,956</w:t>
            </w:r>
          </w:p>
        </w:tc>
        <w:tc>
          <w:tcPr>
            <w:tcW w:w="0" w:type="dxa"/>
            <w:vAlign w:val="bottom"/>
          </w:tcPr>
          <w:p>
            <w:pPr>
              <w:spacing w:after="0"/>
              <w:rPr>
                <w:sz w:val="1"/>
                <w:szCs w:val="1"/>
                <w:color w:val="auto"/>
              </w:rPr>
            </w:pPr>
          </w:p>
        </w:tc>
      </w:tr>
      <w:tr>
        <w:trPr>
          <w:trHeight w:val="257"/>
        </w:trPr>
        <w:tc>
          <w:tcPr>
            <w:tcW w:w="3500" w:type="dxa"/>
            <w:vAlign w:val="bottom"/>
          </w:tcPr>
          <w:p>
            <w:pPr>
              <w:ind w:left="180"/>
              <w:spacing w:after="0"/>
              <w:rPr>
                <w:sz w:val="20"/>
                <w:szCs w:val="20"/>
                <w:color w:val="auto"/>
              </w:rPr>
            </w:pPr>
            <w:r>
              <w:rPr>
                <w:rFonts w:ascii="Arial" w:cs="Arial" w:eastAsia="Arial" w:hAnsi="Arial"/>
                <w:sz w:val="18"/>
                <w:szCs w:val="18"/>
                <w:color w:val="auto"/>
              </w:rPr>
              <w:t>Total inventories</w:t>
            </w:r>
          </w:p>
        </w:tc>
        <w:tc>
          <w:tcPr>
            <w:tcW w:w="416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295,548</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288,657</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4160" w:type="dxa"/>
            <w:vAlign w:val="bottom"/>
            <w:vMerge w:val="restart"/>
          </w:tcPr>
          <w:p>
            <w:pPr>
              <w:jc w:val="right"/>
              <w:ind w:right="1770"/>
              <w:spacing w:after="0"/>
              <w:rPr>
                <w:sz w:val="20"/>
                <w:szCs w:val="20"/>
                <w:color w:val="auto"/>
              </w:rPr>
            </w:pPr>
            <w:r>
              <w:rPr>
                <w:rFonts w:ascii="Arial" w:cs="Arial" w:eastAsia="Arial" w:hAnsi="Arial"/>
                <w:sz w:val="18"/>
                <w:szCs w:val="18"/>
                <w:color w:val="auto"/>
              </w:rPr>
              <w:t>21</w:t>
            </w: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500" w:type="dxa"/>
            <w:vAlign w:val="bottom"/>
          </w:tcPr>
          <w:p>
            <w:pPr>
              <w:spacing w:after="0"/>
              <w:rPr>
                <w:sz w:val="24"/>
                <w:szCs w:val="24"/>
                <w:color w:val="auto"/>
              </w:rPr>
            </w:pPr>
          </w:p>
        </w:tc>
        <w:tc>
          <w:tcPr>
            <w:tcW w:w="41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6"/>
          <w:szCs w:val="16"/>
          <w:b w:val="1"/>
          <w:bCs w:val="1"/>
          <w:color w:val="auto"/>
        </w:rPr>
        <w:t>Property and Equipment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Property and equipment consisted of the following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ind w:left="20"/>
              <w:spacing w:after="0"/>
              <w:rPr>
                <w:sz w:val="20"/>
                <w:szCs w:val="20"/>
                <w:color w:val="auto"/>
              </w:rPr>
            </w:pPr>
            <w:r>
              <w:rPr>
                <w:rFonts w:ascii="Arial" w:cs="Arial" w:eastAsia="Arial" w:hAnsi="Arial"/>
                <w:sz w:val="16"/>
                <w:szCs w:val="16"/>
                <w:b w:val="1"/>
                <w:bCs w:val="1"/>
                <w:color w:val="auto"/>
              </w:rPr>
              <w:t>March 31, 2018</w:t>
            </w:r>
          </w:p>
        </w:tc>
        <w:tc>
          <w:tcPr>
            <w:tcW w:w="1360" w:type="dxa"/>
            <w:vAlign w:val="bottom"/>
            <w:gridSpan w:val="2"/>
          </w:tcPr>
          <w:p>
            <w:pPr>
              <w:ind w:left="20"/>
              <w:spacing w:after="0"/>
              <w:rPr>
                <w:sz w:val="20"/>
                <w:szCs w:val="20"/>
                <w:color w:val="auto"/>
              </w:rPr>
            </w:pPr>
            <w:r>
              <w:rPr>
                <w:rFonts w:ascii="Arial" w:cs="Arial" w:eastAsia="Arial" w:hAnsi="Arial"/>
                <w:sz w:val="16"/>
                <w:szCs w:val="16"/>
                <w:b w:val="1"/>
                <w:bCs w:val="1"/>
                <w:color w:val="auto"/>
                <w:w w:val="91"/>
              </w:rPr>
              <w:t>December 31, 2017</w:t>
            </w:r>
          </w:p>
        </w:tc>
        <w:tc>
          <w:tcPr>
            <w:tcW w:w="0" w:type="dxa"/>
            <w:vAlign w:val="bottom"/>
          </w:tcPr>
          <w:p>
            <w:pPr>
              <w:spacing w:after="0"/>
              <w:rPr>
                <w:sz w:val="1"/>
                <w:szCs w:val="1"/>
                <w:color w:val="auto"/>
              </w:rPr>
            </w:pPr>
          </w:p>
        </w:tc>
      </w:tr>
      <w:tr>
        <w:trPr>
          <w:trHeight w:val="33"/>
        </w:trPr>
        <w:tc>
          <w:tcPr>
            <w:tcW w:w="85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Machinery and equipment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236,234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220,999</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Land, building and building improvements</w:t>
            </w:r>
          </w:p>
        </w:tc>
        <w:tc>
          <w:tcPr>
            <w:tcW w:w="1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207,922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206,846</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Molds</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56,431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56,253</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Computer equipment and software</w:t>
            </w:r>
          </w:p>
        </w:tc>
        <w:tc>
          <w:tcPr>
            <w:tcW w:w="1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45,652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44,408</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Furniture and fixtures</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7,651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7,361</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Instruments placed with customers*</w:t>
            </w:r>
          </w:p>
        </w:tc>
        <w:tc>
          <w:tcPr>
            <w:tcW w:w="1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15,521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15,812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Construction in progress</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64,068</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57,144</w:t>
            </w:r>
          </w:p>
        </w:tc>
        <w:tc>
          <w:tcPr>
            <w:tcW w:w="0" w:type="dxa"/>
            <w:vAlign w:val="bottom"/>
          </w:tcPr>
          <w:p>
            <w:pPr>
              <w:spacing w:after="0"/>
              <w:rPr>
                <w:sz w:val="1"/>
                <w:szCs w:val="1"/>
                <w:color w:val="auto"/>
              </w:rPr>
            </w:pPr>
          </w:p>
        </w:tc>
      </w:tr>
      <w:tr>
        <w:trPr>
          <w:trHeight w:val="237"/>
        </w:trPr>
        <w:tc>
          <w:tcPr>
            <w:tcW w:w="8580" w:type="dxa"/>
            <w:vAlign w:val="bottom"/>
          </w:tcPr>
          <w:p>
            <w:pPr>
              <w:ind w:left="180"/>
              <w:spacing w:after="0"/>
              <w:rPr>
                <w:sz w:val="20"/>
                <w:szCs w:val="20"/>
                <w:color w:val="auto"/>
              </w:rPr>
            </w:pPr>
            <w:r>
              <w:rPr>
                <w:rFonts w:ascii="Arial" w:cs="Arial" w:eastAsia="Arial" w:hAnsi="Arial"/>
                <w:sz w:val="18"/>
                <w:szCs w:val="18"/>
                <w:color w:val="auto"/>
              </w:rPr>
              <w:t>Total property and equipment, cost</w:t>
            </w:r>
          </w:p>
        </w:tc>
        <w:tc>
          <w:tcPr>
            <w:tcW w:w="1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633,479</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608,823</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depreciation</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(225,897)</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(210,139)</w:t>
            </w:r>
          </w:p>
        </w:tc>
        <w:tc>
          <w:tcPr>
            <w:tcW w:w="0" w:type="dxa"/>
            <w:vAlign w:val="bottom"/>
          </w:tcPr>
          <w:p>
            <w:pPr>
              <w:spacing w:after="0"/>
              <w:rPr>
                <w:sz w:val="1"/>
                <w:szCs w:val="1"/>
                <w:color w:val="auto"/>
              </w:rPr>
            </w:pPr>
          </w:p>
        </w:tc>
      </w:tr>
      <w:tr>
        <w:trPr>
          <w:trHeight w:val="257"/>
        </w:trPr>
        <w:tc>
          <w:tcPr>
            <w:tcW w:w="858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407,582</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398,684</w:t>
            </w:r>
          </w:p>
        </w:tc>
        <w:tc>
          <w:tcPr>
            <w:tcW w:w="0" w:type="dxa"/>
            <w:vAlign w:val="bottom"/>
          </w:tcPr>
          <w:p>
            <w:pPr>
              <w:spacing w:after="0"/>
              <w:rPr>
                <w:sz w:val="1"/>
                <w:szCs w:val="1"/>
                <w:color w:val="auto"/>
              </w:rPr>
            </w:pPr>
          </w:p>
        </w:tc>
      </w:tr>
      <w:tr>
        <w:trPr>
          <w:trHeight w:val="20"/>
        </w:trPr>
        <w:tc>
          <w:tcPr>
            <w:tcW w:w="8580" w:type="dxa"/>
            <w:vAlign w:val="bottom"/>
            <w:vMerge w:val="restart"/>
          </w:tcPr>
          <w:p>
            <w:pPr>
              <w:spacing w:after="0"/>
              <w:rPr>
                <w:sz w:val="20"/>
                <w:szCs w:val="20"/>
                <w:color w:val="auto"/>
              </w:rPr>
            </w:pPr>
            <w:r>
              <w:rPr>
                <w:rFonts w:ascii="Arial" w:cs="Arial" w:eastAsia="Arial" w:hAnsi="Arial"/>
                <w:sz w:val="18"/>
                <w:szCs w:val="18"/>
                <w:color w:val="auto"/>
              </w:rPr>
              <w:t>______________________________</w:t>
            </w: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85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*Instruments placed with customers consist of drug-delivery and monitoring systems placed with customer under operating leases.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Depreciation expense was $14.2 million and $8.2 million for the three months ended March 31, 2018 and 2017, respectively.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140" w:type="dxa"/>
            <w:vAlign w:val="bottom"/>
            <w:gridSpan w:val="2"/>
          </w:tcPr>
          <w:p>
            <w:pPr>
              <w:spacing w:after="0"/>
              <w:rPr>
                <w:sz w:val="20"/>
                <w:szCs w:val="20"/>
                <w:color w:val="auto"/>
              </w:rPr>
            </w:pPr>
            <w:r>
              <w:rPr>
                <w:rFonts w:ascii="Arial" w:cs="Arial" w:eastAsia="Arial" w:hAnsi="Arial"/>
                <w:sz w:val="18"/>
                <w:szCs w:val="18"/>
                <w:b w:val="1"/>
                <w:bCs w:val="1"/>
                <w:color w:val="auto"/>
              </w:rPr>
              <w:t>Note 13: Goodwill and Intangible Assets, Net</w:t>
            </w:r>
          </w:p>
        </w:tc>
        <w:tc>
          <w:tcPr>
            <w:tcW w:w="52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432"/>
        </w:trPr>
        <w:tc>
          <w:tcPr>
            <w:tcW w:w="9140" w:type="dxa"/>
            <w:vAlign w:val="bottom"/>
            <w:gridSpan w:val="2"/>
          </w:tcPr>
          <w:p>
            <w:pPr>
              <w:spacing w:after="0"/>
              <w:rPr>
                <w:sz w:val="20"/>
                <w:szCs w:val="20"/>
                <w:color w:val="auto"/>
              </w:rPr>
            </w:pPr>
            <w:r>
              <w:rPr>
                <w:rFonts w:ascii="Arial" w:cs="Arial" w:eastAsia="Arial" w:hAnsi="Arial"/>
                <w:sz w:val="18"/>
                <w:szCs w:val="18"/>
                <w:i w:val="1"/>
                <w:iCs w:val="1"/>
                <w:color w:val="auto"/>
              </w:rPr>
              <w:t>Goodwill</w:t>
            </w:r>
          </w:p>
        </w:tc>
        <w:tc>
          <w:tcPr>
            <w:tcW w:w="52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9120" w:type="dxa"/>
            <w:vAlign w:val="bottom"/>
          </w:tcPr>
          <w:p>
            <w:pPr>
              <w:ind w:left="640"/>
              <w:spacing w:after="0"/>
              <w:rPr>
                <w:sz w:val="20"/>
                <w:szCs w:val="20"/>
                <w:color w:val="auto"/>
              </w:rPr>
            </w:pPr>
            <w:r>
              <w:rPr>
                <w:rFonts w:ascii="Arial" w:cs="Arial" w:eastAsia="Arial" w:hAnsi="Arial"/>
                <w:sz w:val="18"/>
                <w:szCs w:val="18"/>
                <w:color w:val="auto"/>
              </w:rPr>
              <w:t>The following table presents the changes in the carrying amount of our goodwill (in thousands):</w:t>
            </w:r>
          </w:p>
        </w:tc>
        <w:tc>
          <w:tcPr>
            <w:tcW w:w="52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378"/>
        </w:trPr>
        <w:tc>
          <w:tcPr>
            <w:tcW w:w="20" w:type="dxa"/>
            <w:vAlign w:val="bottom"/>
          </w:tcPr>
          <w:p>
            <w:pPr>
              <w:spacing w:after="0"/>
              <w:rPr>
                <w:sz w:val="24"/>
                <w:szCs w:val="24"/>
                <w:color w:val="auto"/>
              </w:rPr>
            </w:pPr>
          </w:p>
        </w:tc>
        <w:tc>
          <w:tcPr>
            <w:tcW w:w="9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740" w:type="dxa"/>
            <w:vAlign w:val="bottom"/>
          </w:tcPr>
          <w:p>
            <w:pPr>
              <w:jc w:val="right"/>
              <w:ind w:right="850"/>
              <w:spacing w:after="0"/>
              <w:rPr>
                <w:sz w:val="20"/>
                <w:szCs w:val="20"/>
                <w:color w:val="auto"/>
              </w:rPr>
            </w:pPr>
            <w:r>
              <w:rPr>
                <w:rFonts w:ascii="Arial" w:cs="Arial" w:eastAsia="Arial" w:hAnsi="Arial"/>
                <w:sz w:val="18"/>
                <w:szCs w:val="18"/>
                <w:b w:val="1"/>
                <w:bCs w:val="1"/>
                <w:color w:val="auto"/>
              </w:rPr>
              <w:t>Total</w:t>
            </w:r>
          </w:p>
        </w:tc>
      </w:tr>
      <w:tr>
        <w:trPr>
          <w:trHeight w:val="27"/>
        </w:trPr>
        <w:tc>
          <w:tcPr>
            <w:tcW w:w="20" w:type="dxa"/>
            <w:vAlign w:val="bottom"/>
          </w:tcPr>
          <w:p>
            <w:pPr>
              <w:spacing w:after="0"/>
              <w:rPr>
                <w:sz w:val="2"/>
                <w:szCs w:val="2"/>
                <w:color w:val="auto"/>
              </w:rPr>
            </w:pPr>
          </w:p>
        </w:tc>
        <w:tc>
          <w:tcPr>
            <w:tcW w:w="9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9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2017</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12,357</w:t>
            </w:r>
          </w:p>
        </w:tc>
      </w:tr>
      <w:tr>
        <w:trPr>
          <w:trHeight w:val="243"/>
        </w:trPr>
        <w:tc>
          <w:tcPr>
            <w:tcW w:w="20" w:type="dxa"/>
            <w:vAlign w:val="bottom"/>
          </w:tcPr>
          <w:p>
            <w:pPr>
              <w:spacing w:after="0"/>
              <w:rPr>
                <w:sz w:val="21"/>
                <w:szCs w:val="21"/>
                <w:color w:val="auto"/>
              </w:rPr>
            </w:pPr>
          </w:p>
        </w:tc>
        <w:tc>
          <w:tcPr>
            <w:tcW w:w="9120" w:type="dxa"/>
            <w:vAlign w:val="bottom"/>
          </w:tcPr>
          <w:p>
            <w:pPr>
              <w:ind w:left="160"/>
              <w:spacing w:after="0"/>
              <w:rPr>
                <w:sz w:val="20"/>
                <w:szCs w:val="20"/>
                <w:color w:val="auto"/>
              </w:rPr>
            </w:pPr>
            <w:r>
              <w:rPr>
                <w:rFonts w:ascii="Arial" w:cs="Arial" w:eastAsia="Arial" w:hAnsi="Arial"/>
                <w:sz w:val="18"/>
                <w:szCs w:val="18"/>
                <w:color w:val="auto"/>
              </w:rPr>
              <w:t>Currency translation</w:t>
            </w:r>
          </w:p>
        </w:tc>
        <w:tc>
          <w:tcPr>
            <w:tcW w:w="52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7"/>
        </w:trPr>
        <w:tc>
          <w:tcPr>
            <w:tcW w:w="20" w:type="dxa"/>
            <w:vAlign w:val="bottom"/>
          </w:tcPr>
          <w:p>
            <w:pPr>
              <w:spacing w:after="0"/>
              <w:rPr>
                <w:sz w:val="2"/>
                <w:szCs w:val="2"/>
                <w:color w:val="auto"/>
              </w:rPr>
            </w:pPr>
          </w:p>
        </w:tc>
        <w:tc>
          <w:tcPr>
            <w:tcW w:w="9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57"/>
        </w:trPr>
        <w:tc>
          <w:tcPr>
            <w:tcW w:w="20" w:type="dxa"/>
            <w:vAlign w:val="bottom"/>
          </w:tcPr>
          <w:p>
            <w:pPr>
              <w:spacing w:after="0"/>
              <w:rPr>
                <w:sz w:val="22"/>
                <w:szCs w:val="22"/>
                <w:color w:val="auto"/>
              </w:rPr>
            </w:pPr>
          </w:p>
        </w:tc>
        <w:tc>
          <w:tcPr>
            <w:tcW w:w="9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March 31, 2018</w:t>
            </w: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12,314</w:t>
            </w:r>
          </w:p>
        </w:tc>
      </w:tr>
      <w:tr>
        <w:trPr>
          <w:trHeight w:val="20"/>
        </w:trPr>
        <w:tc>
          <w:tcPr>
            <w:tcW w:w="20" w:type="dxa"/>
            <w:vAlign w:val="bottom"/>
          </w:tcPr>
          <w:p>
            <w:pPr>
              <w:spacing w:after="0" w:line="20" w:lineRule="exact"/>
              <w:rPr>
                <w:sz w:val="1"/>
                <w:szCs w:val="1"/>
                <w:color w:val="auto"/>
              </w:rPr>
            </w:pPr>
          </w:p>
        </w:tc>
        <w:tc>
          <w:tcPr>
            <w:tcW w:w="9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 Net</w:t>
      </w:r>
    </w:p>
    <w:p>
      <w:pPr>
        <w:spacing w:after="0" w:line="225"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Intangible assets, carried at cost less accumulated amortization and amortized on a straight-lined basis, were as follows (in thousands):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2" w:name="page23"/>
    <w:bookmarkEnd w:id="22"/>
    <w:p>
      <w:pPr>
        <w:jc w:val="center"/>
        <w:ind w:right="-19"/>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Weighted</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600" w:type="dxa"/>
            <w:vAlign w:val="bottom"/>
          </w:tcPr>
          <w:p>
            <w:pPr>
              <w:spacing w:after="0"/>
              <w:rPr>
                <w:sz w:val="18"/>
                <w:szCs w:val="18"/>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Average</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4"/>
              </w:rPr>
              <w:t>March 31, 2018</w:t>
            </w: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60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600" w:type="dxa"/>
            <w:vAlign w:val="bottom"/>
          </w:tcPr>
          <w:p>
            <w:pPr>
              <w:spacing w:after="0"/>
              <w:rPr>
                <w:sz w:val="18"/>
                <w:szCs w:val="18"/>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6"/>
              </w:rPr>
              <w:t>Amortization</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Accumulated</w:t>
            </w: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00" w:type="dxa"/>
            <w:vAlign w:val="bottom"/>
          </w:tcPr>
          <w:p>
            <w:pPr>
              <w:spacing w:after="0"/>
              <w:rPr>
                <w:sz w:val="18"/>
                <w:szCs w:val="18"/>
                <w:color w:val="auto"/>
              </w:rPr>
            </w:pPr>
          </w:p>
        </w:tc>
        <w:tc>
          <w:tcPr>
            <w:tcW w:w="15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2"/>
              </w:rPr>
              <w:t>Life in Years</w:t>
            </w:r>
          </w:p>
        </w:tc>
        <w:tc>
          <w:tcPr>
            <w:tcW w:w="320" w:type="dxa"/>
            <w:vAlign w:val="bottom"/>
          </w:tcPr>
          <w:p>
            <w:pPr>
              <w:spacing w:after="0"/>
              <w:rPr>
                <w:sz w:val="18"/>
                <w:szCs w:val="18"/>
                <w:color w:val="auto"/>
              </w:rPr>
            </w:pPr>
          </w:p>
        </w:tc>
        <w:tc>
          <w:tcPr>
            <w:tcW w:w="1160" w:type="dxa"/>
            <w:vAlign w:val="bottom"/>
            <w:gridSpan w:val="2"/>
          </w:tcPr>
          <w:p>
            <w:pPr>
              <w:ind w:left="200"/>
              <w:spacing w:after="0"/>
              <w:rPr>
                <w:sz w:val="20"/>
                <w:szCs w:val="20"/>
                <w:color w:val="auto"/>
              </w:rPr>
            </w:pPr>
            <w:r>
              <w:rPr>
                <w:rFonts w:ascii="Arial" w:cs="Arial" w:eastAsia="Arial" w:hAnsi="Arial"/>
                <w:sz w:val="16"/>
                <w:szCs w:val="16"/>
                <w:b w:val="1"/>
                <w:bCs w:val="1"/>
                <w:color w:val="auto"/>
              </w:rPr>
              <w:t>Cost</w:t>
            </w: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4"/>
              </w:rPr>
              <w:t>Amortization</w:t>
            </w:r>
          </w:p>
        </w:tc>
        <w:tc>
          <w:tcPr>
            <w:tcW w:w="340" w:type="dxa"/>
            <w:vAlign w:val="bottom"/>
          </w:tcPr>
          <w:p>
            <w:pPr>
              <w:spacing w:after="0"/>
              <w:rPr>
                <w:sz w:val="18"/>
                <w:szCs w:val="18"/>
                <w:color w:val="auto"/>
              </w:rPr>
            </w:pPr>
          </w:p>
        </w:tc>
        <w:tc>
          <w:tcPr>
            <w:tcW w:w="1020" w:type="dxa"/>
            <w:vAlign w:val="bottom"/>
          </w:tcPr>
          <w:p>
            <w:pPr>
              <w:jc w:val="right"/>
              <w:ind w:right="479"/>
              <w:spacing w:after="0"/>
              <w:rPr>
                <w:sz w:val="20"/>
                <w:szCs w:val="20"/>
                <w:color w:val="auto"/>
              </w:rPr>
            </w:pPr>
            <w:r>
              <w:rPr>
                <w:rFonts w:ascii="Arial" w:cs="Arial" w:eastAsia="Arial" w:hAnsi="Arial"/>
                <w:sz w:val="16"/>
                <w:szCs w:val="16"/>
                <w:b w:val="1"/>
                <w:bCs w:val="1"/>
                <w:color w:val="auto"/>
              </w:rPr>
              <w:t>Net</w:t>
            </w:r>
          </w:p>
        </w:tc>
        <w:tc>
          <w:tcPr>
            <w:tcW w:w="0" w:type="dxa"/>
            <w:vAlign w:val="bottom"/>
          </w:tcPr>
          <w:p>
            <w:pPr>
              <w:spacing w:after="0"/>
              <w:rPr>
                <w:sz w:val="1"/>
                <w:szCs w:val="1"/>
                <w:color w:val="auto"/>
              </w:rPr>
            </w:pPr>
          </w:p>
        </w:tc>
      </w:tr>
      <w:tr>
        <w:trPr>
          <w:trHeight w:val="33"/>
        </w:trPr>
        <w:tc>
          <w:tcPr>
            <w:tcW w:w="56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Patents</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10</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17,664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11,249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6,415</w:t>
            </w:r>
          </w:p>
        </w:tc>
        <w:tc>
          <w:tcPr>
            <w:tcW w:w="0" w:type="dxa"/>
            <w:vAlign w:val="bottom"/>
          </w:tcPr>
          <w:p>
            <w:pPr>
              <w:spacing w:after="0"/>
              <w:rPr>
                <w:sz w:val="1"/>
                <w:szCs w:val="1"/>
                <w:color w:val="auto"/>
              </w:rPr>
            </w:pPr>
          </w:p>
        </w:tc>
      </w:tr>
      <w:tr>
        <w:trPr>
          <w:trHeight w:val="237"/>
        </w:trPr>
        <w:tc>
          <w:tcPr>
            <w:tcW w:w="5600" w:type="dxa"/>
            <w:vAlign w:val="bottom"/>
          </w:tcPr>
          <w:p>
            <w:pPr>
              <w:ind w:left="40"/>
              <w:spacing w:after="0"/>
              <w:rPr>
                <w:sz w:val="20"/>
                <w:szCs w:val="20"/>
                <w:color w:val="auto"/>
              </w:rPr>
            </w:pPr>
            <w:r>
              <w:rPr>
                <w:rFonts w:ascii="Arial" w:cs="Arial" w:eastAsia="Arial" w:hAnsi="Arial"/>
                <w:sz w:val="16"/>
                <w:szCs w:val="16"/>
                <w:color w:val="auto"/>
              </w:rPr>
              <w:t>Customer contracts</w:t>
            </w:r>
          </w:p>
        </w:tc>
        <w:tc>
          <w:tcPr>
            <w:tcW w:w="1380" w:type="dxa"/>
            <w:vAlign w:val="bottom"/>
          </w:tcPr>
          <w:p>
            <w:pPr>
              <w:jc w:val="center"/>
              <w:spacing w:after="0"/>
              <w:rPr>
                <w:sz w:val="20"/>
                <w:szCs w:val="20"/>
                <w:color w:val="auto"/>
              </w:rPr>
            </w:pPr>
            <w:r>
              <w:rPr>
                <w:rFonts w:ascii="Arial" w:cs="Arial" w:eastAsia="Arial" w:hAnsi="Arial"/>
                <w:sz w:val="16"/>
                <w:szCs w:val="16"/>
                <w:color w:val="auto"/>
                <w:w w:val="89"/>
              </w:rPr>
              <w:t>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5,319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4,987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332</w:t>
            </w:r>
          </w:p>
        </w:tc>
        <w:tc>
          <w:tcPr>
            <w:tcW w:w="0" w:type="dxa"/>
            <w:vAlign w:val="bottom"/>
          </w:tcPr>
          <w:p>
            <w:pPr>
              <w:spacing w:after="0"/>
              <w:rPr>
                <w:sz w:val="1"/>
                <w:szCs w:val="1"/>
                <w:color w:val="auto"/>
              </w:rPr>
            </w:pPr>
          </w:p>
        </w:tc>
      </w:tr>
      <w:tr>
        <w:trPr>
          <w:trHeight w:val="33"/>
        </w:trPr>
        <w:tc>
          <w:tcPr>
            <w:tcW w:w="56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Non-contractual customer relationships</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55,131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8,187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46,944</w:t>
            </w:r>
          </w:p>
        </w:tc>
        <w:tc>
          <w:tcPr>
            <w:tcW w:w="0" w:type="dxa"/>
            <w:vAlign w:val="bottom"/>
          </w:tcPr>
          <w:p>
            <w:pPr>
              <w:spacing w:after="0"/>
              <w:rPr>
                <w:sz w:val="1"/>
                <w:szCs w:val="1"/>
                <w:color w:val="auto"/>
              </w:rPr>
            </w:pPr>
          </w:p>
        </w:tc>
      </w:tr>
      <w:tr>
        <w:trPr>
          <w:trHeight w:val="237"/>
        </w:trPr>
        <w:tc>
          <w:tcPr>
            <w:tcW w:w="5600" w:type="dxa"/>
            <w:vAlign w:val="bottom"/>
          </w:tcPr>
          <w:p>
            <w:pPr>
              <w:ind w:left="40"/>
              <w:spacing w:after="0"/>
              <w:rPr>
                <w:sz w:val="20"/>
                <w:szCs w:val="20"/>
                <w:color w:val="auto"/>
              </w:rPr>
            </w:pPr>
            <w:r>
              <w:rPr>
                <w:rFonts w:ascii="Arial" w:cs="Arial" w:eastAsia="Arial" w:hAnsi="Arial"/>
                <w:sz w:val="16"/>
                <w:szCs w:val="16"/>
                <w:color w:val="auto"/>
              </w:rPr>
              <w:t>Trademarks</w:t>
            </w:r>
          </w:p>
        </w:tc>
        <w:tc>
          <w:tcPr>
            <w:tcW w:w="1380" w:type="dxa"/>
            <w:vAlign w:val="bottom"/>
          </w:tcPr>
          <w:p>
            <w:pPr>
              <w:jc w:val="center"/>
              <w:spacing w:after="0"/>
              <w:rPr>
                <w:sz w:val="20"/>
                <w:szCs w:val="20"/>
                <w:color w:val="auto"/>
              </w:rPr>
            </w:pPr>
            <w:r>
              <w:rPr>
                <w:rFonts w:ascii="Arial" w:cs="Arial" w:eastAsia="Arial" w:hAnsi="Arial"/>
                <w:sz w:val="16"/>
                <w:szCs w:val="16"/>
                <w:color w:val="auto"/>
                <w:w w:val="89"/>
              </w:rPr>
              <w:t>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425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425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6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Trade name</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7,310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1,218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6,092</w:t>
            </w:r>
          </w:p>
        </w:tc>
        <w:tc>
          <w:tcPr>
            <w:tcW w:w="0" w:type="dxa"/>
            <w:vAlign w:val="bottom"/>
          </w:tcPr>
          <w:p>
            <w:pPr>
              <w:spacing w:after="0"/>
              <w:rPr>
                <w:sz w:val="1"/>
                <w:szCs w:val="1"/>
                <w:color w:val="auto"/>
              </w:rPr>
            </w:pPr>
          </w:p>
        </w:tc>
      </w:tr>
      <w:tr>
        <w:trPr>
          <w:trHeight w:val="237"/>
        </w:trPr>
        <w:tc>
          <w:tcPr>
            <w:tcW w:w="5600" w:type="dxa"/>
            <w:vAlign w:val="bottom"/>
          </w:tcPr>
          <w:p>
            <w:pPr>
              <w:ind w:left="40"/>
              <w:spacing w:after="0"/>
              <w:rPr>
                <w:sz w:val="20"/>
                <w:szCs w:val="20"/>
                <w:color w:val="auto"/>
              </w:rPr>
            </w:pPr>
            <w:r>
              <w:rPr>
                <w:rFonts w:ascii="Arial" w:cs="Arial" w:eastAsia="Arial" w:hAnsi="Arial"/>
                <w:sz w:val="16"/>
                <w:szCs w:val="16"/>
                <w:color w:val="auto"/>
              </w:rPr>
              <w:t>Developed technology</w:t>
            </w:r>
          </w:p>
        </w:tc>
        <w:tc>
          <w:tcPr>
            <w:tcW w:w="1380" w:type="dxa"/>
            <w:vAlign w:val="bottom"/>
          </w:tcPr>
          <w:p>
            <w:pPr>
              <w:jc w:val="center"/>
              <w:spacing w:after="0"/>
              <w:rPr>
                <w:sz w:val="20"/>
                <w:szCs w:val="20"/>
                <w:color w:val="auto"/>
              </w:rPr>
            </w:pPr>
            <w:r>
              <w:rPr>
                <w:rFonts w:ascii="Arial" w:cs="Arial" w:eastAsia="Arial" w:hAnsi="Arial"/>
                <w:sz w:val="16"/>
                <w:szCs w:val="16"/>
                <w:color w:val="auto"/>
                <w:w w:val="89"/>
              </w:rPr>
              <w:t>11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82,568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9,467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73,101</w:t>
            </w:r>
          </w:p>
        </w:tc>
        <w:tc>
          <w:tcPr>
            <w:tcW w:w="0" w:type="dxa"/>
            <w:vAlign w:val="bottom"/>
          </w:tcPr>
          <w:p>
            <w:pPr>
              <w:spacing w:after="0"/>
              <w:rPr>
                <w:sz w:val="1"/>
                <w:szCs w:val="1"/>
                <w:color w:val="auto"/>
              </w:rPr>
            </w:pPr>
          </w:p>
        </w:tc>
      </w:tr>
      <w:tr>
        <w:trPr>
          <w:trHeight w:val="33"/>
        </w:trPr>
        <w:tc>
          <w:tcPr>
            <w:tcW w:w="560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amortized intangible assets</w:t>
            </w:r>
          </w:p>
        </w:tc>
        <w:tc>
          <w:tcPr>
            <w:tcW w:w="13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168,417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35,533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132,884</w:t>
            </w:r>
          </w:p>
        </w:tc>
        <w:tc>
          <w:tcPr>
            <w:tcW w:w="0" w:type="dxa"/>
            <w:vAlign w:val="bottom"/>
          </w:tcPr>
          <w:p>
            <w:pPr>
              <w:spacing w:after="0"/>
              <w:rPr>
                <w:sz w:val="1"/>
                <w:szCs w:val="1"/>
                <w:color w:val="auto"/>
              </w:rPr>
            </w:pPr>
          </w:p>
        </w:tc>
      </w:tr>
      <w:tr>
        <w:trPr>
          <w:trHeight w:val="297"/>
        </w:trPr>
        <w:tc>
          <w:tcPr>
            <w:tcW w:w="56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IPR&amp;D</w:t>
            </w: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3,761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3,761</w:t>
            </w:r>
          </w:p>
        </w:tc>
        <w:tc>
          <w:tcPr>
            <w:tcW w:w="0" w:type="dxa"/>
            <w:vAlign w:val="bottom"/>
          </w:tcPr>
          <w:p>
            <w:pPr>
              <w:spacing w:after="0"/>
              <w:rPr>
                <w:sz w:val="1"/>
                <w:szCs w:val="1"/>
                <w:color w:val="auto"/>
              </w:rPr>
            </w:pPr>
          </w:p>
        </w:tc>
      </w:tr>
      <w:tr>
        <w:trPr>
          <w:trHeight w:val="297"/>
        </w:trPr>
        <w:tc>
          <w:tcPr>
            <w:tcW w:w="5600" w:type="dxa"/>
            <w:vAlign w:val="bottom"/>
            <w:tcBorders>
              <w:bottom w:val="single" w:sz="8" w:color="CCEEFF"/>
            </w:tcBorders>
          </w:tcPr>
          <w:p>
            <w:pPr>
              <w:spacing w:after="0"/>
              <w:rPr>
                <w:sz w:val="24"/>
                <w:szCs w:val="24"/>
                <w:color w:val="auto"/>
              </w:rPr>
            </w:pPr>
          </w:p>
        </w:tc>
        <w:tc>
          <w:tcPr>
            <w:tcW w:w="13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intangible assets</w:t>
            </w: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172,178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35,533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136,645</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50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1"/>
              </w:rPr>
              <w:t>Weighted</w:t>
            </w: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5600" w:type="dxa"/>
            <w:vAlign w:val="bottom"/>
          </w:tcPr>
          <w:p>
            <w:pPr>
              <w:spacing w:after="0"/>
              <w:rPr>
                <w:sz w:val="24"/>
                <w:szCs w:val="24"/>
                <w:color w:val="auto"/>
              </w:rPr>
            </w:pPr>
          </w:p>
        </w:tc>
        <w:tc>
          <w:tcPr>
            <w:tcW w:w="150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600" w:type="dxa"/>
            <w:vAlign w:val="bottom"/>
          </w:tcPr>
          <w:p>
            <w:pPr>
              <w:spacing w:after="0"/>
              <w:rPr>
                <w:sz w:val="18"/>
                <w:szCs w:val="18"/>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Average</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3"/>
          </w:tcPr>
          <w:p>
            <w:pPr>
              <w:ind w:left="20"/>
              <w:spacing w:after="0"/>
              <w:rPr>
                <w:sz w:val="20"/>
                <w:szCs w:val="20"/>
                <w:color w:val="auto"/>
              </w:rPr>
            </w:pPr>
            <w:r>
              <w:rPr>
                <w:rFonts w:ascii="Arial" w:cs="Arial" w:eastAsia="Arial" w:hAnsi="Arial"/>
                <w:sz w:val="16"/>
                <w:szCs w:val="16"/>
                <w:b w:val="1"/>
                <w:bCs w:val="1"/>
                <w:color w:val="auto"/>
                <w:w w:val="98"/>
              </w:rPr>
              <w:t>December 31, 2017</w:t>
            </w: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60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600" w:type="dxa"/>
            <w:vAlign w:val="bottom"/>
          </w:tcPr>
          <w:p>
            <w:pPr>
              <w:spacing w:after="0"/>
              <w:rPr>
                <w:sz w:val="18"/>
                <w:szCs w:val="18"/>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6"/>
              </w:rPr>
              <w:t>Amortization</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Accumulated</w:t>
            </w: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00" w:type="dxa"/>
            <w:vAlign w:val="bottom"/>
          </w:tcPr>
          <w:p>
            <w:pPr>
              <w:spacing w:after="0"/>
              <w:rPr>
                <w:sz w:val="18"/>
                <w:szCs w:val="18"/>
                <w:color w:val="auto"/>
              </w:rPr>
            </w:pPr>
          </w:p>
        </w:tc>
        <w:tc>
          <w:tcPr>
            <w:tcW w:w="15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2"/>
              </w:rPr>
              <w:t>Life in Years</w:t>
            </w:r>
          </w:p>
        </w:tc>
        <w:tc>
          <w:tcPr>
            <w:tcW w:w="320" w:type="dxa"/>
            <w:vAlign w:val="bottom"/>
          </w:tcPr>
          <w:p>
            <w:pPr>
              <w:spacing w:after="0"/>
              <w:rPr>
                <w:sz w:val="18"/>
                <w:szCs w:val="18"/>
                <w:color w:val="auto"/>
              </w:rPr>
            </w:pPr>
          </w:p>
        </w:tc>
        <w:tc>
          <w:tcPr>
            <w:tcW w:w="1160" w:type="dxa"/>
            <w:vAlign w:val="bottom"/>
            <w:gridSpan w:val="2"/>
          </w:tcPr>
          <w:p>
            <w:pPr>
              <w:ind w:left="200"/>
              <w:spacing w:after="0"/>
              <w:rPr>
                <w:sz w:val="20"/>
                <w:szCs w:val="20"/>
                <w:color w:val="auto"/>
              </w:rPr>
            </w:pPr>
            <w:r>
              <w:rPr>
                <w:rFonts w:ascii="Arial" w:cs="Arial" w:eastAsia="Arial" w:hAnsi="Arial"/>
                <w:sz w:val="16"/>
                <w:szCs w:val="16"/>
                <w:b w:val="1"/>
                <w:bCs w:val="1"/>
                <w:color w:val="auto"/>
              </w:rPr>
              <w:t>Cost</w:t>
            </w: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4"/>
              </w:rPr>
              <w:t>Amortization</w:t>
            </w:r>
          </w:p>
        </w:tc>
        <w:tc>
          <w:tcPr>
            <w:tcW w:w="340" w:type="dxa"/>
            <w:vAlign w:val="bottom"/>
          </w:tcPr>
          <w:p>
            <w:pPr>
              <w:spacing w:after="0"/>
              <w:rPr>
                <w:sz w:val="18"/>
                <w:szCs w:val="18"/>
                <w:color w:val="auto"/>
              </w:rPr>
            </w:pPr>
          </w:p>
        </w:tc>
        <w:tc>
          <w:tcPr>
            <w:tcW w:w="1020" w:type="dxa"/>
            <w:vAlign w:val="bottom"/>
          </w:tcPr>
          <w:p>
            <w:pPr>
              <w:jc w:val="right"/>
              <w:ind w:right="479"/>
              <w:spacing w:after="0"/>
              <w:rPr>
                <w:sz w:val="20"/>
                <w:szCs w:val="20"/>
                <w:color w:val="auto"/>
              </w:rPr>
            </w:pPr>
            <w:r>
              <w:rPr>
                <w:rFonts w:ascii="Arial" w:cs="Arial" w:eastAsia="Arial" w:hAnsi="Arial"/>
                <w:sz w:val="16"/>
                <w:szCs w:val="16"/>
                <w:b w:val="1"/>
                <w:bCs w:val="1"/>
                <w:color w:val="auto"/>
              </w:rPr>
              <w:t>Net</w:t>
            </w:r>
          </w:p>
        </w:tc>
        <w:tc>
          <w:tcPr>
            <w:tcW w:w="0" w:type="dxa"/>
            <w:vAlign w:val="bottom"/>
          </w:tcPr>
          <w:p>
            <w:pPr>
              <w:spacing w:after="0"/>
              <w:rPr>
                <w:sz w:val="1"/>
                <w:szCs w:val="1"/>
                <w:color w:val="auto"/>
              </w:rPr>
            </w:pPr>
          </w:p>
        </w:tc>
      </w:tr>
      <w:tr>
        <w:trPr>
          <w:trHeight w:val="33"/>
        </w:trPr>
        <w:tc>
          <w:tcPr>
            <w:tcW w:w="56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Patents</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10</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17,064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10,970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6,094</w:t>
            </w:r>
          </w:p>
        </w:tc>
        <w:tc>
          <w:tcPr>
            <w:tcW w:w="0" w:type="dxa"/>
            <w:vAlign w:val="bottom"/>
          </w:tcPr>
          <w:p>
            <w:pPr>
              <w:spacing w:after="0"/>
              <w:rPr>
                <w:sz w:val="1"/>
                <w:szCs w:val="1"/>
                <w:color w:val="auto"/>
              </w:rPr>
            </w:pPr>
          </w:p>
        </w:tc>
      </w:tr>
      <w:tr>
        <w:trPr>
          <w:trHeight w:val="237"/>
        </w:trPr>
        <w:tc>
          <w:tcPr>
            <w:tcW w:w="5600" w:type="dxa"/>
            <w:vAlign w:val="bottom"/>
          </w:tcPr>
          <w:p>
            <w:pPr>
              <w:ind w:left="40"/>
              <w:spacing w:after="0"/>
              <w:rPr>
                <w:sz w:val="20"/>
                <w:szCs w:val="20"/>
                <w:color w:val="auto"/>
              </w:rPr>
            </w:pPr>
            <w:r>
              <w:rPr>
                <w:rFonts w:ascii="Arial" w:cs="Arial" w:eastAsia="Arial" w:hAnsi="Arial"/>
                <w:sz w:val="16"/>
                <w:szCs w:val="16"/>
                <w:color w:val="auto"/>
              </w:rPr>
              <w:t>Customer contracts</w:t>
            </w:r>
          </w:p>
        </w:tc>
        <w:tc>
          <w:tcPr>
            <w:tcW w:w="1380" w:type="dxa"/>
            <w:vAlign w:val="bottom"/>
          </w:tcPr>
          <w:p>
            <w:pPr>
              <w:jc w:val="center"/>
              <w:spacing w:after="0"/>
              <w:rPr>
                <w:sz w:val="20"/>
                <w:szCs w:val="20"/>
                <w:color w:val="auto"/>
              </w:rPr>
            </w:pPr>
            <w:r>
              <w:rPr>
                <w:rFonts w:ascii="Arial" w:cs="Arial" w:eastAsia="Arial" w:hAnsi="Arial"/>
                <w:sz w:val="16"/>
                <w:szCs w:val="16"/>
                <w:color w:val="auto"/>
                <w:w w:val="89"/>
              </w:rPr>
              <w:t>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5,319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4,892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427</w:t>
            </w:r>
          </w:p>
        </w:tc>
        <w:tc>
          <w:tcPr>
            <w:tcW w:w="0" w:type="dxa"/>
            <w:vAlign w:val="bottom"/>
          </w:tcPr>
          <w:p>
            <w:pPr>
              <w:spacing w:after="0"/>
              <w:rPr>
                <w:sz w:val="1"/>
                <w:szCs w:val="1"/>
                <w:color w:val="auto"/>
              </w:rPr>
            </w:pPr>
          </w:p>
        </w:tc>
      </w:tr>
      <w:tr>
        <w:trPr>
          <w:trHeight w:val="33"/>
        </w:trPr>
        <w:tc>
          <w:tcPr>
            <w:tcW w:w="56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Non-contractual customer relationships</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55,080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6,562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48,518</w:t>
            </w:r>
          </w:p>
        </w:tc>
        <w:tc>
          <w:tcPr>
            <w:tcW w:w="0" w:type="dxa"/>
            <w:vAlign w:val="bottom"/>
          </w:tcPr>
          <w:p>
            <w:pPr>
              <w:spacing w:after="0"/>
              <w:rPr>
                <w:sz w:val="1"/>
                <w:szCs w:val="1"/>
                <w:color w:val="auto"/>
              </w:rPr>
            </w:pPr>
          </w:p>
        </w:tc>
      </w:tr>
      <w:tr>
        <w:trPr>
          <w:trHeight w:val="237"/>
        </w:trPr>
        <w:tc>
          <w:tcPr>
            <w:tcW w:w="5600" w:type="dxa"/>
            <w:vAlign w:val="bottom"/>
          </w:tcPr>
          <w:p>
            <w:pPr>
              <w:ind w:left="40"/>
              <w:spacing w:after="0"/>
              <w:rPr>
                <w:sz w:val="20"/>
                <w:szCs w:val="20"/>
                <w:color w:val="auto"/>
              </w:rPr>
            </w:pPr>
            <w:r>
              <w:rPr>
                <w:rFonts w:ascii="Arial" w:cs="Arial" w:eastAsia="Arial" w:hAnsi="Arial"/>
                <w:sz w:val="16"/>
                <w:szCs w:val="16"/>
                <w:color w:val="auto"/>
              </w:rPr>
              <w:t>Trademarks</w:t>
            </w:r>
          </w:p>
        </w:tc>
        <w:tc>
          <w:tcPr>
            <w:tcW w:w="1380" w:type="dxa"/>
            <w:vAlign w:val="bottom"/>
          </w:tcPr>
          <w:p>
            <w:pPr>
              <w:jc w:val="center"/>
              <w:spacing w:after="0"/>
              <w:rPr>
                <w:sz w:val="20"/>
                <w:szCs w:val="20"/>
                <w:color w:val="auto"/>
              </w:rPr>
            </w:pPr>
            <w:r>
              <w:rPr>
                <w:rFonts w:ascii="Arial" w:cs="Arial" w:eastAsia="Arial" w:hAnsi="Arial"/>
                <w:sz w:val="16"/>
                <w:szCs w:val="16"/>
                <w:color w:val="auto"/>
                <w:w w:val="89"/>
              </w:rPr>
              <w:t>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425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425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6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Trade name</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7,310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1,096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6,214</w:t>
            </w:r>
          </w:p>
        </w:tc>
        <w:tc>
          <w:tcPr>
            <w:tcW w:w="0" w:type="dxa"/>
            <w:vAlign w:val="bottom"/>
          </w:tcPr>
          <w:p>
            <w:pPr>
              <w:spacing w:after="0"/>
              <w:rPr>
                <w:sz w:val="1"/>
                <w:szCs w:val="1"/>
                <w:color w:val="auto"/>
              </w:rPr>
            </w:pPr>
          </w:p>
        </w:tc>
      </w:tr>
      <w:tr>
        <w:trPr>
          <w:trHeight w:val="237"/>
        </w:trPr>
        <w:tc>
          <w:tcPr>
            <w:tcW w:w="5600" w:type="dxa"/>
            <w:vAlign w:val="bottom"/>
          </w:tcPr>
          <w:p>
            <w:pPr>
              <w:ind w:left="40"/>
              <w:spacing w:after="0"/>
              <w:rPr>
                <w:sz w:val="20"/>
                <w:szCs w:val="20"/>
                <w:color w:val="auto"/>
              </w:rPr>
            </w:pPr>
            <w:r>
              <w:rPr>
                <w:rFonts w:ascii="Arial" w:cs="Arial" w:eastAsia="Arial" w:hAnsi="Arial"/>
                <w:sz w:val="16"/>
                <w:szCs w:val="16"/>
                <w:color w:val="auto"/>
              </w:rPr>
              <w:t>Developed technology</w:t>
            </w:r>
          </w:p>
        </w:tc>
        <w:tc>
          <w:tcPr>
            <w:tcW w:w="1380" w:type="dxa"/>
            <w:vAlign w:val="bottom"/>
          </w:tcPr>
          <w:p>
            <w:pPr>
              <w:jc w:val="center"/>
              <w:spacing w:after="0"/>
              <w:rPr>
                <w:sz w:val="20"/>
                <w:szCs w:val="20"/>
                <w:color w:val="auto"/>
              </w:rPr>
            </w:pPr>
            <w:r>
              <w:rPr>
                <w:rFonts w:ascii="Arial" w:cs="Arial" w:eastAsia="Arial" w:hAnsi="Arial"/>
                <w:sz w:val="16"/>
                <w:szCs w:val="16"/>
                <w:color w:val="auto"/>
                <w:w w:val="89"/>
              </w:rPr>
              <w:t>11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81,846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7,571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74,275</w:t>
            </w:r>
          </w:p>
        </w:tc>
        <w:tc>
          <w:tcPr>
            <w:tcW w:w="0" w:type="dxa"/>
            <w:vAlign w:val="bottom"/>
          </w:tcPr>
          <w:p>
            <w:pPr>
              <w:spacing w:after="0"/>
              <w:rPr>
                <w:sz w:val="1"/>
                <w:szCs w:val="1"/>
                <w:color w:val="auto"/>
              </w:rPr>
            </w:pPr>
          </w:p>
        </w:tc>
      </w:tr>
      <w:tr>
        <w:trPr>
          <w:trHeight w:val="33"/>
        </w:trPr>
        <w:tc>
          <w:tcPr>
            <w:tcW w:w="560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amortized intangible assets</w:t>
            </w:r>
          </w:p>
        </w:tc>
        <w:tc>
          <w:tcPr>
            <w:tcW w:w="13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167,044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31,516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135,528</w:t>
            </w:r>
          </w:p>
        </w:tc>
        <w:tc>
          <w:tcPr>
            <w:tcW w:w="0" w:type="dxa"/>
            <w:vAlign w:val="bottom"/>
          </w:tcPr>
          <w:p>
            <w:pPr>
              <w:spacing w:after="0"/>
              <w:rPr>
                <w:sz w:val="1"/>
                <w:szCs w:val="1"/>
                <w:color w:val="auto"/>
              </w:rPr>
            </w:pPr>
          </w:p>
        </w:tc>
      </w:tr>
      <w:tr>
        <w:trPr>
          <w:trHeight w:val="297"/>
        </w:trPr>
        <w:tc>
          <w:tcPr>
            <w:tcW w:w="56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IPR&amp;D</w:t>
            </w: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8,225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8,225</w:t>
            </w:r>
          </w:p>
        </w:tc>
        <w:tc>
          <w:tcPr>
            <w:tcW w:w="0" w:type="dxa"/>
            <w:vAlign w:val="bottom"/>
          </w:tcPr>
          <w:p>
            <w:pPr>
              <w:spacing w:after="0"/>
              <w:rPr>
                <w:sz w:val="1"/>
                <w:szCs w:val="1"/>
                <w:color w:val="auto"/>
              </w:rPr>
            </w:pPr>
          </w:p>
        </w:tc>
      </w:tr>
      <w:tr>
        <w:trPr>
          <w:trHeight w:val="297"/>
        </w:trPr>
        <w:tc>
          <w:tcPr>
            <w:tcW w:w="5600" w:type="dxa"/>
            <w:vAlign w:val="bottom"/>
            <w:tcBorders>
              <w:bottom w:val="single" w:sz="8" w:color="CCEEFF"/>
            </w:tcBorders>
          </w:tcPr>
          <w:p>
            <w:pPr>
              <w:spacing w:after="0"/>
              <w:rPr>
                <w:sz w:val="24"/>
                <w:szCs w:val="24"/>
                <w:color w:val="auto"/>
              </w:rPr>
            </w:pPr>
          </w:p>
        </w:tc>
        <w:tc>
          <w:tcPr>
            <w:tcW w:w="13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intangible assets</w:t>
            </w: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175,269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31,516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143,753</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Intangible assets with definite lives are amortized on a straight-line basis over their estimated useful lives. During the three months ended March 31, 2018 and 2017, intangible asset amortization expense was $4.1 million and $3.4 million, respectively.</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As of March 31, 2018 estimated annual amortization for our intangible assets for each of the next five years is approximately (in thousands):</w:t>
      </w:r>
    </w:p>
    <w:p>
      <w:pPr>
        <w:spacing w:after="0" w:line="375" w:lineRule="exact"/>
        <w:rPr>
          <w:sz w:val="20"/>
          <w:szCs w:val="20"/>
          <w:color w:val="auto"/>
        </w:rPr>
      </w:pPr>
    </w:p>
    <w:tbl>
      <w:tblPr>
        <w:tblLayout w:type="fixed"/>
        <w:tblInd w:w="20" w:type="dxa"/>
        <w:tblCellMar>
          <w:top w:w="0" w:type="dxa"/>
          <w:left w:w="0" w:type="dxa"/>
          <w:bottom w:w="0" w:type="dxa"/>
          <w:right w:w="0" w:type="dxa"/>
        </w:tblCellMar>
      </w:tblPr>
      <w:tr>
        <w:trPr>
          <w:trHeight w:val="270"/>
        </w:trPr>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2018</w:t>
            </w:r>
          </w:p>
        </w:tc>
        <w:tc>
          <w:tcPr>
            <w:tcW w:w="64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12,255</w:t>
            </w:r>
          </w:p>
        </w:tc>
        <w:tc>
          <w:tcPr>
            <w:tcW w:w="0" w:type="dxa"/>
            <w:vAlign w:val="bottom"/>
          </w:tcPr>
          <w:p>
            <w:pPr>
              <w:spacing w:after="0"/>
              <w:rPr>
                <w:sz w:val="1"/>
                <w:szCs w:val="1"/>
                <w:color w:val="auto"/>
              </w:rPr>
            </w:pPr>
          </w:p>
        </w:tc>
      </w:tr>
      <w:tr>
        <w:trPr>
          <w:trHeight w:val="243"/>
        </w:trPr>
        <w:tc>
          <w:tcPr>
            <w:tcW w:w="3520" w:type="dxa"/>
            <w:vAlign w:val="bottom"/>
          </w:tcPr>
          <w:p>
            <w:pPr>
              <w:ind w:left="20"/>
              <w:spacing w:after="0"/>
              <w:rPr>
                <w:sz w:val="20"/>
                <w:szCs w:val="20"/>
                <w:color w:val="auto"/>
              </w:rPr>
            </w:pPr>
            <w:r>
              <w:rPr>
                <w:rFonts w:ascii="Arial" w:cs="Arial" w:eastAsia="Arial" w:hAnsi="Arial"/>
                <w:sz w:val="18"/>
                <w:szCs w:val="18"/>
                <w:color w:val="auto"/>
              </w:rPr>
              <w:t>2019</w:t>
            </w:r>
          </w:p>
        </w:tc>
        <w:tc>
          <w:tcPr>
            <w:tcW w:w="56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15,878</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56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56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15,739</w:t>
            </w:r>
          </w:p>
        </w:tc>
        <w:tc>
          <w:tcPr>
            <w:tcW w:w="0" w:type="dxa"/>
            <w:vAlign w:val="bottom"/>
          </w:tcPr>
          <w:p>
            <w:pPr>
              <w:spacing w:after="0"/>
              <w:rPr>
                <w:sz w:val="1"/>
                <w:szCs w:val="1"/>
                <w:color w:val="auto"/>
              </w:rPr>
            </w:pPr>
          </w:p>
        </w:tc>
      </w:tr>
      <w:tr>
        <w:trPr>
          <w:trHeight w:val="243"/>
        </w:trPr>
        <w:tc>
          <w:tcPr>
            <w:tcW w:w="3520" w:type="dxa"/>
            <w:vAlign w:val="bottom"/>
          </w:tcPr>
          <w:p>
            <w:pPr>
              <w:ind w:left="20"/>
              <w:spacing w:after="0"/>
              <w:rPr>
                <w:sz w:val="20"/>
                <w:szCs w:val="20"/>
                <w:color w:val="auto"/>
              </w:rPr>
            </w:pPr>
            <w:r>
              <w:rPr>
                <w:rFonts w:ascii="Arial" w:cs="Arial" w:eastAsia="Arial" w:hAnsi="Arial"/>
                <w:sz w:val="18"/>
                <w:szCs w:val="18"/>
                <w:color w:val="auto"/>
              </w:rPr>
              <w:t>2021</w:t>
            </w:r>
          </w:p>
        </w:tc>
        <w:tc>
          <w:tcPr>
            <w:tcW w:w="56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15,486</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56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56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15,311</w:t>
            </w:r>
          </w:p>
        </w:tc>
        <w:tc>
          <w:tcPr>
            <w:tcW w:w="0" w:type="dxa"/>
            <w:vAlign w:val="bottom"/>
          </w:tcPr>
          <w:p>
            <w:pPr>
              <w:spacing w:after="0"/>
              <w:rPr>
                <w:sz w:val="1"/>
                <w:szCs w:val="1"/>
                <w:color w:val="auto"/>
              </w:rPr>
            </w:pPr>
          </w:p>
        </w:tc>
      </w:tr>
      <w:tr>
        <w:trPr>
          <w:trHeight w:val="243"/>
        </w:trPr>
        <w:tc>
          <w:tcPr>
            <w:tcW w:w="352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56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58,215</w:t>
            </w:r>
          </w:p>
        </w:tc>
        <w:tc>
          <w:tcPr>
            <w:tcW w:w="0" w:type="dxa"/>
            <w:vAlign w:val="bottom"/>
          </w:tcPr>
          <w:p>
            <w:pPr>
              <w:spacing w:after="0"/>
              <w:rPr>
                <w:sz w:val="1"/>
                <w:szCs w:val="1"/>
                <w:color w:val="auto"/>
              </w:rPr>
            </w:pPr>
          </w:p>
        </w:tc>
      </w:tr>
      <w:tr>
        <w:trPr>
          <w:trHeight w:val="27"/>
        </w:trPr>
        <w:tc>
          <w:tcPr>
            <w:tcW w:w="3520" w:type="dxa"/>
            <w:vAlign w:val="bottom"/>
            <w:tcBorders>
              <w:bottom w:val="single" w:sz="8" w:color="CCEEFF"/>
            </w:tcBorders>
          </w:tcPr>
          <w:p>
            <w:pPr>
              <w:spacing w:after="0"/>
              <w:rPr>
                <w:sz w:val="2"/>
                <w:szCs w:val="2"/>
                <w:color w:val="auto"/>
              </w:rPr>
            </w:pPr>
          </w:p>
        </w:tc>
        <w:tc>
          <w:tcPr>
            <w:tcW w:w="56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64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132,884</w:t>
            </w: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5600" w:type="dxa"/>
            <w:vAlign w:val="bottom"/>
            <w:tcBorders>
              <w:top w:val="single" w:sz="8" w:color="CCEEFF"/>
              <w:bottom w:val="single" w:sz="8" w:color="CCEEFF"/>
            </w:tcBorders>
            <w:vMerge w:val="restart"/>
          </w:tcPr>
          <w:p>
            <w:pPr>
              <w:jc w:val="right"/>
              <w:ind w:right="3250"/>
              <w:spacing w:after="0"/>
              <w:rPr>
                <w:sz w:val="20"/>
                <w:szCs w:val="20"/>
                <w:color w:val="auto"/>
              </w:rPr>
            </w:pPr>
            <w:r>
              <w:rPr>
                <w:rFonts w:ascii="Arial" w:cs="Arial" w:eastAsia="Arial" w:hAnsi="Arial"/>
                <w:sz w:val="18"/>
                <w:szCs w:val="18"/>
                <w:color w:val="auto"/>
              </w:rPr>
              <w:t>23</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520" w:type="dxa"/>
            <w:vAlign w:val="bottom"/>
          </w:tcPr>
          <w:p>
            <w:pPr>
              <w:spacing w:after="0"/>
              <w:rPr>
                <w:sz w:val="24"/>
                <w:szCs w:val="24"/>
                <w:color w:val="auto"/>
              </w:rPr>
            </w:pPr>
          </w:p>
        </w:tc>
        <w:tc>
          <w:tcPr>
            <w:tcW w:w="560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1" w:right="25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r>
              <w:rPr>
                <w:rFonts w:ascii="Arial" w:cs="Arial" w:eastAsia="Arial" w:hAnsi="Arial"/>
                <w:sz w:val="18"/>
                <w:szCs w:val="18"/>
                <w:b w:val="1"/>
                <w:bCs w:val="1"/>
                <w:color w:val="auto"/>
                <w:w w:val="90"/>
              </w:rPr>
              <w:t>Note 14:</w:t>
            </w:r>
          </w:p>
        </w:tc>
        <w:tc>
          <w:tcPr>
            <w:tcW w:w="7920" w:type="dxa"/>
            <w:vAlign w:val="bottom"/>
          </w:tcPr>
          <w:p>
            <w:pPr>
              <w:ind w:left="220"/>
              <w:spacing w:after="0"/>
              <w:rPr>
                <w:sz w:val="20"/>
                <w:szCs w:val="20"/>
                <w:color w:val="auto"/>
              </w:rPr>
            </w:pPr>
            <w:r>
              <w:rPr>
                <w:rFonts w:ascii="Arial" w:cs="Arial" w:eastAsia="Arial" w:hAnsi="Arial"/>
                <w:sz w:val="18"/>
                <w:szCs w:val="18"/>
                <w:b w:val="1"/>
                <w:bCs w:val="1"/>
                <w:color w:val="auto"/>
              </w:rPr>
              <w:t>Accrued Liabilities and Other Long-Term Liabilities</w:t>
            </w: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60" w:type="dxa"/>
            <w:vAlign w:val="bottom"/>
          </w:tcPr>
          <w:p>
            <w:pPr>
              <w:spacing w:after="0"/>
              <w:rPr>
                <w:sz w:val="24"/>
                <w:szCs w:val="24"/>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Accrued liabilities consist of the following (in thousands):</w:t>
            </w: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660" w:type="dxa"/>
            <w:vAlign w:val="bottom"/>
          </w:tcPr>
          <w:p>
            <w:pPr>
              <w:spacing w:after="0"/>
              <w:rPr>
                <w:sz w:val="24"/>
                <w:szCs w:val="24"/>
                <w:color w:val="auto"/>
              </w:rPr>
            </w:pPr>
          </w:p>
        </w:tc>
        <w:tc>
          <w:tcPr>
            <w:tcW w:w="7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jc w:val="center"/>
              <w:ind w:right="71"/>
              <w:spacing w:after="0"/>
              <w:rPr>
                <w:sz w:val="20"/>
                <w:szCs w:val="20"/>
                <w:color w:val="auto"/>
              </w:rPr>
            </w:pPr>
            <w:r>
              <w:rPr>
                <w:rFonts w:ascii="Arial" w:cs="Arial" w:eastAsia="Arial" w:hAnsi="Arial"/>
                <w:sz w:val="16"/>
                <w:szCs w:val="16"/>
                <w:b w:val="1"/>
                <w:bCs w:val="1"/>
                <w:color w:val="auto"/>
                <w:w w:val="92"/>
              </w:rPr>
              <w:t>December 31,</w:t>
            </w: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7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spacing w:after="0"/>
              <w:rPr>
                <w:sz w:val="20"/>
                <w:szCs w:val="20"/>
                <w:color w:val="auto"/>
              </w:rPr>
            </w:pPr>
            <w:r>
              <w:rPr>
                <w:rFonts w:ascii="Arial" w:cs="Arial" w:eastAsia="Arial" w:hAnsi="Arial"/>
                <w:sz w:val="16"/>
                <w:szCs w:val="16"/>
                <w:b w:val="1"/>
                <w:bCs w:val="1"/>
                <w:color w:val="auto"/>
              </w:rPr>
              <w:t>March 31, 2018</w:t>
            </w:r>
          </w:p>
        </w:tc>
        <w:tc>
          <w:tcPr>
            <w:tcW w:w="160" w:type="dxa"/>
            <w:vAlign w:val="bottom"/>
          </w:tcPr>
          <w:p>
            <w:pPr>
              <w:spacing w:after="0"/>
              <w:rPr>
                <w:sz w:val="18"/>
                <w:szCs w:val="18"/>
                <w:color w:val="auto"/>
              </w:rPr>
            </w:pPr>
          </w:p>
        </w:tc>
        <w:tc>
          <w:tcPr>
            <w:tcW w:w="1200" w:type="dxa"/>
            <w:vAlign w:val="bottom"/>
          </w:tcPr>
          <w:p>
            <w:pPr>
              <w:jc w:val="center"/>
              <w:ind w:right="71"/>
              <w:spacing w:after="0"/>
              <w:rPr>
                <w:sz w:val="20"/>
                <w:szCs w:val="20"/>
                <w:color w:val="auto"/>
              </w:rPr>
            </w:pPr>
            <w:r>
              <w:rPr>
                <w:rFonts w:ascii="Arial" w:cs="Arial" w:eastAsia="Arial" w:hAnsi="Arial"/>
                <w:sz w:val="16"/>
                <w:szCs w:val="16"/>
                <w:b w:val="1"/>
                <w:bCs w:val="1"/>
                <w:color w:val="auto"/>
                <w:w w:val="89"/>
              </w:rPr>
              <w:t>2017</w:t>
            </w:r>
          </w:p>
        </w:tc>
        <w:tc>
          <w:tcPr>
            <w:tcW w:w="0" w:type="dxa"/>
            <w:vAlign w:val="bottom"/>
          </w:tcPr>
          <w:p>
            <w:pPr>
              <w:spacing w:after="0"/>
              <w:rPr>
                <w:sz w:val="1"/>
                <w:szCs w:val="1"/>
                <w:color w:val="auto"/>
              </w:rPr>
            </w:pPr>
          </w:p>
        </w:tc>
      </w:tr>
      <w:tr>
        <w:trPr>
          <w:trHeight w:val="33"/>
        </w:trPr>
        <w:tc>
          <w:tcPr>
            <w:tcW w:w="8580" w:type="dxa"/>
            <w:vAlign w:val="bottom"/>
            <w:tcBorders>
              <w:bottom w:val="single" w:sz="8" w:color="CCEEFF"/>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Salaries and benefits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26,146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20,745</w:t>
            </w:r>
          </w:p>
        </w:tc>
        <w:tc>
          <w:tcPr>
            <w:tcW w:w="0" w:type="dxa"/>
            <w:vAlign w:val="bottom"/>
          </w:tcPr>
          <w:p>
            <w:pPr>
              <w:spacing w:after="0"/>
              <w:rPr>
                <w:sz w:val="1"/>
                <w:szCs w:val="1"/>
                <w:color w:val="auto"/>
              </w:rPr>
            </w:pP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Incentive compensation</w:t>
            </w: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15,246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40,682</w:t>
            </w:r>
          </w:p>
        </w:tc>
        <w:tc>
          <w:tcPr>
            <w:tcW w:w="0" w:type="dxa"/>
            <w:vAlign w:val="bottom"/>
          </w:tcPr>
          <w:p>
            <w:pPr>
              <w:spacing w:after="0"/>
              <w:rPr>
                <w:sz w:val="1"/>
                <w:szCs w:val="1"/>
                <w:color w:val="auto"/>
              </w:rPr>
            </w:pPr>
          </w:p>
        </w:tc>
      </w:tr>
      <w:tr>
        <w:trPr>
          <w:trHeight w:val="27"/>
        </w:trPr>
        <w:tc>
          <w:tcPr>
            <w:tcW w:w="85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Accrued product field action</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10,315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11,810</w:t>
            </w:r>
          </w:p>
        </w:tc>
        <w:tc>
          <w:tcPr>
            <w:tcW w:w="0" w:type="dxa"/>
            <w:vAlign w:val="bottom"/>
          </w:tcPr>
          <w:p>
            <w:pPr>
              <w:spacing w:after="0"/>
              <w:rPr>
                <w:sz w:val="1"/>
                <w:szCs w:val="1"/>
                <w:color w:val="auto"/>
              </w:rPr>
            </w:pP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Third-party inventory</w:t>
            </w: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6,077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4,284</w:t>
            </w:r>
          </w:p>
        </w:tc>
        <w:tc>
          <w:tcPr>
            <w:tcW w:w="0" w:type="dxa"/>
            <w:vAlign w:val="bottom"/>
          </w:tcPr>
          <w:p>
            <w:pPr>
              <w:spacing w:after="0"/>
              <w:rPr>
                <w:sz w:val="1"/>
                <w:szCs w:val="1"/>
                <w:color w:val="auto"/>
              </w:rPr>
            </w:pPr>
          </w:p>
        </w:tc>
      </w:tr>
      <w:tr>
        <w:trPr>
          <w:trHeight w:val="27"/>
        </w:trPr>
        <w:tc>
          <w:tcPr>
            <w:tcW w:w="85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Consigned inventory</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5,210</w:t>
            </w:r>
          </w:p>
        </w:tc>
        <w:tc>
          <w:tcPr>
            <w:tcW w:w="0" w:type="dxa"/>
            <w:vAlign w:val="bottom"/>
          </w:tcPr>
          <w:p>
            <w:pPr>
              <w:spacing w:after="0"/>
              <w:rPr>
                <w:sz w:val="1"/>
                <w:szCs w:val="1"/>
                <w:color w:val="auto"/>
              </w:rPr>
            </w:pP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Accrued sales taxes</w:t>
            </w: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3,289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6,291</w:t>
            </w:r>
          </w:p>
        </w:tc>
        <w:tc>
          <w:tcPr>
            <w:tcW w:w="0" w:type="dxa"/>
            <w:vAlign w:val="bottom"/>
          </w:tcPr>
          <w:p>
            <w:pPr>
              <w:spacing w:after="0"/>
              <w:rPr>
                <w:sz w:val="1"/>
                <w:szCs w:val="1"/>
                <w:color w:val="auto"/>
              </w:rPr>
            </w:pPr>
          </w:p>
        </w:tc>
      </w:tr>
      <w:tr>
        <w:trPr>
          <w:trHeight w:val="27"/>
        </w:trPr>
        <w:tc>
          <w:tcPr>
            <w:tcW w:w="85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Restructuring accrual</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1,290</w:t>
            </w:r>
          </w:p>
        </w:tc>
        <w:tc>
          <w:tcPr>
            <w:tcW w:w="0" w:type="dxa"/>
            <w:vAlign w:val="bottom"/>
          </w:tcPr>
          <w:p>
            <w:pPr>
              <w:spacing w:after="0"/>
              <w:rPr>
                <w:sz w:val="1"/>
                <w:szCs w:val="1"/>
                <w:color w:val="auto"/>
              </w:rPr>
            </w:pP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Contract liabilities</w:t>
            </w: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9,912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3,326</w:t>
            </w:r>
          </w:p>
        </w:tc>
        <w:tc>
          <w:tcPr>
            <w:tcW w:w="0" w:type="dxa"/>
            <w:vAlign w:val="bottom"/>
          </w:tcPr>
          <w:p>
            <w:pPr>
              <w:spacing w:after="0"/>
              <w:rPr>
                <w:sz w:val="1"/>
                <w:szCs w:val="1"/>
                <w:color w:val="auto"/>
              </w:rPr>
            </w:pPr>
          </w:p>
        </w:tc>
      </w:tr>
      <w:tr>
        <w:trPr>
          <w:trHeight w:val="27"/>
        </w:trPr>
        <w:tc>
          <w:tcPr>
            <w:tcW w:w="85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Accrued other taxes</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2,771</w:t>
            </w:r>
          </w:p>
        </w:tc>
        <w:tc>
          <w:tcPr>
            <w:tcW w:w="0" w:type="dxa"/>
            <w:vAlign w:val="bottom"/>
          </w:tcPr>
          <w:p>
            <w:pPr>
              <w:spacing w:after="0"/>
              <w:rPr>
                <w:sz w:val="1"/>
                <w:szCs w:val="1"/>
                <w:color w:val="auto"/>
              </w:rPr>
            </w:pP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Accrued professional fees</w:t>
            </w: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17,307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13,319</w:t>
            </w:r>
          </w:p>
        </w:tc>
        <w:tc>
          <w:tcPr>
            <w:tcW w:w="0" w:type="dxa"/>
            <w:vAlign w:val="bottom"/>
          </w:tcPr>
          <w:p>
            <w:pPr>
              <w:spacing w:after="0"/>
              <w:rPr>
                <w:sz w:val="1"/>
                <w:szCs w:val="1"/>
                <w:color w:val="auto"/>
              </w:rPr>
            </w:pPr>
          </w:p>
        </w:tc>
      </w:tr>
      <w:tr>
        <w:trPr>
          <w:trHeight w:val="27"/>
        </w:trPr>
        <w:tc>
          <w:tcPr>
            <w:tcW w:w="85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Legal accrual</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2,838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3,538</w:t>
            </w:r>
          </w:p>
        </w:tc>
        <w:tc>
          <w:tcPr>
            <w:tcW w:w="0" w:type="dxa"/>
            <w:vAlign w:val="bottom"/>
          </w:tcPr>
          <w:p>
            <w:pPr>
              <w:spacing w:after="0"/>
              <w:rPr>
                <w:sz w:val="1"/>
                <w:szCs w:val="1"/>
                <w:color w:val="auto"/>
              </w:rPr>
            </w:pP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Outside commissions</w:t>
            </w: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914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725</w:t>
            </w:r>
          </w:p>
        </w:tc>
        <w:tc>
          <w:tcPr>
            <w:tcW w:w="0" w:type="dxa"/>
            <w:vAlign w:val="bottom"/>
          </w:tcPr>
          <w:p>
            <w:pPr>
              <w:spacing w:after="0"/>
              <w:rPr>
                <w:sz w:val="1"/>
                <w:szCs w:val="1"/>
                <w:color w:val="auto"/>
              </w:rPr>
            </w:pPr>
          </w:p>
        </w:tc>
      </w:tr>
      <w:tr>
        <w:trPr>
          <w:trHeight w:val="27"/>
        </w:trPr>
        <w:tc>
          <w:tcPr>
            <w:tcW w:w="85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Warranties and returns</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3,315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3,360</w:t>
            </w:r>
          </w:p>
        </w:tc>
        <w:tc>
          <w:tcPr>
            <w:tcW w:w="0" w:type="dxa"/>
            <w:vAlign w:val="bottom"/>
          </w:tcPr>
          <w:p>
            <w:pPr>
              <w:spacing w:after="0"/>
              <w:rPr>
                <w:sz w:val="1"/>
                <w:szCs w:val="1"/>
                <w:color w:val="auto"/>
              </w:rPr>
            </w:pP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Accrued freight</w:t>
            </w: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3,546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5,696</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7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79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14,018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9,017</w:t>
            </w: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p>
        </w:tc>
        <w:tc>
          <w:tcPr>
            <w:tcW w:w="79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116,448</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132,064</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7920" w:type="dxa"/>
            <w:vAlign w:val="bottom"/>
            <w:vMerge w:val="restart"/>
          </w:tcPr>
          <w:p>
            <w:pPr>
              <w:spacing w:after="0"/>
              <w:rPr>
                <w:sz w:val="20"/>
                <w:szCs w:val="20"/>
                <w:color w:val="auto"/>
              </w:rPr>
            </w:pPr>
            <w:r>
              <w:rPr>
                <w:rFonts w:ascii="Arial" w:cs="Arial" w:eastAsia="Arial" w:hAnsi="Arial"/>
                <w:sz w:val="18"/>
                <w:szCs w:val="18"/>
                <w:color w:val="auto"/>
              </w:rPr>
              <w:t>Other long-term liabilities consist of the following (in thousands):</w:t>
            </w: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7920" w:type="dxa"/>
            <w:vAlign w:val="bottom"/>
            <w:vMerge w:val="continue"/>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60" w:type="dxa"/>
            <w:vAlign w:val="bottom"/>
          </w:tcPr>
          <w:p>
            <w:pPr>
              <w:spacing w:after="0"/>
              <w:rPr>
                <w:sz w:val="24"/>
                <w:szCs w:val="24"/>
                <w:color w:val="auto"/>
              </w:rPr>
            </w:pPr>
          </w:p>
        </w:tc>
        <w:tc>
          <w:tcPr>
            <w:tcW w:w="79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660" w:type="dxa"/>
            <w:vAlign w:val="bottom"/>
          </w:tcPr>
          <w:p>
            <w:pPr>
              <w:spacing w:after="0"/>
              <w:rPr>
                <w:sz w:val="24"/>
                <w:szCs w:val="24"/>
                <w:color w:val="auto"/>
              </w:rPr>
            </w:pPr>
          </w:p>
        </w:tc>
        <w:tc>
          <w:tcPr>
            <w:tcW w:w="7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jc w:val="center"/>
              <w:ind w:right="71"/>
              <w:spacing w:after="0"/>
              <w:rPr>
                <w:sz w:val="20"/>
                <w:szCs w:val="20"/>
                <w:color w:val="auto"/>
              </w:rPr>
            </w:pPr>
            <w:r>
              <w:rPr>
                <w:rFonts w:ascii="Arial" w:cs="Arial" w:eastAsia="Arial" w:hAnsi="Arial"/>
                <w:sz w:val="16"/>
                <w:szCs w:val="16"/>
                <w:b w:val="1"/>
                <w:bCs w:val="1"/>
                <w:color w:val="auto"/>
                <w:w w:val="92"/>
              </w:rPr>
              <w:t>December 31,</w:t>
            </w: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7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spacing w:after="0"/>
              <w:rPr>
                <w:sz w:val="20"/>
                <w:szCs w:val="20"/>
                <w:color w:val="auto"/>
              </w:rPr>
            </w:pPr>
            <w:r>
              <w:rPr>
                <w:rFonts w:ascii="Arial" w:cs="Arial" w:eastAsia="Arial" w:hAnsi="Arial"/>
                <w:sz w:val="16"/>
                <w:szCs w:val="16"/>
                <w:b w:val="1"/>
                <w:bCs w:val="1"/>
                <w:color w:val="auto"/>
              </w:rPr>
              <w:t>March 31, 2018</w:t>
            </w:r>
          </w:p>
        </w:tc>
        <w:tc>
          <w:tcPr>
            <w:tcW w:w="160" w:type="dxa"/>
            <w:vAlign w:val="bottom"/>
          </w:tcPr>
          <w:p>
            <w:pPr>
              <w:spacing w:after="0"/>
              <w:rPr>
                <w:sz w:val="18"/>
                <w:szCs w:val="18"/>
                <w:color w:val="auto"/>
              </w:rPr>
            </w:pPr>
          </w:p>
        </w:tc>
        <w:tc>
          <w:tcPr>
            <w:tcW w:w="1200" w:type="dxa"/>
            <w:vAlign w:val="bottom"/>
          </w:tcPr>
          <w:p>
            <w:pPr>
              <w:jc w:val="center"/>
              <w:ind w:right="71"/>
              <w:spacing w:after="0"/>
              <w:rPr>
                <w:sz w:val="20"/>
                <w:szCs w:val="20"/>
                <w:color w:val="auto"/>
              </w:rPr>
            </w:pPr>
            <w:r>
              <w:rPr>
                <w:rFonts w:ascii="Arial" w:cs="Arial" w:eastAsia="Arial" w:hAnsi="Arial"/>
                <w:sz w:val="16"/>
                <w:szCs w:val="16"/>
                <w:b w:val="1"/>
                <w:bCs w:val="1"/>
                <w:color w:val="auto"/>
                <w:w w:val="89"/>
              </w:rPr>
              <w:t>2017</w:t>
            </w:r>
          </w:p>
        </w:tc>
        <w:tc>
          <w:tcPr>
            <w:tcW w:w="0" w:type="dxa"/>
            <w:vAlign w:val="bottom"/>
          </w:tcPr>
          <w:p>
            <w:pPr>
              <w:spacing w:after="0"/>
              <w:rPr>
                <w:sz w:val="1"/>
                <w:szCs w:val="1"/>
                <w:color w:val="auto"/>
              </w:rPr>
            </w:pPr>
          </w:p>
        </w:tc>
      </w:tr>
      <w:tr>
        <w:trPr>
          <w:trHeight w:val="33"/>
        </w:trPr>
        <w:tc>
          <w:tcPr>
            <w:tcW w:w="8580" w:type="dxa"/>
            <w:vAlign w:val="bottom"/>
            <w:tcBorders>
              <w:bottom w:val="single" w:sz="8" w:color="CCEEFF"/>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Unfavorable contract liabilities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22,196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40,148</w:t>
            </w:r>
          </w:p>
        </w:tc>
        <w:tc>
          <w:tcPr>
            <w:tcW w:w="0" w:type="dxa"/>
            <w:vAlign w:val="bottom"/>
          </w:tcPr>
          <w:p>
            <w:pPr>
              <w:spacing w:after="0"/>
              <w:rPr>
                <w:sz w:val="1"/>
                <w:szCs w:val="1"/>
                <w:color w:val="auto"/>
              </w:rPr>
            </w:pP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Contract settlement</w:t>
            </w: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3,333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7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2"/>
              </w:rPr>
              <w:t>Benefits</w:t>
            </w:r>
          </w:p>
        </w:tc>
        <w:tc>
          <w:tcPr>
            <w:tcW w:w="79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2,227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2,104</w:t>
            </w:r>
          </w:p>
        </w:tc>
        <w:tc>
          <w:tcPr>
            <w:tcW w:w="0" w:type="dxa"/>
            <w:vAlign w:val="bottom"/>
          </w:tcPr>
          <w:p>
            <w:pPr>
              <w:spacing w:after="0"/>
              <w:rPr>
                <w:sz w:val="1"/>
                <w:szCs w:val="1"/>
                <w:color w:val="auto"/>
              </w:rPr>
            </w:pP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Contract liabilities</w:t>
            </w: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1,849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7,099</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7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79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5,469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5,975</w:t>
            </w: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p>
        </w:tc>
        <w:tc>
          <w:tcPr>
            <w:tcW w:w="79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35,074</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55,326</w:t>
            </w:r>
          </w:p>
        </w:tc>
        <w:tc>
          <w:tcPr>
            <w:tcW w:w="0" w:type="dxa"/>
            <w:vAlign w:val="bottom"/>
          </w:tcPr>
          <w:p>
            <w:pPr>
              <w:spacing w:after="0"/>
              <w:rPr>
                <w:sz w:val="1"/>
                <w:szCs w:val="1"/>
                <w:color w:val="auto"/>
              </w:rPr>
            </w:pPr>
          </w:p>
        </w:tc>
      </w:tr>
      <w:tr>
        <w:trPr>
          <w:trHeight w:val="27"/>
        </w:trPr>
        <w:tc>
          <w:tcPr>
            <w:tcW w:w="660" w:type="dxa"/>
            <w:vAlign w:val="bottom"/>
            <w:vMerge w:val="restart"/>
          </w:tcPr>
          <w:p>
            <w:pPr>
              <w:spacing w:after="0"/>
              <w:rPr>
                <w:sz w:val="20"/>
                <w:szCs w:val="20"/>
                <w:color w:val="auto"/>
              </w:rPr>
            </w:pPr>
            <w:r>
              <w:rPr>
                <w:rFonts w:ascii="Arial" w:cs="Arial" w:eastAsia="Arial" w:hAnsi="Arial"/>
                <w:sz w:val="18"/>
                <w:szCs w:val="18"/>
                <w:b w:val="1"/>
                <w:bCs w:val="1"/>
                <w:color w:val="auto"/>
                <w:w w:val="90"/>
              </w:rPr>
              <w:t>Note 15:</w:t>
            </w:r>
          </w:p>
        </w:tc>
        <w:tc>
          <w:tcPr>
            <w:tcW w:w="7920" w:type="dxa"/>
            <w:vAlign w:val="bottom"/>
            <w:vMerge w:val="restart"/>
          </w:tcPr>
          <w:p>
            <w:pPr>
              <w:ind w:left="220"/>
              <w:spacing w:after="0"/>
              <w:rPr>
                <w:sz w:val="20"/>
                <w:szCs w:val="20"/>
                <w:color w:val="auto"/>
              </w:rPr>
            </w:pPr>
            <w:r>
              <w:rPr>
                <w:rFonts w:ascii="Arial" w:cs="Arial" w:eastAsia="Arial" w:hAnsi="Arial"/>
                <w:sz w:val="18"/>
                <w:szCs w:val="18"/>
                <w:b w:val="1"/>
                <w:bCs w:val="1"/>
                <w:color w:val="auto"/>
              </w:rPr>
              <w:t>Income Taxes</w:t>
            </w: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60" w:type="dxa"/>
            <w:vAlign w:val="bottom"/>
            <w:vMerge w:val="continue"/>
          </w:tcPr>
          <w:p>
            <w:pPr>
              <w:spacing w:after="0" w:line="20" w:lineRule="exact"/>
              <w:rPr>
                <w:sz w:val="1"/>
                <w:szCs w:val="1"/>
                <w:color w:val="auto"/>
              </w:rPr>
            </w:pPr>
          </w:p>
        </w:tc>
        <w:tc>
          <w:tcPr>
            <w:tcW w:w="7920" w:type="dxa"/>
            <w:vAlign w:val="bottom"/>
            <w:vMerge w:val="continue"/>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60" w:type="dxa"/>
            <w:vAlign w:val="bottom"/>
            <w:vMerge w:val="continue"/>
          </w:tcPr>
          <w:p>
            <w:pPr>
              <w:spacing w:after="0"/>
              <w:rPr>
                <w:sz w:val="24"/>
                <w:szCs w:val="24"/>
                <w:color w:val="auto"/>
              </w:rPr>
            </w:pPr>
          </w:p>
        </w:tc>
        <w:tc>
          <w:tcPr>
            <w:tcW w:w="79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On December 22, 2017, the Tax Cuts and Jobs Act (the “Tax Act”) was enacted into legislation, which includes a broad range of provisions affecting businesses. The Tax Act significantly revises how companies compute their U.S. corporate tax liability by, among other provisions, reducing the corporate tax rate from 35% to 21% for tax years beginning after December 31, 2017. Our accounting for the Tax Act is incomplete. As noted at year-end, however, we were able to reasonably estimate certain effects and, therefore, recorded provisional adjustments associated with the toll charge on undistributed foreign earnings and profits and revaluation of deferred taxes. We have not made any additional measurement-period adjustments related to these items during the quarter. However, we are continuing to gather additional information to complete our accounting for these items and expect to complete our accounting within the prescribed measurement period.</w:t>
      </w:r>
    </w:p>
    <w:p>
      <w:pPr>
        <w:spacing w:after="0" w:line="189"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Income taxes were accrued at an estimated effective tax rate of (28)% and (22)% for the three months ended March 31, 2018 and 2017, respectively. Those rates differ from that computed at the federal statutory rate of 21% for the three months ended March 31, 2018 and the federal statutory rate of 35% for the three months ended March 31, 2017.</w:t>
      </w:r>
    </w:p>
    <w:p>
      <w:pPr>
        <w:spacing w:after="0" w:line="181" w:lineRule="exact"/>
        <w:rPr>
          <w:sz w:val="20"/>
          <w:szCs w:val="20"/>
          <w:color w:val="auto"/>
        </w:rPr>
      </w:pPr>
    </w:p>
    <w:p>
      <w:pPr>
        <w:ind w:right="120" w:firstLine="648"/>
        <w:spacing w:after="0" w:line="302" w:lineRule="auto"/>
        <w:rPr>
          <w:sz w:val="20"/>
          <w:szCs w:val="20"/>
          <w:color w:val="auto"/>
        </w:rPr>
      </w:pPr>
      <w:r>
        <w:rPr>
          <w:rFonts w:ascii="Arial" w:cs="Arial" w:eastAsia="Arial" w:hAnsi="Arial"/>
          <w:sz w:val="16"/>
          <w:szCs w:val="16"/>
          <w:color w:val="auto"/>
        </w:rPr>
        <w:t>The effective tax rate for the three months ended March 31, 2018 differs from the federal statutory rate of 21% principally because of the effect in the mix of U.S. and foreign incomes, state income taxes, tax credits and the impact of a contract settlement. The contract settlement resulted in a material tax benefit of $5.7 million, which is treated as a discrete item. The effective tax rate during the three months ended March 31, 2018 also included a material tax benefit of $3.4 million related to the excess tax benefits recognized on stock option exercises and the vesting of restricted stock units during the period.</w:t>
      </w:r>
    </w:p>
    <w:p>
      <w:pPr>
        <w:sectPr>
          <w:pgSz w:w="11900" w:h="16838" w:orient="portrait"/>
          <w:cols w:equalWidth="0" w:num="1">
            <w:col w:w="11420"/>
          </w:cols>
          <w:pgMar w:left="240" w:top="121" w:right="239" w:bottom="1440" w:gutter="0" w:footer="0" w:header="0"/>
        </w:sect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121" w:right="239" w:bottom="1440" w:gutter="0" w:footer="0" w:header="0"/>
          <w:type w:val="continuous"/>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38"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The effective tax rate for the three months ended March 31, 2017 differs from the federal statutory rate of 35% principally because of the effect the mix of U.S. and foreign incomes, state income taxes, tax credits and impact of the gain on bargain purchase. The tax effect of the gain on bargain purchase is treated as a discrete item part of purchase accounting and is not a component of the income tax provision. The effective tax rate during the three months ended March 31, 2017 also included a material tax benefit of $8.3 million related to the excess tax benefits recognized on stock option exercises and the vesting of restricted stock units during the period, which is treated as a discrete item and excluded from determining our annual estimated effective tax rate.</w:t>
      </w:r>
    </w:p>
    <w:p>
      <w:pPr>
        <w:spacing w:after="0" w:line="114"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Note 16:</w:t>
      </w:r>
      <w:r>
        <w:rPr>
          <w:sz w:val="20"/>
          <w:szCs w:val="20"/>
          <w:color w:val="auto"/>
        </w:rPr>
        <w:tab/>
      </w:r>
      <w:r>
        <w:rPr>
          <w:rFonts w:ascii="Arial" w:cs="Arial" w:eastAsia="Arial" w:hAnsi="Arial"/>
          <w:sz w:val="16"/>
          <w:szCs w:val="16"/>
          <w:b w:val="1"/>
          <w:bCs w:val="1"/>
          <w:color w:val="auto"/>
        </w:rPr>
        <w:t>Long-Term Obligations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Five-year Senior Secured Revolving Credit Facility ("Credit Facility")</w:t>
      </w:r>
    </w:p>
    <w:p>
      <w:pPr>
        <w:spacing w:after="0" w:line="225" w:lineRule="exact"/>
        <w:rPr>
          <w:sz w:val="20"/>
          <w:szCs w:val="20"/>
          <w:color w:val="auto"/>
        </w:rPr>
      </w:pPr>
    </w:p>
    <w:p>
      <w:pPr>
        <w:jc w:val="both"/>
        <w:ind w:right="520" w:firstLine="648"/>
        <w:spacing w:after="0" w:line="264" w:lineRule="auto"/>
        <w:rPr>
          <w:sz w:val="20"/>
          <w:szCs w:val="20"/>
          <w:color w:val="auto"/>
        </w:rPr>
      </w:pPr>
      <w:r>
        <w:rPr>
          <w:rFonts w:ascii="Arial" w:cs="Arial" w:eastAsia="Arial" w:hAnsi="Arial"/>
          <w:sz w:val="18"/>
          <w:szCs w:val="18"/>
          <w:color w:val="auto"/>
        </w:rPr>
        <w:t>During 2017, we entered into a Credit Facilty with various lenders for $150 million, with Wells Fargo Bank, N.A. as the administrative agent, swingline lender and issuing lender. As of March 31, 2018, we had no borrowings and $150 million of availability under the Credit Facility. The Credit Facility matures on November 8, 2022.</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Covenants</w:t>
      </w:r>
    </w:p>
    <w:p>
      <w:pPr>
        <w:spacing w:after="0" w:line="225"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The Credit Facility contains certain financial covenants pertaining to Consolidated Fixed Charge Coverage and Consolidated Total Leverage Ratios. In addition, the Credit Facility has restrictions pertaining to limitations on debt, liens, negative pledges, loans, advances, acquisitions, other investments, dividends, distributions, redemptions, repurchases of equity interests, fundamental changes and asset sales and other dispositions, prepayments, redemptions and purchases of subordinated debt and other junior debt, transactions with affiliates, dividend and payment restrictions affecting subsidiaries, changes in line of business, fiscal year and accounting practices and amendment of organizational documents and junior debt documents.</w:t>
      </w:r>
    </w:p>
    <w:p>
      <w:pPr>
        <w:spacing w:after="0" w:line="158"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The Consolidated Leverage Ratio is defined as the ratio of Consolidated Total Funded Indebtedness on such date, to Consolidated Adjusted EBITDA, as defined under the Credit Facility Agreement, for the most recently completed four fiscal quarters. The maximum Consolidated Leverage Ratio is not more than 3.00 to 1.00.</w:t>
      </w:r>
    </w:p>
    <w:p>
      <w:pPr>
        <w:spacing w:after="0" w:line="18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Consolidated Fixed Charge Coverage Ratio is defined as the ratio of: (a) Consolidated Adjusted EBITDA less the sum of (i) capital expenditures, (ii) federal, state, local and foreign income taxes paid in cash and (iii) cash restricted payments made after the closing date, to (b) Consolidated Fixed Charges for the most recently completed four fiscal quarters, calculated on a pro forma basis. The minimum Consolidated Fixed Charge Coverage Ratio is 2.00 to 1.00.</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were in compliance with all financial covenants as of March 31, 2018.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Treasury Stock</w:t>
      </w:r>
    </w:p>
    <w:p>
      <w:pPr>
        <w:spacing w:after="0" w:line="225"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In July 2010, our Board of Directors approved a common stock purchase plan to purchase up to $40.0 million of our common stock. This plan has no expiration date. During the three months ended March 31, 2018, we did not purchase any shares of our common stock under the stock purchase plan. As of March 31, 2018, the remaining authorized amount under this purchase plan is approximately $7.2 million. We are currently limited on share purchases in accordance with the terms and conditions of our Credit Facility (see Note 16: Long-Term Obligations).</w:t>
      </w:r>
    </w:p>
    <w:p>
      <w:pPr>
        <w:spacing w:after="0" w:line="171"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color w:val="auto"/>
        </w:rPr>
        <w:t>For the three months ended March 31, 2018, we withheld 23,101 shares of our common stock from employee vested restricted stock units in consideration for $5.3 million in payments made on the employee's behalf for their minimum statutory income tax withholding obligations. Treasury stock is used to issue shares for stock option exercises, restricted stock grants and employee stock purchase plan stock purchases.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Accumulated Other Comprehensive Income (Loss)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accumulated other comprehensive income ("AOCI"), net of tax, were as follows (in thousands):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1" w:right="2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17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1"/>
              </w:rPr>
              <w:t>Foreign Currency</w:t>
            </w:r>
          </w:p>
        </w:tc>
        <w:tc>
          <w:tcPr>
            <w:tcW w:w="120" w:type="dxa"/>
            <w:vAlign w:val="bottom"/>
          </w:tcPr>
          <w:p>
            <w:pPr>
              <w:spacing w:after="0"/>
              <w:rPr>
                <w:sz w:val="18"/>
                <w:szCs w:val="18"/>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Unrealized Gains</w:t>
            </w:r>
          </w:p>
        </w:tc>
        <w:tc>
          <w:tcPr>
            <w:tcW w:w="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4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Translation</w:t>
            </w:r>
          </w:p>
        </w:tc>
        <w:tc>
          <w:tcPr>
            <w:tcW w:w="120" w:type="dxa"/>
            <w:vAlign w:val="bottom"/>
          </w:tcPr>
          <w:p>
            <w:pPr>
              <w:spacing w:after="0"/>
              <w:rPr>
                <w:sz w:val="18"/>
                <w:szCs w:val="18"/>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on Cash Flow</w:t>
            </w:r>
          </w:p>
        </w:tc>
        <w:tc>
          <w:tcPr>
            <w:tcW w:w="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4"/>
        </w:trPr>
        <w:tc>
          <w:tcPr>
            <w:tcW w:w="4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Adjustments</w:t>
            </w:r>
          </w:p>
        </w:tc>
        <w:tc>
          <w:tcPr>
            <w:tcW w:w="120" w:type="dxa"/>
            <w:vAlign w:val="bottom"/>
          </w:tcPr>
          <w:p>
            <w:pPr>
              <w:spacing w:after="0"/>
              <w:rPr>
                <w:sz w:val="20"/>
                <w:szCs w:val="20"/>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Hedges</w:t>
            </w:r>
          </w:p>
        </w:tc>
        <w:tc>
          <w:tcPr>
            <w:tcW w:w="1700" w:type="dxa"/>
            <w:vAlign w:val="bottom"/>
            <w:gridSpan w:val="3"/>
          </w:tcPr>
          <w:p>
            <w:pPr>
              <w:ind w:left="60"/>
              <w:spacing w:after="0"/>
              <w:rPr>
                <w:sz w:val="20"/>
                <w:szCs w:val="20"/>
                <w:color w:val="auto"/>
              </w:rPr>
            </w:pPr>
            <w:r>
              <w:rPr>
                <w:rFonts w:ascii="Arial" w:cs="Arial" w:eastAsia="Arial" w:hAnsi="Arial"/>
                <w:sz w:val="18"/>
                <w:szCs w:val="18"/>
                <w:b w:val="1"/>
                <w:bCs w:val="1"/>
                <w:color w:val="auto"/>
                <w:w w:val="99"/>
              </w:rPr>
              <w:t>Other Adjustments</w:t>
            </w:r>
          </w:p>
        </w:tc>
        <w:tc>
          <w:tcPr>
            <w:tcW w:w="360" w:type="dxa"/>
            <w:vAlign w:val="bottom"/>
          </w:tcPr>
          <w:p>
            <w:pPr>
              <w:spacing w:after="0"/>
              <w:rPr>
                <w:sz w:val="20"/>
                <w:szCs w:val="20"/>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Total</w:t>
            </w:r>
          </w:p>
        </w:tc>
      </w:tr>
      <w:tr>
        <w:trPr>
          <w:trHeight w:val="27"/>
        </w:trPr>
        <w:tc>
          <w:tcPr>
            <w:tcW w:w="4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2017</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(14,578)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(14,959)</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 comprehensive income before reclassifications</w:t>
            </w:r>
          </w:p>
        </w:tc>
        <w:tc>
          <w:tcPr>
            <w:tcW w:w="22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15,397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1,993</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17,392</w:t>
            </w: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Amounts reclassified from AOCI</w:t>
            </w:r>
          </w:p>
        </w:tc>
        <w:tc>
          <w:tcPr>
            <w:tcW w:w="2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w:t>
            </w: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Other comprehensive income</w:t>
            </w:r>
          </w:p>
        </w:tc>
        <w:tc>
          <w:tcPr>
            <w:tcW w:w="2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15,397</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1,814</w:t>
            </w:r>
          </w:p>
        </w:tc>
        <w:tc>
          <w:tcPr>
            <w:tcW w:w="100" w:type="dxa"/>
            <w:vAlign w:val="bottom"/>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17,213</w:t>
            </w:r>
          </w:p>
        </w:tc>
      </w:tr>
      <w:tr>
        <w:trPr>
          <w:trHeight w:val="27"/>
        </w:trPr>
        <w:tc>
          <w:tcPr>
            <w:tcW w:w="4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March 31, 2018</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819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1,449</w:t>
            </w: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2,254</w:t>
            </w:r>
          </w:p>
        </w:tc>
      </w:tr>
      <w:tr>
        <w:trPr>
          <w:trHeight w:val="20"/>
        </w:trPr>
        <w:tc>
          <w:tcPr>
            <w:tcW w:w="4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225" w:lineRule="exact"/>
        <w:rPr>
          <w:sz w:val="20"/>
          <w:szCs w:val="20"/>
          <w:color w:val="auto"/>
        </w:rPr>
      </w:pPr>
    </w:p>
    <w:p>
      <w:pPr>
        <w:ind w:right="260" w:firstLine="648"/>
        <w:spacing w:after="0" w:line="253" w:lineRule="auto"/>
        <w:rPr>
          <w:sz w:val="20"/>
          <w:szCs w:val="20"/>
          <w:color w:val="auto"/>
        </w:rPr>
      </w:pPr>
      <w:r>
        <w:rPr>
          <w:rFonts w:ascii="Arial" w:cs="Arial" w:eastAsia="Arial" w:hAnsi="Arial"/>
          <w:sz w:val="18"/>
          <w:szCs w:val="18"/>
          <w:color w:val="auto"/>
        </w:rPr>
        <w:t>Beginning in November 2016, purported class actions were filed in the U.S. District Court for the Northern District of Illinois against Pfizer subsidiaries, Hospira, Inc., Hospira Worldwide, Inc. and certain other defendants relating to the intravenous saline solutions part of the HIS business. Plaintiffs seek to represent classes consisting of all persons and entities in the U.S. who directly purchased intravenous saline solution sold by any of the defendants from January 1, 2013 until the time the defendants’ allegedly unlawful conduct ceases. Plaintiffs allege that the defendants’ conduct restricts output and artificially fixes, raises, maintains and/or stabilizes the prices of intravenous saline solution sold throughout the U.S. in violation of federal antitrust laws. Plaintiffs seek treble damages (for themselves and on behalf of the putative classes) and an injunction against defendants for alleged price overcharges for intravenous saline solution in the U.S. since January 1, 2013. On February 3, 2017, we completed the acquisition of the HIS business from Pfizer. This litigation is the subject of a claim for indemnification against us by Pfizer and a cross-claim for indemnification against Pfizer by us under the HIS Purchase Agreement.</w:t>
      </w:r>
    </w:p>
    <w:p>
      <w:pPr>
        <w:spacing w:after="0" w:line="197"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In addition, in August 2015, the New York Attorney General issued a subpoena to Hospira, Inc. requesting that the company provide information regarding certain business practices in the intravenous solutions part of the HIS business. Separately, in April 2017, we received a grand jury subpoena issued by the United States District Court for the Eastern District of Pennsylvania, in connection with an investigation by the U.S. Department of Justice, Antitrust Division. The subpoena calls for production of documents related to the manufacturing, selling, pricing and shortages of intravenous solutions, including saline, as well as communications among market participants regarding these issues. The Department of Justice investigation is the subject of cross-claims for indemnification by both us and Pfizer under the HIS Purchase Agreement. We will coordinate with Pfizer to produce records to the New York Attorney General and the Department of Justice.</w:t>
      </w:r>
    </w:p>
    <w:p>
      <w:pPr>
        <w:spacing w:after="0" w:line="189"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In April 2018, the U.S. Department of Justice issued a HIPAA subpoena to Hospira, Inc., requesting production of documents and records regarding the manufacturing, production, testing, quality and validation of the Sapphire™ infusion pumps, sets and related accessories distributed by the Company. We will coordinate with Pfizer to produce the requested records to the Department of Justice.</w:t>
      </w:r>
    </w:p>
    <w:p>
      <w:pPr>
        <w:spacing w:after="0" w:line="262" w:lineRule="exact"/>
        <w:rPr>
          <w:sz w:val="20"/>
          <w:szCs w:val="20"/>
          <w:color w:val="auto"/>
        </w:rPr>
      </w:pPr>
    </w:p>
    <w:p>
      <w:pPr>
        <w:ind w:right="180" w:firstLine="648"/>
        <w:spacing w:after="0" w:line="342" w:lineRule="auto"/>
        <w:rPr>
          <w:sz w:val="20"/>
          <w:szCs w:val="20"/>
          <w:color w:val="auto"/>
        </w:rPr>
      </w:pPr>
      <w:r>
        <w:rPr>
          <w:rFonts w:ascii="Arial" w:cs="Arial" w:eastAsia="Arial" w:hAnsi="Arial"/>
          <w:sz w:val="16"/>
          <w:szCs w:val="16"/>
          <w:color w:val="auto"/>
        </w:rPr>
        <w:t>In March 2018, a dispute with a product partner resulted in a redefinition of our contractual arrangement and in the rights and remedies determined under such arrangement. The resolution of the dispute resulted in a $28.9 million net charge to the condensed consolidated statement of operations.</w:t>
      </w:r>
    </w:p>
    <w:p>
      <w:pPr>
        <w:spacing w:after="0" w:line="205" w:lineRule="exact"/>
        <w:rPr>
          <w:sz w:val="20"/>
          <w:szCs w:val="20"/>
          <w:color w:val="auto"/>
        </w:rPr>
      </w:pPr>
    </w:p>
    <w:p>
      <w:pPr>
        <w:ind w:right="480" w:firstLine="648"/>
        <w:spacing w:after="0" w:line="264" w:lineRule="auto"/>
        <w:rPr>
          <w:sz w:val="20"/>
          <w:szCs w:val="20"/>
          <w:color w:val="auto"/>
        </w:rPr>
      </w:pPr>
      <w:r>
        <w:rPr>
          <w:rFonts w:ascii="Arial" w:cs="Arial" w:eastAsia="Arial" w:hAnsi="Arial"/>
          <w:sz w:val="18"/>
          <w:szCs w:val="18"/>
          <w:color w:val="auto"/>
        </w:rPr>
        <w:t>From time to time, we are involved in various legal proceedings, most of which are routine litigation, in the normal course of business. Our management does not believe that the resolution of the unsettled legal proceedings that we are involved with will have a material adverse impact on our financial position or results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 Balance Sheet Arrangements</w:t>
      </w:r>
    </w:p>
    <w:p>
      <w:pPr>
        <w:spacing w:after="0" w:line="225"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In the normal course of business, we have agreed to indemnify our officers and directors to the maximum extent permitted under Delaware law and to indemnify customers as to certain intellectual property matters or other matters related to sales of our products. There is no maximum limit on the indemnification that may be required under these agreements. Although we can provide no assurances, we have never incurred, nor do we expect to incur, any material liability for indemnification.</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1" w:right="2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Contingencies</w:t>
      </w:r>
    </w:p>
    <w:p>
      <w:pPr>
        <w:spacing w:after="0" w:line="225" w:lineRule="exact"/>
        <w:rPr>
          <w:sz w:val="20"/>
          <w:szCs w:val="20"/>
          <w:color w:val="auto"/>
        </w:rPr>
      </w:pPr>
    </w:p>
    <w:p>
      <w:pPr>
        <w:jc w:val="both"/>
        <w:ind w:right="660" w:firstLine="648"/>
        <w:spacing w:after="0" w:line="312" w:lineRule="auto"/>
        <w:rPr>
          <w:sz w:val="20"/>
          <w:szCs w:val="20"/>
          <w:color w:val="auto"/>
        </w:rPr>
      </w:pPr>
      <w:r>
        <w:rPr>
          <w:rFonts w:ascii="Arial" w:cs="Arial" w:eastAsia="Arial" w:hAnsi="Arial"/>
          <w:sz w:val="16"/>
          <w:szCs w:val="16"/>
          <w:color w:val="auto"/>
        </w:rPr>
        <w:t>We have a contractual earn-out arrangement in connection with our acquisition of the HIS business, whereby Pfizer may be entitled up to an additional $225 million in cash upon achievement of performance targets for the company for the three years ending December 31, 2019 (see Note 3: Acquisition, Strategic Transaction and Integration Expenses). The amount to be paid cannot be determined until the earn-out period has expired.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Commitments</w:t>
      </w:r>
    </w:p>
    <w:p>
      <w:pPr>
        <w:spacing w:after="0" w:line="22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Rental expense under our non-cancellable operating lease agreements was $2.9 million and $1.2 million for the three months ended March 31, 2018 and 2017, respectively.</w:t>
      </w:r>
    </w:p>
    <w:p>
      <w:pPr>
        <w:spacing w:after="0" w:line="383"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Note 19:</w:t>
      </w:r>
      <w:r>
        <w:rPr>
          <w:sz w:val="20"/>
          <w:szCs w:val="20"/>
          <w:color w:val="auto"/>
        </w:rPr>
        <w:tab/>
      </w:r>
      <w:r>
        <w:rPr>
          <w:rFonts w:ascii="Arial" w:cs="Arial" w:eastAsia="Arial" w:hAnsi="Arial"/>
          <w:sz w:val="16"/>
          <w:szCs w:val="16"/>
          <w:b w:val="1"/>
          <w:bCs w:val="1"/>
          <w:color w:val="auto"/>
        </w:rPr>
        <w:t>Collaborative and Other Arrangements</w:t>
      </w:r>
    </w:p>
    <w:p>
      <w:pPr>
        <w:spacing w:after="0" w:line="229" w:lineRule="exact"/>
        <w:rPr>
          <w:sz w:val="20"/>
          <w:szCs w:val="20"/>
          <w:color w:val="auto"/>
        </w:rPr>
      </w:pPr>
    </w:p>
    <w:p>
      <w:pPr>
        <w:ind w:right="120" w:firstLine="648"/>
        <w:spacing w:after="0" w:line="276" w:lineRule="auto"/>
        <w:rPr>
          <w:sz w:val="20"/>
          <w:szCs w:val="20"/>
          <w:color w:val="auto"/>
        </w:rPr>
      </w:pPr>
      <w:r>
        <w:rPr>
          <w:rFonts w:ascii="Arial" w:cs="Arial" w:eastAsia="Arial" w:hAnsi="Arial"/>
          <w:sz w:val="17"/>
          <w:szCs w:val="17"/>
          <w:color w:val="auto"/>
        </w:rPr>
        <w:t>On February 3, 2017, we entered into two MSAs, (i) whereby Pfizer will manufacture and supply us with certain agreed upon products for an initial five-year term with a one-time two-year option to extend and (ii) whereby we will manufacture and supply Pfizer certain agreed upon products for a term of five or ten years depending on the product, also with a one-time two-year option to extend. The MSAs provide each party with mutually beneficial interests and both of the MSA's are to be jointly managed by both Pfizer and ICU. The initial supply price, which will be annually updated, is in full consideration for all costs associated with the manufacture, documentation, packaging and certification of the products.</w:t>
      </w:r>
    </w:p>
    <w:p>
      <w:pPr>
        <w:spacing w:after="0" w:line="173"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On February 3, 2017, as part of the HIS business acquisition, we entered into an agreement with Pfizer, whereby Pfizer will provide certain transitional services to us for finance, business technology, regulatory, human resources, global operations, procurement, quality and global commercial operation services ("Enabling Function Services"). We pay a monthly service fee for each service provided, and share equally with Pfizer in certain set-up costs and, as applicable, service exit costs. Our share of the set-up costs and service exit costs, in the aggregate, are not to exceed $22.0 million. The service fees are subject to a fee cap of (i) $62.5 million during the initial twelve month period and (ii) $31.3 million during the subsequent six month period. Only the Enabling Function Services are subject to the fee cap, any services provided after expiration of the agreement or services that are not Enabling Function Services may result in service fees outside the fee cap. The service fees are intended to reasonably approximate Pfizer’s cost of providing the Enabling Function Services. We may terminate, in whole only, any particular service and the fee cap would be reduced proportionate to the services terminated. Partial reduction in the provision of any specific service may be made but only with the prior written consent of Pfizer.</w:t>
      </w:r>
    </w:p>
    <w:p>
      <w:pPr>
        <w:spacing w:after="0" w:line="16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February 3, 2017, as part of the HIS business acquisition, we also entered into a reverse transitional services agreement, where we will provide to Pfizer certain transitional services ranging in term from three to eighteen months. Services include support for real estate, research and development, infrastructure, logistics, quality, site operations, safety, commercial and finance, and regulatory support services.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2. Management’s Discussion and Analysis of Financial Condition and Results of Operations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following information should be read in conjunction with the condensed consolidated financial statements and accompanying notes in this Form 10-Q, as well as the audited consolidated financial statements and related notes for the fiscal year ended December 31, 2017 included in our Annual Report on Form 10-K.</w:t>
      </w:r>
    </w:p>
    <w:p>
      <w:pPr>
        <w:spacing w:after="0" w:line="181" w:lineRule="exact"/>
        <w:rPr>
          <w:sz w:val="20"/>
          <w:szCs w:val="20"/>
          <w:color w:val="auto"/>
        </w:rPr>
      </w:pPr>
    </w:p>
    <w:p>
      <w:pPr>
        <w:ind w:right="760" w:firstLine="648"/>
        <w:spacing w:after="0" w:line="277" w:lineRule="auto"/>
        <w:rPr>
          <w:sz w:val="20"/>
          <w:szCs w:val="20"/>
          <w:color w:val="auto"/>
        </w:rPr>
      </w:pPr>
      <w:r>
        <w:rPr>
          <w:rFonts w:ascii="Arial" w:cs="Arial" w:eastAsia="Arial" w:hAnsi="Arial"/>
          <w:sz w:val="18"/>
          <w:szCs w:val="18"/>
          <w:color w:val="auto"/>
        </w:rPr>
        <w:t>When used in this report, the terms “we,” “us,” and “our” refer to ICU Medical, Inc ("ICU") and its subsidiaries included in our condensed consolidated financial statements unless context requires otherwise.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right="40" w:firstLine="648"/>
        <w:spacing w:after="0" w:line="302" w:lineRule="auto"/>
        <w:rPr>
          <w:sz w:val="20"/>
          <w:szCs w:val="20"/>
          <w:color w:val="auto"/>
        </w:rPr>
      </w:pPr>
      <w:r>
        <w:rPr>
          <w:rFonts w:ascii="Arial" w:cs="Arial" w:eastAsia="Arial" w:hAnsi="Arial"/>
          <w:sz w:val="16"/>
          <w:szCs w:val="16"/>
          <w:color w:val="auto"/>
        </w:rPr>
        <w:t>We are one of the world's leading pure-play infusion therapy companies with global operations and a wide-ranging product portfolio that includes IV solutions, IV smart pumps with pain management and safety software technology, dedicated and non-dedicated IV sets and needlefree connectors designed to help meet clinical, safety and workflow goals. In addition, we manufacture automated pharmacy IV compounding systems with workflow technology, closed systems transfer devices for preparing and administering hazardous IV drugs, and cardiac monitoring systems for critically ill patients.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Our primary customers are acute care hospitals, wholesalers, ambulatory clinics and alternate site facilities, such as clinics, home health care providers and long-term care facilities. We sell our products in more than 95 countries throughout the world.</w:t>
      </w:r>
    </w:p>
    <w:p>
      <w:pPr>
        <w:spacing w:after="0" w:line="387"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We categorize our products into four main product lines: Infusion Consumables, IV Solutions, Infusion Systems, and Critical Care. We have presented our financial results in accordance with the following four product lines with our primary products listed.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Infusion Consumables</w:t>
      </w:r>
    </w:p>
    <w:p>
      <w:pPr>
        <w:spacing w:after="0" w:line="239" w:lineRule="exact"/>
        <w:rPr>
          <w:sz w:val="20"/>
          <w:szCs w:val="20"/>
          <w:color w:val="auto"/>
        </w:rPr>
      </w:pPr>
    </w:p>
    <w:p>
      <w:pPr>
        <w:ind w:left="1300"/>
        <w:spacing w:after="0"/>
        <w:rPr>
          <w:sz w:val="20"/>
          <w:szCs w:val="20"/>
          <w:color w:val="auto"/>
        </w:rPr>
      </w:pPr>
      <w:r>
        <w:rPr>
          <w:rFonts w:ascii="Arial" w:cs="Arial" w:eastAsia="Arial" w:hAnsi="Arial"/>
          <w:sz w:val="18"/>
          <w:szCs w:val="18"/>
          <w:i w:val="1"/>
          <w:iCs w:val="1"/>
          <w:color w:val="auto"/>
        </w:rPr>
        <w:t>Infusion Therapy</w:t>
      </w:r>
    </w:p>
    <w:p>
      <w:pPr>
        <w:spacing w:after="0" w:line="225" w:lineRule="exact"/>
        <w:rPr>
          <w:sz w:val="20"/>
          <w:szCs w:val="20"/>
          <w:color w:val="auto"/>
        </w:rPr>
      </w:pPr>
    </w:p>
    <w:p>
      <w:pPr>
        <w:ind w:left="1960" w:right="480" w:hanging="331"/>
        <w:spacing w:after="0" w:line="277" w:lineRule="auto"/>
        <w:tabs>
          <w:tab w:leader="none" w:pos="1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Clave® needlefree products, including the MicroClave, MicroClave Clear, and NanoClave brand of connectors, accessories, extension and administration sets used for the administration of IV fluids and medications.</w:t>
      </w:r>
    </w:p>
    <w:p>
      <w:pPr>
        <w:spacing w:after="0" w:line="170" w:lineRule="exact"/>
        <w:rPr>
          <w:rFonts w:ascii="Arial" w:cs="Arial" w:eastAsia="Arial" w:hAnsi="Arial"/>
          <w:sz w:val="18"/>
          <w:szCs w:val="18"/>
          <w:color w:val="auto"/>
        </w:rPr>
      </w:pPr>
    </w:p>
    <w:p>
      <w:pPr>
        <w:ind w:left="1960" w:hanging="331"/>
        <w:spacing w:after="0"/>
        <w:tabs>
          <w:tab w:leader="none" w:pos="1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Neutron® Catheter Patency Connector, used to help maintain patency of central venous catheters.</w:t>
      </w:r>
    </w:p>
    <w:p>
      <w:pPr>
        <w:spacing w:after="0" w:line="225" w:lineRule="exact"/>
        <w:rPr>
          <w:rFonts w:ascii="Arial" w:cs="Arial" w:eastAsia="Arial" w:hAnsi="Arial"/>
          <w:sz w:val="18"/>
          <w:szCs w:val="18"/>
          <w:color w:val="auto"/>
        </w:rPr>
      </w:pPr>
    </w:p>
    <w:p>
      <w:pPr>
        <w:ind w:left="1960" w:hanging="331"/>
        <w:spacing w:after="0"/>
        <w:tabs>
          <w:tab w:leader="none" w:pos="19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SwabCap® Disinfecting Cap, used to protect and disinfect any needlefree connector, including competitive brands of connectors.</w:t>
      </w:r>
    </w:p>
    <w:p>
      <w:pPr>
        <w:spacing w:after="0" w:line="248" w:lineRule="exact"/>
        <w:rPr>
          <w:rFonts w:ascii="Arial" w:cs="Arial" w:eastAsia="Arial" w:hAnsi="Arial"/>
          <w:sz w:val="16"/>
          <w:szCs w:val="16"/>
          <w:color w:val="auto"/>
        </w:rPr>
      </w:pPr>
    </w:p>
    <w:p>
      <w:pPr>
        <w:ind w:left="1960" w:hanging="331"/>
        <w:spacing w:after="0"/>
        <w:tabs>
          <w:tab w:leader="none" w:pos="1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Tego® Hemodialysis Connector</w:t>
      </w:r>
    </w:p>
    <w:p>
      <w:pPr>
        <w:spacing w:after="0" w:line="225" w:lineRule="exact"/>
        <w:rPr>
          <w:rFonts w:ascii="Arial" w:cs="Arial" w:eastAsia="Arial" w:hAnsi="Arial"/>
          <w:sz w:val="18"/>
          <w:szCs w:val="18"/>
          <w:color w:val="auto"/>
        </w:rPr>
      </w:pPr>
    </w:p>
    <w:p>
      <w:pPr>
        <w:ind w:left="1960" w:hanging="331"/>
        <w:spacing w:after="0"/>
        <w:tabs>
          <w:tab w:leader="none" w:pos="1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NovaCath® and SuperCath® Peripheral IV Catheters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i w:val="1"/>
          <w:iCs w:val="1"/>
          <w:color w:val="auto"/>
        </w:rPr>
        <w:t>Closed System Transfer Devices (CSTD)</w:t>
      </w:r>
    </w:p>
    <w:p>
      <w:pPr>
        <w:spacing w:after="0" w:line="225" w:lineRule="exact"/>
        <w:rPr>
          <w:sz w:val="20"/>
          <w:szCs w:val="20"/>
          <w:color w:val="auto"/>
        </w:rPr>
      </w:pPr>
    </w:p>
    <w:p>
      <w:pPr>
        <w:ind w:left="1960" w:right="40" w:hanging="331"/>
        <w:spacing w:after="0" w:line="277" w:lineRule="auto"/>
        <w:tabs>
          <w:tab w:leader="none" w:pos="1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ChemoLock® Closed System Transfer Device (CSTD) is a Pharmacy preferred CSTD used for the preparation and administration of hazardous drugs.</w:t>
      </w:r>
    </w:p>
    <w:p>
      <w:pPr>
        <w:spacing w:after="0" w:line="170" w:lineRule="exact"/>
        <w:rPr>
          <w:rFonts w:ascii="Arial" w:cs="Arial" w:eastAsia="Arial" w:hAnsi="Arial"/>
          <w:sz w:val="18"/>
          <w:szCs w:val="18"/>
          <w:color w:val="auto"/>
        </w:rPr>
      </w:pPr>
    </w:p>
    <w:p>
      <w:pPr>
        <w:ind w:left="1960" w:right="580" w:hanging="331"/>
        <w:spacing w:after="0" w:line="277" w:lineRule="auto"/>
        <w:tabs>
          <w:tab w:leader="none" w:pos="1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ChemoClave® CSTD, is an ISO standard and universally compatible CSTD used for the preparation and administration of hazardous drugs.</w:t>
      </w:r>
    </w:p>
    <w:p>
      <w:pPr>
        <w:spacing w:after="0" w:line="170" w:lineRule="exact"/>
        <w:rPr>
          <w:rFonts w:ascii="Arial" w:cs="Arial" w:eastAsia="Arial" w:hAnsi="Arial"/>
          <w:sz w:val="18"/>
          <w:szCs w:val="18"/>
          <w:color w:val="auto"/>
        </w:rPr>
      </w:pPr>
    </w:p>
    <w:p>
      <w:pPr>
        <w:ind w:left="1960" w:hanging="331"/>
        <w:spacing w:after="0"/>
        <w:tabs>
          <w:tab w:leader="none" w:pos="1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Diana™ hazardous drug compounding system, used for the preparation of hazardous drugs.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IV Solutions</w:t>
      </w:r>
    </w:p>
    <w:p>
      <w:pPr>
        <w:spacing w:after="0" w:line="225" w:lineRule="exact"/>
        <w:rPr>
          <w:sz w:val="20"/>
          <w:szCs w:val="20"/>
          <w:color w:val="auto"/>
        </w:rPr>
      </w:pPr>
    </w:p>
    <w:p>
      <w:pPr>
        <w:ind w:left="1300" w:hanging="320"/>
        <w:spacing w:after="0"/>
        <w:tabs>
          <w:tab w:leader="none" w:pos="130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Sterile Solutions - </w:t>
      </w:r>
      <w:r>
        <w:rPr>
          <w:rFonts w:ascii="Arial" w:cs="Arial" w:eastAsia="Arial" w:hAnsi="Arial"/>
          <w:sz w:val="18"/>
          <w:szCs w:val="18"/>
          <w:color w:val="auto"/>
        </w:rPr>
        <w:t>IV solutions, normal saline, Ringers etc. is used to replenish fluids and electrolytes by IV infusion.</w:t>
      </w:r>
    </w:p>
    <w:p>
      <w:pPr>
        <w:spacing w:after="0" w:line="225" w:lineRule="exact"/>
        <w:rPr>
          <w:rFonts w:ascii="Arial" w:cs="Arial" w:eastAsia="Arial" w:hAnsi="Arial"/>
          <w:sz w:val="18"/>
          <w:szCs w:val="18"/>
          <w:i w:val="1"/>
          <w:iCs w:val="1"/>
          <w:color w:val="auto"/>
        </w:rPr>
      </w:pPr>
    </w:p>
    <w:p>
      <w:pPr>
        <w:ind w:left="1300" w:hanging="320"/>
        <w:spacing w:after="0" w:line="277" w:lineRule="auto"/>
        <w:tabs>
          <w:tab w:leader="none" w:pos="130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Irrigation Solutions - </w:t>
      </w:r>
      <w:r>
        <w:rPr>
          <w:rFonts w:ascii="Arial" w:cs="Arial" w:eastAsia="Arial" w:hAnsi="Arial"/>
          <w:sz w:val="18"/>
          <w:szCs w:val="18"/>
          <w:color w:val="auto"/>
        </w:rPr>
        <w:t>Used externally on open wounds to hydrate the wound, remove deep debris, assist with visual examination, to prevent</w:t>
      </w:r>
      <w:r>
        <w:rPr>
          <w:rFonts w:ascii="Arial" w:cs="Arial" w:eastAsia="Arial" w:hAnsi="Arial"/>
          <w:sz w:val="18"/>
          <w:szCs w:val="18"/>
          <w:i w:val="1"/>
          <w:iCs w:val="1"/>
          <w:color w:val="auto"/>
        </w:rPr>
        <w:t xml:space="preserve"> </w:t>
      </w:r>
      <w:r>
        <w:rPr>
          <w:rFonts w:ascii="Arial" w:cs="Arial" w:eastAsia="Arial" w:hAnsi="Arial"/>
          <w:sz w:val="18"/>
          <w:szCs w:val="18"/>
          <w:color w:val="auto"/>
        </w:rPr>
        <w:t>infection and improve healing.</w:t>
      </w:r>
    </w:p>
    <w:p>
      <w:pPr>
        <w:spacing w:after="0" w:line="170" w:lineRule="exact"/>
        <w:rPr>
          <w:rFonts w:ascii="Arial" w:cs="Arial" w:eastAsia="Arial" w:hAnsi="Arial"/>
          <w:sz w:val="18"/>
          <w:szCs w:val="18"/>
          <w:i w:val="1"/>
          <w:iCs w:val="1"/>
          <w:color w:val="auto"/>
        </w:rPr>
      </w:pPr>
    </w:p>
    <w:p>
      <w:pPr>
        <w:ind w:left="1300" w:right="400" w:hanging="320"/>
        <w:spacing w:after="0" w:line="264" w:lineRule="auto"/>
        <w:tabs>
          <w:tab w:leader="none" w:pos="130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Nutritionals - </w:t>
      </w:r>
      <w:r>
        <w:rPr>
          <w:rFonts w:ascii="Arial" w:cs="Arial" w:eastAsia="Arial" w:hAnsi="Arial"/>
          <w:sz w:val="18"/>
          <w:szCs w:val="18"/>
          <w:color w:val="auto"/>
        </w:rPr>
        <w:t>Solutions that feed vitamins, minerals and other natural therapeutic substances directly into the blood stream. We are</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committed to helping our customers deliver more comprehensive patient-care therapies, delivering an extensive source of nutrients for patients who cannot consume a normal diet.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Infusion Systems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i w:val="1"/>
          <w:iCs w:val="1"/>
          <w:color w:val="auto"/>
        </w:rPr>
        <w:t xml:space="preserve">Infusion Pump Hardware - </w:t>
      </w:r>
      <w:r>
        <w:rPr>
          <w:rFonts w:ascii="Arial" w:cs="Arial" w:eastAsia="Arial" w:hAnsi="Arial"/>
          <w:sz w:val="18"/>
          <w:szCs w:val="18"/>
          <w:color w:val="auto"/>
        </w:rPr>
        <w:t>Our current pump platform includes four infusion pumps:</w:t>
      </w:r>
    </w:p>
    <w:p>
      <w:pPr>
        <w:spacing w:after="0" w:line="225" w:lineRule="exact"/>
        <w:rPr>
          <w:sz w:val="20"/>
          <w:szCs w:val="20"/>
          <w:color w:val="auto"/>
        </w:rPr>
      </w:pPr>
    </w:p>
    <w:p>
      <w:pPr>
        <w:ind w:left="1960" w:right="260" w:hanging="331"/>
        <w:spacing w:after="0" w:line="277" w:lineRule="auto"/>
        <w:tabs>
          <w:tab w:leader="none" w:pos="196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Plum 360™</w:t>
      </w:r>
      <w:r>
        <w:rPr>
          <w:rFonts w:ascii="Arial" w:cs="Arial" w:eastAsia="Arial" w:hAnsi="Arial"/>
          <w:sz w:val="18"/>
          <w:szCs w:val="18"/>
          <w:color w:val="auto"/>
        </w:rPr>
        <w:t>: The Plum 360™ infusion pump is a ICU Medical MedNet™ ready large volume infusion pump with an extensive</w:t>
      </w:r>
      <w:r>
        <w:rPr>
          <w:rFonts w:ascii="Arial" w:cs="Arial" w:eastAsia="Arial" w:hAnsi="Arial"/>
          <w:sz w:val="18"/>
          <w:szCs w:val="18"/>
          <w:i w:val="1"/>
          <w:iCs w:val="1"/>
          <w:color w:val="auto"/>
        </w:rPr>
        <w:t xml:space="preserve"> </w:t>
      </w:r>
      <w:r>
        <w:rPr>
          <w:rFonts w:ascii="Arial" w:cs="Arial" w:eastAsia="Arial" w:hAnsi="Arial"/>
          <w:sz w:val="18"/>
          <w:szCs w:val="18"/>
          <w:color w:val="auto"/>
        </w:rPr>
        <w:t>drug library and wireless capability.</w:t>
      </w:r>
    </w:p>
    <w:p>
      <w:pPr>
        <w:spacing w:after="0" w:line="170" w:lineRule="exact"/>
        <w:rPr>
          <w:rFonts w:ascii="Arial" w:cs="Arial" w:eastAsia="Arial" w:hAnsi="Arial"/>
          <w:sz w:val="18"/>
          <w:szCs w:val="18"/>
          <w:color w:val="auto"/>
        </w:rPr>
      </w:pPr>
    </w:p>
    <w:p>
      <w:pPr>
        <w:ind w:left="1960" w:hanging="331"/>
        <w:spacing w:after="0"/>
        <w:tabs>
          <w:tab w:leader="none" w:pos="1960" w:val="left"/>
        </w:tabs>
        <w:numPr>
          <w:ilvl w:val="0"/>
          <w:numId w:val="13"/>
        </w:numPr>
        <w:rPr>
          <w:rFonts w:ascii="Arial" w:cs="Arial" w:eastAsia="Arial" w:hAnsi="Arial"/>
          <w:sz w:val="17"/>
          <w:szCs w:val="17"/>
          <w:color w:val="auto"/>
        </w:rPr>
      </w:pPr>
      <w:r>
        <w:rPr>
          <w:rFonts w:ascii="Arial" w:cs="Arial" w:eastAsia="Arial" w:hAnsi="Arial"/>
          <w:sz w:val="17"/>
          <w:szCs w:val="17"/>
          <w:i w:val="1"/>
          <w:iCs w:val="1"/>
          <w:color w:val="auto"/>
        </w:rPr>
        <w:t>LifeCare PCA™</w:t>
      </w:r>
      <w:r>
        <w:rPr>
          <w:rFonts w:ascii="Arial" w:cs="Arial" w:eastAsia="Arial" w:hAnsi="Arial"/>
          <w:sz w:val="17"/>
          <w:szCs w:val="17"/>
          <w:color w:val="auto"/>
        </w:rPr>
        <w:t>: The LifeCare PCA™ infusion pump is a ICU Medical MedNet™ ready patient-controlled analgesia pump.</w:t>
      </w:r>
    </w:p>
    <w:p>
      <w:pPr>
        <w:spacing w:after="0" w:line="200" w:lineRule="exact"/>
        <w:rPr>
          <w:sz w:val="20"/>
          <w:szCs w:val="20"/>
          <w:color w:val="auto"/>
        </w:rPr>
      </w:pPr>
    </w:p>
    <w:p>
      <w:pPr>
        <w:spacing w:after="0" w:line="28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125" w:right="27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1960" w:right="500" w:hanging="331"/>
        <w:spacing w:after="0" w:line="308" w:lineRule="auto"/>
        <w:tabs>
          <w:tab w:leader="none" w:pos="1960" w:val="left"/>
        </w:tabs>
        <w:numPr>
          <w:ilvl w:val="0"/>
          <w:numId w:val="14"/>
        </w:numPr>
        <w:rPr>
          <w:rFonts w:ascii="Arial" w:cs="Arial" w:eastAsia="Arial" w:hAnsi="Arial"/>
          <w:sz w:val="17"/>
          <w:szCs w:val="17"/>
          <w:color w:val="auto"/>
        </w:rPr>
      </w:pPr>
      <w:r>
        <w:rPr>
          <w:rFonts w:ascii="Arial" w:cs="Arial" w:eastAsia="Arial" w:hAnsi="Arial"/>
          <w:sz w:val="17"/>
          <w:szCs w:val="17"/>
          <w:i w:val="1"/>
          <w:iCs w:val="1"/>
          <w:color w:val="auto"/>
        </w:rPr>
        <w:t>SapphirePlus™</w:t>
      </w:r>
      <w:r>
        <w:rPr>
          <w:rFonts w:ascii="Arial" w:cs="Arial" w:eastAsia="Arial" w:hAnsi="Arial"/>
          <w:sz w:val="17"/>
          <w:szCs w:val="17"/>
          <w:color w:val="auto"/>
        </w:rPr>
        <w:t>: The SapphirePlus™ infusion pump is a ICU Medical MedNet™ ready large volume infusion pump with an</w:t>
      </w:r>
      <w:r>
        <w:rPr>
          <w:rFonts w:ascii="Arial" w:cs="Arial" w:eastAsia="Arial" w:hAnsi="Arial"/>
          <w:sz w:val="17"/>
          <w:szCs w:val="17"/>
          <w:i w:val="1"/>
          <w:iCs w:val="1"/>
          <w:color w:val="auto"/>
        </w:rPr>
        <w:t xml:space="preserve"> </w:t>
      </w:r>
      <w:r>
        <w:rPr>
          <w:rFonts w:ascii="Arial" w:cs="Arial" w:eastAsia="Arial" w:hAnsi="Arial"/>
          <w:sz w:val="17"/>
          <w:szCs w:val="17"/>
          <w:color w:val="auto"/>
        </w:rPr>
        <w:t>extensive drug library and wireless capability. The SapphirePlus is designed and manufactured by Q Core.</w:t>
      </w:r>
    </w:p>
    <w:p>
      <w:pPr>
        <w:spacing w:after="0" w:line="146" w:lineRule="exact"/>
        <w:rPr>
          <w:rFonts w:ascii="Arial" w:cs="Arial" w:eastAsia="Arial" w:hAnsi="Arial"/>
          <w:sz w:val="17"/>
          <w:szCs w:val="17"/>
          <w:color w:val="auto"/>
        </w:rPr>
      </w:pPr>
    </w:p>
    <w:p>
      <w:pPr>
        <w:ind w:left="1960" w:right="20" w:hanging="331"/>
        <w:spacing w:after="0" w:line="342" w:lineRule="auto"/>
        <w:tabs>
          <w:tab w:leader="none" w:pos="1960" w:val="left"/>
        </w:tabs>
        <w:numPr>
          <w:ilvl w:val="0"/>
          <w:numId w:val="14"/>
        </w:numPr>
        <w:rPr>
          <w:rFonts w:ascii="Arial" w:cs="Arial" w:eastAsia="Arial" w:hAnsi="Arial"/>
          <w:sz w:val="16"/>
          <w:szCs w:val="16"/>
          <w:i w:val="1"/>
          <w:iCs w:val="1"/>
          <w:color w:val="auto"/>
        </w:rPr>
      </w:pPr>
      <w:r>
        <w:rPr>
          <w:rFonts w:ascii="Arial" w:cs="Arial" w:eastAsia="Arial" w:hAnsi="Arial"/>
          <w:sz w:val="16"/>
          <w:szCs w:val="16"/>
          <w:i w:val="1"/>
          <w:iCs w:val="1"/>
          <w:color w:val="auto"/>
        </w:rPr>
        <w:t>Sapphire™</w:t>
      </w:r>
      <w:r>
        <w:rPr>
          <w:rFonts w:ascii="Arial" w:cs="Arial" w:eastAsia="Arial" w:hAnsi="Arial"/>
          <w:sz w:val="16"/>
          <w:szCs w:val="16"/>
          <w:color w:val="auto"/>
        </w:rPr>
        <w:t>: The Sapphire™ infusion pump is a compact infusion system used in ambulatory and hospital settings. The Sapphire™</w:t>
      </w:r>
      <w:r>
        <w:rPr>
          <w:rFonts w:ascii="Arial" w:cs="Arial" w:eastAsia="Arial" w:hAnsi="Arial"/>
          <w:sz w:val="16"/>
          <w:szCs w:val="16"/>
          <w:i w:val="1"/>
          <w:iCs w:val="1"/>
          <w:color w:val="auto"/>
        </w:rPr>
        <w:t xml:space="preserve"> </w:t>
      </w:r>
      <w:r>
        <w:rPr>
          <w:rFonts w:ascii="Arial" w:cs="Arial" w:eastAsia="Arial" w:hAnsi="Arial"/>
          <w:sz w:val="16"/>
          <w:szCs w:val="16"/>
          <w:color w:val="auto"/>
        </w:rPr>
        <w:t>infusion pump comes in multi-therapy and epidural-only configurations. The Sapphire is designed and manufactured by Q Core.</w:t>
      </w:r>
    </w:p>
    <w:p>
      <w:pPr>
        <w:spacing w:after="0" w:line="124"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We offer the ICU Medical MedNet™ safety software system, which is designed for hospitals to customize intravenous drug dosage limits and track drug delivery to help prevent medication errors.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Critical Care</w:t>
      </w:r>
    </w:p>
    <w:p>
      <w:pPr>
        <w:spacing w:after="0" w:line="225" w:lineRule="exact"/>
        <w:rPr>
          <w:sz w:val="20"/>
          <w:szCs w:val="20"/>
          <w:color w:val="auto"/>
        </w:rPr>
      </w:pPr>
    </w:p>
    <w:p>
      <w:pPr>
        <w:ind w:left="1300" w:hanging="320"/>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Hemodynamic Monitoring Systems.</w:t>
      </w:r>
    </w:p>
    <w:p>
      <w:pPr>
        <w:spacing w:after="0" w:line="169" w:lineRule="exact"/>
        <w:rPr>
          <w:rFonts w:ascii="Arial" w:cs="Arial" w:eastAsia="Arial" w:hAnsi="Arial"/>
          <w:sz w:val="18"/>
          <w:szCs w:val="18"/>
          <w:color w:val="auto"/>
        </w:rPr>
      </w:pPr>
    </w:p>
    <w:p>
      <w:pPr>
        <w:ind w:left="1960" w:hanging="331"/>
        <w:spacing w:after="0"/>
        <w:tabs>
          <w:tab w:leader="none" w:pos="19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Cogent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2-in-1 Hemodynamic Monitoring System</w:t>
      </w:r>
    </w:p>
    <w:p>
      <w:pPr>
        <w:ind w:left="1960" w:hanging="331"/>
        <w:spacing w:after="0" w:line="180" w:lineRule="auto"/>
        <w:tabs>
          <w:tab w:leader="none" w:pos="19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LiDCO LX1</w:t>
      </w:r>
      <w:r>
        <w:rPr>
          <w:rFonts w:ascii="Arial" w:cs="Arial" w:eastAsia="Arial" w:hAnsi="Arial"/>
          <w:sz w:val="25"/>
          <w:szCs w:val="25"/>
          <w:color w:val="auto"/>
          <w:vertAlign w:val="superscript"/>
        </w:rPr>
        <w:t>TM</w:t>
      </w:r>
      <w:r>
        <w:rPr>
          <w:rFonts w:ascii="Arial" w:cs="Arial" w:eastAsia="Arial" w:hAnsi="Arial"/>
          <w:sz w:val="18"/>
          <w:szCs w:val="18"/>
          <w:color w:val="auto"/>
        </w:rPr>
        <w:t xml:space="preserve"> Noninvasive Hemodynamic Monitoring System</w:t>
      </w:r>
    </w:p>
    <w:p>
      <w:pPr>
        <w:ind w:left="1960" w:hanging="331"/>
        <w:spacing w:after="0" w:line="180" w:lineRule="auto"/>
        <w:tabs>
          <w:tab w:leader="none" w:pos="19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CardioFlo</w:t>
      </w:r>
      <w:r>
        <w:rPr>
          <w:rFonts w:ascii="Arial" w:cs="Arial" w:eastAsia="Arial" w:hAnsi="Arial"/>
          <w:sz w:val="25"/>
          <w:szCs w:val="25"/>
          <w:color w:val="auto"/>
          <w:vertAlign w:val="superscript"/>
        </w:rPr>
        <w:t>®</w:t>
      </w:r>
      <w:r>
        <w:rPr>
          <w:rFonts w:ascii="Arial" w:cs="Arial" w:eastAsia="Arial" w:hAnsi="Arial"/>
          <w:sz w:val="18"/>
          <w:szCs w:val="18"/>
          <w:color w:val="auto"/>
        </w:rPr>
        <w:t xml:space="preserve"> Hemodynamic Monitoring Sensor</w:t>
      </w:r>
    </w:p>
    <w:p>
      <w:pPr>
        <w:ind w:left="1960" w:hanging="331"/>
        <w:spacing w:after="0"/>
        <w:tabs>
          <w:tab w:leader="none" w:pos="19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TriOx</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PICC Minimally Invasive Venous Oximetry Sensor</w:t>
      </w:r>
    </w:p>
    <w:p>
      <w:pPr>
        <w:spacing w:after="0" w:line="128" w:lineRule="exact"/>
        <w:rPr>
          <w:rFonts w:ascii="Arial" w:cs="Arial" w:eastAsia="Arial" w:hAnsi="Arial"/>
          <w:sz w:val="18"/>
          <w:szCs w:val="18"/>
          <w:color w:val="auto"/>
        </w:rPr>
      </w:pPr>
    </w:p>
    <w:p>
      <w:pPr>
        <w:ind w:left="1300" w:hanging="320"/>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SafeSet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Closed Blood Sampling and Conservation System.</w:t>
      </w:r>
    </w:p>
    <w:p>
      <w:pPr>
        <w:spacing w:after="0" w:line="144" w:lineRule="exact"/>
        <w:rPr>
          <w:rFonts w:ascii="Arial" w:cs="Arial" w:eastAsia="Arial" w:hAnsi="Arial"/>
          <w:sz w:val="18"/>
          <w:szCs w:val="18"/>
          <w:color w:val="auto"/>
        </w:rPr>
      </w:pPr>
    </w:p>
    <w:p>
      <w:pPr>
        <w:ind w:left="1300" w:hanging="320"/>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Transpac</w:t>
      </w:r>
      <w:r>
        <w:rPr>
          <w:rFonts w:ascii="Arial" w:cs="Arial" w:eastAsia="Arial" w:hAnsi="Arial"/>
          <w:sz w:val="25"/>
          <w:szCs w:val="25"/>
          <w:color w:val="auto"/>
          <w:vertAlign w:val="superscript"/>
        </w:rPr>
        <w:t>®</w:t>
      </w:r>
      <w:r>
        <w:rPr>
          <w:rFonts w:ascii="Arial" w:cs="Arial" w:eastAsia="Arial" w:hAnsi="Arial"/>
          <w:sz w:val="18"/>
          <w:szCs w:val="18"/>
          <w:color w:val="auto"/>
        </w:rPr>
        <w:t xml:space="preserve"> Consumable Blood Pressure Transducers.</w:t>
      </w:r>
    </w:p>
    <w:p>
      <w:pPr>
        <w:spacing w:after="0" w:line="144" w:lineRule="exact"/>
        <w:rPr>
          <w:rFonts w:ascii="Arial" w:cs="Arial" w:eastAsia="Arial" w:hAnsi="Arial"/>
          <w:sz w:val="18"/>
          <w:szCs w:val="18"/>
          <w:color w:val="auto"/>
        </w:rPr>
      </w:pPr>
    </w:p>
    <w:p>
      <w:pPr>
        <w:ind w:left="1300" w:hanging="320"/>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Q2 Plus™ CCO/SvO2 (continuous cardiac output/oximetry).</w:t>
      </w:r>
    </w:p>
    <w:p>
      <w:pPr>
        <w:spacing w:after="0" w:line="200" w:lineRule="exact"/>
        <w:rPr>
          <w:sz w:val="20"/>
          <w:szCs w:val="20"/>
          <w:color w:val="auto"/>
        </w:rPr>
      </w:pPr>
    </w:p>
    <w:p>
      <w:pPr>
        <w:spacing w:after="0" w:line="241"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following table summarizes our total worldwide revenue by domestic and international markets by amount and as a percentage of total revenue (in millions, except percentages):</w:t>
      </w:r>
    </w:p>
    <w:p>
      <w:pPr>
        <w:spacing w:after="0" w:line="117" w:lineRule="exact"/>
        <w:rPr>
          <w:sz w:val="20"/>
          <w:szCs w:val="20"/>
          <w:color w:val="auto"/>
        </w:rPr>
      </w:pPr>
    </w:p>
    <w:p>
      <w:pPr>
        <w:ind w:left="774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ind w:left="812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3495675</wp:posOffset>
            </wp:positionH>
            <wp:positionV relativeFrom="paragraph">
              <wp:posOffset>33020</wp:posOffset>
            </wp:positionV>
            <wp:extent cx="375602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756025" cy="8890"/>
                    </a:xfrm>
                    <a:prstGeom prst="rect">
                      <a:avLst/>
                    </a:prstGeom>
                    <a:noFill/>
                  </pic:spPr>
                </pic:pic>
              </a:graphicData>
            </a:graphic>
          </wp:anchor>
        </w:drawing>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gridSpan w:val="3"/>
          </w:tcPr>
          <w:p>
            <w:pPr>
              <w:jc w:val="right"/>
              <w:ind w:right="20"/>
              <w:spacing w:after="0"/>
              <w:rPr>
                <w:sz w:val="20"/>
                <w:szCs w:val="20"/>
                <w:color w:val="auto"/>
              </w:rPr>
            </w:pPr>
            <w:r>
              <w:rPr>
                <w:rFonts w:ascii="Arial" w:cs="Arial" w:eastAsia="Arial" w:hAnsi="Arial"/>
                <w:sz w:val="16"/>
                <w:szCs w:val="16"/>
                <w:b w:val="1"/>
                <w:bCs w:val="1"/>
                <w:color w:val="auto"/>
              </w:rPr>
              <w:t>2018</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20" w:type="dxa"/>
            <w:vAlign w:val="bottom"/>
            <w:gridSpan w:val="3"/>
          </w:tcPr>
          <w:p>
            <w:pPr>
              <w:jc w:val="right"/>
              <w:ind w:right="1199"/>
              <w:spacing w:after="0"/>
              <w:rPr>
                <w:sz w:val="20"/>
                <w:szCs w:val="20"/>
                <w:color w:val="auto"/>
              </w:rPr>
            </w:pPr>
            <w:r>
              <w:rPr>
                <w:rFonts w:ascii="Arial" w:cs="Arial" w:eastAsia="Arial" w:hAnsi="Arial"/>
                <w:sz w:val="16"/>
                <w:szCs w:val="16"/>
                <w:b w:val="1"/>
                <w:bCs w:val="1"/>
                <w:color w:val="auto"/>
                <w:w w:val="89"/>
              </w:rPr>
              <w:t>2017</w:t>
            </w:r>
          </w:p>
        </w:tc>
      </w:tr>
      <w:tr>
        <w:trPr>
          <w:trHeight w:val="33"/>
        </w:trPr>
        <w:tc>
          <w:tcPr>
            <w:tcW w:w="55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1"/>
        </w:trPr>
        <w:tc>
          <w:tcPr>
            <w:tcW w:w="5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ind w:right="554"/>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gridSpan w:val="2"/>
          </w:tcPr>
          <w:p>
            <w:pPr>
              <w:ind w:left="40"/>
              <w:spacing w:after="0"/>
              <w:rPr>
                <w:sz w:val="20"/>
                <w:szCs w:val="20"/>
                <w:color w:val="auto"/>
              </w:rPr>
            </w:pPr>
            <w:r>
              <w:rPr>
                <w:rFonts w:ascii="Arial" w:cs="Arial" w:eastAsia="Arial" w:hAnsi="Arial"/>
                <w:sz w:val="16"/>
                <w:szCs w:val="16"/>
                <w:b w:val="1"/>
                <w:bCs w:val="1"/>
                <w:color w:val="auto"/>
              </w:rPr>
              <w:t>% of Revenue</w:t>
            </w:r>
          </w:p>
        </w:tc>
        <w:tc>
          <w:tcPr>
            <w:tcW w:w="380" w:type="dxa"/>
            <w:vAlign w:val="bottom"/>
          </w:tcPr>
          <w:p>
            <w:pPr>
              <w:spacing w:after="0"/>
              <w:rPr>
                <w:sz w:val="20"/>
                <w:szCs w:val="20"/>
                <w:color w:val="auto"/>
              </w:rPr>
            </w:pPr>
          </w:p>
        </w:tc>
        <w:tc>
          <w:tcPr>
            <w:tcW w:w="900" w:type="dxa"/>
            <w:vAlign w:val="bottom"/>
          </w:tcPr>
          <w:p>
            <w:pPr>
              <w:jc w:val="right"/>
              <w:ind w:right="472"/>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jc w:val="right"/>
              <w:ind w:right="139"/>
              <w:spacing w:after="0"/>
              <w:rPr>
                <w:sz w:val="20"/>
                <w:szCs w:val="20"/>
                <w:color w:val="auto"/>
              </w:rPr>
            </w:pPr>
            <w:r>
              <w:rPr>
                <w:rFonts w:ascii="Arial" w:cs="Arial" w:eastAsia="Arial" w:hAnsi="Arial"/>
                <w:sz w:val="16"/>
                <w:szCs w:val="16"/>
                <w:b w:val="1"/>
                <w:bCs w:val="1"/>
                <w:color w:val="auto"/>
              </w:rPr>
              <w:t>% of Revenue</w:t>
            </w:r>
          </w:p>
        </w:tc>
      </w:tr>
      <w:tr>
        <w:trPr>
          <w:trHeight w:val="33"/>
        </w:trPr>
        <w:tc>
          <w:tcPr>
            <w:tcW w:w="55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Domestic</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281.6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193.3</w:t>
            </w:r>
          </w:p>
        </w:tc>
        <w:tc>
          <w:tcPr>
            <w:tcW w:w="16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78%</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International</w:t>
            </w:r>
          </w:p>
        </w:tc>
        <w:tc>
          <w:tcPr>
            <w:tcW w:w="38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90.4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54.4</w:t>
            </w:r>
          </w:p>
        </w:tc>
        <w:tc>
          <w:tcPr>
            <w:tcW w:w="1620" w:type="dxa"/>
            <w:vAlign w:val="bottom"/>
            <w:gridSpan w:val="3"/>
          </w:tcPr>
          <w:p>
            <w:pPr>
              <w:jc w:val="right"/>
              <w:spacing w:after="0"/>
              <w:rPr>
                <w:sz w:val="20"/>
                <w:szCs w:val="20"/>
                <w:color w:val="auto"/>
              </w:rPr>
            </w:pPr>
            <w:r>
              <w:rPr>
                <w:rFonts w:ascii="Arial" w:cs="Arial" w:eastAsia="Arial" w:hAnsi="Arial"/>
                <w:sz w:val="18"/>
                <w:szCs w:val="18"/>
                <w:color w:val="auto"/>
              </w:rPr>
              <w:t>22%</w:t>
            </w:r>
          </w:p>
        </w:tc>
      </w:tr>
      <w:tr>
        <w:trPr>
          <w:trHeight w:val="27"/>
        </w:trPr>
        <w:tc>
          <w:tcPr>
            <w:tcW w:w="55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57"/>
        </w:trPr>
        <w:tc>
          <w:tcPr>
            <w:tcW w:w="5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Revenue</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372.0</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247.7</w:t>
            </w:r>
          </w:p>
        </w:tc>
        <w:tc>
          <w:tcPr>
            <w:tcW w:w="1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for the periods indicated, total revenue by product line as a percentage of total revenue: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980" w:type="dxa"/>
            <w:vAlign w:val="bottom"/>
            <w:gridSpan w:val="4"/>
          </w:tcPr>
          <w:p>
            <w:pPr>
              <w:jc w:val="center"/>
              <w:spacing w:after="0"/>
              <w:rPr>
                <w:sz w:val="20"/>
                <w:szCs w:val="20"/>
                <w:color w:val="auto"/>
              </w:rPr>
            </w:pPr>
            <w:r>
              <w:rPr>
                <w:rFonts w:ascii="Arial" w:cs="Arial" w:eastAsia="Arial" w:hAnsi="Arial"/>
                <w:sz w:val="16"/>
                <w:szCs w:val="16"/>
                <w:b w:val="1"/>
                <w:bCs w:val="1"/>
                <w:color w:val="auto"/>
                <w:w w:val="90"/>
              </w:rPr>
              <w:t>Three months ended</w:t>
            </w:r>
          </w:p>
        </w:tc>
        <w:tc>
          <w:tcPr>
            <w:tcW w:w="0" w:type="dxa"/>
            <w:vAlign w:val="bottom"/>
          </w:tcPr>
          <w:p>
            <w:pPr>
              <w:spacing w:after="0"/>
              <w:rPr>
                <w:sz w:val="1"/>
                <w:szCs w:val="1"/>
                <w:color w:val="auto"/>
              </w:rPr>
            </w:pPr>
          </w:p>
        </w:tc>
      </w:tr>
      <w:tr>
        <w:trPr>
          <w:trHeight w:val="210"/>
        </w:trPr>
        <w:tc>
          <w:tcPr>
            <w:tcW w:w="8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gridSpan w:val="3"/>
          </w:tcPr>
          <w:p>
            <w:pPr>
              <w:jc w:val="center"/>
              <w:ind w:left="953"/>
              <w:spacing w:after="0"/>
              <w:rPr>
                <w:sz w:val="20"/>
                <w:szCs w:val="20"/>
                <w:color w:val="auto"/>
              </w:rPr>
            </w:pPr>
            <w:r>
              <w:rPr>
                <w:rFonts w:ascii="Arial" w:cs="Arial" w:eastAsia="Arial" w:hAnsi="Arial"/>
                <w:sz w:val="16"/>
                <w:szCs w:val="16"/>
                <w:b w:val="1"/>
                <w:bCs w:val="1"/>
                <w:color w:val="auto"/>
                <w:w w:val="94"/>
              </w:rPr>
              <w:t>March 31,</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844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Product line</w:t>
            </w: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8440" w:type="dxa"/>
            <w:vAlign w:val="bottom"/>
            <w:gridSpan w:val="2"/>
            <w:vMerge w:val="continue"/>
          </w:tcPr>
          <w:p>
            <w:pPr>
              <w:spacing w:after="0"/>
              <w:rPr>
                <w:sz w:val="20"/>
                <w:szCs w:val="20"/>
                <w:color w:val="auto"/>
              </w:rPr>
            </w:pPr>
          </w:p>
        </w:tc>
        <w:tc>
          <w:tcPr>
            <w:tcW w:w="1440" w:type="dxa"/>
            <w:vAlign w:val="bottom"/>
          </w:tcPr>
          <w:p>
            <w:pPr>
              <w:jc w:val="right"/>
              <w:ind w:right="473"/>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jc w:val="right"/>
              <w:ind w:right="471"/>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33"/>
        </w:trPr>
        <w:tc>
          <w:tcPr>
            <w:tcW w:w="8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Infusion Consumables</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3"/>
        </w:trPr>
        <w:tc>
          <w:tcPr>
            <w:tcW w:w="8440" w:type="dxa"/>
            <w:vAlign w:val="bottom"/>
            <w:gridSpan w:val="2"/>
          </w:tcPr>
          <w:p>
            <w:pPr>
              <w:ind w:left="40"/>
              <w:spacing w:after="0"/>
              <w:rPr>
                <w:sz w:val="20"/>
                <w:szCs w:val="20"/>
                <w:color w:val="auto"/>
              </w:rPr>
            </w:pPr>
            <w:r>
              <w:rPr>
                <w:rFonts w:ascii="Arial" w:cs="Arial" w:eastAsia="Arial" w:hAnsi="Arial"/>
                <w:sz w:val="18"/>
                <w:szCs w:val="18"/>
                <w:color w:val="auto"/>
              </w:rPr>
              <w:t>IV Solutions</w:t>
            </w:r>
          </w:p>
        </w:tc>
        <w:tc>
          <w:tcPr>
            <w:tcW w:w="144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Infusion Systems</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43"/>
        </w:trPr>
        <w:tc>
          <w:tcPr>
            <w:tcW w:w="8440" w:type="dxa"/>
            <w:vAlign w:val="bottom"/>
            <w:gridSpan w:val="2"/>
          </w:tcPr>
          <w:p>
            <w:pPr>
              <w:ind w:left="40"/>
              <w:spacing w:after="0"/>
              <w:rPr>
                <w:sz w:val="20"/>
                <w:szCs w:val="20"/>
                <w:color w:val="auto"/>
              </w:rPr>
            </w:pPr>
            <w:r>
              <w:rPr>
                <w:rFonts w:ascii="Arial" w:cs="Arial" w:eastAsia="Arial" w:hAnsi="Arial"/>
                <w:sz w:val="18"/>
                <w:szCs w:val="18"/>
                <w:color w:val="auto"/>
              </w:rPr>
              <w:t>Critical Care</w:t>
            </w:r>
          </w:p>
        </w:tc>
        <w:tc>
          <w:tcPr>
            <w:tcW w:w="144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980" w:type="dxa"/>
            <w:vAlign w:val="bottom"/>
            <w:tcBorders>
              <w:bottom w:val="single" w:sz="8" w:color="CCEEFF"/>
            </w:tcBorders>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7"/>
        </w:trPr>
        <w:tc>
          <w:tcPr>
            <w:tcW w:w="8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We manage our product distribution in the U.S. through a network of three owned distribution facilities, as well as, through direct channels, which include independent distributors and the end users of our products, and as original equipment manufacturer suppliers. Most of our independent distributors handle the full line of our products. Internationally, we manage our operations through the Netherlands, which utilizes international regional hubs and we also manage our operations through independent distributors.</w:t>
      </w:r>
    </w:p>
    <w:p>
      <w:pPr>
        <w:spacing w:after="0" w:line="187"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A substantial amount of our products are sold to GPO member hospitals. We believe that as healthcare providers continue to either consolidate or join major buying organizations, the success of our products will depend, in part, on our</w:t>
      </w:r>
    </w:p>
    <w:p>
      <w:pPr>
        <w:sectPr>
          <w:pgSz w:w="11900" w:h="16838" w:orient="portrait"/>
          <w:cols w:equalWidth="0" w:num="1">
            <w:col w:w="11420"/>
          </w:cols>
          <w:pgMar w:left="240" w:top="125"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125" w:right="239" w:bottom="1440" w:gutter="0" w:footer="0" w:header="0"/>
          <w:type w:val="continuous"/>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ability, either independently or through strategic relationships to secure long-term contracts with large healthcare providers and major buying organizations. As a result of this marketing and distribution strategy we derive most of our revenue from a relatively small number of distributors and manufacturers. Although we believe that we are not dependent on any single distributor for distribution of our products, the loss of a strategic relationship with a customer or a decline in demand for manufacturing customers' products could have a material adverse effect on our operating results.</w:t>
      </w:r>
    </w:p>
    <w:p>
      <w:pPr>
        <w:spacing w:after="0" w:line="154" w:lineRule="exact"/>
        <w:rPr>
          <w:sz w:val="20"/>
          <w:szCs w:val="20"/>
          <w:color w:val="auto"/>
        </w:rPr>
      </w:pPr>
    </w:p>
    <w:p>
      <w:pPr>
        <w:jc w:val="both"/>
        <w:ind w:right="80" w:firstLine="648"/>
        <w:spacing w:after="0" w:line="288" w:lineRule="auto"/>
        <w:rPr>
          <w:sz w:val="20"/>
          <w:szCs w:val="20"/>
          <w:color w:val="auto"/>
        </w:rPr>
      </w:pPr>
      <w:r>
        <w:rPr>
          <w:rFonts w:ascii="Arial" w:cs="Arial" w:eastAsia="Arial" w:hAnsi="Arial"/>
          <w:sz w:val="16"/>
          <w:szCs w:val="16"/>
          <w:color w:val="auto"/>
        </w:rPr>
        <w:t>We believe that achievement of our growth objectives worldwide will require increased efforts by us in sales and marketing and product acquisition and development; however, there is no assurance that we will be successful in implementing our growth strategy. Product development or acquisition efforts may not succeed, and even if we do develop or acquire additional products, there is no assurance that we will achieve profitable sales of such products.</w:t>
      </w:r>
    </w:p>
    <w:p>
      <w:pPr>
        <w:ind w:right="280"/>
        <w:spacing w:after="0" w:line="255" w:lineRule="auto"/>
        <w:rPr>
          <w:sz w:val="20"/>
          <w:szCs w:val="20"/>
          <w:color w:val="auto"/>
        </w:rPr>
      </w:pPr>
      <w:r>
        <w:rPr>
          <w:rFonts w:ascii="Arial" w:cs="Arial" w:eastAsia="Arial" w:hAnsi="Arial"/>
          <w:sz w:val="18"/>
          <w:szCs w:val="18"/>
          <w:color w:val="auto"/>
        </w:rPr>
        <w:t>Increased expenditures for sales and marketing and product acquisition and development may not yield desired results when expected, or at all. While we have taken steps to control these risks, there are certain risks that may be outside of our control, and there is no assurance that steps we have taken will succeed.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Seasonality/Quarterly Results</w:t>
      </w:r>
    </w:p>
    <w:p>
      <w:pPr>
        <w:spacing w:after="0" w:line="229" w:lineRule="exact"/>
        <w:rPr>
          <w:sz w:val="20"/>
          <w:szCs w:val="20"/>
          <w:color w:val="auto"/>
        </w:rPr>
      </w:pPr>
    </w:p>
    <w:p>
      <w:pPr>
        <w:jc w:val="both"/>
        <w:ind w:right="40" w:firstLine="648"/>
        <w:spacing w:after="0" w:line="312" w:lineRule="auto"/>
        <w:rPr>
          <w:sz w:val="20"/>
          <w:szCs w:val="20"/>
          <w:color w:val="auto"/>
        </w:rPr>
      </w:pPr>
      <w:r>
        <w:rPr>
          <w:rFonts w:ascii="Arial" w:cs="Arial" w:eastAsia="Arial" w:hAnsi="Arial"/>
          <w:sz w:val="16"/>
          <w:szCs w:val="16"/>
          <w:color w:val="auto"/>
        </w:rPr>
        <w:t>There are no significant seasonal aspects to our business. We can experience fluctuations in net sales as a result of variations in the ordering patterns of our largest customers, which may be driven more by production scheduling and their inventory levels, and less by seasonality. Our expenses often do not fluctuate in the same manner as net sales, which may cause fluctuations in operating income that are disproportionate to fluctuations in our revenue.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229"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On February 1, 2017, we acquired 100% interest in Fannin for total consideration of approximately $1.5 million. Fannin provides infusion therapy consumable products to the healthcare sector in the United Kingdom and Ireland.</w:t>
      </w:r>
    </w:p>
    <w:p>
      <w:pPr>
        <w:spacing w:after="0" w:line="170"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On February 3, 2017, we acquired 100% interest in Pfizer's HIS business for total cash consideration of approximately $255.8 million (net of estimated working capital adjustments paid at closing), which was financed with existing cash balances and a $75 million three-year interest-only seller note. We also issued 3.2 million shares of our common stock. The fair value of the common shares issued to Pfizer was determined based on the closing price of our common shares on the issuance date, discounted to reflect a contractual lock-up period whereby Pfizer cannot transfer the shares, subject to certain exceptions, until the earlier of (i) the expiration of Pfizer’s services to us in the related transitional services agreement or (ii) eighteen months.</w:t>
      </w:r>
    </w:p>
    <w:p>
      <w:pPr>
        <w:spacing w:after="0" w:line="158"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On November 29, 2017, we acquired Medical Australia for total consideration of $9.0 million. Medical Australia delivers similar consumable Infusion products as our current businesses to Australia and surrounding regions.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125" w:right="27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229"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We present income statement data in Part I, Item 1 - Financial Statements. The following table shows, for the three months ended March 31, 2018 and 2017, the percentages of each income statement caption in relation to total revenue:</w:t>
      </w:r>
    </w:p>
    <w:p>
      <w:pPr>
        <w:spacing w:after="0" w:line="329" w:lineRule="exact"/>
        <w:rPr>
          <w:sz w:val="20"/>
          <w:szCs w:val="20"/>
          <w:color w:val="auto"/>
        </w:rPr>
      </w:pPr>
    </w:p>
    <w:p>
      <w:pPr>
        <w:ind w:left="910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ind w:left="952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5313680</wp:posOffset>
            </wp:positionH>
            <wp:positionV relativeFrom="paragraph">
              <wp:posOffset>22860</wp:posOffset>
            </wp:positionV>
            <wp:extent cx="19380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938020"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300" w:type="dxa"/>
            <w:vAlign w:val="bottom"/>
            <w:gridSpan w:val="2"/>
          </w:tcPr>
          <w:p>
            <w:pPr>
              <w:ind w:left="8920"/>
              <w:spacing w:after="0"/>
              <w:rPr>
                <w:sz w:val="20"/>
                <w:szCs w:val="20"/>
                <w:color w:val="auto"/>
              </w:rPr>
            </w:pPr>
            <w:r>
              <w:rPr>
                <w:rFonts w:ascii="Arial" w:cs="Arial" w:eastAsia="Arial" w:hAnsi="Arial"/>
                <w:sz w:val="18"/>
                <w:szCs w:val="18"/>
                <w:b w:val="1"/>
                <w:bCs w:val="1"/>
                <w:color w:val="auto"/>
                <w:w w:val="89"/>
              </w:rPr>
              <w:t>2018</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r>
      <w:tr>
        <w:trPr>
          <w:trHeight w:val="27"/>
        </w:trPr>
        <w:tc>
          <w:tcPr>
            <w:tcW w:w="836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9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43"/>
        </w:trPr>
        <w:tc>
          <w:tcPr>
            <w:tcW w:w="9300" w:type="dxa"/>
            <w:vAlign w:val="bottom"/>
            <w:gridSpan w:val="2"/>
          </w:tcPr>
          <w:p>
            <w:pPr>
              <w:ind w:left="40"/>
              <w:spacing w:after="0"/>
              <w:rPr>
                <w:sz w:val="20"/>
                <w:szCs w:val="20"/>
                <w:color w:val="auto"/>
              </w:rPr>
            </w:pPr>
            <w:r>
              <w:rPr>
                <w:rFonts w:ascii="Arial" w:cs="Arial" w:eastAsia="Arial" w:hAnsi="Arial"/>
                <w:sz w:val="18"/>
                <w:szCs w:val="18"/>
                <w:color w:val="auto"/>
              </w:rPr>
              <w:t>Gross margin</w:t>
            </w:r>
          </w:p>
        </w:tc>
        <w:tc>
          <w:tcPr>
            <w:tcW w:w="540" w:type="dxa"/>
            <w:vAlign w:val="bottom"/>
          </w:tcPr>
          <w:p>
            <w:pPr>
              <w:jc w:val="right"/>
              <w:spacing w:after="0"/>
              <w:rPr>
                <w:sz w:val="20"/>
                <w:szCs w:val="20"/>
                <w:color w:val="auto"/>
              </w:rPr>
            </w:pPr>
            <w:r>
              <w:rPr>
                <w:rFonts w:ascii="Arial" w:cs="Arial" w:eastAsia="Arial" w:hAnsi="Arial"/>
                <w:sz w:val="18"/>
                <w:szCs w:val="18"/>
                <w:color w:val="auto"/>
              </w:rPr>
              <w:t>40 %</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36 %</w:t>
            </w:r>
          </w:p>
        </w:tc>
      </w:tr>
      <w:tr>
        <w:trPr>
          <w:trHeight w:val="27"/>
        </w:trPr>
        <w:tc>
          <w:tcPr>
            <w:tcW w:w="8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93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 expenses</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23 %</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26 %</w:t>
            </w:r>
          </w:p>
        </w:tc>
      </w:tr>
      <w:tr>
        <w:trPr>
          <w:trHeight w:val="243"/>
        </w:trPr>
        <w:tc>
          <w:tcPr>
            <w:tcW w:w="9300" w:type="dxa"/>
            <w:vAlign w:val="bottom"/>
            <w:gridSpan w:val="2"/>
          </w:tcPr>
          <w:p>
            <w:pPr>
              <w:ind w:left="180"/>
              <w:spacing w:after="0"/>
              <w:rPr>
                <w:sz w:val="20"/>
                <w:szCs w:val="20"/>
                <w:color w:val="auto"/>
              </w:rPr>
            </w:pPr>
            <w:r>
              <w:rPr>
                <w:rFonts w:ascii="Arial" w:cs="Arial" w:eastAsia="Arial" w:hAnsi="Arial"/>
                <w:sz w:val="18"/>
                <w:szCs w:val="18"/>
                <w:color w:val="auto"/>
              </w:rPr>
              <w:t>Research and development expenses</w:t>
            </w:r>
          </w:p>
        </w:tc>
        <w:tc>
          <w:tcPr>
            <w:tcW w:w="540" w:type="dxa"/>
            <w:vAlign w:val="bottom"/>
          </w:tcPr>
          <w:p>
            <w:pPr>
              <w:jc w:val="right"/>
              <w:spacing w:after="0"/>
              <w:rPr>
                <w:sz w:val="20"/>
                <w:szCs w:val="20"/>
                <w:color w:val="auto"/>
              </w:rPr>
            </w:pPr>
            <w:r>
              <w:rPr>
                <w:rFonts w:ascii="Arial" w:cs="Arial" w:eastAsia="Arial" w:hAnsi="Arial"/>
                <w:sz w:val="18"/>
                <w:szCs w:val="18"/>
                <w:color w:val="auto"/>
              </w:rPr>
              <w:t>3 %</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5 %</w:t>
            </w:r>
          </w:p>
        </w:tc>
      </w:tr>
      <w:tr>
        <w:trPr>
          <w:trHeight w:val="27"/>
        </w:trPr>
        <w:tc>
          <w:tcPr>
            <w:tcW w:w="8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93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Restructuring and strategic transaction</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12 %</w:t>
            </w:r>
          </w:p>
        </w:tc>
      </w:tr>
      <w:tr>
        <w:trPr>
          <w:trHeight w:val="243"/>
        </w:trPr>
        <w:tc>
          <w:tcPr>
            <w:tcW w:w="9300" w:type="dxa"/>
            <w:vAlign w:val="bottom"/>
            <w:gridSpan w:val="2"/>
          </w:tcPr>
          <w:p>
            <w:pPr>
              <w:ind w:left="180"/>
              <w:spacing w:after="0"/>
              <w:rPr>
                <w:sz w:val="20"/>
                <w:szCs w:val="20"/>
                <w:color w:val="auto"/>
              </w:rPr>
            </w:pPr>
            <w:r>
              <w:rPr>
                <w:rFonts w:ascii="Arial" w:cs="Arial" w:eastAsia="Arial" w:hAnsi="Arial"/>
                <w:sz w:val="18"/>
                <w:szCs w:val="18"/>
                <w:color w:val="auto"/>
              </w:rPr>
              <w:t>Change in fair value of contingent earn-out</w:t>
            </w:r>
          </w:p>
        </w:tc>
        <w:tc>
          <w:tcPr>
            <w:tcW w:w="5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8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93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Contract settlement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43"/>
        </w:trPr>
        <w:tc>
          <w:tcPr>
            <w:tcW w:w="9300" w:type="dxa"/>
            <w:vAlign w:val="bottom"/>
            <w:gridSpan w:val="2"/>
          </w:tcPr>
          <w:p>
            <w:pPr>
              <w:ind w:left="180"/>
              <w:spacing w:after="0"/>
              <w:rPr>
                <w:sz w:val="20"/>
                <w:szCs w:val="20"/>
                <w:color w:val="auto"/>
              </w:rPr>
            </w:pPr>
            <w:r>
              <w:rPr>
                <w:rFonts w:ascii="Arial" w:cs="Arial" w:eastAsia="Arial" w:hAnsi="Arial"/>
                <w:sz w:val="18"/>
                <w:szCs w:val="18"/>
                <w:color w:val="auto"/>
              </w:rPr>
              <w:t>Impairment of assets held for sale</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 %</w:t>
            </w:r>
          </w:p>
        </w:tc>
        <w:tc>
          <w:tcPr>
            <w:tcW w:w="148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836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4"/>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9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39 %</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43 %</w:t>
            </w: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Income (loss) from operations</w:t>
            </w:r>
          </w:p>
        </w:tc>
        <w:tc>
          <w:tcPr>
            <w:tcW w:w="94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1 %</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w:t>
            </w:r>
          </w:p>
        </w:tc>
      </w:tr>
      <w:tr>
        <w:trPr>
          <w:trHeight w:val="27"/>
        </w:trPr>
        <w:tc>
          <w:tcPr>
            <w:tcW w:w="8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93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Bargain purchase gain</w:t>
            </w: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 %</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26 %</w:t>
            </w:r>
          </w:p>
        </w:tc>
      </w:tr>
      <w:tr>
        <w:trPr>
          <w:trHeight w:val="243"/>
        </w:trPr>
        <w:tc>
          <w:tcPr>
            <w:tcW w:w="9300" w:type="dxa"/>
            <w:vAlign w:val="bottom"/>
            <w:gridSpan w:val="2"/>
          </w:tcPr>
          <w:p>
            <w:pPr>
              <w:ind w:left="180"/>
              <w:spacing w:after="0"/>
              <w:rPr>
                <w:sz w:val="20"/>
                <w:szCs w:val="20"/>
                <w:color w:val="auto"/>
              </w:rPr>
            </w:pPr>
            <w:r>
              <w:rPr>
                <w:rFonts w:ascii="Arial" w:cs="Arial" w:eastAsia="Arial" w:hAnsi="Arial"/>
                <w:sz w:val="18"/>
                <w:szCs w:val="18"/>
                <w:color w:val="auto"/>
              </w:rPr>
              <w:t>Interest expense</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 %</w:t>
            </w:r>
          </w:p>
        </w:tc>
        <w:tc>
          <w:tcPr>
            <w:tcW w:w="148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8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income, net</w:t>
            </w:r>
          </w:p>
        </w:tc>
        <w:tc>
          <w:tcPr>
            <w:tcW w:w="9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 %</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94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1 %</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19 %</w:t>
            </w:r>
          </w:p>
        </w:tc>
      </w:tr>
      <w:tr>
        <w:trPr>
          <w:trHeight w:val="27"/>
        </w:trPr>
        <w:tc>
          <w:tcPr>
            <w:tcW w:w="8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Benefit for income taxes</w:t>
            </w:r>
          </w:p>
        </w:tc>
        <w:tc>
          <w:tcPr>
            <w:tcW w:w="9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 %</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57"/>
        </w:trPr>
        <w:tc>
          <w:tcPr>
            <w:tcW w:w="83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940" w:type="dxa"/>
            <w:vAlign w:val="bottom"/>
            <w:tcBorders>
              <w:top w:val="single" w:sz="8" w:color="auto"/>
              <w:bottom w:val="single" w:sz="8" w:color="auto"/>
            </w:tcBorders>
          </w:tcPr>
          <w:p>
            <w:pPr>
              <w:spacing w:after="0"/>
              <w:rPr>
                <w:sz w:val="22"/>
                <w:szCs w:val="22"/>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1 %</w:t>
            </w:r>
          </w:p>
        </w:tc>
        <w:tc>
          <w:tcPr>
            <w:tcW w:w="10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23 %</w:t>
            </w:r>
          </w:p>
        </w:tc>
      </w:tr>
      <w:tr>
        <w:trPr>
          <w:trHeight w:val="20"/>
        </w:trPr>
        <w:tc>
          <w:tcPr>
            <w:tcW w:w="83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Infusion Consumables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total Infusion Consumables revenue (in millions):</w:t>
      </w:r>
    </w:p>
    <w:p>
      <w:pPr>
        <w:spacing w:after="0" w:line="388" w:lineRule="exact"/>
        <w:rPr>
          <w:sz w:val="20"/>
          <w:szCs w:val="20"/>
          <w:color w:val="auto"/>
        </w:rPr>
      </w:pPr>
    </w:p>
    <w:p>
      <w:pPr>
        <w:ind w:left="872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ind w:left="908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33020</wp:posOffset>
            </wp:positionV>
            <wp:extent cx="252984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ind w:right="21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19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spacing w:after="0"/>
              <w:rPr>
                <w:sz w:val="20"/>
                <w:szCs w:val="20"/>
                <w:color w:val="auto"/>
              </w:rPr>
            </w:pPr>
            <w:r>
              <w:rPr>
                <w:rFonts w:ascii="Arial" w:cs="Arial" w:eastAsia="Arial" w:hAnsi="Arial"/>
                <w:sz w:val="16"/>
                <w:szCs w:val="16"/>
                <w:b w:val="1"/>
                <w:bCs w:val="1"/>
                <w:color w:val="auto"/>
              </w:rPr>
              <w:t>$ Change</w:t>
            </w: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 Change</w:t>
            </w:r>
          </w:p>
        </w:tc>
      </w:tr>
      <w:tr>
        <w:trPr>
          <w:trHeight w:val="33"/>
        </w:trPr>
        <w:tc>
          <w:tcPr>
            <w:tcW w:w="74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7"/>
        </w:trPr>
        <w:tc>
          <w:tcPr>
            <w:tcW w:w="7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Infusion Consumables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119.9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75.7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44.2</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58.4%</w:t>
            </w:r>
          </w:p>
        </w:tc>
      </w:tr>
      <w:tr>
        <w:trPr>
          <w:trHeight w:val="33"/>
        </w:trPr>
        <w:tc>
          <w:tcPr>
            <w:tcW w:w="74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Infusion Consumables sales increased in the first quarter of 2018, as compared to the same period in the prior year, primarily due to the timing of the close of the 2017 HIS acquisition. The three months ended March 31, 2017 includes approximately two months of revenue from the point of closing of the transaction to the end of the quarter.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IV Solutions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total IV Solutions revenue (in millions):</w:t>
      </w:r>
    </w:p>
    <w:p>
      <w:pPr>
        <w:spacing w:after="0" w:line="388" w:lineRule="exact"/>
        <w:rPr>
          <w:sz w:val="20"/>
          <w:szCs w:val="20"/>
          <w:color w:val="auto"/>
        </w:rPr>
      </w:pPr>
    </w:p>
    <w:p>
      <w:pPr>
        <w:ind w:left="872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ind w:left="908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33020</wp:posOffset>
            </wp:positionV>
            <wp:extent cx="252984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ind w:right="21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ind w:right="19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ind w:left="20"/>
              <w:spacing w:after="0"/>
              <w:rPr>
                <w:sz w:val="20"/>
                <w:szCs w:val="20"/>
                <w:color w:val="auto"/>
              </w:rPr>
            </w:pPr>
            <w:r>
              <w:rPr>
                <w:rFonts w:ascii="Arial" w:cs="Arial" w:eastAsia="Arial" w:hAnsi="Arial"/>
                <w:sz w:val="16"/>
                <w:szCs w:val="16"/>
                <w:b w:val="1"/>
                <w:bCs w:val="1"/>
                <w:color w:val="auto"/>
              </w:rPr>
              <w:t>$ Change</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 Change</w:t>
            </w:r>
          </w:p>
        </w:tc>
      </w:tr>
      <w:tr>
        <w:trPr>
          <w:trHeight w:val="33"/>
        </w:trPr>
        <w:tc>
          <w:tcPr>
            <w:tcW w:w="74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17"/>
        </w:trPr>
        <w:tc>
          <w:tcPr>
            <w:tcW w:w="7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IV Solutions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144.4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97.4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47.0</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48.3</w:t>
            </w:r>
          </w:p>
        </w:tc>
      </w:tr>
      <w:tr>
        <w:trPr>
          <w:trHeight w:val="33"/>
        </w:trPr>
        <w:tc>
          <w:tcPr>
            <w:tcW w:w="74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IV Solutions sales increased in the first quarter of 2018, as compared to the same period in the prior year, due to the timing of the HIS acquisition, as well as increased demand due to market shortages. The three months ended March 31, 2017 includes approximately two months of revenue from the point of closing of the transaction to the end of the quarter.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Infusion Systems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total Infusion Systems revenue (in millions):</w:t>
      </w:r>
    </w:p>
    <w:p>
      <w:pPr>
        <w:spacing w:after="0" w:line="388" w:lineRule="exact"/>
        <w:rPr>
          <w:sz w:val="20"/>
          <w:szCs w:val="20"/>
          <w:color w:val="auto"/>
        </w:rPr>
      </w:pPr>
    </w:p>
    <w:p>
      <w:pPr>
        <w:ind w:left="872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ind w:left="908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33020</wp:posOffset>
            </wp:positionV>
            <wp:extent cx="252984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ind w:right="21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ind w:right="19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ind w:left="20"/>
              <w:spacing w:after="0"/>
              <w:rPr>
                <w:sz w:val="20"/>
                <w:szCs w:val="20"/>
                <w:color w:val="auto"/>
              </w:rPr>
            </w:pPr>
            <w:r>
              <w:rPr>
                <w:rFonts w:ascii="Arial" w:cs="Arial" w:eastAsia="Arial" w:hAnsi="Arial"/>
                <w:sz w:val="16"/>
                <w:szCs w:val="16"/>
                <w:b w:val="1"/>
                <w:bCs w:val="1"/>
                <w:color w:val="auto"/>
              </w:rPr>
              <w:t>$ Change</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 Change</w:t>
            </w:r>
          </w:p>
        </w:tc>
      </w:tr>
      <w:tr>
        <w:trPr>
          <w:trHeight w:val="33"/>
        </w:trPr>
        <w:tc>
          <w:tcPr>
            <w:tcW w:w="74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17"/>
        </w:trPr>
        <w:tc>
          <w:tcPr>
            <w:tcW w:w="7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Infusion Systems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93.4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46.7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46.7</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r>
      <w:tr>
        <w:trPr>
          <w:trHeight w:val="33"/>
        </w:trPr>
        <w:tc>
          <w:tcPr>
            <w:tcW w:w="74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Infusion Systems revenue increased for the three months ended March 31, 2018, as compared to the same period in the prior year, primarily due to the revenue related to certain foreign jurisdiction HIS entities that had deferred closes during 2017. The revenue related to these deferred close entities for the three months ended March 31, 2017 was included in our "Other Revenue", see below, as we were unable to allocate the revenue to a specific product line. In addition, the three months ended March 31, 2017 includes approximately two months of revenue from the point of closing of the HIS transaction to the end of the quarter.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Care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total Critical Care revenue (in millions):</w:t>
      </w:r>
    </w:p>
    <w:p>
      <w:pPr>
        <w:spacing w:after="0" w:line="388" w:lineRule="exact"/>
        <w:rPr>
          <w:sz w:val="20"/>
          <w:szCs w:val="20"/>
          <w:color w:val="auto"/>
        </w:rPr>
      </w:pPr>
    </w:p>
    <w:p>
      <w:pPr>
        <w:ind w:left="872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ind w:left="908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33020</wp:posOffset>
            </wp:positionV>
            <wp:extent cx="252984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ind w:right="21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19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spacing w:after="0"/>
              <w:rPr>
                <w:sz w:val="20"/>
                <w:szCs w:val="20"/>
                <w:color w:val="auto"/>
              </w:rPr>
            </w:pPr>
            <w:r>
              <w:rPr>
                <w:rFonts w:ascii="Arial" w:cs="Arial" w:eastAsia="Arial" w:hAnsi="Arial"/>
                <w:sz w:val="16"/>
                <w:szCs w:val="16"/>
                <w:b w:val="1"/>
                <w:bCs w:val="1"/>
                <w:color w:val="auto"/>
              </w:rPr>
              <w:t>$ Change</w:t>
            </w: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 Change</w:t>
            </w:r>
          </w:p>
        </w:tc>
      </w:tr>
      <w:tr>
        <w:trPr>
          <w:trHeight w:val="33"/>
        </w:trPr>
        <w:tc>
          <w:tcPr>
            <w:tcW w:w="74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7"/>
        </w:trPr>
        <w:tc>
          <w:tcPr>
            <w:tcW w:w="7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Critical Care</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w:t>
            </w:r>
          </w:p>
        </w:tc>
      </w:tr>
      <w:tr>
        <w:trPr>
          <w:trHeight w:val="33"/>
        </w:trPr>
        <w:tc>
          <w:tcPr>
            <w:tcW w:w="74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Revenue</w:t>
      </w:r>
    </w:p>
    <w:p>
      <w:pPr>
        <w:spacing w:after="0" w:line="225"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As mentioned above, as part of the 2017 HIS business acquisition the closing of certain HIS foreign jurisdiction entities were deferred. For the three months ended March 31, 2017, the revenue data related to these deferred closing entities was not available by product line, therefore our other revenue below includes the revenue related to these entities. As of December 31, 2017, all of the deferred closing entities were effectively closed resulting in the ability to allocate all of the revenue to a specific product line for the three months ended March 31, 2018.</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total Other Revenue (in millions):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7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60" w:type="dxa"/>
            <w:vAlign w:val="bottom"/>
            <w:gridSpan w:val="4"/>
          </w:tcPr>
          <w:p>
            <w:pPr>
              <w:jc w:val="center"/>
              <w:ind w:right="320"/>
              <w:spacing w:after="0"/>
              <w:rPr>
                <w:sz w:val="20"/>
                <w:szCs w:val="20"/>
                <w:color w:val="auto"/>
              </w:rPr>
            </w:pPr>
            <w:r>
              <w:rPr>
                <w:rFonts w:ascii="Arial" w:cs="Arial" w:eastAsia="Arial" w:hAnsi="Arial"/>
                <w:sz w:val="16"/>
                <w:szCs w:val="16"/>
                <w:b w:val="1"/>
                <w:bCs w:val="1"/>
                <w:color w:val="auto"/>
                <w:w w:val="90"/>
              </w:rPr>
              <w:t>Three months ended</w:t>
            </w:r>
          </w:p>
        </w:tc>
        <w:tc>
          <w:tcPr>
            <w:tcW w:w="900" w:type="dxa"/>
            <w:vAlign w:val="bottom"/>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4"/>
          </w:tcPr>
          <w:p>
            <w:pPr>
              <w:jc w:val="center"/>
              <w:ind w:right="300"/>
              <w:spacing w:after="0"/>
              <w:rPr>
                <w:sz w:val="20"/>
                <w:szCs w:val="20"/>
                <w:color w:val="auto"/>
              </w:rPr>
            </w:pPr>
            <w:r>
              <w:rPr>
                <w:rFonts w:ascii="Arial" w:cs="Arial" w:eastAsia="Arial" w:hAnsi="Arial"/>
                <w:sz w:val="16"/>
                <w:szCs w:val="16"/>
                <w:b w:val="1"/>
                <w:bCs w:val="1"/>
                <w:color w:val="auto"/>
                <w:w w:val="97"/>
              </w:rPr>
              <w:t>March 31,</w:t>
            </w:r>
          </w:p>
        </w:tc>
        <w:tc>
          <w:tcPr>
            <w:tcW w:w="900" w:type="dxa"/>
            <w:vAlign w:val="bottom"/>
          </w:tcPr>
          <w:p>
            <w:pPr>
              <w:spacing w:after="0"/>
              <w:rPr>
                <w:sz w:val="18"/>
                <w:szCs w:val="18"/>
                <w:color w:val="auto"/>
              </w:rPr>
            </w:pPr>
          </w:p>
        </w:tc>
      </w:tr>
      <w:tr>
        <w:trPr>
          <w:trHeight w:val="33"/>
        </w:trPr>
        <w:tc>
          <w:tcPr>
            <w:tcW w:w="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1"/>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ind w:right="21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ind w:right="21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 Change</w:t>
            </w:r>
          </w:p>
        </w:tc>
        <w:tc>
          <w:tcPr>
            <w:tcW w:w="900" w:type="dxa"/>
            <w:vAlign w:val="bottom"/>
          </w:tcPr>
          <w:p>
            <w:pPr>
              <w:jc w:val="center"/>
              <w:spacing w:after="0"/>
              <w:rPr>
                <w:sz w:val="20"/>
                <w:szCs w:val="20"/>
                <w:color w:val="auto"/>
              </w:rPr>
            </w:pPr>
            <w:r>
              <w:rPr>
                <w:rFonts w:ascii="Arial" w:cs="Arial" w:eastAsia="Arial" w:hAnsi="Arial"/>
                <w:sz w:val="16"/>
                <w:szCs w:val="16"/>
                <w:b w:val="1"/>
                <w:bCs w:val="1"/>
                <w:color w:val="auto"/>
                <w:w w:val="95"/>
              </w:rPr>
              <w:t>% Change</w:t>
            </w:r>
          </w:p>
        </w:tc>
      </w:tr>
      <w:tr>
        <w:trPr>
          <w:trHeight w:val="33"/>
        </w:trPr>
        <w:tc>
          <w:tcPr>
            <w:tcW w:w="20" w:type="dxa"/>
            <w:vAlign w:val="bottom"/>
          </w:tcPr>
          <w:p>
            <w:pPr>
              <w:spacing w:after="0"/>
              <w:rPr>
                <w:sz w:val="2"/>
                <w:szCs w:val="2"/>
                <w:color w:val="auto"/>
              </w:rPr>
            </w:pPr>
          </w:p>
        </w:tc>
        <w:tc>
          <w:tcPr>
            <w:tcW w:w="74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Revenue</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15.5</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4"/>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4"/>
              <w:spacing w:after="0"/>
              <w:rPr>
                <w:sz w:val="20"/>
                <w:szCs w:val="20"/>
                <w:color w:val="auto"/>
              </w:rPr>
            </w:pPr>
            <w:r>
              <w:rPr>
                <w:rFonts w:ascii="Arial" w:cs="Arial" w:eastAsia="Arial" w:hAnsi="Arial"/>
                <w:sz w:val="18"/>
                <w:szCs w:val="18"/>
                <w:color w:val="auto"/>
              </w:rPr>
              <w:t>*</w:t>
            </w:r>
          </w:p>
        </w:tc>
      </w:tr>
      <w:tr>
        <w:trPr>
          <w:trHeight w:val="242"/>
        </w:trPr>
        <w:tc>
          <w:tcPr>
            <w:tcW w:w="20" w:type="dxa"/>
            <w:vAlign w:val="bottom"/>
          </w:tcPr>
          <w:p>
            <w:pPr>
              <w:spacing w:after="0"/>
              <w:rPr>
                <w:sz w:val="21"/>
                <w:szCs w:val="21"/>
                <w:color w:val="auto"/>
              </w:rPr>
            </w:pPr>
          </w:p>
        </w:tc>
        <w:tc>
          <w:tcPr>
            <w:tcW w:w="7420" w:type="dxa"/>
            <w:vAlign w:val="bottom"/>
          </w:tcPr>
          <w:p>
            <w:pPr>
              <w:spacing w:after="0" w:line="242" w:lineRule="exact"/>
              <w:rPr>
                <w:sz w:val="20"/>
                <w:szCs w:val="20"/>
                <w:color w:val="auto"/>
              </w:rPr>
            </w:pPr>
            <w:r>
              <w:rPr>
                <w:rFonts w:ascii="Arial" w:cs="Arial" w:eastAsia="Arial" w:hAnsi="Arial"/>
                <w:sz w:val="22"/>
                <w:szCs w:val="22"/>
                <w:color w:val="auto"/>
              </w:rPr>
              <w:t>______________________________</w:t>
            </w: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30"/>
        </w:trPr>
        <w:tc>
          <w:tcPr>
            <w:tcW w:w="7440" w:type="dxa"/>
            <w:vAlign w:val="bottom"/>
            <w:gridSpan w:val="2"/>
          </w:tcPr>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4"/>
                <w:szCs w:val="14"/>
                <w:color w:val="auto"/>
              </w:rPr>
              <w:t>Not meaningful</w:t>
            </w: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Margins</w:t>
      </w:r>
    </w:p>
    <w:p>
      <w:pPr>
        <w:spacing w:after="0" w:line="225"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For the three months ended March 31, 2018 and 2017, gross margins were 40.1% and 35.9% respectively. The increase in gross margin for the three months ended March 31, 2018, as compared to the same period in the prior year is due to the impact of the step-up of inventory from our purchase accounting that impacted the three months ended March 31, 2017.</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(“SG&amp;A”) Expenses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total SG&amp;A Expenses (in millions):</w:t>
      </w:r>
    </w:p>
    <w:p>
      <w:pPr>
        <w:spacing w:after="0" w:line="172" w:lineRule="exact"/>
        <w:rPr>
          <w:sz w:val="20"/>
          <w:szCs w:val="20"/>
          <w:color w:val="auto"/>
        </w:rPr>
      </w:pPr>
    </w:p>
    <w:p>
      <w:pPr>
        <w:ind w:left="870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ind w:left="908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4712970</wp:posOffset>
            </wp:positionH>
            <wp:positionV relativeFrom="paragraph">
              <wp:posOffset>33020</wp:posOffset>
            </wp:positionV>
            <wp:extent cx="253873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19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21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spacing w:after="0"/>
              <w:rPr>
                <w:sz w:val="20"/>
                <w:szCs w:val="20"/>
                <w:color w:val="auto"/>
              </w:rPr>
            </w:pPr>
            <w:r>
              <w:rPr>
                <w:rFonts w:ascii="Arial" w:cs="Arial" w:eastAsia="Arial" w:hAnsi="Arial"/>
                <w:sz w:val="16"/>
                <w:szCs w:val="16"/>
                <w:b w:val="1"/>
                <w:bCs w:val="1"/>
                <w:color w:val="auto"/>
              </w:rPr>
              <w:t>$ Change</w:t>
            </w:r>
          </w:p>
        </w:tc>
        <w:tc>
          <w:tcPr>
            <w:tcW w:w="980" w:type="dxa"/>
            <w:vAlign w:val="bottom"/>
          </w:tcPr>
          <w:p>
            <w:pPr>
              <w:jc w:val="right"/>
              <w:ind w:right="34"/>
              <w:spacing w:after="0"/>
              <w:rPr>
                <w:sz w:val="20"/>
                <w:szCs w:val="20"/>
                <w:color w:val="auto"/>
              </w:rPr>
            </w:pPr>
            <w:r>
              <w:rPr>
                <w:rFonts w:ascii="Arial" w:cs="Arial" w:eastAsia="Arial" w:hAnsi="Arial"/>
                <w:sz w:val="16"/>
                <w:szCs w:val="16"/>
                <w:b w:val="1"/>
                <w:bCs w:val="1"/>
                <w:color w:val="auto"/>
              </w:rPr>
              <w:t>% Change</w:t>
            </w:r>
          </w:p>
        </w:tc>
      </w:tr>
      <w:tr>
        <w:trPr>
          <w:trHeight w:val="33"/>
        </w:trPr>
        <w:tc>
          <w:tcPr>
            <w:tcW w:w="74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7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SG&amp;A</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87.0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64.9</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22.1</w:t>
            </w: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7"/>
        </w:trPr>
        <w:tc>
          <w:tcPr>
            <w:tcW w:w="74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120" w:firstLine="648"/>
        <w:spacing w:after="0" w:line="271" w:lineRule="auto"/>
        <w:rPr>
          <w:sz w:val="20"/>
          <w:szCs w:val="20"/>
          <w:color w:val="auto"/>
        </w:rPr>
      </w:pPr>
      <w:r>
        <w:rPr>
          <w:rFonts w:ascii="Arial" w:cs="Arial" w:eastAsia="Arial" w:hAnsi="Arial"/>
          <w:sz w:val="17"/>
          <w:szCs w:val="17"/>
          <w:color w:val="auto"/>
        </w:rPr>
        <w:t>SG&amp;A expenses increased for the three months ended March 31, 2018, as compared to the same period in the prior year. The increase in expenses was primarily attributable to the continued impact from the integration of HIS and due to the three months ended March 31, 2017 including only two months of expenses related to HIS. Compensation increased $6.6 million, computer hardware and software increased $4.5 million, legal expenses increased $3.2 million, travel and related expenses increased $2.1 million, and depreciation expense increased $1.3 million. Compensation increased due to an increase in headcount from new employees hired to support the company post-acquisition of HIS. Computer hardware and software increases were due to the post-acquisition needs to stand up the company. Legal expenses increased due to the continued integration of HIS and legal services needed to support a larger business. Travel and related expenses increased primarily due to the continued integration of HIS and the post-acquisition operational activity. Depreciation expense increased due to the depreciation of the HIS assets acquired.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(“R&amp;D”) Expenses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total R&amp;D Expenses (in millions):</w:t>
      </w:r>
    </w:p>
    <w:p>
      <w:pPr>
        <w:spacing w:after="0" w:line="172" w:lineRule="exact"/>
        <w:rPr>
          <w:sz w:val="20"/>
          <w:szCs w:val="20"/>
          <w:color w:val="auto"/>
        </w:rPr>
      </w:pPr>
    </w:p>
    <w:p>
      <w:pPr>
        <w:ind w:left="870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ind w:left="908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4712970</wp:posOffset>
            </wp:positionH>
            <wp:positionV relativeFrom="paragraph">
              <wp:posOffset>33020</wp:posOffset>
            </wp:positionV>
            <wp:extent cx="253873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19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21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spacing w:after="0"/>
              <w:rPr>
                <w:sz w:val="20"/>
                <w:szCs w:val="20"/>
                <w:color w:val="auto"/>
              </w:rPr>
            </w:pPr>
            <w:r>
              <w:rPr>
                <w:rFonts w:ascii="Arial" w:cs="Arial" w:eastAsia="Arial" w:hAnsi="Arial"/>
                <w:sz w:val="16"/>
                <w:szCs w:val="16"/>
                <w:b w:val="1"/>
                <w:bCs w:val="1"/>
                <w:color w:val="auto"/>
              </w:rPr>
              <w:t>$ Change</w:t>
            </w:r>
          </w:p>
        </w:tc>
        <w:tc>
          <w:tcPr>
            <w:tcW w:w="980" w:type="dxa"/>
            <w:vAlign w:val="bottom"/>
          </w:tcPr>
          <w:p>
            <w:pPr>
              <w:jc w:val="right"/>
              <w:ind w:right="34"/>
              <w:spacing w:after="0"/>
              <w:rPr>
                <w:sz w:val="20"/>
                <w:szCs w:val="20"/>
                <w:color w:val="auto"/>
              </w:rPr>
            </w:pPr>
            <w:r>
              <w:rPr>
                <w:rFonts w:ascii="Arial" w:cs="Arial" w:eastAsia="Arial" w:hAnsi="Arial"/>
                <w:sz w:val="16"/>
                <w:szCs w:val="16"/>
                <w:b w:val="1"/>
                <w:bCs w:val="1"/>
                <w:color w:val="auto"/>
              </w:rPr>
              <w:t>% Change</w:t>
            </w:r>
          </w:p>
        </w:tc>
      </w:tr>
      <w:tr>
        <w:trPr>
          <w:trHeight w:val="33"/>
        </w:trPr>
        <w:tc>
          <w:tcPr>
            <w:tcW w:w="74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7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R&amp;D</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12.6</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11.6</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r>
      <w:tr>
        <w:trPr>
          <w:trHeight w:val="27"/>
        </w:trPr>
        <w:tc>
          <w:tcPr>
            <w:tcW w:w="74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R&amp;D expenses increased for the three months ended March 31, 2018, as compared to the same period in the prior year due to post-acquisition operational activity attributable to a larger business.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and Strategic Transaction and Integration Expenses</w:t>
      </w:r>
    </w:p>
    <w:p>
      <w:pPr>
        <w:spacing w:after="0" w:line="225"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Restructuring and strategic transaction and integration expenses were $21.6 million for the three months ended March 31, 2018, as compared to $29.4 million for the three months ended March 31,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charges</w:t>
      </w:r>
    </w:p>
    <w:p>
      <w:pPr>
        <w:spacing w:after="0" w:line="225"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Restructuring charges were $1.8 million and $8.3 million for the three months ended March 31, 2018 and 2017, respectively. These charges were related to (i) severance costs from the reduction in our workforce as a result of the acquisition and integration of HIS and (ii) an agreement with a member of our Board of Directors and a former employee in our research and development department, pursuant to which we bought out the employee under his then-existing employment agreement. We expect to pay unpaid restructuring charges as of March 31, 2018, by the end of 2018.</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Strategic transaction and integration expenses</w:t>
      </w:r>
    </w:p>
    <w:p>
      <w:pPr>
        <w:spacing w:after="0" w:line="225" w:lineRule="exact"/>
        <w:rPr>
          <w:sz w:val="20"/>
          <w:szCs w:val="20"/>
          <w:color w:val="auto"/>
        </w:rPr>
      </w:pPr>
    </w:p>
    <w:p>
      <w:pPr>
        <w:ind w:right="860" w:firstLine="648"/>
        <w:spacing w:after="0" w:line="277" w:lineRule="auto"/>
        <w:rPr>
          <w:sz w:val="20"/>
          <w:szCs w:val="20"/>
          <w:color w:val="auto"/>
        </w:rPr>
      </w:pPr>
      <w:r>
        <w:rPr>
          <w:rFonts w:ascii="Arial" w:cs="Arial" w:eastAsia="Arial" w:hAnsi="Arial"/>
          <w:sz w:val="18"/>
          <w:szCs w:val="18"/>
          <w:color w:val="auto"/>
        </w:rPr>
        <w:t>Strategic transaction and integration expenses were $19.8 million and $21.1 million for the three months ended March 31, 2018 and 2017 respectively, primarily related to our acquisition and integration of the HIS business.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Earn-out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fair value revaluation of our earn-out resulted in a gain of $4.0 million for the three months ended March 31, 2018.</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Settlement</w:t>
      </w:r>
    </w:p>
    <w:p>
      <w:pPr>
        <w:spacing w:after="0" w:line="225" w:lineRule="exact"/>
        <w:rPr>
          <w:sz w:val="20"/>
          <w:szCs w:val="20"/>
          <w:color w:val="auto"/>
        </w:rPr>
      </w:pPr>
    </w:p>
    <w:p>
      <w:pPr>
        <w:ind w:right="380" w:firstLine="648"/>
        <w:spacing w:after="0" w:line="308" w:lineRule="auto"/>
        <w:rPr>
          <w:sz w:val="20"/>
          <w:szCs w:val="20"/>
          <w:color w:val="auto"/>
        </w:rPr>
      </w:pPr>
      <w:r>
        <w:rPr>
          <w:rFonts w:ascii="Arial" w:cs="Arial" w:eastAsia="Arial" w:hAnsi="Arial"/>
          <w:sz w:val="17"/>
          <w:szCs w:val="17"/>
          <w:color w:val="auto"/>
        </w:rPr>
        <w:t>During the three months ended March 31, 2018, we incurred a $28.9 million charge related to the resolution of a dispute with a product partner, which resulted in a redefinition of our contractual arrangement and in the rights and remedies determined under such arrangement.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Bargain Purchase Gain</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HIS acquisition resulted in a bargain purchase gain. For the three months ended March 31, 2017, we initially recognized a bargain purchase gain of $63.2 million related to this acquisition. The bargain purchase gain represents the excess of the estimated fair market value of the identifiable tangible and intangible assets acquired and liabilities assumed, net of deferred tax liabilities over the total purchase consideration. Upon the finalization of the valuations of acquired assets and liabilities associated with the HIS acquisition, we recognized a final bargain purchase gain of $70.9 million for the year ended December 31, 2017.</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Interest expense was $0.1 million for the three months ended March 31, 2018. The interest expense is related to the amortization of financing cost incurred as of year-end December 31, 2017, in connection with a five-year Revolving Credit Facility (see Note 16: Long-Term Obligations in our accompanying condensed consolidated financial statements for additional information).</w:t>
      </w:r>
    </w:p>
    <w:p>
      <w:pPr>
        <w:spacing w:after="0" w:line="181"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Interest expense was $0.5 million for the three months ended March 31, 2017. This interest expense is related to the $75 million seller note from Pfizer as part of the HIS business acquisition. The three-year interest only seller note bore interest at LIBOR plus (i) 2.25% per year for the first 12 months, and (ii) 2.50% per annum thereafter. We have fully repaid the seller note as of December 31, 2017.</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Income taxes were accrued at an estimated effective tax rate of (28)% and (22)% for the three months ended March 31, 2018, and 2017, respectively.</w:t>
      </w:r>
    </w:p>
    <w:p>
      <w:pPr>
        <w:spacing w:after="0" w:line="248"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On December 22, 2017, the Tax Act was enacted into legislation, which includes a broad range of provisions affecting businesses. The Tax Act significantly revises how companies compute their U.S. corporate tax liability by, among other provisions, reducing the corporate tax rate from 35% to 21% for tax years beginning after December 31, 2017. Our accounting for the Tax Act is incomplete. As noted at year-end, however, we were able to reasonably estimate certain effects and, therefore, recorded provisional adjustments associated with the toll charge on undistributed foreign earnings and profits and revaluation of deferred taxes. We have not made any additional measurement-period adjustments related to these items during the quarter. However, we are continuing to gather additional information to complete our accounting for these items and expect to complete our accounting within the prescribed measurement period.</w:t>
      </w:r>
    </w:p>
    <w:p>
      <w:pPr>
        <w:spacing w:after="0" w:line="189" w:lineRule="exact"/>
        <w:rPr>
          <w:sz w:val="20"/>
          <w:szCs w:val="20"/>
          <w:color w:val="auto"/>
        </w:rPr>
      </w:pPr>
    </w:p>
    <w:p>
      <w:pPr>
        <w:ind w:right="80" w:firstLine="648"/>
        <w:spacing w:after="0" w:line="256" w:lineRule="auto"/>
        <w:rPr>
          <w:sz w:val="20"/>
          <w:szCs w:val="20"/>
          <w:color w:val="auto"/>
        </w:rPr>
      </w:pPr>
      <w:r>
        <w:rPr>
          <w:rFonts w:ascii="Arial" w:cs="Arial" w:eastAsia="Arial" w:hAnsi="Arial"/>
          <w:sz w:val="18"/>
          <w:szCs w:val="18"/>
          <w:color w:val="auto"/>
        </w:rPr>
        <w:t>The effective tax rate for the three months ended March 31, 2018 differs from the federal statutory rate of 21% principally because of the effect in the mix of U.S. and foreign incomes, state income taxes, tax credits and the impact of a contract settlement. The contract settlement resulted in a material tax benefit of $5.7 million, which is treated as a discrete item.</w:t>
      </w:r>
    </w:p>
    <w:p>
      <w:pPr>
        <w:ind w:right="340"/>
        <w:spacing w:after="0" w:line="255" w:lineRule="auto"/>
        <w:rPr>
          <w:sz w:val="20"/>
          <w:szCs w:val="20"/>
          <w:color w:val="auto"/>
        </w:rPr>
      </w:pPr>
      <w:r>
        <w:rPr>
          <w:rFonts w:ascii="Arial" w:cs="Arial" w:eastAsia="Arial" w:hAnsi="Arial"/>
          <w:sz w:val="18"/>
          <w:szCs w:val="18"/>
          <w:color w:val="auto"/>
        </w:rPr>
        <w:t>The effective tax rate during the three months ended March 31, 2018 also included a material tax benefit of $3.4 million related to the excess tax benefits recognized on stock option exercises and the vesting of restricted stock units during the period, which is treated as a discrete item and excluded from determining our annual estimated effective tax rate.</w:t>
      </w:r>
    </w:p>
    <w:p>
      <w:pPr>
        <w:spacing w:after="0" w:line="190" w:lineRule="exact"/>
        <w:rPr>
          <w:sz w:val="20"/>
          <w:szCs w:val="20"/>
          <w:color w:val="auto"/>
        </w:rPr>
      </w:pPr>
    </w:p>
    <w:p>
      <w:pPr>
        <w:ind w:right="160" w:firstLine="648"/>
        <w:spacing w:after="0" w:line="297" w:lineRule="auto"/>
        <w:rPr>
          <w:sz w:val="20"/>
          <w:szCs w:val="20"/>
          <w:color w:val="auto"/>
        </w:rPr>
      </w:pPr>
      <w:r>
        <w:rPr>
          <w:rFonts w:ascii="Arial" w:cs="Arial" w:eastAsia="Arial" w:hAnsi="Arial"/>
          <w:sz w:val="16"/>
          <w:szCs w:val="16"/>
          <w:color w:val="auto"/>
        </w:rPr>
        <w:t>The effective tax rate for the three months ended March 31, 2017 differs from the federal statutory rate of 35% principally because of the effect of the mix of foreign and state incomes, state taxes, tax credits, and impact of the gain on bargain purchase. The tax effect of the gain on bargain purchase is treated as a discrete item part of purchase accounting and is not a component of the income tax provision. The effective tax rate during the three months ended March 31, 2017 also included a material tax benefit of $8.3 million related to the excess tax benefits recognized on stock option exercises and the vesting of restricted stock units during the period, which is treated as a discrete item and excluded from determining our annual estimated effective tax rate.</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00" w:lineRule="exact"/>
        <w:rPr>
          <w:sz w:val="20"/>
          <w:szCs w:val="20"/>
          <w:color w:val="auto"/>
        </w:rPr>
      </w:pPr>
    </w:p>
    <w:p>
      <w:pPr>
        <w:spacing w:after="0" w:line="2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125" w:right="27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During the first three months of 2018, our cash, cash equivalents, short-term and long-term investments decreased by $36.1 million from $314.7 million at December 31, 2017 to $278.6 million at March 31,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Our net cash used in operations for the three months ended March 31, 2018 was $20.7 million. Net income plus adjustments for non-cash net</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expenses offset cash used by changes in operating assets and liabilities by $33.4 million. The cash used by changes in operating assets and liabilities was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$54.2 million. The changes in operating assets and liabilities included a $29.5 million decrease in accrued liabilities, a $32.8 million increase in related party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receivables, a $11.9 million increase in accounts receivable, and $3.3 million in net changes in income taxes, including excess tax benefits and deferred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income taxes. Offsetting these amounts was a a $10.9 million decrease in inventories, $3.6 million decrease in prepaid expenses and other assets, and a $8.7</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million increase in accounts payable. The decrease in accrued liabilities was primarily a result of the payout of accrued compensation. The increase in related-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party receivables was primarily due to the timing of amounts to be received from Pfizer. The increase in accounts receivable is due to the increase in revenue.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decrease in inventory was primarily due to our continued inventory reduction effort. The net changes in income taxes was a result of the timing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payments. The decrease in prepaid expenses and other assets was primarily due to the settlement of a deposit on inventory. The increase in accounts payable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was due to the timing of payments.</w:t>
      </w:r>
    </w:p>
    <w:p>
      <w:pPr>
        <w:spacing w:after="0" w:line="211"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Our net cash used in operations for the three months ended March 31, 2017 was $76.6 million. Net income plus adjustments for non-cash net expenses contributed $9.5 million to cash provided by operations, and cash used by changes in operating assets and liabilities was $86.2 million. The changes in operating assets and liabilities included a $66.6 million increase in prepaid expenses and other assets, an $82.3 million increase in accounts receivable and $10.9 million in net changes in income taxes, including excess tax benefits and deferred income taxes. Offsetting these amounts was a $39.9 million increase in accrued liabilities, a $22.2 million decrease in inventories and a $11.5 million increase in accounts payable. The increase in prepaid expenses and other assets was primarily due to amounts paid for transitional service arrangement fees, working capital adjustments and other HIS-related amounts. The increase in accounts receivable is due to the increase in revenue. The net changes in income taxes was a result of the timing of payments. The increase in accrued liabilities was primarily a result of increased salary and benefits due to a larger workforce. The decrease in inventory was due to a planned inventory reduction of our acquired inventory to manage working capital needs. The increase in accounts payable was due to the increase in expenses related to the post-acquisition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changes in our investing cash flows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60" w:type="dxa"/>
            <w:vAlign w:val="bottom"/>
            <w:gridSpan w:val="5"/>
          </w:tcPr>
          <w:p>
            <w:pPr>
              <w:ind w:left="32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0" w:type="dxa"/>
            <w:vAlign w:val="bottom"/>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310"/>
              <w:spacing w:after="0"/>
              <w:rPr>
                <w:sz w:val="20"/>
                <w:szCs w:val="20"/>
                <w:color w:val="auto"/>
              </w:rPr>
            </w:pPr>
            <w:r>
              <w:rPr>
                <w:rFonts w:ascii="Arial" w:cs="Arial" w:eastAsia="Arial" w:hAnsi="Arial"/>
                <w:sz w:val="18"/>
                <w:szCs w:val="18"/>
                <w:b w:val="1"/>
                <w:bCs w:val="1"/>
                <w:color w:val="auto"/>
              </w:rPr>
              <w:t>Change</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6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Investing Cash Flows: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640" w:type="dxa"/>
            <w:vAlign w:val="bottom"/>
          </w:tcPr>
          <w:p>
            <w:pPr>
              <w:ind w:left="40"/>
              <w:spacing w:after="0"/>
              <w:rPr>
                <w:sz w:val="20"/>
                <w:szCs w:val="20"/>
                <w:color w:val="auto"/>
              </w:rPr>
            </w:pPr>
            <w:r>
              <w:rPr>
                <w:rFonts w:ascii="Arial" w:cs="Arial" w:eastAsia="Arial" w:hAnsi="Arial"/>
                <w:sz w:val="18"/>
                <w:szCs w:val="18"/>
                <w:color w:val="auto"/>
              </w:rPr>
              <w:t>Purchases of property and equipment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(26,544)</w:t>
            </w:r>
          </w:p>
        </w:tc>
        <w:tc>
          <w:tcPr>
            <w:tcW w:w="100" w:type="dxa"/>
            <w:vAlign w:val="bottom"/>
          </w:tcPr>
          <w:p>
            <w:pPr>
              <w:spacing w:after="0"/>
              <w:rPr>
                <w:sz w:val="23"/>
                <w:szCs w:val="23"/>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(16,396)</w:t>
            </w:r>
          </w:p>
        </w:tc>
        <w:tc>
          <w:tcPr>
            <w:tcW w:w="120" w:type="dxa"/>
            <w:vAlign w:val="bottom"/>
          </w:tcPr>
          <w:p>
            <w:pPr>
              <w:spacing w:after="0"/>
              <w:rPr>
                <w:sz w:val="23"/>
                <w:szCs w:val="23"/>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560" w:type="dxa"/>
            <w:vAlign w:val="bottom"/>
            <w:gridSpan w:val="2"/>
          </w:tcPr>
          <w:p>
            <w:pPr>
              <w:jc w:val="right"/>
              <w:ind w:right="217"/>
              <w:spacing w:after="0" w:line="270" w:lineRule="exact"/>
              <w:rPr>
                <w:sz w:val="20"/>
                <w:szCs w:val="20"/>
                <w:color w:val="auto"/>
              </w:rPr>
            </w:pPr>
            <w:r>
              <w:rPr>
                <w:rFonts w:ascii="Arial" w:cs="Arial" w:eastAsia="Arial" w:hAnsi="Arial"/>
                <w:sz w:val="18"/>
                <w:szCs w:val="18"/>
                <w:color w:val="auto"/>
              </w:rPr>
              <w:t xml:space="preserve">(10,148) </w:t>
            </w:r>
            <w:r>
              <w:rPr>
                <w:rFonts w:ascii="Arial" w:cs="Arial" w:eastAsia="Arial" w:hAnsi="Arial"/>
                <w:sz w:val="25"/>
                <w:szCs w:val="25"/>
                <w:color w:val="auto"/>
                <w:vertAlign w:val="superscript"/>
              </w:rPr>
              <w:t>(1)</w:t>
            </w:r>
          </w:p>
        </w:tc>
        <w:tc>
          <w:tcPr>
            <w:tcW w:w="0" w:type="dxa"/>
            <w:vAlign w:val="bottom"/>
          </w:tcPr>
          <w:p>
            <w:pPr>
              <w:spacing w:after="0"/>
              <w:rPr>
                <w:sz w:val="1"/>
                <w:szCs w:val="1"/>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sale of assets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13,000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13,000</w:t>
            </w: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Business acquisitions, net of cash acquired</w:t>
            </w:r>
          </w:p>
        </w:tc>
        <w:tc>
          <w:tcPr>
            <w:tcW w:w="3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(157,097)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157,097</w:t>
            </w:r>
          </w:p>
        </w:tc>
        <w:tc>
          <w:tcPr>
            <w:tcW w:w="440" w:type="dxa"/>
            <w:vAlign w:val="bottom"/>
          </w:tcPr>
          <w:p>
            <w:pPr>
              <w:jc w:val="right"/>
              <w:ind w:right="217"/>
              <w:spacing w:after="0"/>
              <w:rPr>
                <w:sz w:val="20"/>
                <w:szCs w:val="20"/>
                <w:color w:val="auto"/>
              </w:rPr>
            </w:pPr>
            <w:r>
              <w:rPr>
                <w:rFonts w:ascii="Arial" w:cs="Arial" w:eastAsia="Arial" w:hAnsi="Arial"/>
                <w:sz w:val="13"/>
                <w:szCs w:val="13"/>
                <w:color w:val="auto"/>
                <w:w w:val="87"/>
              </w:rPr>
              <w:t>(2)</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 additions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(1,489)</w:t>
            </w: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640" w:type="dxa"/>
            <w:vAlign w:val="bottom"/>
          </w:tcPr>
          <w:p>
            <w:pPr>
              <w:ind w:left="40"/>
              <w:spacing w:after="0"/>
              <w:rPr>
                <w:sz w:val="20"/>
                <w:szCs w:val="20"/>
                <w:color w:val="auto"/>
              </w:rPr>
            </w:pPr>
            <w:r>
              <w:rPr>
                <w:rFonts w:ascii="Arial" w:cs="Arial" w:eastAsia="Arial" w:hAnsi="Arial"/>
                <w:sz w:val="18"/>
                <w:szCs w:val="18"/>
                <w:color w:val="auto"/>
              </w:rPr>
              <w:t>Purchases of investment securities</w:t>
            </w: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(4,478)</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560" w:type="dxa"/>
            <w:vAlign w:val="bottom"/>
            <w:gridSpan w:val="2"/>
          </w:tcPr>
          <w:p>
            <w:pPr>
              <w:jc w:val="right"/>
              <w:ind w:right="217"/>
              <w:spacing w:after="0" w:line="270" w:lineRule="exact"/>
              <w:rPr>
                <w:sz w:val="20"/>
                <w:szCs w:val="20"/>
                <w:color w:val="auto"/>
              </w:rPr>
            </w:pPr>
            <w:r>
              <w:rPr>
                <w:rFonts w:ascii="Arial" w:cs="Arial" w:eastAsia="Arial" w:hAnsi="Arial"/>
                <w:sz w:val="18"/>
                <w:szCs w:val="18"/>
                <w:color w:val="auto"/>
              </w:rPr>
              <w:t xml:space="preserve">(4,478) </w:t>
            </w:r>
            <w:r>
              <w:rPr>
                <w:rFonts w:ascii="Arial" w:cs="Arial" w:eastAsia="Arial" w:hAnsi="Arial"/>
                <w:sz w:val="25"/>
                <w:szCs w:val="25"/>
                <w:color w:val="auto"/>
                <w:vertAlign w:val="superscript"/>
              </w:rPr>
              <w:t>(3)</w:t>
            </w:r>
          </w:p>
        </w:tc>
        <w:tc>
          <w:tcPr>
            <w:tcW w:w="0" w:type="dxa"/>
            <w:vAlign w:val="bottom"/>
          </w:tcPr>
          <w:p>
            <w:pPr>
              <w:spacing w:after="0"/>
              <w:rPr>
                <w:sz w:val="1"/>
                <w:szCs w:val="1"/>
                <w:color w:val="auto"/>
              </w:rPr>
            </w:pPr>
          </w:p>
        </w:tc>
      </w:tr>
      <w:tr>
        <w:trPr>
          <w:trHeight w:val="27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sale of investment securities</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4,900</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4,900</w:t>
            </w:r>
          </w:p>
        </w:tc>
        <w:tc>
          <w:tcPr>
            <w:tcW w:w="440" w:type="dxa"/>
            <w:vAlign w:val="bottom"/>
            <w:tcBorders>
              <w:bottom w:val="single" w:sz="8" w:color="CCEEFF"/>
            </w:tcBorders>
            <w:shd w:val="clear" w:color="auto" w:fill="CCEEFF"/>
          </w:tcPr>
          <w:p>
            <w:pPr>
              <w:jc w:val="right"/>
              <w:ind w:right="217"/>
              <w:spacing w:after="0"/>
              <w:rPr>
                <w:sz w:val="20"/>
                <w:szCs w:val="20"/>
                <w:color w:val="auto"/>
              </w:rPr>
            </w:pPr>
            <w:r>
              <w:rPr>
                <w:rFonts w:ascii="Arial" w:cs="Arial" w:eastAsia="Arial" w:hAnsi="Arial"/>
                <w:sz w:val="13"/>
                <w:szCs w:val="13"/>
                <w:color w:val="auto"/>
                <w:w w:val="87"/>
              </w:rPr>
              <w:t>(4)</w:t>
            </w:r>
          </w:p>
        </w:tc>
        <w:tc>
          <w:tcPr>
            <w:tcW w:w="0" w:type="dxa"/>
            <w:vAlign w:val="bottom"/>
          </w:tcPr>
          <w:p>
            <w:pPr>
              <w:spacing w:after="0"/>
              <w:rPr>
                <w:sz w:val="1"/>
                <w:szCs w:val="1"/>
                <w:color w:val="auto"/>
              </w:rPr>
            </w:pPr>
          </w:p>
        </w:tc>
      </w:tr>
      <w:tr>
        <w:trPr>
          <w:trHeight w:val="257"/>
        </w:trPr>
        <w:tc>
          <w:tcPr>
            <w:tcW w:w="6640" w:type="dxa"/>
            <w:vAlign w:val="bottom"/>
          </w:tcPr>
          <w:p>
            <w:pPr>
              <w:ind w:left="18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(15,021)</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(173,903)</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158,882</w:t>
            </w: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640" w:type="dxa"/>
            <w:vAlign w:val="bottom"/>
            <w:vMerge w:val="restart"/>
          </w:tcPr>
          <w:p>
            <w:pPr>
              <w:spacing w:after="0"/>
              <w:rPr>
                <w:sz w:val="20"/>
                <w:szCs w:val="20"/>
                <w:color w:val="auto"/>
              </w:rPr>
            </w:pPr>
            <w:r>
              <w:rPr>
                <w:rFonts w:ascii="Arial" w:cs="Arial" w:eastAsia="Arial" w:hAnsi="Arial"/>
                <w:sz w:val="18"/>
                <w:szCs w:val="18"/>
                <w:color w:val="auto"/>
              </w:rPr>
              <w:t>______________________________</w:t>
            </w: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6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40" w:right="40" w:hanging="332"/>
        <w:spacing w:after="0" w:line="227" w:lineRule="auto"/>
        <w:tabs>
          <w:tab w:leader="none" w:pos="208" w:val="left"/>
        </w:tabs>
        <w:numPr>
          <w:ilvl w:val="0"/>
          <w:numId w:val="16"/>
        </w:numPr>
        <w:rPr>
          <w:rFonts w:ascii="Arial" w:cs="Arial" w:eastAsia="Arial" w:hAnsi="Arial"/>
          <w:sz w:val="24"/>
          <w:szCs w:val="24"/>
          <w:color w:val="auto"/>
          <w:vertAlign w:val="superscript"/>
        </w:rPr>
      </w:pPr>
      <w:r>
        <w:rPr>
          <w:rFonts w:ascii="Arial" w:cs="Arial" w:eastAsia="Arial" w:hAnsi="Arial"/>
          <w:sz w:val="17"/>
          <w:szCs w:val="17"/>
          <w:color w:val="auto"/>
        </w:rPr>
        <w:t>Our purchases of property and equipment will vary from period to period based on additional investments needed to support new and existing products and expansion of our manufacturing facilities.</w:t>
      </w:r>
    </w:p>
    <w:p>
      <w:pPr>
        <w:ind w:left="340" w:right="300" w:hanging="332"/>
        <w:spacing w:after="0" w:line="250" w:lineRule="auto"/>
        <w:tabs>
          <w:tab w:leader="none" w:pos="340" w:val="left"/>
        </w:tabs>
        <w:numPr>
          <w:ilvl w:val="0"/>
          <w:numId w:val="16"/>
        </w:numPr>
        <w:rPr>
          <w:rFonts w:ascii="Arial" w:cs="Arial" w:eastAsia="Arial" w:hAnsi="Arial"/>
          <w:sz w:val="22"/>
          <w:szCs w:val="22"/>
          <w:color w:val="auto"/>
          <w:vertAlign w:val="superscript"/>
        </w:rPr>
      </w:pPr>
      <w:r>
        <w:rPr>
          <w:rFonts w:ascii="Arial" w:cs="Arial" w:eastAsia="Arial" w:hAnsi="Arial"/>
          <w:sz w:val="16"/>
          <w:szCs w:val="16"/>
          <w:color w:val="auto"/>
        </w:rPr>
        <w:t>Our business acquisitions will vary from period to period based upon our current growth strategy and our ability to execute on desirable target companies. On February 3, 2017, we acquired HIS for $260 million in cash consideration (net of working capital adjustments), financed with existing cash balances and a three-year interest-only seller note of $75 million and we delivered 3.2 million shares of our common stock to Pfizer.</w:t>
      </w:r>
    </w:p>
    <w:p>
      <w:pPr>
        <w:spacing w:after="0" w:line="1" w:lineRule="exact"/>
        <w:rPr>
          <w:rFonts w:ascii="Arial" w:cs="Arial" w:eastAsia="Arial" w:hAnsi="Arial"/>
          <w:sz w:val="22"/>
          <w:szCs w:val="22"/>
          <w:color w:val="auto"/>
          <w:vertAlign w:val="superscript"/>
        </w:rPr>
      </w:pPr>
    </w:p>
    <w:p>
      <w:pPr>
        <w:ind w:left="340" w:right="280" w:hanging="332"/>
        <w:spacing w:after="0" w:line="209" w:lineRule="auto"/>
        <w:tabs>
          <w:tab w:leader="none" w:pos="340" w:val="left"/>
        </w:tabs>
        <w:numPr>
          <w:ilvl w:val="0"/>
          <w:numId w:val="16"/>
        </w:numPr>
        <w:rPr>
          <w:rFonts w:ascii="Arial" w:cs="Arial" w:eastAsia="Arial" w:hAnsi="Arial"/>
          <w:sz w:val="25"/>
          <w:szCs w:val="25"/>
          <w:color w:val="auto"/>
          <w:vertAlign w:val="superscript"/>
        </w:rPr>
      </w:pPr>
      <w:r>
        <w:rPr>
          <w:rFonts w:ascii="Arial" w:cs="Arial" w:eastAsia="Arial" w:hAnsi="Arial"/>
          <w:sz w:val="18"/>
          <w:szCs w:val="18"/>
          <w:color w:val="auto"/>
        </w:rPr>
        <w:t>Our purchases of investment securities will vary from period to period based on current cash needs, planning for known future transactions and due to changes in our investment strategy.</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right="200" w:hanging="332"/>
        <w:spacing w:after="0" w:line="238" w:lineRule="auto"/>
        <w:tabs>
          <w:tab w:leader="none" w:pos="208" w:val="left"/>
        </w:tabs>
        <w:numPr>
          <w:ilvl w:val="0"/>
          <w:numId w:val="17"/>
        </w:numPr>
        <w:rPr>
          <w:rFonts w:ascii="Arial" w:cs="Arial" w:eastAsia="Arial" w:hAnsi="Arial"/>
          <w:sz w:val="24"/>
          <w:szCs w:val="24"/>
          <w:color w:val="auto"/>
          <w:vertAlign w:val="superscript"/>
        </w:rPr>
      </w:pPr>
      <w:r>
        <w:rPr>
          <w:rFonts w:ascii="Arial" w:cs="Arial" w:eastAsia="Arial" w:hAnsi="Arial"/>
          <w:sz w:val="17"/>
          <w:szCs w:val="17"/>
          <w:color w:val="auto"/>
        </w:rPr>
        <w:t>Net proceeds from the sale of our investment securities increased during the first three months of 2018, as compared to the comparable prior year period, for we liquidated all of our investment securities and used the proceeds to fund the acquisition of HIS. Accordingly, we did not have an investment balance until purchases were made in September 2017.</w:t>
      </w:r>
    </w:p>
    <w:p>
      <w:pPr>
        <w:spacing w:after="0" w:line="68"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While we can provide no assurances, we estimate that our capital expenditures in 2018 will be approximately $70 million. We anticipate making additional investments in our manufacturing operations in the United States to support new and existing products and in IT to benefit world-wide integrated operations. We expect to use our cash to fund our capital purchases. Amounts of spending are estimates and actual spending may substantially differ from those amounts.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changes in our financing cash flows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60" w:type="dxa"/>
            <w:vAlign w:val="bottom"/>
            <w:gridSpan w:val="5"/>
          </w:tcPr>
          <w:p>
            <w:pPr>
              <w:ind w:left="32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0" w:type="dxa"/>
            <w:vAlign w:val="bottom"/>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310"/>
              <w:spacing w:after="0"/>
              <w:rPr>
                <w:sz w:val="20"/>
                <w:szCs w:val="20"/>
                <w:color w:val="auto"/>
              </w:rPr>
            </w:pPr>
            <w:r>
              <w:rPr>
                <w:rFonts w:ascii="Arial" w:cs="Arial" w:eastAsia="Arial" w:hAnsi="Arial"/>
                <w:sz w:val="18"/>
                <w:szCs w:val="18"/>
                <w:b w:val="1"/>
                <w:bCs w:val="1"/>
                <w:color w:val="auto"/>
              </w:rPr>
              <w:t>Change</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6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Financing Cash Flows: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Proceeds from exercise of stock options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3,155</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8,992</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(5,837)</w:t>
            </w:r>
          </w:p>
        </w:tc>
        <w:tc>
          <w:tcPr>
            <w:tcW w:w="440" w:type="dxa"/>
            <w:vAlign w:val="bottom"/>
          </w:tcPr>
          <w:p>
            <w:pPr>
              <w:jc w:val="right"/>
              <w:ind w:right="217"/>
              <w:spacing w:after="0"/>
              <w:rPr>
                <w:sz w:val="20"/>
                <w:szCs w:val="20"/>
                <w:color w:val="auto"/>
              </w:rPr>
            </w:pPr>
            <w:r>
              <w:rPr>
                <w:rFonts w:ascii="Arial" w:cs="Arial" w:eastAsia="Arial" w:hAnsi="Arial"/>
                <w:sz w:val="13"/>
                <w:szCs w:val="13"/>
                <w:color w:val="auto"/>
                <w:w w:val="87"/>
              </w:rPr>
              <w:t>(1)</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employee stock purchase plan</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(1,326)</w:t>
            </w:r>
          </w:p>
        </w:tc>
        <w:tc>
          <w:tcPr>
            <w:tcW w:w="440" w:type="dxa"/>
            <w:vAlign w:val="bottom"/>
            <w:tcBorders>
              <w:bottom w:val="single" w:sz="8" w:color="CCEEFF"/>
            </w:tcBorders>
            <w:shd w:val="clear" w:color="auto" w:fill="CCEEFF"/>
          </w:tcPr>
          <w:p>
            <w:pPr>
              <w:jc w:val="right"/>
              <w:ind w:right="217"/>
              <w:spacing w:after="0"/>
              <w:rPr>
                <w:sz w:val="20"/>
                <w:szCs w:val="20"/>
                <w:color w:val="auto"/>
              </w:rPr>
            </w:pPr>
            <w:r>
              <w:rPr>
                <w:rFonts w:ascii="Arial" w:cs="Arial" w:eastAsia="Arial" w:hAnsi="Arial"/>
                <w:sz w:val="13"/>
                <w:szCs w:val="13"/>
                <w:color w:val="auto"/>
                <w:w w:val="87"/>
              </w:rPr>
              <w:t>(2)</w:t>
            </w:r>
          </w:p>
        </w:tc>
        <w:tc>
          <w:tcPr>
            <w:tcW w:w="0" w:type="dxa"/>
            <w:vAlign w:val="bottom"/>
          </w:tcPr>
          <w:p>
            <w:pPr>
              <w:spacing w:after="0"/>
              <w:rPr>
                <w:sz w:val="1"/>
                <w:szCs w:val="1"/>
                <w:color w:val="auto"/>
              </w:rPr>
            </w:pP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Purchase of treasury stock</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(5,338)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(3,718)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(1,620)</w:t>
            </w:r>
          </w:p>
        </w:tc>
        <w:tc>
          <w:tcPr>
            <w:tcW w:w="440" w:type="dxa"/>
            <w:vAlign w:val="bottom"/>
          </w:tcPr>
          <w:p>
            <w:pPr>
              <w:jc w:val="right"/>
              <w:ind w:right="217"/>
              <w:spacing w:after="0"/>
              <w:rPr>
                <w:sz w:val="20"/>
                <w:szCs w:val="20"/>
                <w:color w:val="auto"/>
              </w:rPr>
            </w:pPr>
            <w:r>
              <w:rPr>
                <w:rFonts w:ascii="Arial" w:cs="Arial" w:eastAsia="Arial" w:hAnsi="Arial"/>
                <w:sz w:val="13"/>
                <w:szCs w:val="13"/>
                <w:color w:val="auto"/>
                <w:w w:val="87"/>
              </w:rPr>
              <w:t>(3)</w:t>
            </w:r>
          </w:p>
        </w:tc>
        <w:tc>
          <w:tcPr>
            <w:tcW w:w="0" w:type="dxa"/>
            <w:vAlign w:val="bottom"/>
          </w:tcPr>
          <w:p>
            <w:pPr>
              <w:spacing w:after="0"/>
              <w:rPr>
                <w:sz w:val="1"/>
                <w:szCs w:val="1"/>
                <w:color w:val="auto"/>
              </w:rPr>
            </w:pPr>
          </w:p>
        </w:tc>
      </w:tr>
      <w:tr>
        <w:trPr>
          <w:trHeight w:val="27"/>
        </w:trPr>
        <w:tc>
          <w:tcPr>
            <w:tcW w:w="66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cash (used in) provided by financing activities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(2,183)</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6,600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(8,783)</w:t>
            </w:r>
          </w:p>
        </w:tc>
        <w:tc>
          <w:tcPr>
            <w:tcW w:w="4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640" w:type="dxa"/>
            <w:vAlign w:val="bottom"/>
            <w:vMerge w:val="restart"/>
          </w:tcPr>
          <w:p>
            <w:pPr>
              <w:spacing w:after="0"/>
              <w:rPr>
                <w:sz w:val="20"/>
                <w:szCs w:val="20"/>
                <w:color w:val="auto"/>
              </w:rPr>
            </w:pPr>
            <w:r>
              <w:rPr>
                <w:rFonts w:ascii="Arial" w:cs="Arial" w:eastAsia="Arial" w:hAnsi="Arial"/>
                <w:sz w:val="18"/>
                <w:szCs w:val="18"/>
                <w:color w:val="auto"/>
              </w:rPr>
              <w:t>______________________________</w:t>
            </w: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6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40" w:right="120" w:hanging="332"/>
        <w:spacing w:after="0" w:line="245" w:lineRule="auto"/>
        <w:tabs>
          <w:tab w:leader="none" w:pos="194" w:val="left"/>
        </w:tabs>
        <w:numPr>
          <w:ilvl w:val="0"/>
          <w:numId w:val="18"/>
        </w:numPr>
        <w:rPr>
          <w:rFonts w:ascii="Arial" w:cs="Arial" w:eastAsia="Arial" w:hAnsi="Arial"/>
          <w:sz w:val="22"/>
          <w:szCs w:val="22"/>
          <w:color w:val="auto"/>
          <w:vertAlign w:val="superscript"/>
        </w:rPr>
      </w:pPr>
      <w:r>
        <w:rPr>
          <w:rFonts w:ascii="Arial" w:cs="Arial" w:eastAsia="Arial" w:hAnsi="Arial"/>
          <w:sz w:val="16"/>
          <w:szCs w:val="16"/>
          <w:color w:val="auto"/>
        </w:rPr>
        <w:t>Proceeds from the exercise of stock options will vary from period to period based on the volume of options exercised and the exercise price of the specific options exercised.</w:t>
      </w:r>
    </w:p>
    <w:p>
      <w:pPr>
        <w:ind w:left="180" w:hanging="172"/>
        <w:spacing w:after="0" w:line="214" w:lineRule="auto"/>
        <w:tabs>
          <w:tab w:leader="none" w:pos="180" w:val="left"/>
        </w:tabs>
        <w:numPr>
          <w:ilvl w:val="0"/>
          <w:numId w:val="18"/>
        </w:numPr>
        <w:rPr>
          <w:rFonts w:ascii="Arial" w:cs="Arial" w:eastAsia="Arial" w:hAnsi="Arial"/>
          <w:sz w:val="21"/>
          <w:szCs w:val="21"/>
          <w:color w:val="auto"/>
          <w:vertAlign w:val="superscript"/>
        </w:rPr>
      </w:pPr>
      <w:r>
        <w:rPr>
          <w:rFonts w:ascii="Arial" w:cs="Arial" w:eastAsia="Arial" w:hAnsi="Arial"/>
          <w:sz w:val="15"/>
          <w:szCs w:val="15"/>
          <w:color w:val="auto"/>
        </w:rPr>
        <w:t>During the third quarter of 2017, we suspended our ESPP.</w:t>
      </w:r>
    </w:p>
    <w:p>
      <w:pPr>
        <w:spacing w:after="0" w:line="2" w:lineRule="exact"/>
        <w:rPr>
          <w:rFonts w:ascii="Arial" w:cs="Arial" w:eastAsia="Arial" w:hAnsi="Arial"/>
          <w:sz w:val="21"/>
          <w:szCs w:val="21"/>
          <w:color w:val="auto"/>
          <w:vertAlign w:val="superscript"/>
        </w:rPr>
      </w:pPr>
    </w:p>
    <w:p>
      <w:pPr>
        <w:ind w:left="340" w:right="380" w:hanging="332"/>
        <w:spacing w:after="0" w:line="236" w:lineRule="auto"/>
        <w:tabs>
          <w:tab w:leader="none" w:pos="194" w:val="left"/>
        </w:tabs>
        <w:numPr>
          <w:ilvl w:val="0"/>
          <w:numId w:val="18"/>
        </w:numPr>
        <w:rPr>
          <w:rFonts w:ascii="Arial" w:cs="Arial" w:eastAsia="Arial" w:hAnsi="Arial"/>
          <w:sz w:val="22"/>
          <w:szCs w:val="22"/>
          <w:color w:val="auto"/>
          <w:vertAlign w:val="superscript"/>
        </w:rPr>
      </w:pPr>
      <w:r>
        <w:rPr>
          <w:rFonts w:ascii="Arial" w:cs="Arial" w:eastAsia="Arial" w:hAnsi="Arial"/>
          <w:sz w:val="16"/>
          <w:szCs w:val="16"/>
          <w:color w:val="auto"/>
        </w:rPr>
        <w:t>During the three months ended March 31, 2018, our employees surrendered 23,101 shares of our common stock from vested restricted stock awards as consideration for approximately $5.3 million in minimum statutory withholding obligations paid on their behalf.</w:t>
      </w:r>
    </w:p>
    <w:p>
      <w:pPr>
        <w:spacing w:after="0" w:line="203"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In July 2010, our Board of Directors approved a share purchase plan to purchase up to $40.0 million of our common stock. As of March 31, 2018, we had purchased $32.8 million of our common stock pursuant to this plan, leaving a balance of $7.2 million available for future purchases. This plan has no expiration date.</w:t>
      </w:r>
    </w:p>
    <w:p>
      <w:pPr>
        <w:spacing w:after="0" w:line="181"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After our acquisition of the HIS business, we continue to maintain a substantial cash position. Cash generated includes stock sales, principally from the exercise of employee stock options. We maintain this position to fund our growth, meet increasing working capital requirements, and fund capital expenditures and to take advantage of acquisition opportunities that may arise.</w:t>
      </w:r>
    </w:p>
    <w:p>
      <w:pPr>
        <w:spacing w:after="0" w:line="181"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As of March 31, 2018, we had $168.4 million of cash and cash equivalents held in local currency by our foreign subsidiaries. We expect to permanently reinvest these funds outside of the U.S. and, based on our current plans, we do not presently anticipate a need to repatriate them to fund our U.S. operations.</w:t>
      </w:r>
    </w:p>
    <w:p>
      <w:pPr>
        <w:spacing w:after="0" w:line="181" w:lineRule="exact"/>
        <w:rPr>
          <w:sz w:val="20"/>
          <w:szCs w:val="20"/>
          <w:color w:val="auto"/>
        </w:rPr>
      </w:pPr>
    </w:p>
    <w:p>
      <w:pPr>
        <w:ind w:right="280" w:firstLine="648"/>
        <w:spacing w:after="0" w:line="257" w:lineRule="auto"/>
        <w:rPr>
          <w:sz w:val="20"/>
          <w:szCs w:val="20"/>
          <w:color w:val="auto"/>
        </w:rPr>
      </w:pPr>
      <w:r>
        <w:rPr>
          <w:rFonts w:ascii="Arial" w:cs="Arial" w:eastAsia="Arial" w:hAnsi="Arial"/>
          <w:sz w:val="18"/>
          <w:szCs w:val="18"/>
          <w:color w:val="auto"/>
        </w:rPr>
        <w:t>We believe that our existing cash and cash equivalents along with funds expected to be generated from future operations will provide us with sufficient funds to finance our current operations for the next twelve months. In the event that we experience downturns or cyclical fluctuations in our business that are more severe or longer than anticipated or if we fail to achieve anticipated revenue and expense levels, we may need to obtain or seek alternative sources of capital or financing, and we can provide no assurances that the terms of such capital or financing will be available to us on favorable terms, if at all.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Facility</w:t>
      </w:r>
    </w:p>
    <w:p>
      <w:pPr>
        <w:spacing w:after="0" w:line="225"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On November 8, 2017, we entered into a new five-year Senior Secured Revolving Credit Facility ("Credit Facility") with various lenders for $150 million, with Wells Fargo Bank, N.A. as the administrative agent (see Note 16: Long-Term Obligations). The Credit Facility has an accordion feature that would enable us to increase the borrowing capacity of the credit facility by the greater of (i) $100 million and (ii) 2.00x Total Leverage. Under the terms of the Credit Facility, we will be subject to certain financial covenants pertaining to leverage and fixed charge coverage ratios. Borrowings under the Credit Facility will bear interest at LIBOR plus an applicable margin tied to the leverage ratio in effect. The unused portion of the Credit Facility will be subject to a per annum commitment fee which is also calculated using the leverage ratio in effect.</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Covenants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Credit Facility contains certain negative financial covenants, including, Consolidated Total Leverage and Consolidated Fixed Charge Coverage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Ratios.</w:t>
      </w:r>
    </w:p>
    <w:p>
      <w:pPr>
        <w:spacing w:after="0" w:line="211"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The Consolidated Leverage Ratio is defined as the ratio of Consolidated Total Funded Indebtedness on such date, to Consolidated Adjusted EBITDA, as defined under the Credit Facility Agreement, for the most recently completed four fiscal quarters. The maximum Consolidated Leverage Ratio is not more than 3.00 to 1.00.</w:t>
      </w:r>
    </w:p>
    <w:p>
      <w:pPr>
        <w:spacing w:after="0" w:line="18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Consolidated Fixed Charge Coverage Ratio is defined as the ratio of: (a) Consolidated Adjusted EBITDA less the sum of (i) capital expenditures, (ii) federal, state, local and foreign income taxes paid in cash and (iii) cash restricted payments made after the closing date, to (b) Consolidated Fixed Charges for the most recently completed four fiscal quarters, calculated on a pro forma basis. The minimum Consolidated Fixed Charge Coverage Ratio is 2.00 to 1.00.</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were in compliance with all financial covenants as of March 31, 2018.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22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In the normal course of business, we have agreed to indemnify our officers and directors to the maximum extent permitted under Delaware law and to indemnify customers as to certain intellectual property matters related to sales of our products. There is no maximum limit on the indemnification that may be required under these agreements. Although we can provide no assurances, we have never incurred, nor do we expect to incur, any material liability for indemnification.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right="500" w:firstLine="648"/>
        <w:spacing w:after="0" w:line="264" w:lineRule="auto"/>
        <w:rPr>
          <w:sz w:val="20"/>
          <w:szCs w:val="20"/>
          <w:color w:val="auto"/>
        </w:rPr>
      </w:pPr>
      <w:r>
        <w:rPr>
          <w:rFonts w:ascii="Arial" w:cs="Arial" w:eastAsia="Arial" w:hAnsi="Arial"/>
          <w:sz w:val="18"/>
          <w:szCs w:val="18"/>
          <w:color w:val="auto"/>
        </w:rPr>
        <w:t>In March 2018, the resolution of a dispute with a product partner resulted in a redefinition of our contractual arrangement and in the rights and remedies determined under such arrangement. As a result we are no longer subject to the future minimum purchase obligations required under this arrangement. Our remaining purchase obligations are immaterial.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right="200" w:firstLine="648"/>
        <w:spacing w:after="0" w:line="302" w:lineRule="auto"/>
        <w:rPr>
          <w:sz w:val="20"/>
          <w:szCs w:val="20"/>
          <w:color w:val="auto"/>
        </w:rPr>
      </w:pPr>
      <w:r>
        <w:rPr>
          <w:rFonts w:ascii="Arial" w:cs="Arial" w:eastAsia="Arial" w:hAnsi="Arial"/>
          <w:sz w:val="16"/>
          <w:szCs w:val="16"/>
          <w:color w:val="auto"/>
        </w:rPr>
        <w:t>In our Annual Report on Form 10-K for the year ended December 31, 2017, we identified the critical accounting policies which affect our more significant estimates and assumptions used in preparing our consolidated financial statements. With the exception of the changes to our revenue recognition policies due to the adoption of Accounting Standard Update No. 2014-09, Revenue from Contracts with Customers, described in Note 5 to Part I, Item 1. Financial Statements, there have been no material changes to our critical accounting policies from those previously disclosed in our Annual Report.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2 to Part I, Item 1.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Various portions of this Quarterly Report on Form 10-Q, including this Management’s Discussion and Analysis of Financial Condition and Results of Operations, and documents referenced herein, describe trends in our business and finances that we perceive and state some of our expectations and beliefs about our future. These statements about the future are “forward looking statements,” within the meaning of Section 27A of the Securities Act of 1933, as amended, and Section 21E of the Securities Exchange Act of 1934, as amended, and we may identify them by using words such as "anticipate," "believe," "expect," "estimate," "intend," "plan," "will," "continue," "could," "may," and by similar expressions and statements about aims, goals and plans. The forward looking statements are based on the best information currently available to us and assumptions that we believe are reasonable, but we do not intend the statements to be representations as to future results. They include, without limitation, statements about:</w:t>
      </w:r>
    </w:p>
    <w:p>
      <w:pPr>
        <w:spacing w:after="0" w:line="167" w:lineRule="exact"/>
        <w:rPr>
          <w:sz w:val="20"/>
          <w:szCs w:val="20"/>
          <w:color w:val="auto"/>
        </w:rPr>
      </w:pPr>
    </w:p>
    <w:p>
      <w:pPr>
        <w:ind w:left="1300" w:right="120" w:hanging="320"/>
        <w:spacing w:after="0" w:line="302" w:lineRule="auto"/>
        <w:tabs>
          <w:tab w:leader="none" w:pos="13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future growth; future operating results and various elements of operating results, including future expenditures and effects with respect to sales and marketing and product development and acquisition efforts; future sales and unit volumes of products; expected increases and decreases in sales; deferred revenue; accruals for restructuring charges, future license, royalty and revenue share income; production costs; gross margins; litigation expense; future SG&amp;A and R&amp;D expenses; manufacturing expenses; future costs of</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9" w:lineRule="exact"/>
        <w:rPr>
          <w:sz w:val="20"/>
          <w:szCs w:val="20"/>
          <w:color w:val="auto"/>
        </w:rPr>
      </w:pPr>
    </w:p>
    <w:p>
      <w:pPr>
        <w:ind w:left="1300" w:right="220"/>
        <w:spacing w:after="0" w:line="311" w:lineRule="auto"/>
        <w:rPr>
          <w:sz w:val="20"/>
          <w:szCs w:val="20"/>
          <w:color w:val="auto"/>
        </w:rPr>
      </w:pPr>
      <w:r>
        <w:rPr>
          <w:rFonts w:ascii="Arial" w:cs="Arial" w:eastAsia="Arial" w:hAnsi="Arial"/>
          <w:sz w:val="18"/>
          <w:szCs w:val="18"/>
          <w:color w:val="auto"/>
        </w:rPr>
        <w:t>expanding our business; income; losses; cash flow; amortization; source of funds for capital purchases and operations; future tax rates; alternative sources of capital or financing; changes in working capital items such as receivables and inventory; selling prices; and income taxes;</w:t>
      </w:r>
    </w:p>
    <w:p>
      <w:pPr>
        <w:spacing w:after="0" w:line="154" w:lineRule="exact"/>
        <w:rPr>
          <w:sz w:val="20"/>
          <w:szCs w:val="20"/>
          <w:color w:val="auto"/>
        </w:rPr>
      </w:pPr>
    </w:p>
    <w:p>
      <w:pPr>
        <w:ind w:left="1300" w:hanging="320"/>
        <w:spacing w:after="0" w:line="268" w:lineRule="auto"/>
        <w:tabs>
          <w:tab w:leader="none" w:pos="13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factors affecting operating results, such as shipments to specific customers; reduced dependence on current proprietary products; loss of a strategic relationship; change in demand; domestic and international sales; expansion in international markets, selling prices; future increases or decreases in sales of certain products and in certain markets and distribution channels; maintaining strategic relationships and securing long-term and multi-product contracts with large healthcare providers and major buying organizations; increases in systems capabilities; introduction, development and sales of new products, acquisition and integration of businesses and product lines, including the HIS business; benefits of our products over competing systems; qualification of our new products for the expedited Section 510(k) clearance procedure; possibility of lengthier clearance process for new products; planned increases in marketing; warranty claims; rebates; product returns; bad debt expense; amortization expense; inventory requirements; lives of property and equipment; manufacturing efficiencies and cost savings; unit manufacturing costs; establishment or expansion of production facilities inside or outside of the United States; planned new orders for semi-automated or fully automated assembly machines for new products; adequacy of production capacity; results of R&amp;D; our plans to repurchase shares of our common stock; asset impairment losses; relocation of manufacturing facilities and personnel; effect of expansion of manufacturing facilities on production efficiencies and resolution of production inefficiencies; the effect of costs to customers and delivery times; business seasonality and fluctuations in quarterly results; customer ordering patterns and the effects of new accounting pronouncements; and</w:t>
      </w:r>
    </w:p>
    <w:p>
      <w:pPr>
        <w:spacing w:after="0" w:line="185" w:lineRule="exact"/>
        <w:rPr>
          <w:rFonts w:ascii="Arial" w:cs="Arial" w:eastAsia="Arial" w:hAnsi="Arial"/>
          <w:sz w:val="17"/>
          <w:szCs w:val="17"/>
          <w:color w:val="auto"/>
        </w:rPr>
      </w:pPr>
    </w:p>
    <w:p>
      <w:pPr>
        <w:ind w:left="1300" w:right="100" w:hanging="320"/>
        <w:spacing w:after="0" w:line="269" w:lineRule="auto"/>
        <w:tabs>
          <w:tab w:leader="none" w:pos="13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new or extended contracts with manufacturers and buying organizations; dependence on a small number of customers; loss of larger distributors and the ability to locate other distributors; the impact of our acquisition of the HIS business; growth of our Clave products in future years; design features of Clave products; the outcome of our strategic initiatives; regulatory approvals and compliance; outcome of litigation; patent protection and intellectual property landscape; patent infringement claims and the impact of newly issued patents on other medical devices; competitive and market factors, including continuing development of competing products by other manufacturers; improved production processes and higher volume production; innovation requirements; consolidation of the healthcare provider market and downward pressure on selling prices; distribution or financial capabilities of competitors; healthcare reform legislation; use of treasury stock; working capital requirements; liquidity and realizable value of our investment securities; future investment alternatives; foreign currency denominated financial instruments; foreign exchange risk; commodity price risk; our expectations regarding liquidity and capital resources over the next twelve months; capital expenditures; plans to convert existing space; acquisitions of other businesses or product lines, indemnification liabilities and contractual liabilities.</w:t>
      </w:r>
    </w:p>
    <w:p>
      <w:pPr>
        <w:spacing w:after="0" w:line="183" w:lineRule="exact"/>
        <w:rPr>
          <w:sz w:val="20"/>
          <w:szCs w:val="20"/>
          <w:color w:val="auto"/>
        </w:rPr>
      </w:pPr>
    </w:p>
    <w:p>
      <w:pPr>
        <w:ind w:right="80" w:firstLine="693"/>
        <w:spacing w:after="0" w:line="312" w:lineRule="auto"/>
        <w:rPr>
          <w:sz w:val="20"/>
          <w:szCs w:val="20"/>
          <w:color w:val="auto"/>
        </w:rPr>
      </w:pPr>
      <w:r>
        <w:rPr>
          <w:rFonts w:ascii="Arial" w:cs="Arial" w:eastAsia="Arial" w:hAnsi="Arial"/>
          <w:sz w:val="16"/>
          <w:szCs w:val="16"/>
          <w:color w:val="auto"/>
        </w:rPr>
        <w:t>Forward-looking statements involve certain risks and uncertainties, which may cause actual results to differ materially from those discussed in each such statement. First, one should consider the factors and risks described in the statements themselves or otherwise discussed herein. Those factors are uncertain, and if one or more of them turn out differently than we currently expect, our operating results may differ materially from our current expectations.</w:t>
      </w:r>
    </w:p>
    <w:p>
      <w:pPr>
        <w:spacing w:after="0" w:line="147"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Second, investors should read the forward looking statements in conjunction with the Risk Factors discussed in Part I, Item 1A of our Annual Report on Form 10-K with the SEC for the year ended December 31, 2017, Part II, Item 1A of this Quarterly Report on Form 10-Q and our other reports filed with the SEC. Also, actual future operating results are subject to other important factors and risks that we cannot predict or control, including without limitation, the following:</w:t>
      </w:r>
    </w:p>
    <w:p>
      <w:pPr>
        <w:spacing w:after="0" w:line="187" w:lineRule="exact"/>
        <w:rPr>
          <w:sz w:val="20"/>
          <w:szCs w:val="20"/>
          <w:color w:val="auto"/>
        </w:rPr>
      </w:pPr>
    </w:p>
    <w:p>
      <w:pPr>
        <w:ind w:left="340" w:right="5120"/>
        <w:spacing w:after="0" w:line="440" w:lineRule="auto"/>
        <w:rPr>
          <w:sz w:val="20"/>
          <w:szCs w:val="20"/>
          <w:color w:val="auto"/>
        </w:rPr>
      </w:pPr>
      <w:r>
        <w:rPr>
          <w:rFonts w:ascii="Arial" w:cs="Arial" w:eastAsia="Arial" w:hAnsi="Arial"/>
          <w:sz w:val="16"/>
          <w:szCs w:val="16"/>
          <w:color w:val="auto"/>
        </w:rPr>
        <w:t>•general economic and business conditions, both in the U.S. and internationally; •unexpected changes in our arrangements with Pfizer or our other large customers;</w:t>
      </w:r>
    </w:p>
    <w:p>
      <w:pPr>
        <w:spacing w:after="0" w:line="1" w:lineRule="exact"/>
        <w:rPr>
          <w:sz w:val="20"/>
          <w:szCs w:val="20"/>
          <w:color w:val="auto"/>
        </w:rPr>
      </w:pPr>
    </w:p>
    <w:p>
      <w:pPr>
        <w:ind w:left="480" w:hanging="148"/>
        <w:spacing w:after="0"/>
        <w:tabs>
          <w:tab w:leader="none" w:pos="4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outcome of litigation;</w:t>
      </w:r>
    </w:p>
    <w:p>
      <w:pPr>
        <w:spacing w:after="0" w:line="157" w:lineRule="exact"/>
        <w:rPr>
          <w:rFonts w:ascii="Arial" w:cs="Arial" w:eastAsia="Arial" w:hAnsi="Arial"/>
          <w:sz w:val="18"/>
          <w:szCs w:val="18"/>
          <w:color w:val="auto"/>
        </w:rPr>
      </w:pPr>
    </w:p>
    <w:p>
      <w:pPr>
        <w:ind w:left="480" w:hanging="148"/>
        <w:spacing w:after="0"/>
        <w:tabs>
          <w:tab w:leader="none" w:pos="4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fluctuations in foreign exchange rates and other risks of doing business internationally;</w:t>
      </w:r>
    </w:p>
    <w:p>
      <w:pPr>
        <w:spacing w:after="0" w:line="157" w:lineRule="exact"/>
        <w:rPr>
          <w:rFonts w:ascii="Arial" w:cs="Arial" w:eastAsia="Arial" w:hAnsi="Arial"/>
          <w:sz w:val="18"/>
          <w:szCs w:val="18"/>
          <w:color w:val="auto"/>
        </w:rPr>
      </w:pPr>
    </w:p>
    <w:p>
      <w:pPr>
        <w:ind w:left="480" w:hanging="148"/>
        <w:spacing w:after="0"/>
        <w:tabs>
          <w:tab w:leader="none" w:pos="4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increases in labor costs or competition for skilled workers;</w:t>
      </w:r>
    </w:p>
    <w:p>
      <w:pPr>
        <w:spacing w:after="0" w:line="157" w:lineRule="exact"/>
        <w:rPr>
          <w:rFonts w:ascii="Arial" w:cs="Arial" w:eastAsia="Arial" w:hAnsi="Arial"/>
          <w:sz w:val="18"/>
          <w:szCs w:val="18"/>
          <w:color w:val="auto"/>
        </w:rPr>
      </w:pPr>
    </w:p>
    <w:p>
      <w:pPr>
        <w:ind w:left="480" w:hanging="148"/>
        <w:spacing w:after="0"/>
        <w:tabs>
          <w:tab w:leader="none" w:pos="4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increases in costs or availability of the raw materials need to manufacture our products;</w:t>
      </w:r>
    </w:p>
    <w:p>
      <w:pPr>
        <w:spacing w:after="0" w:line="157" w:lineRule="exact"/>
        <w:rPr>
          <w:rFonts w:ascii="Arial" w:cs="Arial" w:eastAsia="Arial" w:hAnsi="Arial"/>
          <w:sz w:val="18"/>
          <w:szCs w:val="18"/>
          <w:color w:val="auto"/>
        </w:rPr>
      </w:pPr>
    </w:p>
    <w:p>
      <w:pPr>
        <w:ind w:left="480" w:hanging="148"/>
        <w:spacing w:after="0"/>
        <w:tabs>
          <w:tab w:leader="none" w:pos="4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effect of price and safety considerations on the healthcare industry;</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9" w:lineRule="exact"/>
        <w:rPr>
          <w:sz w:val="20"/>
          <w:szCs w:val="20"/>
          <w:color w:val="auto"/>
        </w:rPr>
      </w:pPr>
    </w:p>
    <w:p>
      <w:pPr>
        <w:ind w:left="480" w:hanging="148"/>
        <w:spacing w:after="0"/>
        <w:tabs>
          <w:tab w:leader="none" w:pos="4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competitive factors, such as product innovation, new technologies, marketing and distribution strength and price erosion;</w:t>
      </w:r>
    </w:p>
    <w:p>
      <w:pPr>
        <w:spacing w:after="0" w:line="157" w:lineRule="exact"/>
        <w:rPr>
          <w:rFonts w:ascii="Arial" w:cs="Arial" w:eastAsia="Arial" w:hAnsi="Arial"/>
          <w:sz w:val="18"/>
          <w:szCs w:val="18"/>
          <w:color w:val="auto"/>
        </w:rPr>
      </w:pPr>
    </w:p>
    <w:p>
      <w:pPr>
        <w:ind w:left="480" w:hanging="148"/>
        <w:spacing w:after="0"/>
        <w:tabs>
          <w:tab w:leader="none" w:pos="4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successful development and marketing of new products;</w:t>
      </w:r>
    </w:p>
    <w:p>
      <w:pPr>
        <w:spacing w:after="0" w:line="157" w:lineRule="exact"/>
        <w:rPr>
          <w:rFonts w:ascii="Arial" w:cs="Arial" w:eastAsia="Arial" w:hAnsi="Arial"/>
          <w:sz w:val="18"/>
          <w:szCs w:val="18"/>
          <w:color w:val="auto"/>
        </w:rPr>
      </w:pPr>
    </w:p>
    <w:p>
      <w:pPr>
        <w:ind w:left="480" w:hanging="148"/>
        <w:spacing w:after="0"/>
        <w:tabs>
          <w:tab w:leader="none" w:pos="4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unanticipated market shifts and trends;</w:t>
      </w:r>
    </w:p>
    <w:p>
      <w:pPr>
        <w:spacing w:after="0" w:line="157" w:lineRule="exact"/>
        <w:rPr>
          <w:rFonts w:ascii="Arial" w:cs="Arial" w:eastAsia="Arial" w:hAnsi="Arial"/>
          <w:sz w:val="18"/>
          <w:szCs w:val="18"/>
          <w:color w:val="auto"/>
        </w:rPr>
      </w:pPr>
    </w:p>
    <w:p>
      <w:pPr>
        <w:ind w:left="480" w:hanging="148"/>
        <w:spacing w:after="0"/>
        <w:tabs>
          <w:tab w:leader="none" w:pos="4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impact of legislation affecting government reimbursement of healthcare costs;</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•changes by our major customers and independent distributors in their strategies that might affect their efforts to market our products;</w:t>
      </w:r>
    </w:p>
    <w:p>
      <w:pPr>
        <w:spacing w:after="0" w:line="144" w:lineRule="exact"/>
        <w:rPr>
          <w:sz w:val="20"/>
          <w:szCs w:val="20"/>
          <w:color w:val="auto"/>
        </w:rPr>
      </w:pPr>
    </w:p>
    <w:p>
      <w:pPr>
        <w:ind w:left="480" w:hanging="148"/>
        <w:spacing w:after="0"/>
        <w:tabs>
          <w:tab w:leader="none" w:pos="4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effects of additional governmental regulations;</w:t>
      </w:r>
    </w:p>
    <w:p>
      <w:pPr>
        <w:spacing w:after="0" w:line="157" w:lineRule="exact"/>
        <w:rPr>
          <w:rFonts w:ascii="Arial" w:cs="Arial" w:eastAsia="Arial" w:hAnsi="Arial"/>
          <w:sz w:val="18"/>
          <w:szCs w:val="18"/>
          <w:color w:val="auto"/>
        </w:rPr>
      </w:pPr>
    </w:p>
    <w:p>
      <w:pPr>
        <w:ind w:left="480" w:hanging="148"/>
        <w:spacing w:after="0"/>
        <w:tabs>
          <w:tab w:leader="none" w:pos="4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unanticipated production problems; and</w:t>
      </w:r>
    </w:p>
    <w:p>
      <w:pPr>
        <w:spacing w:after="0" w:line="157" w:lineRule="exact"/>
        <w:rPr>
          <w:rFonts w:ascii="Arial" w:cs="Arial" w:eastAsia="Arial" w:hAnsi="Arial"/>
          <w:sz w:val="18"/>
          <w:szCs w:val="18"/>
          <w:color w:val="auto"/>
        </w:rPr>
      </w:pPr>
    </w:p>
    <w:p>
      <w:pPr>
        <w:ind w:left="480" w:hanging="148"/>
        <w:spacing w:after="0"/>
        <w:tabs>
          <w:tab w:leader="none" w:pos="4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availability of patent protection and the cost of enforcing and of defending patent claims.</w:t>
      </w:r>
    </w:p>
    <w:p>
      <w:pPr>
        <w:spacing w:after="0" w:line="239"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The forward-looking statements in this report are subject to additional risks and uncertainties, including those detailed from time to time in our other filings with the Securities and Exchange Commission. These forward-looking statements are made only as of the date hereof and, except as required by law, we undertake no obligation to update or revise any of them, whether as a result of new information, future events or otherwise.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3. Quantitative and Qualitative Disclosures about Market Risk</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are exposed to market risk stemming from changes in interest rates if we were to incur borrowings under our Credit Facility and foreign currency exchange rates.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Risk</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have foreign currency exchange risk related to foreign-denominated cash, accounts receivable and accounts payable and accrued liabilities.</w:t>
      </w:r>
    </w:p>
    <w:p>
      <w:pPr>
        <w:spacing w:after="0" w:line="248"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In our European operations, our net Euro asset position at March 31, 2018 was approximately €83.3 million. A 10% change in the conversion of the Euro to the U.S. dollar for our cash, accounts receivable, accounts payable and accrued liabilities from the March 31, 2018 spot rate would impact our consolidated amounts on these balance sheet items by approximately $10.3 million, or 5.5% of these consolidated net assets. We expect that in the future, with the growth of our European distribution operations, net Euro denominated instruments will continue to increase. We currently do not hedge our Euro foreign currency exposures.</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Evaluation of Disclosure Controls and Procedures</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Our principal executive officer and principal financial officer have concluded, based on their evaluation of our disclosure controls and procedures (as defined in Rules 13a-15(e) and 15d-15(e) under the Securities Exchange Act of 1934, as amended (the "Exchange Act")), as of the end of the period covered by this Report, that our disclosure controls and procedures are effective to ensure that the information we are required to disclose in the reports that we file or submit under the Exchange Act is accumulated and communicated to our management, including our principal executive officer and principal financial officer, as appropriate, to allow timely decisions regarding required disclosure and that such information is recorded, processed, summarized and reported within the time periods specified in the rules and forms of the SEC.</w:t>
      </w:r>
    </w:p>
    <w:p>
      <w:pPr>
        <w:spacing w:after="0" w:line="193"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There was no change in our internal control over financial reporting during the quarter ended March 31, 2018 that has materially affected or is reasonably likely to materially affect our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 Legal Proceedings</w:t>
      </w:r>
    </w:p>
    <w:p>
      <w:pPr>
        <w:spacing w:after="0" w:line="229"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Beginning in November 2016, purported class actions were filed in the U.S. District Court for the Northern District of Illinois against Pfizer, Inc. subsidiaries, Hospira, Inc., Hospira Worldwide, Inc. and certain other defendants relating to the intravenous saline solutions part of the HIS business. Plaintiffs seek to represent classes consisting of all persons and entities in</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125" w:right="25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the U.S. who directly purchased intravenous saline solution sold by any of the defendants from January 1, 2013 until the time the defendants’ allegedly unlawful conduct ceases. Plaintiffs allege that the defendants’ conduct restricts output and artificially fixes, raises, maintains and/or stabilizes the prices of intravenous saline solution sold throughout the U.S. in violation of federal antitrust laws. Plaintiffs seek treble damages (for themselves and on behalf of the putative classes) and an injunction against defendants for alleged price overcharges for intravenous saline solution in the U.S. since January 1, 2013. On February 3, 2017, we completed the acquisition of the HIS business from Pfizer. This litigation is the subject of a claim for indemnification against us by Pfizer and a cross-claim for indemnification against Pfizer by us under the HIS stock and asset purchase agreement (“SAPA”).</w:t>
      </w:r>
    </w:p>
    <w:p>
      <w:pPr>
        <w:spacing w:after="0" w:line="16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In addition, in August 2015, the New York Attorney General issued a subpoena to Hospira, Inc. requesting that the company provide information regarding certain business practices in the intravenous solutions part of the HIS business. Separately, in April 2017, we received a grand jury subpoena issued by the United States District Court for the Eastern District of Pennsylvania, in connection with an investigation by the U.S. Department of Justice, Antitrust Division. The subpoena calls for production of documents related to the manufacturing, selling, pricing and shortages of intravenous solutions, including saline, as well as communications among market participants regarding these issues. The Department of Justice investigation is the subject of cross-claims for indemnification by both us and Pfizer under the SAPA. We will coordinate with Pfizer to produce records to the New York Attorney General and the Department of Justice.</w:t>
      </w:r>
    </w:p>
    <w:p>
      <w:pPr>
        <w:spacing w:after="0" w:line="189"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In April, 2018, the U.S. Department of Justice issued a HIPAA subpoena to Hospira, Inc., requesting production of documents and records regarding the manufacturing, production, testing, quality and validation of the Sapphire™ infusion pumps, sets and related accessories distributed by the Company. We will coordinate with Pfizer to produce the requested records to the Department of Justice.</w:t>
      </w:r>
    </w:p>
    <w:p>
      <w:pPr>
        <w:spacing w:after="0" w:line="181" w:lineRule="exact"/>
        <w:rPr>
          <w:sz w:val="20"/>
          <w:szCs w:val="20"/>
          <w:color w:val="auto"/>
        </w:rPr>
      </w:pPr>
    </w:p>
    <w:p>
      <w:pPr>
        <w:jc w:val="both"/>
        <w:ind w:right="620" w:firstLine="648"/>
        <w:spacing w:after="0" w:line="264" w:lineRule="auto"/>
        <w:rPr>
          <w:sz w:val="20"/>
          <w:szCs w:val="20"/>
          <w:color w:val="auto"/>
        </w:rPr>
      </w:pPr>
      <w:r>
        <w:rPr>
          <w:rFonts w:ascii="Arial" w:cs="Arial" w:eastAsia="Arial" w:hAnsi="Arial"/>
          <w:sz w:val="18"/>
          <w:szCs w:val="18"/>
          <w:color w:val="auto"/>
        </w:rPr>
        <w:t>In addition to the legal matter described above, we are from time to time involved in various other legal proceedings, either as a defendant or plaintiff, most of which are routine litigation in the normal course of business. We believe that the resolution of the legal proceedings in which we are involved will not have a material adverse effect on our financial position or results of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1A.  Risk Factors</w:t>
      </w:r>
    </w:p>
    <w:p>
      <w:pPr>
        <w:spacing w:after="0" w:line="229" w:lineRule="exact"/>
        <w:rPr>
          <w:sz w:val="20"/>
          <w:szCs w:val="20"/>
          <w:color w:val="auto"/>
        </w:rPr>
      </w:pPr>
    </w:p>
    <w:p>
      <w:pPr>
        <w:jc w:val="both"/>
        <w:ind w:right="260" w:firstLine="648"/>
        <w:spacing w:after="0" w:line="264" w:lineRule="auto"/>
        <w:rPr>
          <w:sz w:val="20"/>
          <w:szCs w:val="20"/>
          <w:color w:val="auto"/>
        </w:rPr>
      </w:pPr>
      <w:r>
        <w:rPr>
          <w:rFonts w:ascii="Arial" w:cs="Arial" w:eastAsia="Arial" w:hAnsi="Arial"/>
          <w:sz w:val="18"/>
          <w:szCs w:val="18"/>
          <w:color w:val="auto"/>
        </w:rPr>
        <w:t>In evaluating an investment in our common stock, investors should consider carefully, among other things, the risk factors previously disclosed in Part I, Item 1A of our Annual Report on Form 10-K filed with the SEC for the year ended December 31, 2017, as well as the information contained in this Quarterly Report and our other reports and registration statements filed with the SEC.</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of Equity Securities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our stock repurchasing activity during the first quarter of 2018:</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shares</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vMerge w:val="restart"/>
          </w:tcPr>
          <w:p>
            <w:pPr>
              <w:jc w:val="center"/>
              <w:ind w:right="80"/>
              <w:spacing w:after="0"/>
              <w:rPr>
                <w:sz w:val="20"/>
                <w:szCs w:val="20"/>
                <w:color w:val="auto"/>
              </w:rPr>
            </w:pPr>
            <w:r>
              <w:rPr>
                <w:rFonts w:ascii="Arial" w:cs="Arial" w:eastAsia="Arial" w:hAnsi="Arial"/>
                <w:sz w:val="14"/>
                <w:szCs w:val="14"/>
                <w:b w:val="1"/>
                <w:bCs w:val="1"/>
                <w:color w:val="auto"/>
                <w:w w:val="95"/>
              </w:rPr>
              <w:t>Approximate</w:t>
            </w: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purchased as</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0"/>
              </w:rPr>
              <w:t>Average</w:t>
            </w: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part of a</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dollar value that</w:t>
            </w: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92"/>
              </w:rPr>
              <w:t>Total number of shares</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publicly</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may yet be</w:t>
            </w:r>
          </w:p>
        </w:tc>
        <w:tc>
          <w:tcPr>
            <w:tcW w:w="0" w:type="dxa"/>
            <w:vAlign w:val="bottom"/>
          </w:tcPr>
          <w:p>
            <w:pPr>
              <w:spacing w:after="0"/>
              <w:rPr>
                <w:sz w:val="1"/>
                <w:szCs w:val="1"/>
                <w:color w:val="auto"/>
              </w:rPr>
            </w:pPr>
          </w:p>
        </w:tc>
      </w:tr>
      <w:tr>
        <w:trPr>
          <w:trHeight w:val="149"/>
        </w:trPr>
        <w:tc>
          <w:tcPr>
            <w:tcW w:w="50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20" w:type="dxa"/>
            <w:vAlign w:val="bottom"/>
            <w:vMerge w:val="restart"/>
          </w:tcPr>
          <w:p>
            <w:pPr>
              <w:spacing w:after="0"/>
              <w:rPr>
                <w:sz w:val="12"/>
                <w:szCs w:val="12"/>
                <w:color w:val="auto"/>
              </w:rPr>
            </w:pPr>
          </w:p>
        </w:tc>
        <w:tc>
          <w:tcPr>
            <w:tcW w:w="15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price paid</w:t>
            </w: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announced</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purchased under</w:t>
            </w:r>
          </w:p>
        </w:tc>
        <w:tc>
          <w:tcPr>
            <w:tcW w:w="0" w:type="dxa"/>
            <w:vAlign w:val="bottom"/>
          </w:tcPr>
          <w:p>
            <w:pPr>
              <w:spacing w:after="0"/>
              <w:rPr>
                <w:sz w:val="1"/>
                <w:szCs w:val="1"/>
                <w:color w:val="auto"/>
              </w:rPr>
            </w:pPr>
          </w:p>
        </w:tc>
      </w:tr>
      <w:tr>
        <w:trPr>
          <w:trHeight w:val="192"/>
        </w:trPr>
        <w:tc>
          <w:tcPr>
            <w:tcW w:w="50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50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purchased</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98"/>
              <w:spacing w:after="0"/>
              <w:rPr>
                <w:sz w:val="20"/>
                <w:szCs w:val="20"/>
                <w:color w:val="auto"/>
              </w:rPr>
            </w:pPr>
            <w:r>
              <w:rPr>
                <w:rFonts w:ascii="Arial" w:cs="Arial" w:eastAsia="Arial" w:hAnsi="Arial"/>
                <w:sz w:val="14"/>
                <w:szCs w:val="14"/>
                <w:b w:val="1"/>
                <w:bCs w:val="1"/>
                <w:color w:val="auto"/>
                <w:w w:val="91"/>
              </w:rPr>
              <w:t>per share</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program</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w w:val="96"/>
              </w:rPr>
              <w:t>the program</w:t>
            </w:r>
            <w:r>
              <w:rPr>
                <w:rFonts w:ascii="Arial" w:cs="Arial" w:eastAsia="Arial" w:hAnsi="Arial"/>
                <w:sz w:val="8"/>
                <w:szCs w:val="8"/>
                <w:b w:val="1"/>
                <w:bCs w:val="1"/>
                <w:color w:val="auto"/>
                <w:w w:val="96"/>
              </w:rPr>
              <w:t>(1)</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01/01/2018 — 01/31/2018</w:t>
            </w:r>
          </w:p>
        </w:tc>
        <w:tc>
          <w:tcPr>
            <w:tcW w:w="1500" w:type="dxa"/>
            <w:vAlign w:val="bottom"/>
            <w:tcBorders>
              <w:bottom w:val="single" w:sz="8" w:color="CCEEFF"/>
            </w:tcBorders>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7,169,000</w:t>
            </w:r>
          </w:p>
        </w:tc>
        <w:tc>
          <w:tcPr>
            <w:tcW w:w="0" w:type="dxa"/>
            <w:vAlign w:val="bottom"/>
          </w:tcPr>
          <w:p>
            <w:pPr>
              <w:spacing w:after="0"/>
              <w:rPr>
                <w:sz w:val="1"/>
                <w:szCs w:val="1"/>
                <w:color w:val="auto"/>
              </w:rPr>
            </w:pP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02/01/2018 — 02/28/2018</w:t>
            </w:r>
          </w:p>
        </w:tc>
        <w:tc>
          <w:tcPr>
            <w:tcW w:w="1500" w:type="dxa"/>
            <w:vAlign w:val="bottom"/>
          </w:tcPr>
          <w:p>
            <w:pPr>
              <w:ind w:left="120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480" w:type="dxa"/>
            <w:vAlign w:val="bottom"/>
          </w:tcPr>
          <w:p>
            <w:pPr>
              <w:ind w:left="120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20"/>
              <w:spacing w:after="0"/>
              <w:rPr>
                <w:sz w:val="20"/>
                <w:szCs w:val="20"/>
                <w:color w:val="auto"/>
              </w:rPr>
            </w:pPr>
            <w:r>
              <w:rPr>
                <w:rFonts w:ascii="Arial" w:cs="Arial" w:eastAsia="Arial" w:hAnsi="Arial"/>
                <w:sz w:val="18"/>
                <w:szCs w:val="18"/>
                <w:color w:val="auto"/>
              </w:rPr>
              <w:t>7,169,000</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03/01/2018 — 03/31/2018</w:t>
            </w:r>
          </w:p>
        </w:tc>
        <w:tc>
          <w:tcPr>
            <w:tcW w:w="1500" w:type="dxa"/>
            <w:vAlign w:val="bottom"/>
            <w:tcBorders>
              <w:bottom w:val="single" w:sz="8" w:color="CCEEFF"/>
            </w:tcBorders>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7,169,000</w:t>
            </w:r>
          </w:p>
        </w:tc>
        <w:tc>
          <w:tcPr>
            <w:tcW w:w="0" w:type="dxa"/>
            <w:vAlign w:val="bottom"/>
          </w:tcPr>
          <w:p>
            <w:pPr>
              <w:spacing w:after="0"/>
              <w:rPr>
                <w:sz w:val="1"/>
                <w:szCs w:val="1"/>
                <w:color w:val="auto"/>
              </w:rPr>
            </w:pPr>
          </w:p>
        </w:tc>
      </w:tr>
      <w:tr>
        <w:trPr>
          <w:trHeight w:val="257"/>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First quarter of 2018 total</w:t>
            </w:r>
          </w:p>
        </w:tc>
        <w:tc>
          <w:tcPr>
            <w:tcW w:w="1500" w:type="dxa"/>
            <w:vAlign w:val="bottom"/>
            <w:tcBorders>
              <w:top w:val="single" w:sz="8" w:color="auto"/>
              <w:bottom w:val="single" w:sz="8" w:color="auto"/>
            </w:tcBorders>
          </w:tcPr>
          <w:p>
            <w:pPr>
              <w:ind w:left="120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bottom w:val="single" w:sz="8" w:color="auto"/>
            </w:tcBorders>
          </w:tcPr>
          <w:p>
            <w:pPr>
              <w:ind w:left="120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20"/>
              <w:spacing w:after="0"/>
              <w:rPr>
                <w:sz w:val="20"/>
                <w:szCs w:val="20"/>
                <w:color w:val="auto"/>
              </w:rPr>
            </w:pPr>
            <w:r>
              <w:rPr>
                <w:rFonts w:ascii="Arial" w:cs="Arial" w:eastAsia="Arial" w:hAnsi="Arial"/>
                <w:sz w:val="18"/>
                <w:szCs w:val="18"/>
                <w:color w:val="auto"/>
              </w:rPr>
              <w:t>7,169,000</w:t>
            </w:r>
          </w:p>
        </w:tc>
        <w:tc>
          <w:tcPr>
            <w:tcW w:w="0" w:type="dxa"/>
            <w:vAlign w:val="bottom"/>
          </w:tcPr>
          <w:p>
            <w:pPr>
              <w:spacing w:after="0"/>
              <w:rPr>
                <w:sz w:val="1"/>
                <w:szCs w:val="1"/>
                <w:color w:val="auto"/>
              </w:rPr>
            </w:pPr>
          </w:p>
        </w:tc>
      </w:tr>
      <w:tr>
        <w:trPr>
          <w:trHeight w:val="20"/>
        </w:trPr>
        <w:tc>
          <w:tcPr>
            <w:tcW w:w="5040" w:type="dxa"/>
            <w:vAlign w:val="bottom"/>
            <w:vMerge w:val="restart"/>
          </w:tcPr>
          <w:p>
            <w:pPr>
              <w:spacing w:after="0"/>
              <w:rPr>
                <w:sz w:val="20"/>
                <w:szCs w:val="20"/>
                <w:color w:val="auto"/>
              </w:rPr>
            </w:pPr>
            <w:r>
              <w:rPr>
                <w:rFonts w:ascii="Arial" w:cs="Arial" w:eastAsia="Arial" w:hAnsi="Arial"/>
                <w:sz w:val="20"/>
                <w:szCs w:val="20"/>
                <w:color w:val="auto"/>
              </w:rPr>
              <w:t>____________________________</w:t>
            </w:r>
          </w:p>
        </w:tc>
        <w:tc>
          <w:tcPr>
            <w:tcW w:w="120" w:type="dxa"/>
            <w:vAlign w:val="bottom"/>
            <w:vMerge w:val="restart"/>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040" w:type="dxa"/>
            <w:vAlign w:val="bottom"/>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08" w:lineRule="exact"/>
        <w:rPr>
          <w:sz w:val="20"/>
          <w:szCs w:val="20"/>
          <w:color w:val="auto"/>
        </w:rPr>
      </w:pPr>
    </w:p>
    <w:p>
      <w:pPr>
        <w:ind w:left="340" w:right="100" w:hanging="332"/>
        <w:spacing w:after="0" w:line="268" w:lineRule="auto"/>
        <w:tabs>
          <w:tab w:leader="none" w:pos="340" w:val="left"/>
        </w:tabs>
        <w:numPr>
          <w:ilvl w:val="0"/>
          <w:numId w:val="24"/>
        </w:numPr>
        <w:rPr>
          <w:rFonts w:ascii="Arial" w:cs="Arial" w:eastAsia="Arial" w:hAnsi="Arial"/>
          <w:sz w:val="24"/>
          <w:szCs w:val="24"/>
          <w:color w:val="auto"/>
          <w:vertAlign w:val="superscript"/>
        </w:rPr>
      </w:pPr>
      <w:r>
        <w:rPr>
          <w:rFonts w:ascii="Arial" w:cs="Arial" w:eastAsia="Arial" w:hAnsi="Arial"/>
          <w:sz w:val="14"/>
          <w:szCs w:val="14"/>
          <w:color w:val="auto"/>
        </w:rPr>
        <w:t xml:space="preserve">Our </w:t>
      </w:r>
      <w:r>
        <w:rPr>
          <w:rFonts w:ascii="Arial" w:cs="Arial" w:eastAsia="Arial" w:hAnsi="Arial"/>
          <w:sz w:val="15"/>
          <w:szCs w:val="15"/>
          <w:color w:val="auto"/>
        </w:rPr>
        <w:t>common stock purchase plan, which authorized the repurchase of up to $40.0 million of our common stock, was authorized by our Board of Directors and publicly</w:t>
      </w:r>
      <w:r>
        <w:rPr>
          <w:rFonts w:ascii="Arial" w:cs="Arial" w:eastAsia="Arial" w:hAnsi="Arial"/>
          <w:sz w:val="14"/>
          <w:szCs w:val="14"/>
          <w:color w:val="auto"/>
        </w:rPr>
        <w:t xml:space="preserve"> </w:t>
      </w:r>
      <w:r>
        <w:rPr>
          <w:rFonts w:ascii="Arial" w:cs="Arial" w:eastAsia="Arial" w:hAnsi="Arial"/>
          <w:sz w:val="15"/>
          <w:szCs w:val="15"/>
          <w:color w:val="auto"/>
        </w:rPr>
        <w:t>announced on July 19, 2010. This plan has no expiration date. We are not obligated to make any purchases under our stock purchase program. Subject to applicable state and federal corporate and securities laws, purchases under a stock purchase program may be made at such times and in such amounts as we deem appropriate. Purchases made under our stock purchase program can be discontinued at any time we feel additional purchases are not warranted.</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6. Exhibits</w:t>
      </w:r>
    </w:p>
    <w:p>
      <w:pPr>
        <w:spacing w:after="0" w:line="31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See the Exhibit Index following the signature page to this Quarterly Report on Form 10-Q for a list of exhibits filed or furnished with this report, which Exhibit Index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080"/>
          </w:cols>
          <w:pgMar w:left="240" w:top="125" w:right="57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ICU Medical, Inc.</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(Registrant)</w:t>
      </w:r>
    </w:p>
    <w:p>
      <w:pPr>
        <w:spacing w:after="0" w:line="333" w:lineRule="exact"/>
        <w:rPr>
          <w:sz w:val="20"/>
          <w:szCs w:val="20"/>
          <w:color w:val="auto"/>
        </w:rPr>
      </w:pPr>
    </w:p>
    <w:p>
      <w:pPr>
        <w:ind w:left="40"/>
        <w:spacing w:after="0"/>
        <w:tabs>
          <w:tab w:leader="none" w:pos="5920" w:val="left"/>
        </w:tabs>
        <w:rPr>
          <w:sz w:val="20"/>
          <w:szCs w:val="20"/>
          <w:color w:val="auto"/>
        </w:rPr>
      </w:pPr>
      <w:r>
        <w:rPr>
          <w:rFonts w:ascii="Arial" w:cs="Arial" w:eastAsia="Arial" w:hAnsi="Arial"/>
          <w:sz w:val="18"/>
          <w:szCs w:val="18"/>
          <w:color w:val="auto"/>
        </w:rPr>
        <w:t>/s/ Scott E. Lamb</w:t>
      </w:r>
      <w:r>
        <w:rPr>
          <w:sz w:val="20"/>
          <w:szCs w:val="20"/>
          <w:color w:val="auto"/>
        </w:rPr>
        <w:tab/>
      </w:r>
      <w:r>
        <w:rPr>
          <w:rFonts w:ascii="Arial" w:cs="Arial" w:eastAsia="Arial" w:hAnsi="Arial"/>
          <w:sz w:val="16"/>
          <w:szCs w:val="16"/>
          <w:color w:val="auto"/>
        </w:rPr>
        <w:t>Date: May 10,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017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6017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Scott E. Lamb</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95"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000"/>
          </w:cols>
          <w:pgMar w:left="240" w:top="125" w:right="65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07"/>
        </w:trPr>
        <w:tc>
          <w:tcPr>
            <w:tcW w:w="1620" w:type="dxa"/>
            <w:vAlign w:val="bottom"/>
            <w:gridSpan w:val="4"/>
          </w:tcPr>
          <w:p>
            <w:pPr>
              <w:spacing w:after="0"/>
              <w:rPr>
                <w:sz w:val="20"/>
                <w:szCs w:val="20"/>
                <w:color w:val="auto"/>
              </w:rPr>
            </w:pPr>
            <w:r>
              <w:rPr>
                <w:rFonts w:ascii="Arial" w:cs="Arial" w:eastAsia="Arial" w:hAnsi="Arial"/>
                <w:sz w:val="18"/>
                <w:szCs w:val="18"/>
                <w:b w:val="1"/>
                <w:bCs w:val="1"/>
                <w:color w:val="auto"/>
              </w:rPr>
              <w:t>Exhibit Index</w:t>
            </w:r>
          </w:p>
        </w:tc>
        <w:tc>
          <w:tcPr>
            <w:tcW w:w="9200" w:type="dxa"/>
            <w:vAlign w:val="bottom"/>
          </w:tcPr>
          <w:p>
            <w:pPr>
              <w:spacing w:after="0"/>
              <w:rPr>
                <w:sz w:val="17"/>
                <w:szCs w:val="17"/>
                <w:color w:val="auto"/>
              </w:rPr>
            </w:pPr>
          </w:p>
        </w:tc>
      </w:tr>
      <w:tr>
        <w:trPr>
          <w:trHeight w:val="574"/>
        </w:trPr>
        <w:tc>
          <w:tcPr>
            <w:tcW w:w="1060" w:type="dxa"/>
            <w:vAlign w:val="bottom"/>
            <w:tcBorders>
              <w:top w:val="single" w:sz="8" w:color="auto"/>
            </w:tcBorders>
            <w:gridSpan w:val="3"/>
          </w:tcPr>
          <w:p>
            <w:pPr>
              <w:ind w:left="40"/>
              <w:spacing w:after="0"/>
              <w:rPr>
                <w:rFonts w:ascii="Arial" w:cs="Arial" w:eastAsia="Arial" w:hAnsi="Arial"/>
                <w:sz w:val="18"/>
                <w:szCs w:val="18"/>
                <w:color w:val="auto"/>
              </w:rPr>
            </w:pPr>
            <w:r>
              <w:rPr>
                <w:rFonts w:ascii="Arial" w:cs="Arial" w:eastAsia="Arial" w:hAnsi="Arial"/>
                <w:sz w:val="18"/>
                <w:szCs w:val="18"/>
                <w:color w:val="auto"/>
              </w:rPr>
              <w:t xml:space="preserve">Exhibit </w:t>
            </w:r>
            <w:hyperlink w:anchor="page44">
              <w:r>
                <w:rPr>
                  <w:rFonts w:ascii="Arial" w:cs="Arial" w:eastAsia="Arial" w:hAnsi="Arial"/>
                  <w:sz w:val="18"/>
                  <w:szCs w:val="18"/>
                  <w:color w:val="0000FF"/>
                </w:rPr>
                <w:t>10.1</w:t>
              </w:r>
            </w:hyperlink>
          </w:p>
        </w:tc>
        <w:tc>
          <w:tcPr>
            <w:tcW w:w="560" w:type="dxa"/>
            <w:vAlign w:val="bottom"/>
          </w:tcPr>
          <w:p>
            <w:pPr>
              <w:spacing w:after="0"/>
              <w:rPr>
                <w:sz w:val="24"/>
                <w:szCs w:val="24"/>
                <w:color w:val="auto"/>
              </w:rPr>
            </w:pPr>
          </w:p>
        </w:tc>
        <w:tc>
          <w:tcPr>
            <w:tcW w:w="9200" w:type="dxa"/>
            <w:vAlign w:val="bottom"/>
          </w:tcPr>
          <w:p>
            <w:pPr>
              <w:ind w:left="340"/>
              <w:spacing w:after="0"/>
              <w:rPr>
                <w:sz w:val="20"/>
                <w:szCs w:val="20"/>
                <w:color w:val="auto"/>
              </w:rPr>
            </w:pPr>
            <w:r>
              <w:rPr>
                <w:rFonts w:ascii="Arial" w:cs="Arial" w:eastAsia="Arial" w:hAnsi="Arial"/>
                <w:sz w:val="18"/>
                <w:szCs w:val="18"/>
                <w:color w:val="auto"/>
              </w:rPr>
              <w:t>Amended and Restated ICU Medical, Inc. 2011 Stock Incentive Plan</w:t>
            </w:r>
          </w:p>
        </w:tc>
      </w:tr>
      <w:tr>
        <w:trPr>
          <w:trHeight w:val="20"/>
        </w:trPr>
        <w:tc>
          <w:tcPr>
            <w:tcW w:w="60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9200" w:type="dxa"/>
            <w:vAlign w:val="bottom"/>
          </w:tcPr>
          <w:p>
            <w:pPr>
              <w:spacing w:after="0" w:line="20" w:lineRule="exact"/>
              <w:rPr>
                <w:sz w:val="1"/>
                <w:szCs w:val="1"/>
                <w:color w:val="auto"/>
              </w:rPr>
            </w:pPr>
          </w:p>
        </w:tc>
      </w:tr>
      <w:tr>
        <w:trPr>
          <w:trHeight w:val="372"/>
        </w:trPr>
        <w:tc>
          <w:tcPr>
            <w:tcW w:w="1620" w:type="dxa"/>
            <w:vAlign w:val="bottom"/>
            <w:gridSpan w:val="4"/>
          </w:tcPr>
          <w:p>
            <w:pPr>
              <w:ind w:left="40"/>
              <w:spacing w:after="0"/>
              <w:rPr>
                <w:rFonts w:ascii="Arial" w:cs="Arial" w:eastAsia="Arial" w:hAnsi="Arial"/>
                <w:sz w:val="18"/>
                <w:szCs w:val="18"/>
                <w:color w:val="auto"/>
              </w:rPr>
            </w:pPr>
            <w:r>
              <w:rPr>
                <w:rFonts w:ascii="Arial" w:cs="Arial" w:eastAsia="Arial" w:hAnsi="Arial"/>
                <w:sz w:val="18"/>
                <w:szCs w:val="18"/>
                <w:color w:val="auto"/>
              </w:rPr>
              <w:t xml:space="preserve">Exhibit </w:t>
            </w:r>
            <w:hyperlink w:anchor="page58">
              <w:r>
                <w:rPr>
                  <w:rFonts w:ascii="Arial" w:cs="Arial" w:eastAsia="Arial" w:hAnsi="Arial"/>
                  <w:sz w:val="18"/>
                  <w:szCs w:val="18"/>
                  <w:color w:val="0000FF"/>
                </w:rPr>
                <w:t>31.1</w:t>
              </w:r>
            </w:hyperlink>
          </w:p>
        </w:tc>
        <w:tc>
          <w:tcPr>
            <w:tcW w:w="9200" w:type="dxa"/>
            <w:vAlign w:val="bottom"/>
          </w:tcPr>
          <w:p>
            <w:pPr>
              <w:ind w:left="340"/>
              <w:spacing w:after="0"/>
              <w:rPr>
                <w:sz w:val="20"/>
                <w:szCs w:val="20"/>
                <w:color w:val="auto"/>
              </w:rPr>
            </w:pPr>
            <w:r>
              <w:rPr>
                <w:rFonts w:ascii="Arial" w:cs="Arial" w:eastAsia="Arial" w:hAnsi="Arial"/>
                <w:sz w:val="18"/>
                <w:szCs w:val="18"/>
                <w:color w:val="auto"/>
              </w:rPr>
              <w:t>Certification of Chief Executive Officer pursuant to Section 302 of the Sarbanes-Oxley Act of 2002</w:t>
            </w:r>
          </w:p>
        </w:tc>
      </w:tr>
      <w:tr>
        <w:trPr>
          <w:trHeight w:val="20"/>
        </w:trPr>
        <w:tc>
          <w:tcPr>
            <w:tcW w:w="60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9200" w:type="dxa"/>
            <w:vAlign w:val="bottom"/>
          </w:tcPr>
          <w:p>
            <w:pPr>
              <w:spacing w:after="0" w:line="20" w:lineRule="exact"/>
              <w:rPr>
                <w:sz w:val="1"/>
                <w:szCs w:val="1"/>
                <w:color w:val="auto"/>
              </w:rPr>
            </w:pPr>
          </w:p>
        </w:tc>
      </w:tr>
      <w:tr>
        <w:trPr>
          <w:trHeight w:val="372"/>
        </w:trPr>
        <w:tc>
          <w:tcPr>
            <w:tcW w:w="1620" w:type="dxa"/>
            <w:vAlign w:val="bottom"/>
            <w:gridSpan w:val="4"/>
          </w:tcPr>
          <w:p>
            <w:pPr>
              <w:ind w:left="40"/>
              <w:spacing w:after="0"/>
              <w:rPr>
                <w:rFonts w:ascii="Arial" w:cs="Arial" w:eastAsia="Arial" w:hAnsi="Arial"/>
                <w:sz w:val="18"/>
                <w:szCs w:val="18"/>
                <w:color w:val="auto"/>
              </w:rPr>
            </w:pPr>
            <w:r>
              <w:rPr>
                <w:rFonts w:ascii="Arial" w:cs="Arial" w:eastAsia="Arial" w:hAnsi="Arial"/>
                <w:sz w:val="18"/>
                <w:szCs w:val="18"/>
                <w:color w:val="auto"/>
              </w:rPr>
              <w:t xml:space="preserve">Exhibit </w:t>
            </w:r>
            <w:hyperlink w:anchor="page59">
              <w:r>
                <w:rPr>
                  <w:rFonts w:ascii="Arial" w:cs="Arial" w:eastAsia="Arial" w:hAnsi="Arial"/>
                  <w:sz w:val="18"/>
                  <w:szCs w:val="18"/>
                  <w:color w:val="0000FF"/>
                </w:rPr>
                <w:t>31.2</w:t>
              </w:r>
            </w:hyperlink>
          </w:p>
        </w:tc>
        <w:tc>
          <w:tcPr>
            <w:tcW w:w="9200" w:type="dxa"/>
            <w:vAlign w:val="bottom"/>
          </w:tcPr>
          <w:p>
            <w:pPr>
              <w:ind w:left="340"/>
              <w:spacing w:after="0"/>
              <w:rPr>
                <w:sz w:val="20"/>
                <w:szCs w:val="20"/>
                <w:color w:val="auto"/>
              </w:rPr>
            </w:pPr>
            <w:r>
              <w:rPr>
                <w:rFonts w:ascii="Arial" w:cs="Arial" w:eastAsia="Arial" w:hAnsi="Arial"/>
                <w:sz w:val="18"/>
                <w:szCs w:val="18"/>
                <w:color w:val="auto"/>
              </w:rPr>
              <w:t>Certification of Chief Financial Officer pursuant to Section 302 of the Sarbanes-Oxley Act of 2002</w:t>
            </w:r>
          </w:p>
        </w:tc>
      </w:tr>
      <w:tr>
        <w:trPr>
          <w:trHeight w:val="20"/>
        </w:trPr>
        <w:tc>
          <w:tcPr>
            <w:tcW w:w="60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9200" w:type="dxa"/>
            <w:vAlign w:val="bottom"/>
          </w:tcPr>
          <w:p>
            <w:pPr>
              <w:spacing w:after="0" w:line="20" w:lineRule="exact"/>
              <w:rPr>
                <w:sz w:val="1"/>
                <w:szCs w:val="1"/>
                <w:color w:val="auto"/>
              </w:rPr>
            </w:pPr>
          </w:p>
        </w:tc>
      </w:tr>
      <w:tr>
        <w:trPr>
          <w:trHeight w:val="372"/>
        </w:trPr>
        <w:tc>
          <w:tcPr>
            <w:tcW w:w="1620" w:type="dxa"/>
            <w:vAlign w:val="bottom"/>
            <w:gridSpan w:val="4"/>
          </w:tcPr>
          <w:p>
            <w:pPr>
              <w:ind w:left="40"/>
              <w:spacing w:after="0"/>
              <w:rPr>
                <w:rFonts w:ascii="Arial" w:cs="Arial" w:eastAsia="Arial" w:hAnsi="Arial"/>
                <w:sz w:val="18"/>
                <w:szCs w:val="18"/>
                <w:color w:val="auto"/>
              </w:rPr>
            </w:pPr>
            <w:r>
              <w:rPr>
                <w:rFonts w:ascii="Arial" w:cs="Arial" w:eastAsia="Arial" w:hAnsi="Arial"/>
                <w:sz w:val="18"/>
                <w:szCs w:val="18"/>
                <w:color w:val="auto"/>
              </w:rPr>
              <w:t xml:space="preserve">Exhibit </w:t>
            </w:r>
            <w:hyperlink w:anchor="page60">
              <w:r>
                <w:rPr>
                  <w:rFonts w:ascii="Arial" w:cs="Arial" w:eastAsia="Arial" w:hAnsi="Arial"/>
                  <w:sz w:val="18"/>
                  <w:szCs w:val="18"/>
                  <w:color w:val="0000FF"/>
                </w:rPr>
                <w:t>32.1</w:t>
              </w:r>
            </w:hyperlink>
          </w:p>
        </w:tc>
        <w:tc>
          <w:tcPr>
            <w:tcW w:w="9200" w:type="dxa"/>
            <w:vAlign w:val="bottom"/>
          </w:tcPr>
          <w:p>
            <w:pPr>
              <w:ind w:left="340"/>
              <w:spacing w:after="0"/>
              <w:rPr>
                <w:sz w:val="20"/>
                <w:szCs w:val="20"/>
                <w:color w:val="auto"/>
              </w:rPr>
            </w:pPr>
            <w:r>
              <w:rPr>
                <w:rFonts w:ascii="Arial" w:cs="Arial" w:eastAsia="Arial" w:hAnsi="Arial"/>
                <w:sz w:val="18"/>
                <w:szCs w:val="18"/>
                <w:color w:val="auto"/>
                <w:w w:val="92"/>
              </w:rPr>
              <w:t>Certifications of Chief Executive Officer and Chief Financial Officer pursuant to Section 906 of the Sarbanes-Oxley Act of</w:t>
            </w:r>
          </w:p>
        </w:tc>
      </w:tr>
      <w:tr>
        <w:trPr>
          <w:trHeight w:val="237"/>
        </w:trPr>
        <w:tc>
          <w:tcPr>
            <w:tcW w:w="600" w:type="dxa"/>
            <w:vAlign w:val="bottom"/>
          </w:tcPr>
          <w:p>
            <w:pPr>
              <w:spacing w:after="0"/>
              <w:rPr>
                <w:sz w:val="20"/>
                <w:szCs w:val="20"/>
                <w:color w:val="auto"/>
              </w:rPr>
            </w:pPr>
          </w:p>
        </w:tc>
        <w:tc>
          <w:tcPr>
            <w:tcW w:w="320" w:type="dxa"/>
            <w:vAlign w:val="bottom"/>
            <w:tcBorders>
              <w:top w:val="single" w:sz="8" w:color="0000FF"/>
            </w:tcBorders>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200" w:type="dxa"/>
            <w:vAlign w:val="bottom"/>
          </w:tcPr>
          <w:p>
            <w:pPr>
              <w:ind w:left="340"/>
              <w:spacing w:after="0"/>
              <w:rPr>
                <w:sz w:val="20"/>
                <w:szCs w:val="20"/>
                <w:color w:val="auto"/>
              </w:rPr>
            </w:pPr>
            <w:r>
              <w:rPr>
                <w:rFonts w:ascii="Arial" w:cs="Arial" w:eastAsia="Arial" w:hAnsi="Arial"/>
                <w:sz w:val="18"/>
                <w:szCs w:val="18"/>
                <w:color w:val="auto"/>
              </w:rPr>
              <w:t>2002</w:t>
            </w:r>
          </w:p>
        </w:tc>
      </w:tr>
      <w:tr>
        <w:trPr>
          <w:trHeight w:val="392"/>
        </w:trPr>
        <w:tc>
          <w:tcPr>
            <w:tcW w:w="1620" w:type="dxa"/>
            <w:vAlign w:val="bottom"/>
            <w:gridSpan w:val="4"/>
          </w:tcPr>
          <w:p>
            <w:pPr>
              <w:ind w:left="40"/>
              <w:spacing w:after="0"/>
              <w:rPr>
                <w:sz w:val="20"/>
                <w:szCs w:val="20"/>
                <w:color w:val="auto"/>
              </w:rPr>
            </w:pPr>
            <w:r>
              <w:rPr>
                <w:rFonts w:ascii="Arial" w:cs="Arial" w:eastAsia="Arial" w:hAnsi="Arial"/>
                <w:sz w:val="18"/>
                <w:szCs w:val="18"/>
                <w:color w:val="auto"/>
              </w:rPr>
              <w:t>Exhibit 101.INS</w:t>
            </w:r>
          </w:p>
        </w:tc>
        <w:tc>
          <w:tcPr>
            <w:tcW w:w="9200" w:type="dxa"/>
            <w:vAlign w:val="bottom"/>
          </w:tcPr>
          <w:p>
            <w:pPr>
              <w:ind w:left="340"/>
              <w:spacing w:after="0"/>
              <w:rPr>
                <w:sz w:val="20"/>
                <w:szCs w:val="20"/>
                <w:color w:val="auto"/>
              </w:rPr>
            </w:pPr>
            <w:r>
              <w:rPr>
                <w:rFonts w:ascii="Arial" w:cs="Arial" w:eastAsia="Arial" w:hAnsi="Arial"/>
                <w:sz w:val="18"/>
                <w:szCs w:val="18"/>
                <w:color w:val="auto"/>
              </w:rPr>
              <w:t>XBRL Instance Document</w:t>
            </w:r>
          </w:p>
        </w:tc>
      </w:tr>
      <w:tr>
        <w:trPr>
          <w:trHeight w:val="392"/>
        </w:trPr>
        <w:tc>
          <w:tcPr>
            <w:tcW w:w="1620" w:type="dxa"/>
            <w:vAlign w:val="bottom"/>
            <w:gridSpan w:val="4"/>
          </w:tcPr>
          <w:p>
            <w:pPr>
              <w:ind w:left="40"/>
              <w:spacing w:after="0"/>
              <w:rPr>
                <w:sz w:val="20"/>
                <w:szCs w:val="20"/>
                <w:color w:val="auto"/>
              </w:rPr>
            </w:pPr>
            <w:r>
              <w:rPr>
                <w:rFonts w:ascii="Arial" w:cs="Arial" w:eastAsia="Arial" w:hAnsi="Arial"/>
                <w:sz w:val="18"/>
                <w:szCs w:val="18"/>
                <w:color w:val="auto"/>
              </w:rPr>
              <w:t>Exhibit 101.SCH</w:t>
            </w:r>
          </w:p>
        </w:tc>
        <w:tc>
          <w:tcPr>
            <w:tcW w:w="9200" w:type="dxa"/>
            <w:vAlign w:val="bottom"/>
          </w:tcPr>
          <w:p>
            <w:pPr>
              <w:ind w:left="340"/>
              <w:spacing w:after="0"/>
              <w:rPr>
                <w:sz w:val="20"/>
                <w:szCs w:val="20"/>
                <w:color w:val="auto"/>
              </w:rPr>
            </w:pPr>
            <w:r>
              <w:rPr>
                <w:rFonts w:ascii="Arial" w:cs="Arial" w:eastAsia="Arial" w:hAnsi="Arial"/>
                <w:sz w:val="18"/>
                <w:szCs w:val="18"/>
                <w:color w:val="auto"/>
              </w:rPr>
              <w:t>XBRL Taxonomy Extension Schema Document</w:t>
            </w:r>
          </w:p>
        </w:tc>
      </w:tr>
      <w:tr>
        <w:trPr>
          <w:trHeight w:val="392"/>
        </w:trPr>
        <w:tc>
          <w:tcPr>
            <w:tcW w:w="1620" w:type="dxa"/>
            <w:vAlign w:val="bottom"/>
            <w:gridSpan w:val="4"/>
          </w:tcPr>
          <w:p>
            <w:pPr>
              <w:ind w:left="40"/>
              <w:spacing w:after="0"/>
              <w:rPr>
                <w:sz w:val="20"/>
                <w:szCs w:val="20"/>
                <w:color w:val="auto"/>
              </w:rPr>
            </w:pPr>
            <w:r>
              <w:rPr>
                <w:rFonts w:ascii="Arial" w:cs="Arial" w:eastAsia="Arial" w:hAnsi="Arial"/>
                <w:sz w:val="18"/>
                <w:szCs w:val="18"/>
                <w:color w:val="auto"/>
              </w:rPr>
              <w:t>Exhibit 101.CAL</w:t>
            </w:r>
          </w:p>
        </w:tc>
        <w:tc>
          <w:tcPr>
            <w:tcW w:w="9200" w:type="dxa"/>
            <w:vAlign w:val="bottom"/>
          </w:tcPr>
          <w:p>
            <w:pPr>
              <w:ind w:left="340"/>
              <w:spacing w:after="0"/>
              <w:rPr>
                <w:sz w:val="20"/>
                <w:szCs w:val="20"/>
                <w:color w:val="auto"/>
              </w:rPr>
            </w:pPr>
            <w:r>
              <w:rPr>
                <w:rFonts w:ascii="Arial" w:cs="Arial" w:eastAsia="Arial" w:hAnsi="Arial"/>
                <w:sz w:val="18"/>
                <w:szCs w:val="18"/>
                <w:color w:val="auto"/>
              </w:rPr>
              <w:t>XBRL Taxonomy Extension Calculation Linkbase Document</w:t>
            </w:r>
          </w:p>
        </w:tc>
      </w:tr>
      <w:tr>
        <w:trPr>
          <w:trHeight w:val="392"/>
        </w:trPr>
        <w:tc>
          <w:tcPr>
            <w:tcW w:w="1620" w:type="dxa"/>
            <w:vAlign w:val="bottom"/>
            <w:gridSpan w:val="4"/>
          </w:tcPr>
          <w:p>
            <w:pPr>
              <w:ind w:left="40"/>
              <w:spacing w:after="0"/>
              <w:rPr>
                <w:sz w:val="20"/>
                <w:szCs w:val="20"/>
                <w:color w:val="auto"/>
              </w:rPr>
            </w:pPr>
            <w:r>
              <w:rPr>
                <w:rFonts w:ascii="Arial" w:cs="Arial" w:eastAsia="Arial" w:hAnsi="Arial"/>
                <w:sz w:val="18"/>
                <w:szCs w:val="18"/>
                <w:color w:val="auto"/>
              </w:rPr>
              <w:t>Exhibit 101.DEF</w:t>
            </w:r>
          </w:p>
        </w:tc>
        <w:tc>
          <w:tcPr>
            <w:tcW w:w="9200" w:type="dxa"/>
            <w:vAlign w:val="bottom"/>
          </w:tcPr>
          <w:p>
            <w:pPr>
              <w:ind w:left="340"/>
              <w:spacing w:after="0"/>
              <w:rPr>
                <w:sz w:val="20"/>
                <w:szCs w:val="20"/>
                <w:color w:val="auto"/>
              </w:rPr>
            </w:pPr>
            <w:r>
              <w:rPr>
                <w:rFonts w:ascii="Arial" w:cs="Arial" w:eastAsia="Arial" w:hAnsi="Arial"/>
                <w:sz w:val="18"/>
                <w:szCs w:val="18"/>
                <w:color w:val="auto"/>
              </w:rPr>
              <w:t>XBRL Taxonomy Extension Definition Linkbase Document</w:t>
            </w:r>
          </w:p>
        </w:tc>
      </w:tr>
      <w:tr>
        <w:trPr>
          <w:trHeight w:val="392"/>
        </w:trPr>
        <w:tc>
          <w:tcPr>
            <w:tcW w:w="1620" w:type="dxa"/>
            <w:vAlign w:val="bottom"/>
            <w:gridSpan w:val="4"/>
          </w:tcPr>
          <w:p>
            <w:pPr>
              <w:ind w:left="40"/>
              <w:spacing w:after="0"/>
              <w:rPr>
                <w:sz w:val="20"/>
                <w:szCs w:val="20"/>
                <w:color w:val="auto"/>
              </w:rPr>
            </w:pPr>
            <w:r>
              <w:rPr>
                <w:rFonts w:ascii="Arial" w:cs="Arial" w:eastAsia="Arial" w:hAnsi="Arial"/>
                <w:sz w:val="18"/>
                <w:szCs w:val="18"/>
                <w:color w:val="auto"/>
              </w:rPr>
              <w:t>Exhibit 101.LAB</w:t>
            </w:r>
          </w:p>
        </w:tc>
        <w:tc>
          <w:tcPr>
            <w:tcW w:w="9200" w:type="dxa"/>
            <w:vAlign w:val="bottom"/>
          </w:tcPr>
          <w:p>
            <w:pPr>
              <w:ind w:left="340"/>
              <w:spacing w:after="0"/>
              <w:rPr>
                <w:sz w:val="20"/>
                <w:szCs w:val="20"/>
                <w:color w:val="auto"/>
              </w:rPr>
            </w:pPr>
            <w:r>
              <w:rPr>
                <w:rFonts w:ascii="Arial" w:cs="Arial" w:eastAsia="Arial" w:hAnsi="Arial"/>
                <w:sz w:val="18"/>
                <w:szCs w:val="18"/>
                <w:color w:val="auto"/>
              </w:rPr>
              <w:t>XBRL Taxonomy Extension Label Linkbase Document</w:t>
            </w:r>
          </w:p>
        </w:tc>
      </w:tr>
      <w:tr>
        <w:trPr>
          <w:trHeight w:val="392"/>
        </w:trPr>
        <w:tc>
          <w:tcPr>
            <w:tcW w:w="1620" w:type="dxa"/>
            <w:vAlign w:val="bottom"/>
            <w:gridSpan w:val="4"/>
          </w:tcPr>
          <w:p>
            <w:pPr>
              <w:ind w:left="40"/>
              <w:spacing w:after="0"/>
              <w:rPr>
                <w:sz w:val="20"/>
                <w:szCs w:val="20"/>
                <w:color w:val="auto"/>
              </w:rPr>
            </w:pPr>
            <w:r>
              <w:rPr>
                <w:rFonts w:ascii="Arial" w:cs="Arial" w:eastAsia="Arial" w:hAnsi="Arial"/>
                <w:sz w:val="18"/>
                <w:szCs w:val="18"/>
                <w:color w:val="auto"/>
              </w:rPr>
              <w:t>Exhibit 101.PRE</w:t>
            </w:r>
          </w:p>
        </w:tc>
        <w:tc>
          <w:tcPr>
            <w:tcW w:w="9200" w:type="dxa"/>
            <w:vAlign w:val="bottom"/>
          </w:tcPr>
          <w:p>
            <w:pPr>
              <w:ind w:left="34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0820"/>
          </w:cols>
          <w:pgMar w:left="240" w:top="351" w:right="839" w:bottom="1440" w:gutter="0" w:footer="0" w:header="0"/>
        </w:sectPr>
      </w:pPr>
    </w:p>
    <w:bookmarkStart w:id="43" w:name="page44"/>
    <w:bookmarkEnd w:id="43"/>
    <w:p>
      <w:pPr>
        <w:ind w:left="9140"/>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ICU MEDICAL, INC. 2011 STOCK INCENTIVE PLAN</w:t>
      </w:r>
    </w:p>
    <w:p>
      <w:pPr>
        <w:spacing w:after="0" w:line="256" w:lineRule="exact"/>
        <w:rPr>
          <w:sz w:val="20"/>
          <w:szCs w:val="20"/>
          <w:color w:val="auto"/>
        </w:rPr>
      </w:pPr>
    </w:p>
    <w:p>
      <w:pPr>
        <w:jc w:val="both"/>
        <w:ind w:firstLine="656"/>
        <w:spacing w:after="0" w:line="311" w:lineRule="auto"/>
        <w:tabs>
          <w:tab w:leader="none" w:pos="1431" w:val="left"/>
        </w:tabs>
        <w:numPr>
          <w:ilvl w:val="1"/>
          <w:numId w:val="25"/>
        </w:numPr>
        <w:rPr>
          <w:rFonts w:ascii="Arial" w:cs="Arial" w:eastAsia="Arial" w:hAnsi="Arial"/>
          <w:sz w:val="18"/>
          <w:szCs w:val="18"/>
          <w:color w:val="auto"/>
        </w:rPr>
      </w:pPr>
      <w:r>
        <w:rPr>
          <w:rFonts w:ascii="Arial" w:cs="Arial" w:eastAsia="Arial" w:hAnsi="Arial"/>
          <w:sz w:val="18"/>
          <w:szCs w:val="18"/>
          <w:u w:val="single" w:color="auto"/>
          <w:color w:val="auto"/>
        </w:rPr>
        <w:t>Purposes of the Plan</w:t>
      </w:r>
      <w:r>
        <w:rPr>
          <w:rFonts w:ascii="Arial" w:cs="Arial" w:eastAsia="Arial" w:hAnsi="Arial"/>
          <w:sz w:val="18"/>
          <w:szCs w:val="18"/>
          <w:color w:val="auto"/>
        </w:rPr>
        <w:t>. The purposes of this Plan are to attract and retain the best available personnel, to provide additional incentives to Employees, Directors and Consultants and to promote the success of the Company’s business. The Plan amends and restates in its entirety the ICU Medical, Inc. 2011 Stock Incentive Plan, as amended (the “</w:t>
      </w:r>
      <w:r>
        <w:rPr>
          <w:rFonts w:ascii="Arial" w:cs="Arial" w:eastAsia="Arial" w:hAnsi="Arial"/>
          <w:sz w:val="18"/>
          <w:szCs w:val="18"/>
          <w:u w:val="single" w:color="auto"/>
          <w:color w:val="auto"/>
        </w:rPr>
        <w:t>Original Plan</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jc w:val="both"/>
        <w:ind w:firstLine="656"/>
        <w:spacing w:after="0" w:line="311" w:lineRule="auto"/>
        <w:tabs>
          <w:tab w:leader="none" w:pos="1431" w:val="left"/>
        </w:tabs>
        <w:numPr>
          <w:ilvl w:val="1"/>
          <w:numId w:val="25"/>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The following definitions shall apply as used herein and in the individual Award Agreements except as defined otherwise in an individual Award Agreement. In the event a term is separately defined in an individual Award Agreement, such definition shall supersede the definition contained in this Section 2.</w:t>
      </w:r>
    </w:p>
    <w:p>
      <w:pPr>
        <w:spacing w:after="0" w:line="181" w:lineRule="exact"/>
        <w:rPr>
          <w:rFonts w:ascii="Arial" w:cs="Arial" w:eastAsia="Arial" w:hAnsi="Arial"/>
          <w:sz w:val="18"/>
          <w:szCs w:val="18"/>
          <w:color w:val="auto"/>
        </w:rPr>
      </w:pPr>
    </w:p>
    <w:p>
      <w:pPr>
        <w:ind w:left="2160" w:hanging="855"/>
        <w:spacing w:after="0"/>
        <w:tabs>
          <w:tab w:leader="none" w:pos="2160" w:val="left"/>
        </w:tabs>
        <w:numPr>
          <w:ilvl w:val="2"/>
          <w:numId w:val="2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Administrator</w:t>
      </w:r>
      <w:r>
        <w:rPr>
          <w:rFonts w:ascii="Arial" w:cs="Arial" w:eastAsia="Arial" w:hAnsi="Arial"/>
          <w:sz w:val="18"/>
          <w:szCs w:val="18"/>
          <w:color w:val="auto"/>
        </w:rPr>
        <w:t>” means the Board or any of the Committees appointed to administer the Plan.</w:t>
      </w:r>
    </w:p>
    <w:p>
      <w:pPr>
        <w:spacing w:after="0" w:line="265" w:lineRule="exact"/>
        <w:rPr>
          <w:rFonts w:ascii="Arial" w:cs="Arial" w:eastAsia="Arial" w:hAnsi="Arial"/>
          <w:sz w:val="18"/>
          <w:szCs w:val="18"/>
          <w:color w:val="auto"/>
        </w:rPr>
      </w:pPr>
    </w:p>
    <w:p>
      <w:pPr>
        <w:ind w:left="2160" w:hanging="855"/>
        <w:spacing w:after="0"/>
        <w:tabs>
          <w:tab w:leader="none" w:pos="2160" w:val="left"/>
        </w:tabs>
        <w:numPr>
          <w:ilvl w:val="2"/>
          <w:numId w:val="2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Affiliate</w:t>
      </w:r>
      <w:r>
        <w:rPr>
          <w:rFonts w:ascii="Arial" w:cs="Arial" w:eastAsia="Arial" w:hAnsi="Arial"/>
          <w:sz w:val="17"/>
          <w:szCs w:val="17"/>
          <w:color w:val="auto"/>
        </w:rPr>
        <w:t>” and “</w:t>
      </w:r>
      <w:r>
        <w:rPr>
          <w:rFonts w:ascii="Arial" w:cs="Arial" w:eastAsia="Arial" w:hAnsi="Arial"/>
          <w:sz w:val="17"/>
          <w:szCs w:val="17"/>
          <w:u w:val="single" w:color="auto"/>
          <w:color w:val="auto"/>
        </w:rPr>
        <w:t>Associate</w:t>
      </w:r>
      <w:r>
        <w:rPr>
          <w:rFonts w:ascii="Arial" w:cs="Arial" w:eastAsia="Arial" w:hAnsi="Arial"/>
          <w:sz w:val="17"/>
          <w:szCs w:val="17"/>
          <w:color w:val="auto"/>
        </w:rPr>
        <w:t>” shall have the respective meanings ascribed to such terms in Rule 12b-2 promulgated under the</w:t>
      </w:r>
    </w:p>
    <w:p>
      <w:pPr>
        <w:spacing w:after="0" w:line="61"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Exchange Act.</w:t>
      </w:r>
    </w:p>
    <w:p>
      <w:pPr>
        <w:spacing w:after="0" w:line="265" w:lineRule="exact"/>
        <w:rPr>
          <w:rFonts w:ascii="Arial" w:cs="Arial" w:eastAsia="Arial" w:hAnsi="Arial"/>
          <w:sz w:val="17"/>
          <w:szCs w:val="17"/>
          <w:color w:val="auto"/>
        </w:rPr>
      </w:pPr>
    </w:p>
    <w:p>
      <w:pPr>
        <w:jc w:val="both"/>
        <w:ind w:firstLine="1305"/>
        <w:spacing w:after="0" w:line="311" w:lineRule="auto"/>
        <w:tabs>
          <w:tab w:leader="none" w:pos="2144" w:val="left"/>
        </w:tabs>
        <w:numPr>
          <w:ilvl w:val="2"/>
          <w:numId w:val="2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Laws</w:t>
      </w:r>
      <w:r>
        <w:rPr>
          <w:rFonts w:ascii="Arial" w:cs="Arial" w:eastAsia="Arial" w:hAnsi="Arial"/>
          <w:sz w:val="18"/>
          <w:szCs w:val="18"/>
          <w:color w:val="auto"/>
        </w:rPr>
        <w:t>” means the legal requirements relating to the Plan and the Awards under applicable provisions of federal securities laws, state corporate and securities laws, the Code, the rules of any applicable stock exchange or national market system, and the rules of any non-U.S. jurisdiction applicable to Awards granted to residents therein.</w:t>
      </w:r>
    </w:p>
    <w:p>
      <w:pPr>
        <w:spacing w:after="0" w:line="181" w:lineRule="exact"/>
        <w:rPr>
          <w:rFonts w:ascii="Arial" w:cs="Arial" w:eastAsia="Arial" w:hAnsi="Arial"/>
          <w:sz w:val="18"/>
          <w:szCs w:val="18"/>
          <w:color w:val="auto"/>
        </w:rPr>
      </w:pPr>
    </w:p>
    <w:p>
      <w:pPr>
        <w:jc w:val="both"/>
        <w:ind w:firstLine="1305"/>
        <w:spacing w:after="0" w:line="325" w:lineRule="auto"/>
        <w:tabs>
          <w:tab w:leader="none" w:pos="2155" w:val="left"/>
        </w:tabs>
        <w:numPr>
          <w:ilvl w:val="2"/>
          <w:numId w:val="2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Assumed</w:t>
      </w:r>
      <w:r>
        <w:rPr>
          <w:rFonts w:ascii="Arial" w:cs="Arial" w:eastAsia="Arial" w:hAnsi="Arial"/>
          <w:sz w:val="17"/>
          <w:szCs w:val="17"/>
          <w:color w:val="auto"/>
        </w:rPr>
        <w:t>” means that pursuant to a Corporate Transaction or Change in Control either (i) the Award is expressly affirmed by the Company or (ii) the contractual obligations represented by the Award are expressly assumed (and not simply by operation of law) by the successor entity or its Parent in connection with the transaction with appropriate adjustments to the number and type of securities of the successor entity or its Parent subject to the Award and the exercise or purchase price thereof which at least preserves the compensation element of the Award existing at the time of the transaction as determined in accordance with the instruments evidencing the agreement to assume the Award.</w:t>
      </w:r>
    </w:p>
    <w:p>
      <w:pPr>
        <w:spacing w:after="0" w:line="175" w:lineRule="exact"/>
        <w:rPr>
          <w:rFonts w:ascii="Arial" w:cs="Arial" w:eastAsia="Arial" w:hAnsi="Arial"/>
          <w:sz w:val="17"/>
          <w:szCs w:val="17"/>
          <w:color w:val="auto"/>
        </w:rPr>
      </w:pPr>
    </w:p>
    <w:p>
      <w:pPr>
        <w:ind w:left="2160" w:hanging="855"/>
        <w:spacing w:after="0"/>
        <w:tabs>
          <w:tab w:leader="none" w:pos="2160" w:val="left"/>
        </w:tabs>
        <w:numPr>
          <w:ilvl w:val="2"/>
          <w:numId w:val="2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Award</w:t>
      </w:r>
      <w:r>
        <w:rPr>
          <w:rFonts w:ascii="Arial" w:cs="Arial" w:eastAsia="Arial" w:hAnsi="Arial"/>
          <w:sz w:val="16"/>
          <w:szCs w:val="16"/>
          <w:color w:val="auto"/>
        </w:rPr>
        <w:t>” means the grant of an Option, SAR, Dividend Equivalent Right, Restricted Stock, Restricted Stock Unit or other right</w:t>
      </w:r>
    </w:p>
    <w:p>
      <w:pPr>
        <w:spacing w:after="0" w:line="7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or benefit under the Plan.</w:t>
      </w:r>
    </w:p>
    <w:p>
      <w:pPr>
        <w:spacing w:after="0" w:line="265" w:lineRule="exact"/>
        <w:rPr>
          <w:rFonts w:ascii="Arial" w:cs="Arial" w:eastAsia="Arial" w:hAnsi="Arial"/>
          <w:sz w:val="16"/>
          <w:szCs w:val="16"/>
          <w:color w:val="auto"/>
        </w:rPr>
      </w:pPr>
    </w:p>
    <w:p>
      <w:pPr>
        <w:ind w:firstLine="1305"/>
        <w:spacing w:after="0" w:line="324" w:lineRule="auto"/>
        <w:tabs>
          <w:tab w:leader="none" w:pos="2125" w:val="left"/>
        </w:tabs>
        <w:numPr>
          <w:ilvl w:val="2"/>
          <w:numId w:val="2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Award Agreement</w:t>
      </w:r>
      <w:r>
        <w:rPr>
          <w:rFonts w:ascii="Arial" w:cs="Arial" w:eastAsia="Arial" w:hAnsi="Arial"/>
          <w:sz w:val="18"/>
          <w:szCs w:val="18"/>
          <w:color w:val="auto"/>
        </w:rPr>
        <w:t>” means the written agreement evidencing the grant of an Award executed by the Company and the Grantee, including any amendments thereto.</w:t>
      </w:r>
    </w:p>
    <w:p>
      <w:pPr>
        <w:spacing w:after="0" w:line="170" w:lineRule="exact"/>
        <w:rPr>
          <w:rFonts w:ascii="Arial" w:cs="Arial" w:eastAsia="Arial" w:hAnsi="Arial"/>
          <w:sz w:val="18"/>
          <w:szCs w:val="18"/>
          <w:color w:val="auto"/>
        </w:rPr>
      </w:pPr>
    </w:p>
    <w:p>
      <w:pPr>
        <w:ind w:left="2160" w:hanging="855"/>
        <w:spacing w:after="0"/>
        <w:tabs>
          <w:tab w:leader="none" w:pos="2160" w:val="left"/>
        </w:tabs>
        <w:numPr>
          <w:ilvl w:val="2"/>
          <w:numId w:val="2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265" w:lineRule="exact"/>
        <w:rPr>
          <w:rFonts w:ascii="Arial" w:cs="Arial" w:eastAsia="Arial" w:hAnsi="Arial"/>
          <w:sz w:val="18"/>
          <w:szCs w:val="18"/>
          <w:color w:val="auto"/>
        </w:rPr>
      </w:pPr>
    </w:p>
    <w:p>
      <w:pPr>
        <w:jc w:val="both"/>
        <w:ind w:firstLine="1305"/>
        <w:spacing w:after="0" w:line="334" w:lineRule="auto"/>
        <w:tabs>
          <w:tab w:leader="none" w:pos="2155" w:val="left"/>
        </w:tabs>
        <w:numPr>
          <w:ilvl w:val="2"/>
          <w:numId w:val="2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Cause</w:t>
      </w:r>
      <w:r>
        <w:rPr>
          <w:rFonts w:ascii="Arial" w:cs="Arial" w:eastAsia="Arial" w:hAnsi="Arial"/>
          <w:sz w:val="16"/>
          <w:szCs w:val="16"/>
          <w:color w:val="auto"/>
        </w:rPr>
        <w:t>” means, with respect to the termination by the Company or a Related Entity of the Grantee’s Continuous Service, that such termination is for “Cause” as such term (or word of like import) is expressly defined in a then-effective written agreement between the Grantee and the Company or such Related Entity, or in the absence of such then-effective written agreement and definition, is based on, in the determination of the Administrator, the Grantee’s: (i) performance of any act or failure to perform any act in bad faith and to the detriment of the Company or a Related Entity;</w:t>
      </w:r>
    </w:p>
    <w:p>
      <w:pPr>
        <w:spacing w:after="0" w:line="2" w:lineRule="exact"/>
        <w:rPr>
          <w:rFonts w:ascii="Arial" w:cs="Arial" w:eastAsia="Arial" w:hAnsi="Arial"/>
          <w:sz w:val="16"/>
          <w:szCs w:val="16"/>
          <w:color w:val="auto"/>
        </w:rPr>
      </w:pPr>
    </w:p>
    <w:p>
      <w:pPr>
        <w:jc w:val="both"/>
        <w:ind w:firstLine="8"/>
        <w:spacing w:after="0" w:line="306" w:lineRule="auto"/>
        <w:tabs>
          <w:tab w:leader="none" w:pos="276"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dishonesty, intentional misconduct or material breach of any agreement with the Company or a Related Entity; or (iii) commission of a crime involving dishonesty, breach of trust, or physical or emotional harm to any person; provided, however, that with regard to any agreement that defines “Cause” on the occurrence of or in connection with a Corporate Transaction or a Change in Control, such definition of “Cause” shall not apply until a Corporate Transaction or a Change in Control actually occurs.</w:t>
      </w:r>
    </w:p>
    <w:p>
      <w:pPr>
        <w:spacing w:after="0" w:line="186" w:lineRule="exact"/>
        <w:rPr>
          <w:rFonts w:ascii="Arial" w:cs="Arial" w:eastAsia="Arial" w:hAnsi="Arial"/>
          <w:sz w:val="18"/>
          <w:szCs w:val="18"/>
          <w:color w:val="auto"/>
        </w:rPr>
      </w:pPr>
    </w:p>
    <w:p>
      <w:pPr>
        <w:ind w:left="2120" w:hanging="815"/>
        <w:spacing w:after="0"/>
        <w:tabs>
          <w:tab w:leader="none" w:pos="2120" w:val="left"/>
        </w:tabs>
        <w:numPr>
          <w:ilvl w:val="2"/>
          <w:numId w:val="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Control</w:t>
      </w:r>
      <w:r>
        <w:rPr>
          <w:rFonts w:ascii="Arial" w:cs="Arial" w:eastAsia="Arial" w:hAnsi="Arial"/>
          <w:sz w:val="18"/>
          <w:szCs w:val="18"/>
          <w:color w:val="auto"/>
        </w:rPr>
        <w:t>” means:</w:t>
      </w:r>
    </w:p>
    <w:p>
      <w:pPr>
        <w:spacing w:after="0" w:line="265" w:lineRule="exact"/>
        <w:rPr>
          <w:rFonts w:ascii="Arial" w:cs="Arial" w:eastAsia="Arial" w:hAnsi="Arial"/>
          <w:sz w:val="18"/>
          <w:szCs w:val="18"/>
          <w:color w:val="auto"/>
        </w:rPr>
      </w:pPr>
    </w:p>
    <w:p>
      <w:pPr>
        <w:ind w:left="2780" w:hanging="827"/>
        <w:spacing w:after="0"/>
        <w:tabs>
          <w:tab w:leader="none" w:pos="2780" w:val="left"/>
        </w:tabs>
        <w:numPr>
          <w:ilvl w:val="3"/>
          <w:numId w:val="26"/>
        </w:numPr>
        <w:rPr>
          <w:rFonts w:ascii="Arial" w:cs="Arial" w:eastAsia="Arial" w:hAnsi="Arial"/>
          <w:sz w:val="16"/>
          <w:szCs w:val="16"/>
          <w:color w:val="auto"/>
        </w:rPr>
      </w:pPr>
      <w:r>
        <w:rPr>
          <w:rFonts w:ascii="Arial" w:cs="Arial" w:eastAsia="Arial" w:hAnsi="Arial"/>
          <w:sz w:val="16"/>
          <w:szCs w:val="16"/>
          <w:color w:val="auto"/>
        </w:rPr>
        <w:t>With respect to an Award granted prior to the Effective Date, a “Change in Control” as defined in the Original Plan; and</w:t>
      </w:r>
    </w:p>
    <w:p>
      <w:pPr>
        <w:spacing w:after="0" w:line="288" w:lineRule="exact"/>
        <w:rPr>
          <w:rFonts w:ascii="Arial" w:cs="Arial" w:eastAsia="Arial" w:hAnsi="Arial"/>
          <w:sz w:val="16"/>
          <w:szCs w:val="16"/>
          <w:color w:val="auto"/>
        </w:rPr>
      </w:pPr>
    </w:p>
    <w:p>
      <w:pPr>
        <w:ind w:right="380" w:firstLine="1953"/>
        <w:spacing w:after="0" w:line="324" w:lineRule="auto"/>
        <w:tabs>
          <w:tab w:leader="none" w:pos="2813" w:val="left"/>
        </w:tabs>
        <w:numPr>
          <w:ilvl w:val="3"/>
          <w:numId w:val="26"/>
        </w:numPr>
        <w:rPr>
          <w:rFonts w:ascii="Arial" w:cs="Arial" w:eastAsia="Arial" w:hAnsi="Arial"/>
          <w:sz w:val="18"/>
          <w:szCs w:val="18"/>
          <w:color w:val="auto"/>
        </w:rPr>
      </w:pPr>
      <w:r>
        <w:rPr>
          <w:rFonts w:ascii="Arial" w:cs="Arial" w:eastAsia="Arial" w:hAnsi="Arial"/>
          <w:sz w:val="18"/>
          <w:szCs w:val="18"/>
          <w:color w:val="auto"/>
        </w:rPr>
        <w:t>With respect to an Award granted on or after the Effective Date, a change in ownership or control of the Company effected through either of the following transactions:</w:t>
      </w:r>
    </w:p>
    <w:p>
      <w:pPr>
        <w:spacing w:after="0" w:line="170" w:lineRule="exact"/>
        <w:rPr>
          <w:rFonts w:ascii="Arial" w:cs="Arial" w:eastAsia="Arial" w:hAnsi="Arial"/>
          <w:sz w:val="18"/>
          <w:szCs w:val="18"/>
          <w:color w:val="auto"/>
        </w:rPr>
      </w:pPr>
    </w:p>
    <w:p>
      <w:pPr>
        <w:jc w:val="both"/>
        <w:ind w:left="1300" w:firstLine="1301"/>
        <w:spacing w:after="0" w:line="311" w:lineRule="auto"/>
        <w:tabs>
          <w:tab w:leader="none" w:pos="3495" w:val="left"/>
        </w:tabs>
        <w:numPr>
          <w:ilvl w:val="4"/>
          <w:numId w:val="26"/>
        </w:numPr>
        <w:rPr>
          <w:rFonts w:ascii="Arial" w:cs="Arial" w:eastAsia="Arial" w:hAnsi="Arial"/>
          <w:sz w:val="18"/>
          <w:szCs w:val="18"/>
          <w:color w:val="auto"/>
        </w:rPr>
      </w:pPr>
      <w:r>
        <w:rPr>
          <w:rFonts w:ascii="Arial" w:cs="Arial" w:eastAsia="Arial" w:hAnsi="Arial"/>
          <w:sz w:val="18"/>
          <w:szCs w:val="18"/>
          <w:color w:val="auto"/>
        </w:rPr>
        <w:t>the acquisition by an individual, entity or group (within the meaning of Section 13(d)(3) or 14(d)(2) of the Exchange Act (a “</w:t>
      </w:r>
      <w:r>
        <w:rPr>
          <w:rFonts w:ascii="Arial" w:cs="Arial" w:eastAsia="Arial" w:hAnsi="Arial"/>
          <w:sz w:val="18"/>
          <w:szCs w:val="18"/>
          <w:u w:val="single" w:color="auto"/>
          <w:color w:val="auto"/>
        </w:rPr>
        <w:t>Person</w:t>
      </w:r>
      <w:r>
        <w:rPr>
          <w:rFonts w:ascii="Arial" w:cs="Arial" w:eastAsia="Arial" w:hAnsi="Arial"/>
          <w:sz w:val="18"/>
          <w:szCs w:val="18"/>
          <w:color w:val="auto"/>
        </w:rPr>
        <w:t>”) of beneficial ownership of any capital stock of the Company if, after such acquisition, such Person beneficially owns (within the meaning of Rule 13d-3 promulgated under</w:t>
      </w:r>
    </w:p>
    <w:p>
      <w:pPr>
        <w:sectPr>
          <w:pgSz w:w="11900" w:h="16838" w:orient="portrait"/>
          <w:cols w:equalWidth="0" w:num="1">
            <w:col w:w="11420"/>
          </w:cols>
          <w:pgMar w:left="240" w:top="580" w:right="239" w:bottom="1440" w:gutter="0" w:footer="0" w:header="0"/>
        </w:sectPr>
      </w:pPr>
    </w:p>
    <w:bookmarkStart w:id="44" w:name="page45"/>
    <w:bookmarkEnd w:id="44"/>
    <w:p>
      <w:pPr>
        <w:jc w:val="both"/>
        <w:ind w:left="1300"/>
        <w:spacing w:after="0" w:line="334" w:lineRule="auto"/>
        <w:rPr>
          <w:sz w:val="20"/>
          <w:szCs w:val="20"/>
          <w:color w:val="auto"/>
        </w:rPr>
      </w:pPr>
      <w:r>
        <w:rPr>
          <w:rFonts w:ascii="Arial" w:cs="Arial" w:eastAsia="Arial" w:hAnsi="Arial"/>
          <w:sz w:val="16"/>
          <w:szCs w:val="16"/>
          <w:color w:val="auto"/>
        </w:rPr>
        <w:t>the Exchange Act) 50% or more of either (A) the then-outstanding shares of common stock of the Company (the “</w:t>
      </w:r>
      <w:r>
        <w:rPr>
          <w:rFonts w:ascii="Arial" w:cs="Arial" w:eastAsia="Arial" w:hAnsi="Arial"/>
          <w:sz w:val="16"/>
          <w:szCs w:val="16"/>
          <w:u w:val="single" w:color="auto"/>
          <w:color w:val="auto"/>
        </w:rPr>
        <w:t>Outstanding Company</w:t>
      </w:r>
      <w:r>
        <w:rPr>
          <w:rFonts w:ascii="Arial" w:cs="Arial" w:eastAsia="Arial" w:hAnsi="Arial"/>
          <w:sz w:val="16"/>
          <w:szCs w:val="16"/>
          <w:color w:val="auto"/>
        </w:rPr>
        <w:t xml:space="preserve"> </w:t>
      </w:r>
      <w:r>
        <w:rPr>
          <w:rFonts w:ascii="Arial" w:cs="Arial" w:eastAsia="Arial" w:hAnsi="Arial"/>
          <w:sz w:val="16"/>
          <w:szCs w:val="16"/>
          <w:u w:val="single" w:color="auto"/>
          <w:color w:val="auto"/>
        </w:rPr>
        <w:t>Common Stock</w:t>
      </w:r>
      <w:r>
        <w:rPr>
          <w:rFonts w:ascii="Arial" w:cs="Arial" w:eastAsia="Arial" w:hAnsi="Arial"/>
          <w:sz w:val="16"/>
          <w:szCs w:val="16"/>
          <w:color w:val="auto"/>
        </w:rPr>
        <w:t>”) or (B) the combined voting power of the then-outstanding voting securities of the Company entitled to vote generally in the election of directors (the “</w:t>
      </w:r>
      <w:r>
        <w:rPr>
          <w:rFonts w:ascii="Arial" w:cs="Arial" w:eastAsia="Arial" w:hAnsi="Arial"/>
          <w:sz w:val="16"/>
          <w:szCs w:val="16"/>
          <w:u w:val="single" w:color="auto"/>
          <w:color w:val="auto"/>
        </w:rPr>
        <w:t>Outstanding Company Voting Securities</w:t>
      </w:r>
      <w:r>
        <w:rPr>
          <w:rFonts w:ascii="Arial" w:cs="Arial" w:eastAsia="Arial" w:hAnsi="Arial"/>
          <w:sz w:val="16"/>
          <w:szCs w:val="16"/>
          <w:color w:val="auto"/>
        </w:rPr>
        <w:t>”); provided, however, that for purposes of this subsection, the following acquisitions shall not constitute a Change in Control: (i) any acquisition from the Company, (ii) any acquisition by the Company,</w:t>
      </w:r>
    </w:p>
    <w:p>
      <w:pPr>
        <w:spacing w:after="0" w:line="2" w:lineRule="exact"/>
        <w:rPr>
          <w:sz w:val="20"/>
          <w:szCs w:val="20"/>
          <w:color w:val="auto"/>
        </w:rPr>
      </w:pPr>
    </w:p>
    <w:p>
      <w:pPr>
        <w:jc w:val="both"/>
        <w:ind w:left="1300" w:firstLine="5"/>
        <w:spacing w:after="0" w:line="311" w:lineRule="auto"/>
        <w:tabs>
          <w:tab w:leader="none" w:pos="16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acquisition by any employee benefit plan (or related trust) sponsored or maintained by the Company or any corporation controlled by the Company, or (iv) any acquisition by any corporation pursuant to a transaction which complies with all of clauses (A), (B) and (C) of subsection (c) of this section; or</w:t>
      </w:r>
    </w:p>
    <w:p>
      <w:pPr>
        <w:spacing w:after="0" w:line="181" w:lineRule="exact"/>
        <w:rPr>
          <w:rFonts w:ascii="Arial" w:cs="Arial" w:eastAsia="Arial" w:hAnsi="Arial"/>
          <w:sz w:val="18"/>
          <w:szCs w:val="18"/>
          <w:color w:val="auto"/>
        </w:rPr>
      </w:pPr>
    </w:p>
    <w:p>
      <w:pPr>
        <w:jc w:val="both"/>
        <w:ind w:left="1300" w:firstLine="1301"/>
        <w:spacing w:after="0" w:line="346" w:lineRule="auto"/>
        <w:tabs>
          <w:tab w:leader="none" w:pos="3485" w:val="left"/>
        </w:tabs>
        <w:numPr>
          <w:ilvl w:val="1"/>
          <w:numId w:val="27"/>
        </w:numPr>
        <w:rPr>
          <w:rFonts w:ascii="Arial" w:cs="Arial" w:eastAsia="Arial" w:hAnsi="Arial"/>
          <w:sz w:val="16"/>
          <w:szCs w:val="16"/>
          <w:color w:val="auto"/>
        </w:rPr>
      </w:pPr>
      <w:r>
        <w:rPr>
          <w:rFonts w:ascii="Arial" w:cs="Arial" w:eastAsia="Arial" w:hAnsi="Arial"/>
          <w:sz w:val="16"/>
          <w:szCs w:val="16"/>
          <w:color w:val="auto"/>
        </w:rPr>
        <w:t>individuals who, as of the date hereof, constitute the members of the Board (the “</w:t>
      </w:r>
      <w:r>
        <w:rPr>
          <w:rFonts w:ascii="Arial" w:cs="Arial" w:eastAsia="Arial" w:hAnsi="Arial"/>
          <w:sz w:val="16"/>
          <w:szCs w:val="16"/>
          <w:u w:val="single" w:color="auto"/>
          <w:color w:val="auto"/>
        </w:rPr>
        <w:t>Incumbent Directors</w:t>
      </w:r>
      <w:r>
        <w:rPr>
          <w:rFonts w:ascii="Arial" w:cs="Arial" w:eastAsia="Arial" w:hAnsi="Arial"/>
          <w:sz w:val="16"/>
          <w:szCs w:val="16"/>
          <w:color w:val="auto"/>
        </w:rPr>
        <w:t xml:space="preserve">”) ceasing for any reason to constitute at least a majority of the Board; </w:t>
      </w:r>
      <w:r>
        <w:rPr>
          <w:rFonts w:ascii="Arial" w:cs="Arial" w:eastAsia="Arial" w:hAnsi="Arial"/>
          <w:sz w:val="16"/>
          <w:szCs w:val="16"/>
          <w:i w:val="1"/>
          <w:iCs w:val="1"/>
          <w:color w:val="auto"/>
        </w:rPr>
        <w:t>provided, however</w:t>
      </w:r>
      <w:r>
        <w:rPr>
          <w:rFonts w:ascii="Arial" w:cs="Arial" w:eastAsia="Arial" w:hAnsi="Arial"/>
          <w:sz w:val="16"/>
          <w:szCs w:val="16"/>
          <w:color w:val="auto"/>
        </w:rPr>
        <w:t>, that any individual becoming a director subsequent to the date hereof whose election or nomination for election by the Company’s stockholders was approved by a vote of at least a majority of the Incumbent Directors then in office shall be deemed to be an Incumbent Director (except that this proviso shall not apply to any individual whose initial election as a director occurs as a result of an actual or threatened election contest with respect to the election or removal of directors or other actual or threatened solicitation of proxies or consents by or on behalf of a Person other than the Board); or</w:t>
      </w:r>
    </w:p>
    <w:p>
      <w:pPr>
        <w:spacing w:after="0" w:line="164" w:lineRule="exact"/>
        <w:rPr>
          <w:rFonts w:ascii="Arial" w:cs="Arial" w:eastAsia="Arial" w:hAnsi="Arial"/>
          <w:sz w:val="16"/>
          <w:szCs w:val="16"/>
          <w:color w:val="auto"/>
        </w:rPr>
      </w:pPr>
    </w:p>
    <w:p>
      <w:pPr>
        <w:jc w:val="both"/>
        <w:ind w:left="1300" w:firstLine="1301"/>
        <w:spacing w:after="0" w:line="338" w:lineRule="auto"/>
        <w:tabs>
          <w:tab w:leader="none" w:pos="3485" w:val="left"/>
        </w:tabs>
        <w:numPr>
          <w:ilvl w:val="1"/>
          <w:numId w:val="27"/>
        </w:numPr>
        <w:rPr>
          <w:rFonts w:ascii="Arial" w:cs="Arial" w:eastAsia="Arial" w:hAnsi="Arial"/>
          <w:sz w:val="16"/>
          <w:szCs w:val="16"/>
          <w:color w:val="auto"/>
        </w:rPr>
      </w:pPr>
      <w:r>
        <w:rPr>
          <w:rFonts w:ascii="Arial" w:cs="Arial" w:eastAsia="Arial" w:hAnsi="Arial"/>
          <w:sz w:val="16"/>
          <w:szCs w:val="16"/>
          <w:color w:val="auto"/>
        </w:rPr>
        <w:t>the consummation of a reorganization, merger or consolidation involving the Company or a sale or other disposition of all or substantially all of the assets of the Company (a “</w:t>
      </w:r>
      <w:r>
        <w:rPr>
          <w:rFonts w:ascii="Arial" w:cs="Arial" w:eastAsia="Arial" w:hAnsi="Arial"/>
          <w:sz w:val="16"/>
          <w:szCs w:val="16"/>
          <w:u w:val="single" w:color="auto"/>
          <w:color w:val="auto"/>
        </w:rPr>
        <w:t>Business Combination</w:t>
      </w:r>
      <w:r>
        <w:rPr>
          <w:rFonts w:ascii="Arial" w:cs="Arial" w:eastAsia="Arial" w:hAnsi="Arial"/>
          <w:sz w:val="16"/>
          <w:szCs w:val="16"/>
          <w:color w:val="auto"/>
        </w:rPr>
        <w:t>”), unless, immediately following such Business Combination, each of the following three conditions is satisfied: (A) all or substantially all of the individuals and entities who were the beneficial owners of the Outstanding Company Common Stock and Outstanding Company Voting Securities immediately prior to such Business Combination beneficially own, directly or indirectly, more than 50% of the then-outstanding shares of common stock and the combined voting power of the then-outstanding voting securities entitled to vote generally in the election of directors, respectively, of the resulting or acquiring corporation in such Business Combination (which shall include, without limitation, a corporation which as a result of such transaction owns the Company or substantially all of the Company’s assets either directly or through one or more subsidiaries)(such resulting or acquiring corporation is referred to as the “</w:t>
      </w:r>
      <w:r>
        <w:rPr>
          <w:rFonts w:ascii="Arial" w:cs="Arial" w:eastAsia="Arial" w:hAnsi="Arial"/>
          <w:sz w:val="16"/>
          <w:szCs w:val="16"/>
          <w:u w:val="single" w:color="auto"/>
          <w:color w:val="auto"/>
        </w:rPr>
        <w:t>Acquiring Corporation</w:t>
      </w:r>
      <w:r>
        <w:rPr>
          <w:rFonts w:ascii="Arial" w:cs="Arial" w:eastAsia="Arial" w:hAnsi="Arial"/>
          <w:sz w:val="16"/>
          <w:szCs w:val="16"/>
          <w:color w:val="auto"/>
        </w:rPr>
        <w:t>”) in substantially the same proportions, relative to one another, as their ownership, immediately prior to such Business Combination, of the Outstanding Company Common Stock and Outstanding Company Voting Securities, respectively, (B) no Person (excluding the Acquiring Corporation or any employee benefit plan (or related trust) maintained or sponsored by the Company or the Acquiring Corporation) beneficially owns, directly or indirectly, 50% or more of the then-outstanding shares of common stock of the Acquiring Corporation, or of the combined voting power of the then-outstanding voting securities of such corporation (except to the extent that such ownership existed prior to the Business Combination) and (C) a majority of the members of the board of directors of the Acquiring Corporation were Incumbent Directors at the time of the execution of the initial agreement, or of the action of the Board, providing for such Business Combination; or</w:t>
      </w:r>
    </w:p>
    <w:p>
      <w:pPr>
        <w:spacing w:after="0" w:line="175" w:lineRule="exact"/>
        <w:rPr>
          <w:rFonts w:ascii="Arial" w:cs="Arial" w:eastAsia="Arial" w:hAnsi="Arial"/>
          <w:sz w:val="16"/>
          <w:szCs w:val="16"/>
          <w:color w:val="auto"/>
        </w:rPr>
      </w:pPr>
    </w:p>
    <w:p>
      <w:pPr>
        <w:ind w:left="3500" w:hanging="899"/>
        <w:spacing w:after="0"/>
        <w:tabs>
          <w:tab w:leader="none" w:pos="3500" w:val="left"/>
        </w:tabs>
        <w:numPr>
          <w:ilvl w:val="1"/>
          <w:numId w:val="27"/>
        </w:numPr>
        <w:rPr>
          <w:rFonts w:ascii="Arial" w:cs="Arial" w:eastAsia="Arial" w:hAnsi="Arial"/>
          <w:sz w:val="17"/>
          <w:szCs w:val="17"/>
          <w:color w:val="auto"/>
        </w:rPr>
      </w:pPr>
      <w:r>
        <w:rPr>
          <w:rFonts w:ascii="Arial" w:cs="Arial" w:eastAsia="Arial" w:hAnsi="Arial"/>
          <w:sz w:val="17"/>
          <w:szCs w:val="17"/>
          <w:color w:val="auto"/>
        </w:rPr>
        <w:t>approval of the stockholders of the Company of a complete liquidation or dissolution of the Company.</w:t>
      </w:r>
    </w:p>
    <w:p>
      <w:pPr>
        <w:spacing w:after="0" w:line="25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Notwithstanding the foregoing, if a Change in Control constitutes a payment event with respect to any Award (or portion of any Award) that provides for the deferral of compensation that is subject to Section 409A of the Code, to the extent required to avoid the imposition of additional taxes under Section 409A of the Code, the transaction or event described in subsection (A), (B), (C) or (D) with respect to such Award (or portion thereof) shall only constitute a Change in Control for purposes of the payment timing of such Award if such transaction also constitutes a “change in control event,” as defined in Treasury Regulation Section 1.409A-3(i)(5).</w:t>
      </w:r>
    </w:p>
    <w:p>
      <w:pPr>
        <w:spacing w:after="0" w:line="215" w:lineRule="exact"/>
        <w:rPr>
          <w:sz w:val="20"/>
          <w:szCs w:val="20"/>
          <w:color w:val="auto"/>
        </w:rPr>
      </w:pPr>
    </w:p>
    <w:p>
      <w:pPr>
        <w:ind w:left="2120" w:hanging="815"/>
        <w:spacing w:after="0"/>
        <w:tabs>
          <w:tab w:leader="none" w:pos="21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w:t>
      </w:r>
    </w:p>
    <w:p>
      <w:pPr>
        <w:spacing w:after="0" w:line="265" w:lineRule="exact"/>
        <w:rPr>
          <w:rFonts w:ascii="Arial" w:cs="Arial" w:eastAsia="Arial" w:hAnsi="Arial"/>
          <w:sz w:val="18"/>
          <w:szCs w:val="18"/>
          <w:color w:val="auto"/>
        </w:rPr>
      </w:pPr>
    </w:p>
    <w:p>
      <w:pPr>
        <w:ind w:left="2160" w:hanging="855"/>
        <w:spacing w:after="0"/>
        <w:tabs>
          <w:tab w:leader="none" w:pos="21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Committee</w:t>
      </w:r>
      <w:r>
        <w:rPr>
          <w:rFonts w:ascii="Arial" w:cs="Arial" w:eastAsia="Arial" w:hAnsi="Arial"/>
          <w:sz w:val="17"/>
          <w:szCs w:val="17"/>
          <w:color w:val="auto"/>
        </w:rPr>
        <w:t>” means any committee composed of members of the Board appointed by the Board to administer the Plan.</w:t>
      </w:r>
    </w:p>
    <w:p>
      <w:pPr>
        <w:spacing w:after="0" w:line="277" w:lineRule="exact"/>
        <w:rPr>
          <w:rFonts w:ascii="Arial" w:cs="Arial" w:eastAsia="Arial" w:hAnsi="Arial"/>
          <w:sz w:val="17"/>
          <w:szCs w:val="17"/>
          <w:color w:val="auto"/>
        </w:rPr>
      </w:pPr>
    </w:p>
    <w:p>
      <w:pPr>
        <w:ind w:left="2120" w:hanging="815"/>
        <w:spacing w:after="0"/>
        <w:tabs>
          <w:tab w:leader="none" w:pos="21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the common stock of the Company.</w:t>
      </w:r>
    </w:p>
    <w:p>
      <w:pPr>
        <w:spacing w:after="0" w:line="265" w:lineRule="exact"/>
        <w:rPr>
          <w:rFonts w:ascii="Arial" w:cs="Arial" w:eastAsia="Arial" w:hAnsi="Arial"/>
          <w:sz w:val="18"/>
          <w:szCs w:val="18"/>
          <w:color w:val="auto"/>
        </w:rPr>
      </w:pPr>
    </w:p>
    <w:p>
      <w:pPr>
        <w:ind w:left="2220" w:hanging="915"/>
        <w:spacing w:after="0"/>
        <w:tabs>
          <w:tab w:leader="none" w:pos="22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w:t>
      </w:r>
      <w:r>
        <w:rPr>
          <w:rFonts w:ascii="Arial" w:cs="Arial" w:eastAsia="Arial" w:hAnsi="Arial"/>
          <w:sz w:val="16"/>
          <w:szCs w:val="16"/>
          <w:color w:val="auto"/>
        </w:rPr>
        <w:t>” means ICU Medical, Inc., a Delaware corporation, or any successor entity that assumes the Plan in connection with</w:t>
      </w:r>
    </w:p>
    <w:p>
      <w:pPr>
        <w:spacing w:after="0" w:line="7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 Change in Control.</w:t>
      </w:r>
    </w:p>
    <w:p>
      <w:pPr>
        <w:sectPr>
          <w:pgSz w:w="11900" w:h="16838" w:orient="portrait"/>
          <w:cols w:equalWidth="0" w:num="1">
            <w:col w:w="11420"/>
          </w:cols>
          <w:pgMar w:left="240" w:top="611" w:right="239" w:bottom="1440" w:gutter="0" w:footer="0" w:header="0"/>
        </w:sectPr>
      </w:pPr>
    </w:p>
    <w:bookmarkStart w:id="45" w:name="page46"/>
    <w:bookmarkEnd w:id="45"/>
    <w:p>
      <w:pPr>
        <w:jc w:val="both"/>
        <w:ind w:left="-8" w:firstLine="1305"/>
        <w:spacing w:after="0" w:line="311" w:lineRule="auto"/>
        <w:tabs>
          <w:tab w:leader="none" w:pos="2147" w:val="left"/>
        </w:tabs>
        <w:numPr>
          <w:ilvl w:val="1"/>
          <w:numId w:val="2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Consultant</w:t>
      </w:r>
      <w:r>
        <w:rPr>
          <w:rFonts w:ascii="Arial" w:cs="Arial" w:eastAsia="Arial" w:hAnsi="Arial"/>
          <w:sz w:val="18"/>
          <w:szCs w:val="18"/>
          <w:color w:val="auto"/>
        </w:rPr>
        <w:t>” means any person (other than an Employee or a Director, solely with respect to rendering services in such person’s capacity as a Director) who is engaged by the Company or any Related Entity to render consulting or advisory services to the Company or such Related Entity.</w:t>
      </w:r>
    </w:p>
    <w:p>
      <w:pPr>
        <w:spacing w:after="0" w:line="181" w:lineRule="exact"/>
        <w:rPr>
          <w:rFonts w:ascii="Arial" w:cs="Arial" w:eastAsia="Arial" w:hAnsi="Arial"/>
          <w:sz w:val="18"/>
          <w:szCs w:val="18"/>
          <w:color w:val="auto"/>
        </w:rPr>
      </w:pPr>
    </w:p>
    <w:p>
      <w:pPr>
        <w:jc w:val="both"/>
        <w:ind w:left="-8" w:firstLine="1305"/>
        <w:spacing w:after="0" w:line="364" w:lineRule="auto"/>
        <w:tabs>
          <w:tab w:leader="none" w:pos="2147" w:val="left"/>
        </w:tabs>
        <w:numPr>
          <w:ilvl w:val="1"/>
          <w:numId w:val="2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Continuing Directors</w:t>
      </w:r>
      <w:r>
        <w:rPr>
          <w:rFonts w:ascii="Arial" w:cs="Arial" w:eastAsia="Arial" w:hAnsi="Arial"/>
          <w:sz w:val="16"/>
          <w:szCs w:val="16"/>
          <w:color w:val="auto"/>
        </w:rPr>
        <w:t>” means members of the Board who either (i) have been Board members continuously for a period of at least twelve (12) months or (ii) have been Board members for less than twelve (12) months and were elected or nominated for election as Board members by at least a majority of the Board members described in clause (i) who were still in office at the time such election or nomination was approved by the Board.</w:t>
      </w:r>
    </w:p>
    <w:p>
      <w:pPr>
        <w:spacing w:after="0" w:line="148" w:lineRule="exact"/>
        <w:rPr>
          <w:rFonts w:ascii="Arial" w:cs="Arial" w:eastAsia="Arial" w:hAnsi="Arial"/>
          <w:sz w:val="16"/>
          <w:szCs w:val="16"/>
          <w:color w:val="auto"/>
        </w:rPr>
      </w:pPr>
    </w:p>
    <w:p>
      <w:pPr>
        <w:jc w:val="both"/>
        <w:ind w:left="-8" w:firstLine="1305"/>
        <w:spacing w:after="0" w:line="334" w:lineRule="auto"/>
        <w:tabs>
          <w:tab w:leader="none" w:pos="2147" w:val="left"/>
        </w:tabs>
        <w:numPr>
          <w:ilvl w:val="1"/>
          <w:numId w:val="2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Continuous Service</w:t>
      </w:r>
      <w:r>
        <w:rPr>
          <w:rFonts w:ascii="Arial" w:cs="Arial" w:eastAsia="Arial" w:hAnsi="Arial"/>
          <w:sz w:val="16"/>
          <w:szCs w:val="16"/>
          <w:color w:val="auto"/>
        </w:rPr>
        <w:t>” means that the provision of services to the Company or a Related Entity in any capacity of Employee, Director or Consultant is not interrupted or terminated. In jurisdictions requiring notice in advance of an effective termination as an Employee, Director or Consultant, Continuous Service shall be deemed terminated upon the actual cessation of providing services to the Company or a Related Entity notwithstanding any required notice period that must be fulfilled before a termination as an Employee, Director or Consultant can be effective under Applicable Laws. A Grantee’s Continuous Service shall be deemed to have terminated either upon an actual termination of Continuous Service or upon the entity for which the Grantee provides services ceasing to be a Related Entity. Continuous Service shall not be considered interrupted in the case of (i) any approved leave of absence, (ii) transfers among the Company, any Related Entity, or any successor, in any capacity of Employee, Director or Consultant, or</w:t>
      </w:r>
    </w:p>
    <w:p>
      <w:pPr>
        <w:spacing w:after="0" w:line="3" w:lineRule="exact"/>
        <w:rPr>
          <w:rFonts w:ascii="Arial" w:cs="Arial" w:eastAsia="Arial" w:hAnsi="Arial"/>
          <w:sz w:val="16"/>
          <w:szCs w:val="16"/>
          <w:color w:val="auto"/>
        </w:rPr>
      </w:pPr>
    </w:p>
    <w:p>
      <w:pPr>
        <w:jc w:val="both"/>
        <w:ind w:left="-8" w:firstLine="8"/>
        <w:spacing w:after="0" w:line="322" w:lineRule="auto"/>
        <w:tabs>
          <w:tab w:leader="none" w:pos="33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any change in status as long as the individual remains in the service of the Company or a Related Entity in any capacity of Employee, Director or Consultant (except as otherwise provided in the Award Agreement). Notwithstanding the foregoing, except as otherwise determined by the Administrator, in the event of any spin-off of a Related Entity, service as an Employee, Director or Consultant for such Related Entity following such spin-off shall be deemed to be Continuous Service for purposes of the Plan and any Award under the Plan. An approved leave of absence shall include sick leave, military leave, or any other authorized personal leave. For purposes of each Incentive Stock Option granted under the Plan, if such leave exceeds three (3) months, and reemployment upon expiration of such leave is not guaranteed by statute or contract, then the Incentive Stock Option shall be treated as a Non-Qualified Stock Option on the day three (3) months and one (1) day following the expiration of such three (3) month period.</w:t>
      </w:r>
    </w:p>
    <w:p>
      <w:pPr>
        <w:spacing w:after="0" w:line="176" w:lineRule="exact"/>
        <w:rPr>
          <w:rFonts w:ascii="Arial" w:cs="Arial" w:eastAsia="Arial" w:hAnsi="Arial"/>
          <w:sz w:val="17"/>
          <w:szCs w:val="17"/>
          <w:color w:val="auto"/>
        </w:rPr>
      </w:pPr>
    </w:p>
    <w:p>
      <w:pPr>
        <w:ind w:left="-8" w:firstLine="1305"/>
        <w:spacing w:after="0" w:line="324" w:lineRule="auto"/>
        <w:tabs>
          <w:tab w:leader="none" w:pos="2147" w:val="left"/>
        </w:tabs>
        <w:numPr>
          <w:ilvl w:val="1"/>
          <w:numId w:val="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Corporate Transaction</w:t>
      </w:r>
      <w:r>
        <w:rPr>
          <w:rFonts w:ascii="Arial" w:cs="Arial" w:eastAsia="Arial" w:hAnsi="Arial"/>
          <w:sz w:val="18"/>
          <w:szCs w:val="18"/>
          <w:color w:val="auto"/>
        </w:rPr>
        <w:t>” means any of the following transactions; provided, however, that the Administrator shall determine under parts (iv) and (v) whether multiple transactions are related, and its determination shall be final, binding and conclusive:</w:t>
      </w:r>
    </w:p>
    <w:p>
      <w:pPr>
        <w:spacing w:after="0" w:line="170" w:lineRule="exact"/>
        <w:rPr>
          <w:rFonts w:ascii="Arial" w:cs="Arial" w:eastAsia="Arial" w:hAnsi="Arial"/>
          <w:sz w:val="18"/>
          <w:szCs w:val="18"/>
          <w:color w:val="auto"/>
        </w:rPr>
      </w:pPr>
    </w:p>
    <w:p>
      <w:pPr>
        <w:ind w:left="-8" w:firstLine="1953"/>
        <w:spacing w:after="0" w:line="324" w:lineRule="auto"/>
        <w:tabs>
          <w:tab w:leader="none" w:pos="2755" w:val="left"/>
        </w:tabs>
        <w:numPr>
          <w:ilvl w:val="2"/>
          <w:numId w:val="30"/>
        </w:numPr>
        <w:rPr>
          <w:rFonts w:ascii="Arial" w:cs="Arial" w:eastAsia="Arial" w:hAnsi="Arial"/>
          <w:sz w:val="18"/>
          <w:szCs w:val="18"/>
          <w:color w:val="auto"/>
        </w:rPr>
      </w:pPr>
      <w:r>
        <w:rPr>
          <w:rFonts w:ascii="Arial" w:cs="Arial" w:eastAsia="Arial" w:hAnsi="Arial"/>
          <w:sz w:val="18"/>
          <w:szCs w:val="18"/>
          <w:color w:val="auto"/>
        </w:rPr>
        <w:t>a merger or consolidation in which the Company is not the surviving entity, except for a transaction the principal purpose of which is to change the state in which the Company is incorporated;</w:t>
      </w:r>
    </w:p>
    <w:p>
      <w:pPr>
        <w:spacing w:after="0" w:line="170" w:lineRule="exact"/>
        <w:rPr>
          <w:rFonts w:ascii="Arial" w:cs="Arial" w:eastAsia="Arial" w:hAnsi="Arial"/>
          <w:sz w:val="18"/>
          <w:szCs w:val="18"/>
          <w:color w:val="auto"/>
        </w:rPr>
      </w:pPr>
    </w:p>
    <w:p>
      <w:pPr>
        <w:ind w:left="2812" w:hanging="867"/>
        <w:spacing w:after="0"/>
        <w:tabs>
          <w:tab w:leader="none" w:pos="2812" w:val="left"/>
        </w:tabs>
        <w:numPr>
          <w:ilvl w:val="2"/>
          <w:numId w:val="30"/>
        </w:numPr>
        <w:rPr>
          <w:rFonts w:ascii="Arial" w:cs="Arial" w:eastAsia="Arial" w:hAnsi="Arial"/>
          <w:sz w:val="18"/>
          <w:szCs w:val="18"/>
          <w:color w:val="auto"/>
        </w:rPr>
      </w:pPr>
      <w:r>
        <w:rPr>
          <w:rFonts w:ascii="Arial" w:cs="Arial" w:eastAsia="Arial" w:hAnsi="Arial"/>
          <w:sz w:val="18"/>
          <w:szCs w:val="18"/>
          <w:color w:val="auto"/>
        </w:rPr>
        <w:t>the sale, transfer or other disposition of all or substantially all of the assets of the Company;</w:t>
      </w:r>
    </w:p>
    <w:p>
      <w:pPr>
        <w:spacing w:after="0" w:line="265" w:lineRule="exact"/>
        <w:rPr>
          <w:rFonts w:ascii="Arial" w:cs="Arial" w:eastAsia="Arial" w:hAnsi="Arial"/>
          <w:sz w:val="18"/>
          <w:szCs w:val="18"/>
          <w:color w:val="auto"/>
        </w:rPr>
      </w:pPr>
    </w:p>
    <w:p>
      <w:pPr>
        <w:ind w:left="2872" w:hanging="927"/>
        <w:spacing w:after="0"/>
        <w:tabs>
          <w:tab w:leader="none" w:pos="2872" w:val="left"/>
        </w:tabs>
        <w:numPr>
          <w:ilvl w:val="2"/>
          <w:numId w:val="30"/>
        </w:numPr>
        <w:rPr>
          <w:rFonts w:ascii="Arial" w:cs="Arial" w:eastAsia="Arial" w:hAnsi="Arial"/>
          <w:sz w:val="18"/>
          <w:szCs w:val="18"/>
          <w:color w:val="auto"/>
        </w:rPr>
      </w:pPr>
      <w:r>
        <w:rPr>
          <w:rFonts w:ascii="Arial" w:cs="Arial" w:eastAsia="Arial" w:hAnsi="Arial"/>
          <w:sz w:val="18"/>
          <w:szCs w:val="18"/>
          <w:color w:val="auto"/>
        </w:rPr>
        <w:t>the complete liquidation or dissolution of the Company;</w:t>
      </w:r>
    </w:p>
    <w:p>
      <w:pPr>
        <w:spacing w:after="0" w:line="265" w:lineRule="exact"/>
        <w:rPr>
          <w:rFonts w:ascii="Arial" w:cs="Arial" w:eastAsia="Arial" w:hAnsi="Arial"/>
          <w:sz w:val="18"/>
          <w:szCs w:val="18"/>
          <w:color w:val="auto"/>
        </w:rPr>
      </w:pPr>
    </w:p>
    <w:p>
      <w:pPr>
        <w:jc w:val="both"/>
        <w:ind w:left="-8" w:firstLine="1953"/>
        <w:spacing w:after="0" w:line="346" w:lineRule="auto"/>
        <w:tabs>
          <w:tab w:leader="none" w:pos="2845" w:val="left"/>
        </w:tabs>
        <w:numPr>
          <w:ilvl w:val="2"/>
          <w:numId w:val="30"/>
        </w:numPr>
        <w:rPr>
          <w:rFonts w:ascii="Arial" w:cs="Arial" w:eastAsia="Arial" w:hAnsi="Arial"/>
          <w:sz w:val="16"/>
          <w:szCs w:val="16"/>
          <w:color w:val="auto"/>
        </w:rPr>
      </w:pPr>
      <w:r>
        <w:rPr>
          <w:rFonts w:ascii="Arial" w:cs="Arial" w:eastAsia="Arial" w:hAnsi="Arial"/>
          <w:sz w:val="16"/>
          <w:szCs w:val="16"/>
          <w:color w:val="auto"/>
        </w:rPr>
        <w:t>any reverse merger or series of related transactions culminating in a reverse merger (including, but not limited to, a tender offer followed by a reverse merger) in which the Company is the surviving entity but (A) the shares of Common Stock outstanding immediately prior to such merger are converted or exchanged by virtue of the merger into other property, whether in the form of securities, cash or otherwise, or (B) in which securities possessing more than forty percent (40%) of the total combined voting power of the Company’s outstanding securities are transferred to a person or persons different from those who held such securities immediately prior to such merger or the initial transaction culminating in such merger, but excluding any such transaction or series of related transactions that the Administrator determines shall not be a Corporate Transaction; or</w:t>
      </w:r>
    </w:p>
    <w:p>
      <w:pPr>
        <w:spacing w:after="0" w:line="164" w:lineRule="exact"/>
        <w:rPr>
          <w:rFonts w:ascii="Arial" w:cs="Arial" w:eastAsia="Arial" w:hAnsi="Arial"/>
          <w:sz w:val="16"/>
          <w:szCs w:val="16"/>
          <w:color w:val="auto"/>
        </w:rPr>
      </w:pPr>
    </w:p>
    <w:p>
      <w:pPr>
        <w:jc w:val="both"/>
        <w:ind w:left="-8" w:firstLine="1953"/>
        <w:spacing w:after="0" w:line="250" w:lineRule="exact"/>
        <w:tabs>
          <w:tab w:leader="none" w:pos="2795" w:val="left"/>
        </w:tabs>
        <w:numPr>
          <w:ilvl w:val="2"/>
          <w:numId w:val="30"/>
        </w:numPr>
        <w:rPr>
          <w:rFonts w:ascii="Arial" w:cs="Arial" w:eastAsia="Arial" w:hAnsi="Arial"/>
          <w:sz w:val="18"/>
          <w:szCs w:val="18"/>
          <w:color w:val="auto"/>
        </w:rPr>
      </w:pPr>
      <w:r>
        <w:rPr>
          <w:rFonts w:ascii="Arial" w:cs="Arial" w:eastAsia="Arial" w:hAnsi="Arial"/>
          <w:sz w:val="18"/>
          <w:szCs w:val="18"/>
          <w:color w:val="auto"/>
        </w:rPr>
        <w:t>acquisition in a single or series of related transactions by any person or related group of persons (other than the Company or by a Company-sponsored employee benefit plan) of beneficial ownership (within the meaning of Rule 13d</w:t>
      </w:r>
      <w:r>
        <w:rPr>
          <w:rFonts w:ascii="MS PGothic" w:cs="MS PGothic" w:eastAsia="MS PGothic" w:hAnsi="MS PGothic"/>
          <w:sz w:val="18"/>
          <w:szCs w:val="18"/>
          <w:color w:val="auto"/>
        </w:rPr>
        <w:t>‑</w:t>
      </w:r>
      <w:r>
        <w:rPr>
          <w:rFonts w:ascii="Arial" w:cs="Arial" w:eastAsia="Arial" w:hAnsi="Arial"/>
          <w:sz w:val="18"/>
          <w:szCs w:val="18"/>
          <w:color w:val="auto"/>
        </w:rPr>
        <w:t>3 of the Exchange Act) of securities possessing more than fifty percent (50%) of the total combined voting power of the Company’s outstanding securities but excluding any such transaction or series of related transactions that the Administrator determines shall not be a Corporate Transaction.</w:t>
      </w:r>
    </w:p>
    <w:p>
      <w:pPr>
        <w:spacing w:after="0" w:line="245" w:lineRule="exact"/>
        <w:rPr>
          <w:rFonts w:ascii="Arial" w:cs="Arial" w:eastAsia="Arial" w:hAnsi="Arial"/>
          <w:sz w:val="18"/>
          <w:szCs w:val="18"/>
          <w:color w:val="auto"/>
        </w:rPr>
      </w:pPr>
    </w:p>
    <w:p>
      <w:pPr>
        <w:ind w:left="2132" w:hanging="835"/>
        <w:spacing w:after="0"/>
        <w:tabs>
          <w:tab w:leader="none" w:pos="2132" w:val="left"/>
        </w:tabs>
        <w:numPr>
          <w:ilvl w:val="1"/>
          <w:numId w:val="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Covered Employee</w:t>
      </w:r>
      <w:r>
        <w:rPr>
          <w:rFonts w:ascii="Arial" w:cs="Arial" w:eastAsia="Arial" w:hAnsi="Arial"/>
          <w:sz w:val="18"/>
          <w:szCs w:val="18"/>
          <w:color w:val="auto"/>
        </w:rPr>
        <w:t>” means an Employee who is a “covered employee” under Section 162(m)(3) of the Code.</w:t>
      </w:r>
    </w:p>
    <w:p>
      <w:pPr>
        <w:spacing w:after="0" w:line="265" w:lineRule="exact"/>
        <w:rPr>
          <w:rFonts w:ascii="Arial" w:cs="Arial" w:eastAsia="Arial" w:hAnsi="Arial"/>
          <w:sz w:val="18"/>
          <w:szCs w:val="18"/>
          <w:color w:val="auto"/>
        </w:rPr>
      </w:pPr>
    </w:p>
    <w:p>
      <w:pPr>
        <w:ind w:left="2132" w:hanging="835"/>
        <w:spacing w:after="0"/>
        <w:tabs>
          <w:tab w:leader="none" w:pos="2132" w:val="left"/>
        </w:tabs>
        <w:numPr>
          <w:ilvl w:val="1"/>
          <w:numId w:val="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Director</w:t>
      </w:r>
      <w:r>
        <w:rPr>
          <w:rFonts w:ascii="Arial" w:cs="Arial" w:eastAsia="Arial" w:hAnsi="Arial"/>
          <w:sz w:val="18"/>
          <w:szCs w:val="18"/>
          <w:color w:val="auto"/>
        </w:rPr>
        <w:t>” means a member of the Board or the board of directors of any Related Entity.</w:t>
      </w:r>
    </w:p>
    <w:p>
      <w:pPr>
        <w:spacing w:after="0" w:line="265" w:lineRule="exact"/>
        <w:rPr>
          <w:rFonts w:ascii="Arial" w:cs="Arial" w:eastAsia="Arial" w:hAnsi="Arial"/>
          <w:sz w:val="18"/>
          <w:szCs w:val="18"/>
          <w:color w:val="auto"/>
        </w:rPr>
      </w:pPr>
    </w:p>
    <w:p>
      <w:pPr>
        <w:ind w:left="-8" w:firstLine="1305"/>
        <w:spacing w:after="0" w:line="324" w:lineRule="auto"/>
        <w:tabs>
          <w:tab w:leader="none" w:pos="2107" w:val="left"/>
        </w:tabs>
        <w:numPr>
          <w:ilvl w:val="1"/>
          <w:numId w:val="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Disability</w:t>
      </w:r>
      <w:r>
        <w:rPr>
          <w:rFonts w:ascii="Arial" w:cs="Arial" w:eastAsia="Arial" w:hAnsi="Arial"/>
          <w:sz w:val="18"/>
          <w:szCs w:val="18"/>
          <w:color w:val="auto"/>
        </w:rPr>
        <w:t>” means as defined under the long-term disability policy of the Company or the Related Entity to which the Grantee provides services regardless of whether the Grantee is covered by such policy. If the Company or the</w:t>
      </w:r>
    </w:p>
    <w:p>
      <w:pPr>
        <w:sectPr>
          <w:pgSz w:w="11900" w:h="16838" w:orient="portrait"/>
          <w:cols w:equalWidth="0" w:num="1">
            <w:col w:w="11412"/>
          </w:cols>
          <w:pgMar w:left="248" w:top="611" w:right="239" w:bottom="1440" w:gutter="0" w:footer="0" w:header="0"/>
        </w:sectPr>
      </w:pPr>
    </w:p>
    <w:bookmarkStart w:id="46" w:name="page47"/>
    <w:bookmarkEnd w:id="46"/>
    <w:p>
      <w:pPr>
        <w:jc w:val="both"/>
        <w:spacing w:after="0" w:line="306" w:lineRule="auto"/>
        <w:rPr>
          <w:sz w:val="20"/>
          <w:szCs w:val="20"/>
          <w:color w:val="auto"/>
        </w:rPr>
      </w:pPr>
      <w:r>
        <w:rPr>
          <w:rFonts w:ascii="Arial" w:cs="Arial" w:eastAsia="Arial" w:hAnsi="Arial"/>
          <w:sz w:val="18"/>
          <w:szCs w:val="18"/>
          <w:color w:val="auto"/>
        </w:rPr>
        <w:t>Related Entity to which the Grantee provides services does not have a long-term disability plan in place, “Disability” means that a Grantee is unable to carry out the responsibilities and functions of the position held by the Grantee by reason of any medically determinable physical or mental impairment for a period of not less than ninety (90) consecutive days. A Grantee will not be considered to have incurred a Disability unless he or she furnishes proof of such impairment sufficient to satisfy the Administrator in its discretion.</w:t>
      </w:r>
    </w:p>
    <w:p>
      <w:pPr>
        <w:spacing w:after="0" w:line="187" w:lineRule="exact"/>
        <w:rPr>
          <w:sz w:val="20"/>
          <w:szCs w:val="20"/>
          <w:color w:val="auto"/>
        </w:rPr>
      </w:pPr>
    </w:p>
    <w:p>
      <w:pPr>
        <w:ind w:left="1300"/>
        <w:spacing w:after="0"/>
        <w:tabs>
          <w:tab w:leader="none" w:pos="2140" w:val="left"/>
        </w:tabs>
        <w:rPr>
          <w:sz w:val="20"/>
          <w:szCs w:val="20"/>
          <w:color w:val="auto"/>
        </w:rPr>
      </w:pPr>
      <w:r>
        <w:rPr>
          <w:rFonts w:ascii="Arial" w:cs="Arial" w:eastAsia="Arial" w:hAnsi="Arial"/>
          <w:sz w:val="16"/>
          <w:szCs w:val="16"/>
          <w:color w:val="auto"/>
        </w:rPr>
        <w:t>(u)</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Dividend Equivalent Right</w:t>
      </w:r>
      <w:r>
        <w:rPr>
          <w:rFonts w:ascii="Arial" w:cs="Arial" w:eastAsia="Arial" w:hAnsi="Arial"/>
          <w:sz w:val="16"/>
          <w:szCs w:val="16"/>
          <w:color w:val="auto"/>
        </w:rPr>
        <w:t>” means a right entitling the Grantee to compensation measured by dividends paid with respect to</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Common Stock.</w:t>
      </w:r>
    </w:p>
    <w:p>
      <w:pPr>
        <w:spacing w:after="0" w:line="266" w:lineRule="exact"/>
        <w:rPr>
          <w:sz w:val="20"/>
          <w:szCs w:val="20"/>
          <w:color w:val="auto"/>
        </w:rPr>
      </w:pPr>
    </w:p>
    <w:p>
      <w:pPr>
        <w:jc w:val="both"/>
        <w:ind w:firstLine="1305"/>
        <w:spacing w:after="0" w:line="304" w:lineRule="auto"/>
        <w:tabs>
          <w:tab w:leader="none" w:pos="21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means, for purposes of the Plan (as amended and restated), the date on which the Plan is approved by the Company’s stockholders; provided, however, that solely for purposes of the last sentence of Section 12, the Effective Date shall be the date on which the Plan (as amended and restated) is adopted by the Board, subject to approval of the Plan (as amended and restated) by the Company’s stockholders. Notwithstanding the foregoing, the Original Plan shall remain in effect on its existing terms unless and until the Plan (as amended and restated) is approved by the Company’s stockholders.</w:t>
      </w:r>
    </w:p>
    <w:p>
      <w:pPr>
        <w:spacing w:after="0" w:line="188" w:lineRule="exact"/>
        <w:rPr>
          <w:rFonts w:ascii="Arial" w:cs="Arial" w:eastAsia="Arial" w:hAnsi="Arial"/>
          <w:sz w:val="18"/>
          <w:szCs w:val="18"/>
          <w:color w:val="auto"/>
        </w:rPr>
      </w:pPr>
    </w:p>
    <w:p>
      <w:pPr>
        <w:jc w:val="both"/>
        <w:ind w:firstLine="1305"/>
        <w:spacing w:after="0" w:line="336" w:lineRule="auto"/>
        <w:tabs>
          <w:tab w:leader="none" w:pos="2195" w:val="left"/>
        </w:tabs>
        <w:numPr>
          <w:ilvl w:val="0"/>
          <w:numId w:val="3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Employee</w:t>
      </w:r>
      <w:r>
        <w:rPr>
          <w:rFonts w:ascii="Arial" w:cs="Arial" w:eastAsia="Arial" w:hAnsi="Arial"/>
          <w:sz w:val="17"/>
          <w:szCs w:val="17"/>
          <w:color w:val="auto"/>
        </w:rPr>
        <w:t>” means any person, including an Officer or Director, who is in the employ of the Company or any Related Entity, subject to the control and direction of the Company or any Related Entity as to both the work to be performed and the manner and method of performance. The payment of a Director’s fee by the Company or a Related Entity shall not be sufficient to constitute “employment” by the Company.</w:t>
      </w:r>
    </w:p>
    <w:p>
      <w:pPr>
        <w:spacing w:after="0" w:line="164" w:lineRule="exact"/>
        <w:rPr>
          <w:rFonts w:ascii="Arial" w:cs="Arial" w:eastAsia="Arial" w:hAnsi="Arial"/>
          <w:sz w:val="17"/>
          <w:szCs w:val="17"/>
          <w:color w:val="auto"/>
        </w:rPr>
      </w:pPr>
    </w:p>
    <w:p>
      <w:pPr>
        <w:ind w:left="2160" w:hanging="855"/>
        <w:spacing w:after="0"/>
        <w:tabs>
          <w:tab w:leader="none" w:pos="21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w:t>
      </w:r>
    </w:p>
    <w:p>
      <w:pPr>
        <w:spacing w:after="0" w:line="265" w:lineRule="exact"/>
        <w:rPr>
          <w:rFonts w:ascii="Arial" w:cs="Arial" w:eastAsia="Arial" w:hAnsi="Arial"/>
          <w:sz w:val="18"/>
          <w:szCs w:val="18"/>
          <w:color w:val="auto"/>
        </w:rPr>
      </w:pPr>
    </w:p>
    <w:p>
      <w:pPr>
        <w:ind w:left="2160" w:hanging="855"/>
        <w:spacing w:after="0"/>
        <w:tabs>
          <w:tab w:leader="none" w:pos="21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Fair Market Value</w:t>
      </w:r>
      <w:r>
        <w:rPr>
          <w:rFonts w:ascii="Arial" w:cs="Arial" w:eastAsia="Arial" w:hAnsi="Arial"/>
          <w:sz w:val="18"/>
          <w:szCs w:val="18"/>
          <w:color w:val="auto"/>
        </w:rPr>
        <w:t>” means, as of any date, the value of Common Stock determined as follows:</w:t>
      </w:r>
    </w:p>
    <w:p>
      <w:pPr>
        <w:spacing w:after="0" w:line="265" w:lineRule="exact"/>
        <w:rPr>
          <w:rFonts w:ascii="Arial" w:cs="Arial" w:eastAsia="Arial" w:hAnsi="Arial"/>
          <w:sz w:val="18"/>
          <w:szCs w:val="18"/>
          <w:color w:val="auto"/>
        </w:rPr>
      </w:pPr>
    </w:p>
    <w:p>
      <w:pPr>
        <w:jc w:val="both"/>
        <w:ind w:firstLine="1953"/>
        <w:spacing w:after="0" w:line="302" w:lineRule="auto"/>
        <w:tabs>
          <w:tab w:leader="none" w:pos="2763" w:val="left"/>
        </w:tabs>
        <w:numPr>
          <w:ilvl w:val="1"/>
          <w:numId w:val="31"/>
        </w:numPr>
        <w:rPr>
          <w:rFonts w:ascii="Arial" w:cs="Arial" w:eastAsia="Arial" w:hAnsi="Arial"/>
          <w:sz w:val="18"/>
          <w:szCs w:val="18"/>
          <w:color w:val="auto"/>
        </w:rPr>
      </w:pPr>
      <w:r>
        <w:rPr>
          <w:rFonts w:ascii="Arial" w:cs="Arial" w:eastAsia="Arial" w:hAnsi="Arial"/>
          <w:sz w:val="18"/>
          <w:szCs w:val="18"/>
          <w:color w:val="auto"/>
        </w:rPr>
        <w:t>If the Common Stock is listed on one or more established stock exchanges or national market systems, including without limitation The NASDAQ Global Select Market, The NASDAQ Global Market or The NASDAQ Capital Market of The NASDAQ Stock Market LLC, its Fair Market Value shall be the closing sales price for such stock (or the closing bid, if no sales were reported) as quoted on the principal exchange or system on which the Common Stock is listed (as determined by the Administrator) on the date of determination (or, if no closing sales price or closing bid was reported on that date, as applicable, on the last trading date such closing sales price or closing bid was reported), as reported in The Wall Street Journal or such other source as the Administrator deems reliable;</w:t>
      </w:r>
    </w:p>
    <w:p>
      <w:pPr>
        <w:spacing w:after="0" w:line="192" w:lineRule="exact"/>
        <w:rPr>
          <w:rFonts w:ascii="Arial" w:cs="Arial" w:eastAsia="Arial" w:hAnsi="Arial"/>
          <w:sz w:val="18"/>
          <w:szCs w:val="18"/>
          <w:color w:val="auto"/>
        </w:rPr>
      </w:pPr>
    </w:p>
    <w:p>
      <w:pPr>
        <w:jc w:val="both"/>
        <w:ind w:firstLine="1953"/>
        <w:spacing w:after="0" w:line="325" w:lineRule="auto"/>
        <w:tabs>
          <w:tab w:leader="none" w:pos="2813" w:val="left"/>
        </w:tabs>
        <w:numPr>
          <w:ilvl w:val="1"/>
          <w:numId w:val="31"/>
        </w:numPr>
        <w:rPr>
          <w:rFonts w:ascii="Arial" w:cs="Arial" w:eastAsia="Arial" w:hAnsi="Arial"/>
          <w:sz w:val="17"/>
          <w:szCs w:val="17"/>
          <w:color w:val="auto"/>
        </w:rPr>
      </w:pPr>
      <w:r>
        <w:rPr>
          <w:rFonts w:ascii="Arial" w:cs="Arial" w:eastAsia="Arial" w:hAnsi="Arial"/>
          <w:sz w:val="17"/>
          <w:szCs w:val="17"/>
          <w:color w:val="auto"/>
        </w:rPr>
        <w:t>If the Common Stock is regularly quoted on an automated quotation system (including the OTC Bulletin Board) or by a recognized securities dealer, its Fair Market Value shall be the closing sales price for such stock as quoted on such system or by such securities dealer on the date of determination, but if selling prices are not reported, the Fair Market Value of a share of Common Stock shall be the mean between the high bid and low asked prices for the Common Stock on the date of determination (or, if no such prices were reported on that date, on the last date such prices were reported), as reported in The Wall Street Journal or such other source as the Administrator deems reliable; or</w:t>
      </w:r>
    </w:p>
    <w:p>
      <w:pPr>
        <w:spacing w:after="0" w:line="175" w:lineRule="exact"/>
        <w:rPr>
          <w:rFonts w:ascii="Arial" w:cs="Arial" w:eastAsia="Arial" w:hAnsi="Arial"/>
          <w:sz w:val="17"/>
          <w:szCs w:val="17"/>
          <w:color w:val="auto"/>
        </w:rPr>
      </w:pPr>
    </w:p>
    <w:p>
      <w:pPr>
        <w:ind w:firstLine="1953"/>
        <w:spacing w:after="0" w:line="324" w:lineRule="auto"/>
        <w:tabs>
          <w:tab w:leader="none" w:pos="2863" w:val="left"/>
        </w:tabs>
        <w:numPr>
          <w:ilvl w:val="1"/>
          <w:numId w:val="31"/>
        </w:numPr>
        <w:rPr>
          <w:rFonts w:ascii="Arial" w:cs="Arial" w:eastAsia="Arial" w:hAnsi="Arial"/>
          <w:sz w:val="18"/>
          <w:szCs w:val="18"/>
          <w:color w:val="auto"/>
        </w:rPr>
      </w:pPr>
      <w:r>
        <w:rPr>
          <w:rFonts w:ascii="Arial" w:cs="Arial" w:eastAsia="Arial" w:hAnsi="Arial"/>
          <w:sz w:val="18"/>
          <w:szCs w:val="18"/>
          <w:color w:val="auto"/>
        </w:rPr>
        <w:t>In the absence of an established market for the Common Stock of the type described in (i) and (ii), above, the Fair Market Value thereof shall be determined by the Administrator in good faith.</w:t>
      </w:r>
    </w:p>
    <w:p>
      <w:pPr>
        <w:spacing w:after="0" w:line="170" w:lineRule="exact"/>
        <w:rPr>
          <w:rFonts w:ascii="Arial" w:cs="Arial" w:eastAsia="Arial" w:hAnsi="Arial"/>
          <w:sz w:val="18"/>
          <w:szCs w:val="18"/>
          <w:color w:val="auto"/>
        </w:rPr>
      </w:pPr>
    </w:p>
    <w:p>
      <w:pPr>
        <w:ind w:left="2160" w:hanging="855"/>
        <w:spacing w:after="0"/>
        <w:tabs>
          <w:tab w:leader="none" w:pos="21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Grantee</w:t>
      </w:r>
      <w:r>
        <w:rPr>
          <w:rFonts w:ascii="Arial" w:cs="Arial" w:eastAsia="Arial" w:hAnsi="Arial"/>
          <w:sz w:val="18"/>
          <w:szCs w:val="18"/>
          <w:color w:val="auto"/>
        </w:rPr>
        <w:t>” means an Employee, Director or Consultant who receives an Award under the Plan.</w:t>
      </w:r>
    </w:p>
    <w:p>
      <w:pPr>
        <w:spacing w:after="0" w:line="266" w:lineRule="exact"/>
        <w:rPr>
          <w:sz w:val="20"/>
          <w:szCs w:val="20"/>
          <w:color w:val="auto"/>
        </w:rPr>
      </w:pPr>
    </w:p>
    <w:p>
      <w:pPr>
        <w:ind w:left="2240" w:hanging="935"/>
        <w:spacing w:after="0"/>
        <w:tabs>
          <w:tab w:leader="none" w:pos="22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Incentive Stock Option</w:t>
      </w:r>
      <w:r>
        <w:rPr>
          <w:rFonts w:ascii="Arial" w:cs="Arial" w:eastAsia="Arial" w:hAnsi="Arial"/>
          <w:sz w:val="16"/>
          <w:szCs w:val="16"/>
          <w:color w:val="auto"/>
        </w:rPr>
        <w:t>” means an Option intended to qualify as an incentive stock option within the meaning of Section 422</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of the Code.</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40" w:type="dxa"/>
            <w:vAlign w:val="bottom"/>
          </w:tcPr>
          <w:p>
            <w:pPr>
              <w:ind w:left="1300"/>
              <w:spacing w:after="0"/>
              <w:rPr>
                <w:sz w:val="20"/>
                <w:szCs w:val="20"/>
                <w:color w:val="auto"/>
              </w:rPr>
            </w:pPr>
            <w:r>
              <w:rPr>
                <w:rFonts w:ascii="Arial" w:cs="Arial" w:eastAsia="Arial" w:hAnsi="Arial"/>
                <w:sz w:val="18"/>
                <w:szCs w:val="18"/>
                <w:color w:val="auto"/>
              </w:rPr>
              <w:t>(aa)</w:t>
            </w:r>
          </w:p>
        </w:tc>
        <w:tc>
          <w:tcPr>
            <w:tcW w:w="9280" w:type="dxa"/>
            <w:vAlign w:val="bottom"/>
            <w:gridSpan w:val="5"/>
          </w:tcPr>
          <w:p>
            <w:pPr>
              <w:ind w:left="100"/>
              <w:spacing w:after="0"/>
              <w:rPr>
                <w:sz w:val="20"/>
                <w:szCs w:val="20"/>
                <w:color w:val="auto"/>
              </w:rPr>
            </w:pPr>
            <w:r>
              <w:rPr>
                <w:rFonts w:ascii="Arial" w:cs="Arial" w:eastAsia="Arial" w:hAnsi="Arial"/>
                <w:sz w:val="18"/>
                <w:szCs w:val="18"/>
                <w:color w:val="auto"/>
              </w:rPr>
              <w:t>“Non-Qualified Stock Option” means an Option not intended to qualify as an Incentive Stock Option.</w:t>
            </w:r>
          </w:p>
        </w:tc>
      </w:tr>
      <w:tr>
        <w:trPr>
          <w:trHeight w:val="20"/>
        </w:trPr>
        <w:tc>
          <w:tcPr>
            <w:tcW w:w="2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580" w:type="dxa"/>
            <w:vAlign w:val="bottom"/>
            <w:tcBorders>
              <w:left w:val="single" w:sz="8" w:color="auto"/>
            </w:tcBorders>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r>
      <w:tr>
        <w:trPr>
          <w:trHeight w:val="453"/>
        </w:trPr>
        <w:tc>
          <w:tcPr>
            <w:tcW w:w="2140" w:type="dxa"/>
            <w:vAlign w:val="bottom"/>
          </w:tcPr>
          <w:p>
            <w:pPr>
              <w:ind w:left="1300"/>
              <w:spacing w:after="0"/>
              <w:rPr>
                <w:sz w:val="20"/>
                <w:szCs w:val="20"/>
                <w:color w:val="auto"/>
              </w:rPr>
            </w:pPr>
            <w:r>
              <w:rPr>
                <w:rFonts w:ascii="Arial" w:cs="Arial" w:eastAsia="Arial" w:hAnsi="Arial"/>
                <w:sz w:val="18"/>
                <w:szCs w:val="18"/>
                <w:color w:val="auto"/>
              </w:rPr>
              <w:t>(ab)</w:t>
            </w:r>
          </w:p>
        </w:tc>
        <w:tc>
          <w:tcPr>
            <w:tcW w:w="9280" w:type="dxa"/>
            <w:vAlign w:val="bottom"/>
            <w:gridSpan w:val="5"/>
          </w:tcPr>
          <w:p>
            <w:pPr>
              <w:ind w:left="100"/>
              <w:spacing w:after="0"/>
              <w:rPr>
                <w:sz w:val="20"/>
                <w:szCs w:val="20"/>
                <w:color w:val="auto"/>
              </w:rPr>
            </w:pPr>
            <w:r>
              <w:rPr>
                <w:rFonts w:ascii="Arial" w:cs="Arial" w:eastAsia="Arial" w:hAnsi="Arial"/>
                <w:sz w:val="18"/>
                <w:szCs w:val="18"/>
                <w:color w:val="auto"/>
                <w:w w:val="98"/>
              </w:rPr>
              <w:t>“Officer” means a person who is an officer of the Company or a Related Entity within the meaning of Section 16 of the</w:t>
            </w:r>
          </w:p>
        </w:tc>
      </w:tr>
      <w:tr>
        <w:trPr>
          <w:trHeight w:val="20"/>
        </w:trPr>
        <w:tc>
          <w:tcPr>
            <w:tcW w:w="2320" w:type="dxa"/>
            <w:vAlign w:val="bottom"/>
            <w:gridSpan w:val="2"/>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140" w:type="dxa"/>
            <w:vAlign w:val="bottom"/>
            <w:tcBorders>
              <w:left w:val="single" w:sz="8" w:color="auto"/>
            </w:tcBorders>
            <w:gridSpan w:val="2"/>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r>
      <w:tr>
        <w:trPr>
          <w:trHeight w:val="277"/>
        </w:trPr>
        <w:tc>
          <w:tcPr>
            <w:tcW w:w="11420" w:type="dxa"/>
            <w:vAlign w:val="bottom"/>
            <w:gridSpan w:val="6"/>
          </w:tcPr>
          <w:p>
            <w:pPr>
              <w:spacing w:after="0"/>
              <w:rPr>
                <w:sz w:val="20"/>
                <w:szCs w:val="20"/>
                <w:color w:val="auto"/>
              </w:rPr>
            </w:pPr>
            <w:r>
              <w:rPr>
                <w:rFonts w:ascii="Arial" w:cs="Arial" w:eastAsia="Arial" w:hAnsi="Arial"/>
                <w:sz w:val="18"/>
                <w:szCs w:val="18"/>
                <w:color w:val="auto"/>
              </w:rPr>
              <w:t>Exchange Act and the rules and regulations promulgated thereunder.</w:t>
            </w:r>
          </w:p>
        </w:tc>
      </w:tr>
      <w:tr>
        <w:trPr>
          <w:trHeight w:val="432"/>
        </w:trPr>
        <w:tc>
          <w:tcPr>
            <w:tcW w:w="2140" w:type="dxa"/>
            <w:vAlign w:val="bottom"/>
          </w:tcPr>
          <w:p>
            <w:pPr>
              <w:ind w:left="1300"/>
              <w:spacing w:after="0"/>
              <w:rPr>
                <w:sz w:val="20"/>
                <w:szCs w:val="20"/>
                <w:color w:val="auto"/>
              </w:rPr>
            </w:pPr>
            <w:r>
              <w:rPr>
                <w:rFonts w:ascii="Arial" w:cs="Arial" w:eastAsia="Arial" w:hAnsi="Arial"/>
                <w:sz w:val="18"/>
                <w:szCs w:val="18"/>
                <w:color w:val="auto"/>
              </w:rPr>
              <w:t>(ac)</w:t>
            </w:r>
          </w:p>
        </w:tc>
        <w:tc>
          <w:tcPr>
            <w:tcW w:w="9280" w:type="dxa"/>
            <w:vAlign w:val="bottom"/>
            <w:gridSpan w:val="5"/>
          </w:tcPr>
          <w:p>
            <w:pPr>
              <w:ind w:left="100"/>
              <w:spacing w:after="0"/>
              <w:rPr>
                <w:sz w:val="20"/>
                <w:szCs w:val="20"/>
                <w:color w:val="auto"/>
              </w:rPr>
            </w:pPr>
            <w:r>
              <w:rPr>
                <w:rFonts w:ascii="Arial" w:cs="Arial" w:eastAsia="Arial" w:hAnsi="Arial"/>
                <w:sz w:val="18"/>
                <w:szCs w:val="18"/>
                <w:color w:val="auto"/>
              </w:rPr>
              <w:t>“Option” means an option to purchase Shares pursuant to an Award Agreement granted under the Plan.</w:t>
            </w:r>
          </w:p>
        </w:tc>
      </w:tr>
      <w:tr>
        <w:trPr>
          <w:trHeight w:val="20"/>
        </w:trPr>
        <w:tc>
          <w:tcPr>
            <w:tcW w:w="2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r>
      <w:tr>
        <w:trPr>
          <w:trHeight w:val="453"/>
        </w:trPr>
        <w:tc>
          <w:tcPr>
            <w:tcW w:w="2140" w:type="dxa"/>
            <w:vAlign w:val="bottom"/>
          </w:tcPr>
          <w:p>
            <w:pPr>
              <w:ind w:left="1300"/>
              <w:spacing w:after="0"/>
              <w:rPr>
                <w:sz w:val="20"/>
                <w:szCs w:val="20"/>
                <w:color w:val="auto"/>
              </w:rPr>
            </w:pPr>
            <w:r>
              <w:rPr>
                <w:rFonts w:ascii="Arial" w:cs="Arial" w:eastAsia="Arial" w:hAnsi="Arial"/>
                <w:sz w:val="18"/>
                <w:szCs w:val="18"/>
                <w:color w:val="auto"/>
              </w:rPr>
              <w:t>(ad)</w:t>
            </w:r>
          </w:p>
        </w:tc>
        <w:tc>
          <w:tcPr>
            <w:tcW w:w="9280" w:type="dxa"/>
            <w:vAlign w:val="bottom"/>
            <w:gridSpan w:val="5"/>
          </w:tcPr>
          <w:p>
            <w:pPr>
              <w:ind w:left="100"/>
              <w:spacing w:after="0"/>
              <w:rPr>
                <w:sz w:val="20"/>
                <w:szCs w:val="20"/>
                <w:color w:val="auto"/>
              </w:rPr>
            </w:pPr>
            <w:r>
              <w:rPr>
                <w:rFonts w:ascii="Arial" w:cs="Arial" w:eastAsia="Arial" w:hAnsi="Arial"/>
                <w:sz w:val="18"/>
                <w:szCs w:val="18"/>
                <w:color w:val="auto"/>
              </w:rPr>
              <w:t>“Parent” means a “parent corporation,” whether now or hereafter existing, as defined in Section 424(e) of the Code.</w:t>
            </w:r>
          </w:p>
        </w:tc>
      </w:tr>
      <w:tr>
        <w:trPr>
          <w:trHeight w:val="20"/>
        </w:trPr>
        <w:tc>
          <w:tcPr>
            <w:tcW w:w="2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r>
      <w:tr>
        <w:trPr>
          <w:trHeight w:val="453"/>
        </w:trPr>
        <w:tc>
          <w:tcPr>
            <w:tcW w:w="2140" w:type="dxa"/>
            <w:vAlign w:val="bottom"/>
          </w:tcPr>
          <w:p>
            <w:pPr>
              <w:ind w:left="1300"/>
              <w:spacing w:after="0"/>
              <w:rPr>
                <w:sz w:val="20"/>
                <w:szCs w:val="20"/>
                <w:color w:val="auto"/>
              </w:rPr>
            </w:pPr>
            <w:r>
              <w:rPr>
                <w:rFonts w:ascii="Arial" w:cs="Arial" w:eastAsia="Arial" w:hAnsi="Arial"/>
                <w:sz w:val="18"/>
                <w:szCs w:val="18"/>
                <w:color w:val="auto"/>
              </w:rPr>
              <w:t>(ae)</w:t>
            </w:r>
          </w:p>
        </w:tc>
        <w:tc>
          <w:tcPr>
            <w:tcW w:w="9280" w:type="dxa"/>
            <w:vAlign w:val="bottom"/>
            <w:gridSpan w:val="5"/>
          </w:tcPr>
          <w:p>
            <w:pPr>
              <w:ind w:left="100"/>
              <w:spacing w:after="0"/>
              <w:rPr>
                <w:sz w:val="20"/>
                <w:szCs w:val="20"/>
                <w:color w:val="auto"/>
              </w:rPr>
            </w:pPr>
            <w:r>
              <w:rPr>
                <w:rFonts w:ascii="Arial" w:cs="Arial" w:eastAsia="Arial" w:hAnsi="Arial"/>
                <w:sz w:val="18"/>
                <w:szCs w:val="18"/>
                <w:color w:val="auto"/>
                <w:w w:val="95"/>
              </w:rPr>
              <w:t>“Performance-Based  Compensation”  means  compensation  qualifying  as  “performance-based  compensation”  under</w:t>
            </w:r>
          </w:p>
        </w:tc>
      </w:tr>
      <w:tr>
        <w:trPr>
          <w:trHeight w:val="277"/>
        </w:trPr>
        <w:tc>
          <w:tcPr>
            <w:tcW w:w="2140" w:type="dxa"/>
            <w:vAlign w:val="bottom"/>
          </w:tcPr>
          <w:p>
            <w:pPr>
              <w:spacing w:after="0"/>
              <w:rPr>
                <w:sz w:val="20"/>
                <w:szCs w:val="20"/>
                <w:color w:val="auto"/>
              </w:rPr>
            </w:pPr>
            <w:r>
              <w:rPr>
                <w:rFonts w:ascii="Arial" w:cs="Arial" w:eastAsia="Arial" w:hAnsi="Arial"/>
                <w:sz w:val="18"/>
                <w:szCs w:val="18"/>
                <w:color w:val="auto"/>
                <w:w w:val="94"/>
              </w:rPr>
              <w:t>Section 162(m) of the Code.</w:t>
            </w:r>
          </w:p>
        </w:tc>
        <w:tc>
          <w:tcPr>
            <w:tcW w:w="18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58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6500" w:type="dxa"/>
            <w:vAlign w:val="bottom"/>
          </w:tcPr>
          <w:p>
            <w:pPr>
              <w:spacing w:after="0"/>
              <w:rPr>
                <w:sz w:val="24"/>
                <w:szCs w:val="24"/>
                <w:color w:val="auto"/>
              </w:rPr>
            </w:pPr>
          </w:p>
        </w:tc>
      </w:tr>
    </w:tbl>
    <w:p>
      <w:pPr>
        <w:sectPr>
          <w:pgSz w:w="11900" w:h="16838" w:orient="portrait"/>
          <w:cols w:equalWidth="0" w:num="1">
            <w:col w:w="11420"/>
          </w:cols>
          <w:pgMar w:left="240" w:top="611" w:right="239" w:bottom="1440" w:gutter="0" w:footer="0" w:header="0"/>
        </w:sectPr>
      </w:pPr>
    </w:p>
    <w:bookmarkStart w:id="47" w:name="page48"/>
    <w:bookmarkEnd w:id="47"/>
    <w:p>
      <w:pPr>
        <w:spacing w:after="0" w:line="1" w:lineRule="exact"/>
        <w:rPr>
          <w:sz w:val="20"/>
          <w:szCs w:val="20"/>
          <w:color w:val="auto"/>
        </w:rPr>
      </w:pPr>
    </w:p>
    <w:tbl>
      <w:tblPr>
        <w:tblLayout w:type="fixed"/>
        <w:tblInd w:w="1300" w:type="dxa"/>
        <w:tblCellMar>
          <w:top w:w="0" w:type="dxa"/>
          <w:left w:w="0" w:type="dxa"/>
          <w:bottom w:w="0" w:type="dxa"/>
          <w:right w:w="0" w:type="dxa"/>
        </w:tblCellMar>
      </w:tblPr>
      <w:tr>
        <w:trPr>
          <w:trHeight w:val="207"/>
        </w:trPr>
        <w:tc>
          <w:tcPr>
            <w:tcW w:w="600" w:type="dxa"/>
            <w:vAlign w:val="bottom"/>
          </w:tcPr>
          <w:p>
            <w:pPr>
              <w:spacing w:after="0"/>
              <w:rPr>
                <w:sz w:val="20"/>
                <w:szCs w:val="20"/>
                <w:color w:val="auto"/>
              </w:rPr>
            </w:pPr>
            <w:r>
              <w:rPr>
                <w:rFonts w:ascii="Arial" w:cs="Arial" w:eastAsia="Arial" w:hAnsi="Arial"/>
                <w:sz w:val="18"/>
                <w:szCs w:val="18"/>
                <w:color w:val="auto"/>
              </w:rPr>
              <w:t>(af)</w:t>
            </w:r>
          </w:p>
        </w:tc>
        <w:tc>
          <w:tcPr>
            <w:tcW w:w="9520" w:type="dxa"/>
            <w:vAlign w:val="bottom"/>
            <w:gridSpan w:val="5"/>
          </w:tcPr>
          <w:p>
            <w:pPr>
              <w:ind w:left="320"/>
              <w:spacing w:after="0"/>
              <w:rPr>
                <w:sz w:val="20"/>
                <w:szCs w:val="20"/>
                <w:color w:val="auto"/>
              </w:rPr>
            </w:pPr>
            <w:r>
              <w:rPr>
                <w:rFonts w:ascii="Arial" w:cs="Arial" w:eastAsia="Arial" w:hAnsi="Arial"/>
                <w:sz w:val="18"/>
                <w:szCs w:val="18"/>
                <w:color w:val="auto"/>
              </w:rPr>
              <w:t>“Plan” means this Amended and Restated 2011 Stock Incentive Plan.</w:t>
            </w:r>
          </w:p>
        </w:tc>
      </w:tr>
      <w:tr>
        <w:trPr>
          <w:trHeight w:val="20"/>
        </w:trPr>
        <w:tc>
          <w:tcPr>
            <w:tcW w:w="600" w:type="dxa"/>
            <w:vAlign w:val="bottom"/>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r>
      <w:tr>
        <w:trPr>
          <w:trHeight w:val="453"/>
        </w:trPr>
        <w:tc>
          <w:tcPr>
            <w:tcW w:w="600" w:type="dxa"/>
            <w:vAlign w:val="bottom"/>
          </w:tcPr>
          <w:p>
            <w:pPr>
              <w:spacing w:after="0"/>
              <w:rPr>
                <w:sz w:val="20"/>
                <w:szCs w:val="20"/>
                <w:color w:val="auto"/>
              </w:rPr>
            </w:pPr>
            <w:r>
              <w:rPr>
                <w:rFonts w:ascii="Arial" w:cs="Arial" w:eastAsia="Arial" w:hAnsi="Arial"/>
                <w:sz w:val="18"/>
                <w:szCs w:val="18"/>
                <w:color w:val="auto"/>
              </w:rPr>
              <w:t>(ag)</w:t>
            </w:r>
          </w:p>
        </w:tc>
        <w:tc>
          <w:tcPr>
            <w:tcW w:w="9520" w:type="dxa"/>
            <w:vAlign w:val="bottom"/>
            <w:gridSpan w:val="5"/>
          </w:tcPr>
          <w:p>
            <w:pPr>
              <w:ind w:left="340"/>
              <w:spacing w:after="0"/>
              <w:rPr>
                <w:sz w:val="20"/>
                <w:szCs w:val="20"/>
                <w:color w:val="auto"/>
              </w:rPr>
            </w:pPr>
            <w:r>
              <w:rPr>
                <w:rFonts w:ascii="Arial" w:cs="Arial" w:eastAsia="Arial" w:hAnsi="Arial"/>
                <w:sz w:val="18"/>
                <w:szCs w:val="18"/>
                <w:color w:val="auto"/>
              </w:rPr>
              <w:t>“Related Entity” means any Parent or Subsidiary of the Company.</w:t>
            </w:r>
          </w:p>
        </w:tc>
      </w:tr>
      <w:tr>
        <w:trPr>
          <w:trHeight w:val="20"/>
        </w:trPr>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r>
      <w:tr>
        <w:trPr>
          <w:trHeight w:val="453"/>
        </w:trPr>
        <w:tc>
          <w:tcPr>
            <w:tcW w:w="600" w:type="dxa"/>
            <w:vAlign w:val="bottom"/>
          </w:tcPr>
          <w:p>
            <w:pPr>
              <w:spacing w:after="0"/>
              <w:rPr>
                <w:sz w:val="20"/>
                <w:szCs w:val="20"/>
                <w:color w:val="auto"/>
              </w:rPr>
            </w:pPr>
            <w:r>
              <w:rPr>
                <w:rFonts w:ascii="Arial" w:cs="Arial" w:eastAsia="Arial" w:hAnsi="Arial"/>
                <w:sz w:val="18"/>
                <w:szCs w:val="18"/>
                <w:color w:val="auto"/>
              </w:rPr>
              <w:t>(ah)</w:t>
            </w:r>
          </w:p>
        </w:tc>
        <w:tc>
          <w:tcPr>
            <w:tcW w:w="9520" w:type="dxa"/>
            <w:vAlign w:val="bottom"/>
            <w:gridSpan w:val="5"/>
          </w:tcPr>
          <w:p>
            <w:pPr>
              <w:ind w:left="340"/>
              <w:spacing w:after="0"/>
              <w:rPr>
                <w:sz w:val="20"/>
                <w:szCs w:val="20"/>
                <w:color w:val="auto"/>
              </w:rPr>
            </w:pPr>
            <w:r>
              <w:rPr>
                <w:rFonts w:ascii="Arial" w:cs="Arial" w:eastAsia="Arial" w:hAnsi="Arial"/>
                <w:sz w:val="18"/>
                <w:szCs w:val="18"/>
                <w:color w:val="auto"/>
                <w:w w:val="93"/>
              </w:rPr>
              <w:t>“Replaced” means that pursuant to a Change in Control or Corporate Transaction the Award is replaced with a comparable</w:t>
            </w:r>
          </w:p>
        </w:tc>
      </w:tr>
      <w:tr>
        <w:trPr>
          <w:trHeight w:val="20"/>
        </w:trPr>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r>
    </w:tbl>
    <w:p>
      <w:pPr>
        <w:spacing w:after="0" w:line="53" w:lineRule="exact"/>
        <w:rPr>
          <w:sz w:val="20"/>
          <w:szCs w:val="20"/>
          <w:color w:val="auto"/>
        </w:rPr>
      </w:pPr>
    </w:p>
    <w:p>
      <w:pPr>
        <w:jc w:val="both"/>
        <w:spacing w:after="0" w:line="306" w:lineRule="auto"/>
        <w:rPr>
          <w:sz w:val="20"/>
          <w:szCs w:val="20"/>
          <w:color w:val="auto"/>
        </w:rPr>
      </w:pPr>
      <w:r>
        <w:rPr>
          <w:rFonts w:ascii="Arial" w:cs="Arial" w:eastAsia="Arial" w:hAnsi="Arial"/>
          <w:sz w:val="18"/>
          <w:szCs w:val="18"/>
          <w:color w:val="auto"/>
        </w:rPr>
        <w:t>stock award or a cash incentive program of the Company, the successor entity (if applicable) or Parent of either of them which preserves the compensation element of such Award existing at the time of the transaction and provides for subsequent payout in accordance with the same (or a more favorable) vesting schedule applicable to such Award. The determination of Award comparability shall be made by the Administrator and its determination shall be final, binding and conclusive.</w:t>
      </w:r>
    </w:p>
    <w:p>
      <w:pPr>
        <w:spacing w:after="0" w:line="187" w:lineRule="exact"/>
        <w:rPr>
          <w:sz w:val="20"/>
          <w:szCs w:val="20"/>
          <w:color w:val="auto"/>
        </w:rPr>
      </w:pPr>
    </w:p>
    <w:p>
      <w:pPr>
        <w:jc w:val="both"/>
        <w:ind w:firstLine="1297"/>
        <w:spacing w:after="0" w:line="395" w:lineRule="auto"/>
        <w:rPr>
          <w:sz w:val="20"/>
          <w:szCs w:val="20"/>
          <w:color w:val="auto"/>
        </w:rPr>
      </w:pPr>
      <w:r>
        <w:rPr>
          <w:rFonts w:ascii="Arial" w:cs="Arial" w:eastAsia="Arial" w:hAnsi="Arial"/>
          <w:sz w:val="16"/>
          <w:szCs w:val="16"/>
          <w:color w:val="auto"/>
        </w:rPr>
        <w:t>(ai) “</w:t>
      </w:r>
      <w:r>
        <w:rPr>
          <w:rFonts w:ascii="Arial" w:cs="Arial" w:eastAsia="Arial" w:hAnsi="Arial"/>
          <w:sz w:val="16"/>
          <w:szCs w:val="16"/>
          <w:u w:val="single" w:color="auto"/>
          <w:color w:val="auto"/>
        </w:rPr>
        <w:t>Restricted Stock</w:t>
      </w:r>
      <w:r>
        <w:rPr>
          <w:rFonts w:ascii="Arial" w:cs="Arial" w:eastAsia="Arial" w:hAnsi="Arial"/>
          <w:sz w:val="16"/>
          <w:szCs w:val="16"/>
          <w:color w:val="auto"/>
        </w:rPr>
        <w:t>” means Shares issued under the Plan to the Grantee for such consideration, if any, and subject to such restrictions on transfer, rights of first refusal, repurchase provisions, forfeiture provisions, and other terms and conditions as established by the Administrator.</w:t>
      </w:r>
    </w:p>
    <w:p>
      <w:pPr>
        <w:spacing w:after="0" w:line="124" w:lineRule="exact"/>
        <w:rPr>
          <w:sz w:val="20"/>
          <w:szCs w:val="20"/>
          <w:color w:val="auto"/>
        </w:rPr>
      </w:pPr>
    </w:p>
    <w:p>
      <w:pPr>
        <w:jc w:val="both"/>
        <w:ind w:right="20" w:firstLine="1297"/>
        <w:spacing w:after="0" w:line="311" w:lineRule="auto"/>
        <w:rPr>
          <w:sz w:val="20"/>
          <w:szCs w:val="20"/>
          <w:color w:val="auto"/>
        </w:rPr>
      </w:pPr>
      <w:r>
        <w:rPr>
          <w:rFonts w:ascii="Arial" w:cs="Arial" w:eastAsia="Arial" w:hAnsi="Arial"/>
          <w:sz w:val="18"/>
          <w:szCs w:val="18"/>
          <w:color w:val="auto"/>
        </w:rPr>
        <w:t>(aj) “</w:t>
      </w:r>
      <w:r>
        <w:rPr>
          <w:rFonts w:ascii="Arial" w:cs="Arial" w:eastAsia="Arial" w:hAnsi="Arial"/>
          <w:sz w:val="18"/>
          <w:szCs w:val="18"/>
          <w:u w:val="single" w:color="auto"/>
          <w:color w:val="auto"/>
        </w:rPr>
        <w:t>Restricted Stock Units</w:t>
      </w:r>
      <w:r>
        <w:rPr>
          <w:rFonts w:ascii="Arial" w:cs="Arial" w:eastAsia="Arial" w:hAnsi="Arial"/>
          <w:sz w:val="18"/>
          <w:szCs w:val="18"/>
          <w:color w:val="auto"/>
        </w:rPr>
        <w:t>” means an Award which may be earned in whole or in part upon the passage of time or the attainment of performance criteria established by the Administrator and which may be settled for cash, Shares or other securities or a combination of cash, Shares or other securities as established by the Administrator.</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80" w:type="dxa"/>
            <w:vAlign w:val="bottom"/>
          </w:tcPr>
          <w:p>
            <w:pPr>
              <w:ind w:left="1300"/>
              <w:spacing w:after="0"/>
              <w:rPr>
                <w:sz w:val="20"/>
                <w:szCs w:val="20"/>
                <w:color w:val="auto"/>
              </w:rPr>
            </w:pPr>
            <w:r>
              <w:rPr>
                <w:rFonts w:ascii="Arial" w:cs="Arial" w:eastAsia="Arial" w:hAnsi="Arial"/>
                <w:sz w:val="18"/>
                <w:szCs w:val="18"/>
                <w:color w:val="auto"/>
              </w:rPr>
              <w:t>(ak)</w:t>
            </w:r>
          </w:p>
        </w:tc>
        <w:tc>
          <w:tcPr>
            <w:tcW w:w="9340" w:type="dxa"/>
            <w:vAlign w:val="bottom"/>
            <w:gridSpan w:val="7"/>
          </w:tcPr>
          <w:p>
            <w:pPr>
              <w:ind w:left="160"/>
              <w:spacing w:after="0"/>
              <w:rPr>
                <w:sz w:val="20"/>
                <w:szCs w:val="20"/>
                <w:color w:val="auto"/>
              </w:rPr>
            </w:pPr>
            <w:r>
              <w:rPr>
                <w:rFonts w:ascii="Arial" w:cs="Arial" w:eastAsia="Arial" w:hAnsi="Arial"/>
                <w:sz w:val="18"/>
                <w:szCs w:val="18"/>
                <w:color w:val="auto"/>
              </w:rPr>
              <w:t>“Rule 16b-3” means Rule 16b-3 promulgated under the Exchange Act or any successor thereto.</w:t>
            </w:r>
          </w:p>
        </w:tc>
      </w:tr>
      <w:tr>
        <w:trPr>
          <w:trHeight w:val="20"/>
        </w:trPr>
        <w:tc>
          <w:tcPr>
            <w:tcW w:w="2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tcBorders>
              <w:left w:val="single" w:sz="8" w:color="auto"/>
            </w:tcBorders>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r>
      <w:tr>
        <w:trPr>
          <w:trHeight w:val="453"/>
        </w:trPr>
        <w:tc>
          <w:tcPr>
            <w:tcW w:w="2080" w:type="dxa"/>
            <w:vAlign w:val="bottom"/>
          </w:tcPr>
          <w:p>
            <w:pPr>
              <w:ind w:left="1300"/>
              <w:spacing w:after="0"/>
              <w:rPr>
                <w:sz w:val="20"/>
                <w:szCs w:val="20"/>
                <w:color w:val="auto"/>
              </w:rPr>
            </w:pPr>
            <w:r>
              <w:rPr>
                <w:rFonts w:ascii="Arial" w:cs="Arial" w:eastAsia="Arial" w:hAnsi="Arial"/>
                <w:sz w:val="18"/>
                <w:szCs w:val="18"/>
                <w:color w:val="auto"/>
              </w:rPr>
              <w:t>(al)</w:t>
            </w:r>
          </w:p>
        </w:tc>
        <w:tc>
          <w:tcPr>
            <w:tcW w:w="9340" w:type="dxa"/>
            <w:vAlign w:val="bottom"/>
            <w:gridSpan w:val="7"/>
          </w:tcPr>
          <w:p>
            <w:pPr>
              <w:ind w:left="120"/>
              <w:spacing w:after="0"/>
              <w:rPr>
                <w:sz w:val="20"/>
                <w:szCs w:val="20"/>
                <w:color w:val="auto"/>
              </w:rPr>
            </w:pPr>
            <w:r>
              <w:rPr>
                <w:rFonts w:ascii="Arial" w:cs="Arial" w:eastAsia="Arial" w:hAnsi="Arial"/>
                <w:sz w:val="18"/>
                <w:szCs w:val="18"/>
                <w:color w:val="auto"/>
                <w:w w:val="99"/>
              </w:rPr>
              <w:t>“SAR” means a stock appreciation right entitling the Grantee to Shares or cash compensation, as established by the</w:t>
            </w:r>
          </w:p>
        </w:tc>
      </w:tr>
      <w:tr>
        <w:trPr>
          <w:trHeight w:val="20"/>
        </w:trPr>
        <w:tc>
          <w:tcPr>
            <w:tcW w:w="2280" w:type="dxa"/>
            <w:vAlign w:val="bottom"/>
            <w:gridSpan w:val="2"/>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r>
      <w:tr>
        <w:trPr>
          <w:trHeight w:val="277"/>
        </w:trPr>
        <w:tc>
          <w:tcPr>
            <w:tcW w:w="11420" w:type="dxa"/>
            <w:vAlign w:val="bottom"/>
            <w:gridSpan w:val="8"/>
          </w:tcPr>
          <w:p>
            <w:pPr>
              <w:spacing w:after="0"/>
              <w:rPr>
                <w:sz w:val="20"/>
                <w:szCs w:val="20"/>
                <w:color w:val="auto"/>
              </w:rPr>
            </w:pPr>
            <w:r>
              <w:rPr>
                <w:rFonts w:ascii="Arial" w:cs="Arial" w:eastAsia="Arial" w:hAnsi="Arial"/>
                <w:sz w:val="18"/>
                <w:szCs w:val="18"/>
                <w:color w:val="auto"/>
              </w:rPr>
              <w:t>Administrator, measured by appreciation in the value of Common Stock.</w:t>
            </w:r>
          </w:p>
        </w:tc>
      </w:tr>
      <w:tr>
        <w:trPr>
          <w:trHeight w:val="432"/>
        </w:trPr>
        <w:tc>
          <w:tcPr>
            <w:tcW w:w="2080" w:type="dxa"/>
            <w:vAlign w:val="bottom"/>
          </w:tcPr>
          <w:p>
            <w:pPr>
              <w:ind w:left="1300"/>
              <w:spacing w:after="0"/>
              <w:rPr>
                <w:sz w:val="20"/>
                <w:szCs w:val="20"/>
                <w:color w:val="auto"/>
              </w:rPr>
            </w:pPr>
            <w:r>
              <w:rPr>
                <w:rFonts w:ascii="Arial" w:cs="Arial" w:eastAsia="Arial" w:hAnsi="Arial"/>
                <w:sz w:val="18"/>
                <w:szCs w:val="18"/>
                <w:color w:val="auto"/>
              </w:rPr>
              <w:t>(am)</w:t>
            </w:r>
          </w:p>
        </w:tc>
        <w:tc>
          <w:tcPr>
            <w:tcW w:w="200" w:type="dxa"/>
            <w:vAlign w:val="bottom"/>
          </w:tcPr>
          <w:p>
            <w:pPr>
              <w:spacing w:after="0"/>
              <w:rPr>
                <w:sz w:val="24"/>
                <w:szCs w:val="24"/>
                <w:color w:val="auto"/>
              </w:rPr>
            </w:pPr>
          </w:p>
        </w:tc>
        <w:tc>
          <w:tcPr>
            <w:tcW w:w="9140" w:type="dxa"/>
            <w:vAlign w:val="bottom"/>
            <w:gridSpan w:val="6"/>
          </w:tcPr>
          <w:p>
            <w:pPr>
              <w:ind w:left="20"/>
              <w:spacing w:after="0"/>
              <w:rPr>
                <w:sz w:val="20"/>
                <w:szCs w:val="20"/>
                <w:color w:val="auto"/>
              </w:rPr>
            </w:pPr>
            <w:r>
              <w:rPr>
                <w:rFonts w:ascii="Arial" w:cs="Arial" w:eastAsia="Arial" w:hAnsi="Arial"/>
                <w:sz w:val="18"/>
                <w:szCs w:val="18"/>
                <w:color w:val="auto"/>
              </w:rPr>
              <w:t>“Share” means a share of the Common Stock.</w:t>
            </w:r>
          </w:p>
        </w:tc>
      </w:tr>
      <w:tr>
        <w:trPr>
          <w:trHeight w:val="20"/>
        </w:trPr>
        <w:tc>
          <w:tcPr>
            <w:tcW w:w="20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r>
      <w:tr>
        <w:trPr>
          <w:trHeight w:val="453"/>
        </w:trPr>
        <w:tc>
          <w:tcPr>
            <w:tcW w:w="2080" w:type="dxa"/>
            <w:vAlign w:val="bottom"/>
          </w:tcPr>
          <w:p>
            <w:pPr>
              <w:ind w:left="1300"/>
              <w:spacing w:after="0"/>
              <w:rPr>
                <w:sz w:val="20"/>
                <w:szCs w:val="20"/>
                <w:color w:val="auto"/>
              </w:rPr>
            </w:pPr>
            <w:r>
              <w:rPr>
                <w:rFonts w:ascii="Arial" w:cs="Arial" w:eastAsia="Arial" w:hAnsi="Arial"/>
                <w:sz w:val="18"/>
                <w:szCs w:val="18"/>
                <w:color w:val="auto"/>
              </w:rPr>
              <w:t>(an)</w:t>
            </w:r>
          </w:p>
        </w:tc>
        <w:tc>
          <w:tcPr>
            <w:tcW w:w="9340" w:type="dxa"/>
            <w:vAlign w:val="bottom"/>
            <w:gridSpan w:val="7"/>
          </w:tcPr>
          <w:p>
            <w:pPr>
              <w:ind w:left="160"/>
              <w:spacing w:after="0"/>
              <w:rPr>
                <w:sz w:val="20"/>
                <w:szCs w:val="20"/>
                <w:color w:val="auto"/>
              </w:rPr>
            </w:pPr>
            <w:r>
              <w:rPr>
                <w:rFonts w:ascii="Arial" w:cs="Arial" w:eastAsia="Arial" w:hAnsi="Arial"/>
                <w:sz w:val="18"/>
                <w:szCs w:val="18"/>
                <w:color w:val="auto"/>
                <w:w w:val="94"/>
              </w:rPr>
              <w:t>“Subsidiary” means a “subsidiary corporation,” whether now or hereafter existing, as defined in Section 424(f) of the Code.</w:t>
            </w:r>
          </w:p>
        </w:tc>
      </w:tr>
      <w:tr>
        <w:trPr>
          <w:trHeight w:val="20"/>
        </w:trPr>
        <w:tc>
          <w:tcPr>
            <w:tcW w:w="2080" w:type="dxa"/>
            <w:vAlign w:val="bottom"/>
          </w:tcPr>
          <w:p>
            <w:pPr>
              <w:spacing w:after="0" w:line="20" w:lineRule="exact"/>
              <w:rPr>
                <w:sz w:val="1"/>
                <w:szCs w:val="1"/>
                <w:color w:val="auto"/>
              </w:rPr>
            </w:pPr>
          </w:p>
        </w:tc>
        <w:tc>
          <w:tcPr>
            <w:tcW w:w="300" w:type="dxa"/>
            <w:vAlign w:val="bottom"/>
            <w:tcBorders>
              <w:right w:val="single" w:sz="8" w:color="auto"/>
            </w:tcBorders>
            <w:gridSpan w:val="2"/>
          </w:tcPr>
          <w:p>
            <w:pPr>
              <w:spacing w:after="0" w:line="20" w:lineRule="exact"/>
              <w:rPr>
                <w:sz w:val="1"/>
                <w:szCs w:val="1"/>
                <w:color w:val="auto"/>
              </w:rPr>
            </w:pPr>
          </w:p>
        </w:tc>
        <w:tc>
          <w:tcPr>
            <w:tcW w:w="720" w:type="dxa"/>
            <w:vAlign w:val="bottom"/>
            <w:gridSpan w:val="3"/>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r>
      <w:tr>
        <w:trPr>
          <w:trHeight w:val="453"/>
        </w:trPr>
        <w:tc>
          <w:tcPr>
            <w:tcW w:w="2080" w:type="dxa"/>
            <w:vAlign w:val="bottom"/>
          </w:tcPr>
          <w:p>
            <w:pPr>
              <w:ind w:left="1300"/>
              <w:spacing w:after="0"/>
              <w:rPr>
                <w:sz w:val="20"/>
                <w:szCs w:val="20"/>
                <w:color w:val="auto"/>
              </w:rPr>
            </w:pPr>
            <w:r>
              <w:rPr>
                <w:rFonts w:ascii="Arial" w:cs="Arial" w:eastAsia="Arial" w:hAnsi="Arial"/>
                <w:sz w:val="18"/>
                <w:szCs w:val="18"/>
                <w:color w:val="auto"/>
              </w:rPr>
              <w:t>3.</w:t>
            </w:r>
          </w:p>
        </w:tc>
        <w:tc>
          <w:tcPr>
            <w:tcW w:w="9340" w:type="dxa"/>
            <w:vAlign w:val="bottom"/>
            <w:gridSpan w:val="7"/>
          </w:tcPr>
          <w:p>
            <w:pPr>
              <w:spacing w:after="0"/>
              <w:rPr>
                <w:sz w:val="20"/>
                <w:szCs w:val="20"/>
                <w:color w:val="auto"/>
              </w:rPr>
            </w:pPr>
            <w:r>
              <w:rPr>
                <w:rFonts w:ascii="Arial" w:cs="Arial" w:eastAsia="Arial" w:hAnsi="Arial"/>
                <w:sz w:val="18"/>
                <w:szCs w:val="18"/>
                <w:color w:val="auto"/>
              </w:rPr>
              <w:t>Stock Subject to the Plan.</w:t>
            </w:r>
          </w:p>
        </w:tc>
      </w:tr>
      <w:tr>
        <w:trPr>
          <w:trHeight w:val="20"/>
        </w:trPr>
        <w:tc>
          <w:tcPr>
            <w:tcW w:w="20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tcBorders>
              <w:left w:val="single" w:sz="8" w:color="auto"/>
            </w:tcBorders>
            <w:shd w:val="clear" w:color="auto" w:fill="000000"/>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r>
    </w:tbl>
    <w:p>
      <w:pPr>
        <w:spacing w:after="0" w:line="269" w:lineRule="exact"/>
        <w:rPr>
          <w:sz w:val="20"/>
          <w:szCs w:val="20"/>
          <w:color w:val="auto"/>
        </w:rPr>
      </w:pPr>
    </w:p>
    <w:p>
      <w:pPr>
        <w:jc w:val="both"/>
        <w:ind w:firstLine="1305"/>
        <w:spacing w:after="0" w:line="321" w:lineRule="auto"/>
        <w:tabs>
          <w:tab w:leader="none" w:pos="2144" w:val="left"/>
        </w:tabs>
        <w:numPr>
          <w:ilvl w:val="1"/>
          <w:numId w:val="33"/>
        </w:numPr>
        <w:rPr>
          <w:rFonts w:ascii="Arial" w:cs="Arial" w:eastAsia="Arial" w:hAnsi="Arial"/>
          <w:sz w:val="17"/>
          <w:szCs w:val="17"/>
          <w:color w:val="auto"/>
        </w:rPr>
      </w:pPr>
      <w:r>
        <w:rPr>
          <w:rFonts w:ascii="Arial" w:cs="Arial" w:eastAsia="Arial" w:hAnsi="Arial"/>
          <w:sz w:val="17"/>
          <w:szCs w:val="17"/>
          <w:color w:val="auto"/>
        </w:rPr>
        <w:t>Subject to the provisions of Section 10, below, the maximum aggregate number of Shares which may be issued pursuant to all Awards (including Incentive Stock Options) is equal to the sum of 4,004,510 Shares (the “</w:t>
      </w:r>
      <w:r>
        <w:rPr>
          <w:rFonts w:ascii="Arial" w:cs="Arial" w:eastAsia="Arial" w:hAnsi="Arial"/>
          <w:sz w:val="17"/>
          <w:szCs w:val="17"/>
          <w:u w:val="single" w:color="auto"/>
          <w:color w:val="auto"/>
        </w:rPr>
        <w:t>Share Limit</w:t>
      </w:r>
      <w:r>
        <w:rPr>
          <w:rFonts w:ascii="Arial" w:cs="Arial" w:eastAsia="Arial" w:hAnsi="Arial"/>
          <w:sz w:val="17"/>
          <w:szCs w:val="17"/>
          <w:color w:val="auto"/>
        </w:rPr>
        <w:t>”). The maximum aggregate number of Shares which may be issued pursuant to all Awards of Incentive Stock Options is 4,004,510 Shares. Notwithstanding the foregoing, any Shares covered by Awards other than Options and SARs shall be counted against the limit set forth herein as 2.09 Shares for every one (1) Share issued in connection with such Award (and shall be counted as 2.09 Shares for every one (1) Share returned or deemed not have been issued from the Plan pursuant to Section 3(b) below in connection with Awards other than Options and SARs). SARs payable in Shares shall reduce the maximum aggregate number of Shares which may be issued under the Plan only by the gross number of actual Shares issued to the Grantee upon exercise of the SAR. The Shares to be issued pursuant to Awards may be authorized, but unissued, or reacquired Common Stock.</w:t>
      </w:r>
    </w:p>
    <w:p>
      <w:pPr>
        <w:spacing w:after="0" w:line="177" w:lineRule="exact"/>
        <w:rPr>
          <w:rFonts w:ascii="Arial" w:cs="Arial" w:eastAsia="Arial" w:hAnsi="Arial"/>
          <w:sz w:val="17"/>
          <w:szCs w:val="17"/>
          <w:color w:val="auto"/>
        </w:rPr>
      </w:pPr>
    </w:p>
    <w:p>
      <w:pPr>
        <w:jc w:val="both"/>
        <w:ind w:firstLine="1305"/>
        <w:spacing w:after="0" w:line="319" w:lineRule="auto"/>
        <w:tabs>
          <w:tab w:leader="none" w:pos="2155" w:val="left"/>
        </w:tabs>
        <w:numPr>
          <w:ilvl w:val="1"/>
          <w:numId w:val="33"/>
        </w:numPr>
        <w:rPr>
          <w:rFonts w:ascii="Arial" w:cs="Arial" w:eastAsia="Arial" w:hAnsi="Arial"/>
          <w:sz w:val="17"/>
          <w:szCs w:val="17"/>
          <w:color w:val="auto"/>
        </w:rPr>
      </w:pPr>
      <w:r>
        <w:rPr>
          <w:rFonts w:ascii="Arial" w:cs="Arial" w:eastAsia="Arial" w:hAnsi="Arial"/>
          <w:sz w:val="17"/>
          <w:szCs w:val="17"/>
          <w:color w:val="auto"/>
        </w:rPr>
        <w:t>Any Shares covered by an Award (or portion of an Award) which is forfeited, canceled or expires (whether voluntarily or involuntarily) shall be deemed not to have been issued for purposes of determining the maximum aggregate number of Shares which may be issued under the Plan. Shares that actually have been issued under the Plan pursuant to an Award shall not be returned to the Plan and shall not become available for future issuance under the Plan, except that if unvested Shares are forfeited, or repurchased by the Company at the lower of their original purchase price or their Fair Market Value at the time of repurchase, such Shares shall become available for future grant under the Plan. Notwithstanding anything to the contrary contained herein: (i) Shares tendered or withheld in payment of an Option exercise price shall not be returned to the Plan and shall not become available for future issuance under the Plan; (ii) Shares withheld by the Company to satisfy any tax withholding obligation shall not be returned to the Plan and shall not become available for future issuance under the Plan; (iii) all Shares covered by the portion of an SAR that is exercised (whether or not Shares are actually issued to the Grantee upon exercise of the SAR) shall be considered issued pursuant to the Plan; and (iv) Shares purchased on the open market by the Company with the cash proceeds received from the exercise of Options shall not be returned to the Plan and shall not become available for future issuance under the Plan.</w:t>
      </w:r>
    </w:p>
    <w:p>
      <w:pPr>
        <w:spacing w:after="0" w:line="180" w:lineRule="exact"/>
        <w:rPr>
          <w:rFonts w:ascii="Arial" w:cs="Arial" w:eastAsia="Arial" w:hAnsi="Arial"/>
          <w:sz w:val="17"/>
          <w:szCs w:val="17"/>
          <w:color w:val="auto"/>
        </w:rPr>
      </w:pPr>
    </w:p>
    <w:p>
      <w:pPr>
        <w:ind w:left="1440" w:hanging="784"/>
        <w:spacing w:after="0"/>
        <w:tabs>
          <w:tab w:leader="none" w:pos="1440"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Administration of the Plan.</w:t>
      </w:r>
    </w:p>
    <w:p>
      <w:pPr>
        <w:spacing w:after="0" w:line="265" w:lineRule="exact"/>
        <w:rPr>
          <w:rFonts w:ascii="Arial" w:cs="Arial" w:eastAsia="Arial" w:hAnsi="Arial"/>
          <w:sz w:val="18"/>
          <w:szCs w:val="18"/>
          <w:color w:val="auto"/>
        </w:rPr>
      </w:pPr>
    </w:p>
    <w:p>
      <w:pPr>
        <w:ind w:left="2160" w:hanging="855"/>
        <w:spacing w:after="0"/>
        <w:tabs>
          <w:tab w:leader="none" w:pos="2160" w:val="left"/>
        </w:tabs>
        <w:numPr>
          <w:ilvl w:val="1"/>
          <w:numId w:val="34"/>
        </w:numPr>
        <w:rPr>
          <w:rFonts w:ascii="Arial" w:cs="Arial" w:eastAsia="Arial" w:hAnsi="Arial"/>
          <w:sz w:val="18"/>
          <w:szCs w:val="18"/>
          <w:color w:val="auto"/>
        </w:rPr>
      </w:pPr>
      <w:r>
        <w:rPr>
          <w:rFonts w:ascii="Arial" w:cs="Arial" w:eastAsia="Arial" w:hAnsi="Arial"/>
          <w:sz w:val="18"/>
          <w:szCs w:val="18"/>
          <w:u w:val="single" w:color="auto"/>
          <w:color w:val="auto"/>
        </w:rPr>
        <w:t>Plan Administrator</w:t>
      </w:r>
      <w:r>
        <w:rPr>
          <w:rFonts w:ascii="Arial" w:cs="Arial" w:eastAsia="Arial" w:hAnsi="Arial"/>
          <w:sz w:val="18"/>
          <w:szCs w:val="18"/>
          <w:color w:val="auto"/>
        </w:rPr>
        <w:t>.</w:t>
      </w:r>
    </w:p>
    <w:p>
      <w:pPr>
        <w:sectPr>
          <w:pgSz w:w="11900" w:h="16838" w:orient="portrait"/>
          <w:cols w:equalWidth="0" w:num="1">
            <w:col w:w="11420"/>
          </w:cols>
          <w:pgMar w:left="240" w:top="810" w:right="239" w:bottom="1440" w:gutter="0" w:footer="0" w:header="0"/>
        </w:sectPr>
      </w:pPr>
    </w:p>
    <w:bookmarkStart w:id="48" w:name="page49"/>
    <w:bookmarkEnd w:id="48"/>
    <w:p>
      <w:pPr>
        <w:jc w:val="both"/>
        <w:ind w:firstLine="1953"/>
        <w:spacing w:after="0" w:line="251" w:lineRule="exact"/>
        <w:tabs>
          <w:tab w:leader="none" w:pos="2763" w:val="left"/>
        </w:tabs>
        <w:numPr>
          <w:ilvl w:val="1"/>
          <w:numId w:val="35"/>
        </w:numPr>
        <w:rPr>
          <w:rFonts w:ascii="Arial" w:cs="Arial" w:eastAsia="Arial" w:hAnsi="Arial"/>
          <w:sz w:val="18"/>
          <w:szCs w:val="18"/>
          <w:color w:val="auto"/>
        </w:rPr>
      </w:pPr>
      <w:r>
        <w:rPr>
          <w:rFonts w:ascii="Arial" w:cs="Arial" w:eastAsia="Arial" w:hAnsi="Arial"/>
          <w:sz w:val="18"/>
          <w:szCs w:val="18"/>
          <w:u w:val="single" w:color="auto"/>
          <w:color w:val="auto"/>
        </w:rPr>
        <w:t>Administration with Respect to Directors and Officers</w:t>
      </w:r>
      <w:r>
        <w:rPr>
          <w:rFonts w:ascii="Arial" w:cs="Arial" w:eastAsia="Arial" w:hAnsi="Arial"/>
          <w:sz w:val="18"/>
          <w:szCs w:val="18"/>
          <w:color w:val="auto"/>
        </w:rPr>
        <w:t>. With respect to grants of Awards to Directors or Employees who are also Officers or Directors of the Company, the Plan shall be administered by (A) the Board or (B) a Committee designated by the Board, which Committee shall be constituted in such a manner as to satisfy the Applicable Laws and to permit such grants and related transactions under the Plan to be exempt from Section 16(b) of the Exchange Act in accordance with Rule 16b</w:t>
      </w:r>
      <w:r>
        <w:rPr>
          <w:rFonts w:ascii="MS PGothic" w:cs="MS PGothic" w:eastAsia="MS PGothic" w:hAnsi="MS PGothic"/>
          <w:sz w:val="18"/>
          <w:szCs w:val="18"/>
          <w:color w:val="auto"/>
        </w:rPr>
        <w:t>‑</w:t>
      </w:r>
      <w:r>
        <w:rPr>
          <w:rFonts w:ascii="Arial" w:cs="Arial" w:eastAsia="Arial" w:hAnsi="Arial"/>
          <w:sz w:val="18"/>
          <w:szCs w:val="18"/>
          <w:color w:val="auto"/>
        </w:rPr>
        <w:t>3. Once appointed, such Committee shall continue to serve in its designated capacity until otherwise directed by the Board.</w:t>
      </w:r>
    </w:p>
    <w:p>
      <w:pPr>
        <w:spacing w:after="0" w:line="244" w:lineRule="exact"/>
        <w:rPr>
          <w:rFonts w:ascii="Arial" w:cs="Arial" w:eastAsia="Arial" w:hAnsi="Arial"/>
          <w:sz w:val="18"/>
          <w:szCs w:val="18"/>
          <w:color w:val="auto"/>
        </w:rPr>
      </w:pPr>
    </w:p>
    <w:p>
      <w:pPr>
        <w:jc w:val="both"/>
        <w:ind w:firstLine="1953"/>
        <w:spacing w:after="0" w:line="304" w:lineRule="auto"/>
        <w:tabs>
          <w:tab w:leader="none" w:pos="2813" w:val="left"/>
        </w:tabs>
        <w:numPr>
          <w:ilvl w:val="1"/>
          <w:numId w:val="35"/>
        </w:numPr>
        <w:rPr>
          <w:rFonts w:ascii="Arial" w:cs="Arial" w:eastAsia="Arial" w:hAnsi="Arial"/>
          <w:sz w:val="18"/>
          <w:szCs w:val="18"/>
          <w:color w:val="auto"/>
        </w:rPr>
      </w:pPr>
      <w:r>
        <w:rPr>
          <w:rFonts w:ascii="Arial" w:cs="Arial" w:eastAsia="Arial" w:hAnsi="Arial"/>
          <w:sz w:val="18"/>
          <w:szCs w:val="18"/>
          <w:u w:val="single" w:color="auto"/>
          <w:color w:val="auto"/>
        </w:rPr>
        <w:t>Administration with Respect to Consultants and Other Employees</w:t>
      </w:r>
      <w:r>
        <w:rPr>
          <w:rFonts w:ascii="Arial" w:cs="Arial" w:eastAsia="Arial" w:hAnsi="Arial"/>
          <w:sz w:val="18"/>
          <w:szCs w:val="18"/>
          <w:color w:val="auto"/>
        </w:rPr>
        <w:t>. With respect to grants of Awards to Employees or Consultants who are neither Directors nor Officers of the Company, the Plan shall be administered by (A) the Board or (B) a Committee designated by the Board, which Committee shall be constituted in such a manner as to satisfy the Applicable Laws. Once appointed, such Committee shall continue to serve in its designated capacity until otherwise directed by the Board. The Board may authorize one or more Officers to grant such Awards and may limit such authority as the Board determines from time to time.</w:t>
      </w:r>
    </w:p>
    <w:p>
      <w:pPr>
        <w:spacing w:after="0" w:line="188" w:lineRule="exact"/>
        <w:rPr>
          <w:rFonts w:ascii="Arial" w:cs="Arial" w:eastAsia="Arial" w:hAnsi="Arial"/>
          <w:sz w:val="18"/>
          <w:szCs w:val="18"/>
          <w:color w:val="auto"/>
        </w:rPr>
      </w:pPr>
    </w:p>
    <w:p>
      <w:pPr>
        <w:jc w:val="both"/>
        <w:ind w:firstLine="1953"/>
        <w:spacing w:after="0" w:line="304" w:lineRule="auto"/>
        <w:tabs>
          <w:tab w:leader="none" w:pos="2863" w:val="left"/>
        </w:tabs>
        <w:numPr>
          <w:ilvl w:val="1"/>
          <w:numId w:val="35"/>
        </w:numPr>
        <w:rPr>
          <w:rFonts w:ascii="Arial" w:cs="Arial" w:eastAsia="Arial" w:hAnsi="Arial"/>
          <w:sz w:val="18"/>
          <w:szCs w:val="18"/>
          <w:color w:val="auto"/>
        </w:rPr>
      </w:pPr>
      <w:r>
        <w:rPr>
          <w:rFonts w:ascii="Arial" w:cs="Arial" w:eastAsia="Arial" w:hAnsi="Arial"/>
          <w:sz w:val="18"/>
          <w:szCs w:val="18"/>
          <w:u w:val="single" w:color="auto"/>
          <w:color w:val="auto"/>
        </w:rPr>
        <w:t>Administration with Respect to Covered Employees</w:t>
      </w:r>
      <w:r>
        <w:rPr>
          <w:rFonts w:ascii="Arial" w:cs="Arial" w:eastAsia="Arial" w:hAnsi="Arial"/>
          <w:sz w:val="18"/>
          <w:szCs w:val="18"/>
          <w:color w:val="auto"/>
        </w:rPr>
        <w:t>. Notwithstanding the foregoing, grants of Awards to any Covered Employee intended to qualify as Performance-Based Compensation shall be made only by a Committee (or subcommittee of a Committee) which is comprised solely of two or more Directors eligible to serve on a committee making Awards intended to qualify as Performance-Based Compensation. In the case of such Awards granted to Covered Employees, references to the “Administrator” or to a “Committee” shall be deemed to be references to such Committee or subcommittee.</w:t>
      </w:r>
    </w:p>
    <w:p>
      <w:pPr>
        <w:spacing w:after="0" w:line="188" w:lineRule="exact"/>
        <w:rPr>
          <w:rFonts w:ascii="Arial" w:cs="Arial" w:eastAsia="Arial" w:hAnsi="Arial"/>
          <w:sz w:val="18"/>
          <w:szCs w:val="18"/>
          <w:color w:val="auto"/>
        </w:rPr>
      </w:pPr>
    </w:p>
    <w:p>
      <w:pPr>
        <w:ind w:firstLine="1953"/>
        <w:spacing w:after="0" w:line="324" w:lineRule="auto"/>
        <w:tabs>
          <w:tab w:leader="none" w:pos="2853" w:val="left"/>
        </w:tabs>
        <w:numPr>
          <w:ilvl w:val="1"/>
          <w:numId w:val="35"/>
        </w:numPr>
        <w:rPr>
          <w:rFonts w:ascii="Arial" w:cs="Arial" w:eastAsia="Arial" w:hAnsi="Arial"/>
          <w:sz w:val="18"/>
          <w:szCs w:val="18"/>
          <w:color w:val="auto"/>
        </w:rPr>
      </w:pPr>
      <w:r>
        <w:rPr>
          <w:rFonts w:ascii="Arial" w:cs="Arial" w:eastAsia="Arial" w:hAnsi="Arial"/>
          <w:sz w:val="18"/>
          <w:szCs w:val="18"/>
          <w:u w:val="single" w:color="auto"/>
          <w:color w:val="auto"/>
        </w:rPr>
        <w:t>Administration Errors</w:t>
      </w:r>
      <w:r>
        <w:rPr>
          <w:rFonts w:ascii="Arial" w:cs="Arial" w:eastAsia="Arial" w:hAnsi="Arial"/>
          <w:sz w:val="18"/>
          <w:szCs w:val="18"/>
          <w:color w:val="auto"/>
        </w:rPr>
        <w:t>. In the event an Award is granted in a manner inconsistent with the provisions of this subsection (a), such Award shall be presumptively valid as of its grant date to the extent permitted by the Applicable Laws.</w:t>
      </w:r>
    </w:p>
    <w:p>
      <w:pPr>
        <w:spacing w:after="0" w:line="170" w:lineRule="exact"/>
        <w:rPr>
          <w:rFonts w:ascii="Arial" w:cs="Arial" w:eastAsia="Arial" w:hAnsi="Arial"/>
          <w:sz w:val="18"/>
          <w:szCs w:val="18"/>
          <w:color w:val="auto"/>
        </w:rPr>
      </w:pPr>
    </w:p>
    <w:p>
      <w:pPr>
        <w:ind w:firstLine="1305"/>
        <w:spacing w:after="0" w:line="357" w:lineRule="auto"/>
        <w:tabs>
          <w:tab w:leader="none" w:pos="2155" w:val="left"/>
        </w:tabs>
        <w:numPr>
          <w:ilvl w:val="0"/>
          <w:numId w:val="36"/>
        </w:numPr>
        <w:rPr>
          <w:rFonts w:ascii="Arial" w:cs="Arial" w:eastAsia="Arial" w:hAnsi="Arial"/>
          <w:sz w:val="17"/>
          <w:szCs w:val="17"/>
          <w:color w:val="auto"/>
        </w:rPr>
      </w:pPr>
      <w:r>
        <w:rPr>
          <w:rFonts w:ascii="Arial" w:cs="Arial" w:eastAsia="Arial" w:hAnsi="Arial"/>
          <w:sz w:val="17"/>
          <w:szCs w:val="17"/>
          <w:u w:val="single" w:color="auto"/>
          <w:color w:val="auto"/>
        </w:rPr>
        <w:t>Powers of the Administrator</w:t>
      </w:r>
      <w:r>
        <w:rPr>
          <w:rFonts w:ascii="Arial" w:cs="Arial" w:eastAsia="Arial" w:hAnsi="Arial"/>
          <w:sz w:val="17"/>
          <w:szCs w:val="17"/>
          <w:color w:val="auto"/>
        </w:rPr>
        <w:t>. Subject to Applicable Laws and the provisions of the Plan (including any other powers given to the Administrator hereunder), and except as otherwise provided by the Board, the Administrator shall have the authority, in its discretion:</w:t>
      </w:r>
    </w:p>
    <w:p>
      <w:pPr>
        <w:spacing w:after="0" w:line="147" w:lineRule="exact"/>
        <w:rPr>
          <w:rFonts w:ascii="Arial" w:cs="Arial" w:eastAsia="Arial" w:hAnsi="Arial"/>
          <w:sz w:val="17"/>
          <w:szCs w:val="17"/>
          <w:color w:val="auto"/>
        </w:rPr>
      </w:pPr>
    </w:p>
    <w:p>
      <w:pPr>
        <w:ind w:left="2780" w:hanging="827"/>
        <w:spacing w:after="0"/>
        <w:tabs>
          <w:tab w:leader="none" w:pos="2780" w:val="left"/>
        </w:tabs>
        <w:numPr>
          <w:ilvl w:val="1"/>
          <w:numId w:val="36"/>
        </w:numPr>
        <w:rPr>
          <w:rFonts w:ascii="Arial" w:cs="Arial" w:eastAsia="Arial" w:hAnsi="Arial"/>
          <w:sz w:val="17"/>
          <w:szCs w:val="17"/>
          <w:color w:val="auto"/>
        </w:rPr>
      </w:pPr>
      <w:r>
        <w:rPr>
          <w:rFonts w:ascii="Arial" w:cs="Arial" w:eastAsia="Arial" w:hAnsi="Arial"/>
          <w:sz w:val="17"/>
          <w:szCs w:val="17"/>
          <w:color w:val="auto"/>
        </w:rPr>
        <w:t>to select the Employees, Directors and Consultants to whom Awards may be granted from time to time hereunder;</w:t>
      </w:r>
    </w:p>
    <w:p>
      <w:pPr>
        <w:spacing w:after="0" w:line="277" w:lineRule="exact"/>
        <w:rPr>
          <w:rFonts w:ascii="Arial" w:cs="Arial" w:eastAsia="Arial" w:hAnsi="Arial"/>
          <w:sz w:val="17"/>
          <w:szCs w:val="17"/>
          <w:color w:val="auto"/>
        </w:rPr>
      </w:pPr>
    </w:p>
    <w:p>
      <w:pPr>
        <w:ind w:left="2820" w:hanging="867"/>
        <w:spacing w:after="0"/>
        <w:tabs>
          <w:tab w:leader="none" w:pos="28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to determine whether and to what extent Awards are granted hereunder;</w:t>
      </w:r>
    </w:p>
    <w:p>
      <w:pPr>
        <w:spacing w:after="0" w:line="265" w:lineRule="exact"/>
        <w:rPr>
          <w:rFonts w:ascii="Arial" w:cs="Arial" w:eastAsia="Arial" w:hAnsi="Arial"/>
          <w:sz w:val="18"/>
          <w:szCs w:val="18"/>
          <w:color w:val="auto"/>
        </w:rPr>
      </w:pPr>
    </w:p>
    <w:p>
      <w:pPr>
        <w:ind w:left="2880" w:hanging="927"/>
        <w:spacing w:after="0"/>
        <w:tabs>
          <w:tab w:leader="none" w:pos="2880" w:val="left"/>
        </w:tabs>
        <w:numPr>
          <w:ilvl w:val="1"/>
          <w:numId w:val="36"/>
        </w:numPr>
        <w:rPr>
          <w:rFonts w:ascii="Arial" w:cs="Arial" w:eastAsia="Arial" w:hAnsi="Arial"/>
          <w:sz w:val="17"/>
          <w:szCs w:val="17"/>
          <w:color w:val="auto"/>
        </w:rPr>
      </w:pPr>
      <w:r>
        <w:rPr>
          <w:rFonts w:ascii="Arial" w:cs="Arial" w:eastAsia="Arial" w:hAnsi="Arial"/>
          <w:sz w:val="17"/>
          <w:szCs w:val="17"/>
          <w:color w:val="auto"/>
        </w:rPr>
        <w:t>to determine the number of Shares or the amount of other consideration to be covered by each Award granted</w:t>
      </w:r>
    </w:p>
    <w:p>
      <w:pPr>
        <w:spacing w:after="0" w:line="61"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hereunder;</w:t>
      </w:r>
    </w:p>
    <w:p>
      <w:pPr>
        <w:spacing w:after="0" w:line="265" w:lineRule="exact"/>
        <w:rPr>
          <w:rFonts w:ascii="Arial" w:cs="Arial" w:eastAsia="Arial" w:hAnsi="Arial"/>
          <w:sz w:val="17"/>
          <w:szCs w:val="17"/>
          <w:color w:val="auto"/>
        </w:rPr>
      </w:pPr>
    </w:p>
    <w:p>
      <w:pPr>
        <w:ind w:left="2860" w:hanging="907"/>
        <w:spacing w:after="0"/>
        <w:tabs>
          <w:tab w:leader="none" w:pos="28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to approve forms of Award Agreements for use under the Plan;</w:t>
      </w:r>
    </w:p>
    <w:p>
      <w:pPr>
        <w:spacing w:after="0" w:line="265" w:lineRule="exact"/>
        <w:rPr>
          <w:rFonts w:ascii="Arial" w:cs="Arial" w:eastAsia="Arial" w:hAnsi="Arial"/>
          <w:sz w:val="18"/>
          <w:szCs w:val="18"/>
          <w:color w:val="auto"/>
        </w:rPr>
      </w:pPr>
    </w:p>
    <w:p>
      <w:pPr>
        <w:ind w:left="2820" w:hanging="867"/>
        <w:spacing w:after="0"/>
        <w:tabs>
          <w:tab w:leader="none" w:pos="28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to determine the terms and conditions of any Award granted hereunder;</w:t>
      </w:r>
    </w:p>
    <w:p>
      <w:pPr>
        <w:spacing w:after="0" w:line="265" w:lineRule="exact"/>
        <w:rPr>
          <w:rFonts w:ascii="Arial" w:cs="Arial" w:eastAsia="Arial" w:hAnsi="Arial"/>
          <w:sz w:val="18"/>
          <w:szCs w:val="18"/>
          <w:color w:val="auto"/>
        </w:rPr>
      </w:pPr>
    </w:p>
    <w:p>
      <w:pPr>
        <w:jc w:val="both"/>
        <w:ind w:firstLine="1953"/>
        <w:spacing w:after="0" w:line="319" w:lineRule="auto"/>
        <w:tabs>
          <w:tab w:leader="none" w:pos="2853" w:val="left"/>
        </w:tabs>
        <w:numPr>
          <w:ilvl w:val="1"/>
          <w:numId w:val="36"/>
        </w:numPr>
        <w:rPr>
          <w:rFonts w:ascii="Arial" w:cs="Arial" w:eastAsia="Arial" w:hAnsi="Arial"/>
          <w:sz w:val="17"/>
          <w:szCs w:val="17"/>
          <w:color w:val="auto"/>
        </w:rPr>
      </w:pPr>
      <w:r>
        <w:rPr>
          <w:rFonts w:ascii="Arial" w:cs="Arial" w:eastAsia="Arial" w:hAnsi="Arial"/>
          <w:sz w:val="17"/>
          <w:szCs w:val="17"/>
          <w:color w:val="auto"/>
        </w:rPr>
        <w:t>to amend the terms of any outstanding Award granted under the Plan, provided that (A) any amendment that would adversely affect the Grantee’s rights under an outstanding Award shall not be made without the Grantee’s written consent; provided, however, that an amendment or modification that may cause an Incentive Stock Option to become a Non-Qualified Stock Option shall not be treated as adversely affecting the rights of the Grantee, (B) the reduction of the exercise price of any Option awarded under the Plan and the base appreciation amount of any SAR awarded under the Plan shall be subject to stockholder approval and (C) canceling an Option or SAR at a time when its exercise price or base appreciation amount (as applicable) exceeds the Fair Market Value of the underlying Shares, in exchange for cash or for another Option, SAR, Restricted Stock or other Award shall be subject to stockholder approval, unless the cancellation and exchange occurs in connection with a Corporate Transaction or Change in Control. Notwithstanding the foregoing, canceling an Option or SAR in exchange for another Option, SAR, Restricted Stock or other Award with an exercise price, purchase price or base appreciation amount (as applicable) that is equal to or greater than the exercise price or base appreciation amount (as applicable) of the original Option or SAR shall not be subject to stockholder approval;</w:t>
      </w:r>
    </w:p>
    <w:p>
      <w:pPr>
        <w:spacing w:after="0" w:line="183" w:lineRule="exact"/>
        <w:rPr>
          <w:rFonts w:ascii="Arial" w:cs="Arial" w:eastAsia="Arial" w:hAnsi="Arial"/>
          <w:sz w:val="17"/>
          <w:szCs w:val="17"/>
          <w:color w:val="auto"/>
        </w:rPr>
      </w:pPr>
    </w:p>
    <w:p>
      <w:pPr>
        <w:ind w:firstLine="1953"/>
        <w:spacing w:after="0" w:line="324" w:lineRule="auto"/>
        <w:tabs>
          <w:tab w:leader="none" w:pos="2903" w:val="left"/>
        </w:tabs>
        <w:numPr>
          <w:ilvl w:val="1"/>
          <w:numId w:val="36"/>
        </w:numPr>
        <w:rPr>
          <w:rFonts w:ascii="Arial" w:cs="Arial" w:eastAsia="Arial" w:hAnsi="Arial"/>
          <w:sz w:val="18"/>
          <w:szCs w:val="18"/>
          <w:color w:val="auto"/>
        </w:rPr>
      </w:pPr>
      <w:r>
        <w:rPr>
          <w:rFonts w:ascii="Arial" w:cs="Arial" w:eastAsia="Arial" w:hAnsi="Arial"/>
          <w:sz w:val="18"/>
          <w:szCs w:val="18"/>
          <w:color w:val="auto"/>
        </w:rPr>
        <w:t>to construe and interpret the terms of the Plan and Awards, including without limitation, any notice of award or Award Agreement, granted pursuant to the Plan;</w:t>
      </w:r>
    </w:p>
    <w:p>
      <w:pPr>
        <w:spacing w:after="0" w:line="170" w:lineRule="exact"/>
        <w:rPr>
          <w:rFonts w:ascii="Arial" w:cs="Arial" w:eastAsia="Arial" w:hAnsi="Arial"/>
          <w:sz w:val="18"/>
          <w:szCs w:val="18"/>
          <w:color w:val="auto"/>
        </w:rPr>
      </w:pPr>
    </w:p>
    <w:p>
      <w:pPr>
        <w:jc w:val="both"/>
        <w:ind w:firstLine="1953"/>
        <w:spacing w:after="0" w:line="311" w:lineRule="auto"/>
        <w:tabs>
          <w:tab w:leader="none" w:pos="2953" w:val="left"/>
        </w:tabs>
        <w:numPr>
          <w:ilvl w:val="1"/>
          <w:numId w:val="36"/>
        </w:numPr>
        <w:rPr>
          <w:rFonts w:ascii="Arial" w:cs="Arial" w:eastAsia="Arial" w:hAnsi="Arial"/>
          <w:sz w:val="18"/>
          <w:szCs w:val="18"/>
          <w:color w:val="auto"/>
        </w:rPr>
      </w:pPr>
      <w:r>
        <w:rPr>
          <w:rFonts w:ascii="Arial" w:cs="Arial" w:eastAsia="Arial" w:hAnsi="Arial"/>
          <w:sz w:val="18"/>
          <w:szCs w:val="18"/>
          <w:color w:val="auto"/>
        </w:rPr>
        <w:t>to grant Awards to Employees, Directors and Consultants employed outside the United States on such terms and conditions different from those specified in the Plan as may, in the judgment of the Administrator, be necessary or desirable to further the purpose of the Plan; and</w:t>
      </w:r>
    </w:p>
    <w:p>
      <w:pPr>
        <w:sectPr>
          <w:pgSz w:w="11900" w:h="16838" w:orient="portrait"/>
          <w:cols w:equalWidth="0" w:num="1">
            <w:col w:w="11420"/>
          </w:cols>
          <w:pgMar w:left="240" w:top="611" w:right="239" w:bottom="1440" w:gutter="0" w:footer="0" w:header="0"/>
        </w:sectPr>
      </w:pPr>
    </w:p>
    <w:bookmarkStart w:id="49" w:name="page50"/>
    <w:bookmarkEnd w:id="49"/>
    <w:p>
      <w:pPr>
        <w:ind w:left="2860" w:hanging="907"/>
        <w:spacing w:after="0"/>
        <w:tabs>
          <w:tab w:leader="none" w:pos="28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to take such other action, not inconsistent with the terms of the Plan, as the Administrator deems appropriate.</w:t>
      </w:r>
    </w:p>
    <w:p>
      <w:pPr>
        <w:spacing w:after="0" w:line="25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express grant in the Plan of any specific power to the Administrator shall not be construed as limiting any power or authority of the Administrator, provided that the Administrator may not exercise any right or power reserved to the Board. Any decision made, or action taken, by the Administrator in connection with the administration of this Plan shall be final, conclusive and binding on all persons having an interest in the Plan.</w:t>
      </w:r>
    </w:p>
    <w:p>
      <w:pPr>
        <w:spacing w:after="0" w:line="193" w:lineRule="exact"/>
        <w:rPr>
          <w:sz w:val="20"/>
          <w:szCs w:val="20"/>
          <w:color w:val="auto"/>
        </w:rPr>
      </w:pPr>
    </w:p>
    <w:p>
      <w:pPr>
        <w:jc w:val="both"/>
        <w:ind w:firstLine="1305"/>
        <w:spacing w:after="0" w:line="341" w:lineRule="auto"/>
        <w:tabs>
          <w:tab w:leader="none" w:pos="2144" w:val="left"/>
        </w:tabs>
        <w:numPr>
          <w:ilvl w:val="1"/>
          <w:numId w:val="38"/>
        </w:numPr>
        <w:rPr>
          <w:rFonts w:ascii="Arial" w:cs="Arial" w:eastAsia="Arial" w:hAnsi="Arial"/>
          <w:sz w:val="16"/>
          <w:szCs w:val="16"/>
          <w:color w:val="auto"/>
        </w:rPr>
      </w:pPr>
      <w:r>
        <w:rPr>
          <w:rFonts w:ascii="Arial" w:cs="Arial" w:eastAsia="Arial" w:hAnsi="Arial"/>
          <w:sz w:val="16"/>
          <w:szCs w:val="16"/>
          <w:u w:val="single" w:color="auto"/>
          <w:color w:val="auto"/>
        </w:rPr>
        <w:t>Indemnification</w:t>
      </w:r>
      <w:r>
        <w:rPr>
          <w:rFonts w:ascii="Arial" w:cs="Arial" w:eastAsia="Arial" w:hAnsi="Arial"/>
          <w:sz w:val="16"/>
          <w:szCs w:val="16"/>
          <w:color w:val="auto"/>
        </w:rPr>
        <w:t>. In addition to such other rights of indemnification as they may have as members of the Board or as Officers or Employees of the Company or a Related Entity, members of the Board and any Officers or Employees of the Company or a Related Entity to whom authority to act for the Board, the Administrator or the Company is delegated shall be defended and indemnified by the Company to the extent permitted by law on an after-tax basis against all reasonable expenses, including attorneys’ fees, actually and necessarily incurred in connection with the defense of any claim, investigation, action, suit or proceeding, or in connection with any appeal therein, to which they or any of them may be a party by reason of any action taken or failure to act under or in connection with the Plan, or any Award granted hereunder, and against all amounts paid by them in settlement thereof (provided such settlement is approved by the Company) or paid by them in satisfaction of a judgment in any such claim, investigation, action, suit or proceeding, except in relation to matters as to which it shall be adjudged in such claim, investigation, action, suit or proceeding that such person is liable for gross negligence, bad faith or intentional misconduct; provided, however, that within thirty (30) days after the institution of such claim, investigation, action, suit or proceeding, such person shall offer to the Company, in writing, the opportunity at the Company’s expense to defend the same.</w:t>
      </w:r>
    </w:p>
    <w:p>
      <w:pPr>
        <w:spacing w:after="0" w:line="167" w:lineRule="exact"/>
        <w:rPr>
          <w:rFonts w:ascii="Arial" w:cs="Arial" w:eastAsia="Arial" w:hAnsi="Arial"/>
          <w:sz w:val="16"/>
          <w:szCs w:val="16"/>
          <w:color w:val="auto"/>
        </w:rPr>
      </w:pPr>
    </w:p>
    <w:p>
      <w:pPr>
        <w:jc w:val="both"/>
        <w:ind w:firstLine="656"/>
        <w:spacing w:after="0" w:line="306" w:lineRule="auto"/>
        <w:tabs>
          <w:tab w:leader="none" w:pos="1431"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Eligibility</w:t>
      </w:r>
      <w:r>
        <w:rPr>
          <w:rFonts w:ascii="Arial" w:cs="Arial" w:eastAsia="Arial" w:hAnsi="Arial"/>
          <w:sz w:val="18"/>
          <w:szCs w:val="18"/>
          <w:color w:val="auto"/>
        </w:rPr>
        <w:t>. Awards other than Incentive Stock Options may be granted to Employees, Directors and Consultants. Incentive Stock Options may be granted only to Employees of the Company or a Parent or a Subsidiary of the Company. An Employee, Director or Consultant who has been granted an Award may, if otherwise eligible, be granted additional Awards. Awards may be granted to such Employees, Directors or Consultants who are residing in non-U.S. jurisdictions as the Administrator may determine from time to time.</w:t>
      </w:r>
    </w:p>
    <w:p>
      <w:pPr>
        <w:spacing w:after="0" w:line="186" w:lineRule="exact"/>
        <w:rPr>
          <w:rFonts w:ascii="Arial" w:cs="Arial" w:eastAsia="Arial" w:hAnsi="Arial"/>
          <w:sz w:val="18"/>
          <w:szCs w:val="18"/>
          <w:color w:val="auto"/>
        </w:rPr>
      </w:pPr>
    </w:p>
    <w:p>
      <w:pPr>
        <w:ind w:left="1440" w:hanging="784"/>
        <w:spacing w:after="0"/>
        <w:tabs>
          <w:tab w:leader="none" w:pos="1440"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Terms and Conditions of Awards</w:t>
      </w:r>
      <w:r>
        <w:rPr>
          <w:rFonts w:ascii="Arial" w:cs="Arial" w:eastAsia="Arial" w:hAnsi="Arial"/>
          <w:sz w:val="18"/>
          <w:szCs w:val="18"/>
          <w:color w:val="auto"/>
        </w:rPr>
        <w:t>.</w:t>
      </w:r>
    </w:p>
    <w:p>
      <w:pPr>
        <w:spacing w:after="0" w:line="265" w:lineRule="exact"/>
        <w:rPr>
          <w:rFonts w:ascii="Arial" w:cs="Arial" w:eastAsia="Arial" w:hAnsi="Arial"/>
          <w:sz w:val="18"/>
          <w:szCs w:val="18"/>
          <w:color w:val="auto"/>
        </w:rPr>
      </w:pPr>
    </w:p>
    <w:p>
      <w:pPr>
        <w:jc w:val="both"/>
        <w:ind w:firstLine="1305"/>
        <w:spacing w:after="0" w:line="302" w:lineRule="auto"/>
        <w:tabs>
          <w:tab w:leader="none" w:pos="2144" w:val="left"/>
        </w:tabs>
        <w:numPr>
          <w:ilvl w:val="1"/>
          <w:numId w:val="39"/>
        </w:numPr>
        <w:rPr>
          <w:rFonts w:ascii="Arial" w:cs="Arial" w:eastAsia="Arial" w:hAnsi="Arial"/>
          <w:sz w:val="18"/>
          <w:szCs w:val="18"/>
          <w:color w:val="auto"/>
        </w:rPr>
      </w:pPr>
      <w:r>
        <w:rPr>
          <w:rFonts w:ascii="Arial" w:cs="Arial" w:eastAsia="Arial" w:hAnsi="Arial"/>
          <w:sz w:val="18"/>
          <w:szCs w:val="18"/>
          <w:u w:val="single" w:color="auto"/>
          <w:color w:val="auto"/>
        </w:rPr>
        <w:t>Types of Awards</w:t>
      </w:r>
      <w:r>
        <w:rPr>
          <w:rFonts w:ascii="Arial" w:cs="Arial" w:eastAsia="Arial" w:hAnsi="Arial"/>
          <w:sz w:val="18"/>
          <w:szCs w:val="18"/>
          <w:color w:val="auto"/>
        </w:rPr>
        <w:t>. The Administrator is authorized under the Plan to award any type of arrangement to an Employee, Director or Consultant that is not inconsistent with the provisions of the Plan and that by its terms involves or might involve the issuance of (i) Shares, (ii) cash or (iii) an Option, a SAR, or similar right with a fixed or variable price related to the Fair Market Value of the Shares and with an exercise or conversion privilege related to the passage of time, the occurrence of one or more events, or the satisfaction of performance criteria or other conditions. Such Awards include, without limitation, Options, SARs, sales or bonuses of Restricted Stock, Restricted Stock Units or Dividend Equivalent Rights, and an Award may consist of one such security or benefit, or two (2) or more of them in any combination or alternative; provided, however, that a Dividend Equivalent Right may not be granted or payable with respect to an Option or SAR.</w:t>
      </w:r>
    </w:p>
    <w:p>
      <w:pPr>
        <w:spacing w:after="0" w:line="189" w:lineRule="exact"/>
        <w:rPr>
          <w:rFonts w:ascii="Arial" w:cs="Arial" w:eastAsia="Arial" w:hAnsi="Arial"/>
          <w:sz w:val="18"/>
          <w:szCs w:val="18"/>
          <w:color w:val="auto"/>
        </w:rPr>
      </w:pPr>
    </w:p>
    <w:p>
      <w:pPr>
        <w:jc w:val="both"/>
        <w:ind w:firstLine="1305"/>
        <w:spacing w:after="0" w:line="342" w:lineRule="auto"/>
        <w:tabs>
          <w:tab w:leader="none" w:pos="2155" w:val="left"/>
        </w:tabs>
        <w:numPr>
          <w:ilvl w:val="1"/>
          <w:numId w:val="39"/>
        </w:numPr>
        <w:rPr>
          <w:rFonts w:ascii="Arial" w:cs="Arial" w:eastAsia="Arial" w:hAnsi="Arial"/>
          <w:sz w:val="16"/>
          <w:szCs w:val="16"/>
          <w:color w:val="auto"/>
        </w:rPr>
      </w:pPr>
      <w:r>
        <w:rPr>
          <w:rFonts w:ascii="Arial" w:cs="Arial" w:eastAsia="Arial" w:hAnsi="Arial"/>
          <w:sz w:val="16"/>
          <w:szCs w:val="16"/>
          <w:u w:val="single" w:color="auto"/>
          <w:color w:val="auto"/>
        </w:rPr>
        <w:t>Designation of Award</w:t>
      </w:r>
      <w:r>
        <w:rPr>
          <w:rFonts w:ascii="Arial" w:cs="Arial" w:eastAsia="Arial" w:hAnsi="Arial"/>
          <w:sz w:val="16"/>
          <w:szCs w:val="16"/>
          <w:color w:val="auto"/>
        </w:rPr>
        <w:t>. Each Award shall be designated in the Award Agreement. In the case of an Option, the Option shall be designated as either an Incentive Stock Option or a Non-Qualified Stock Option. However, notwithstanding such designation, an Option will qualify as an Incentive Stock Option under the Code only to the extent the $100,000 dollar limitation of Section 422(d) of the Code is not exceeded. The $100,000 limitation of Section 422(d) of the Code is calculated based on the aggregate Fair Market Value of the Shares subject to Options designated as Incentive Stock Options which become exercisable for the first time by a Grantee during any calendar year (under all plans of the Company or any Parent or Subsidiary of the Company). For purposes of this calculation, Incentive Stock Options shall be taken into account in the order in which they were granted, and the Fair Market Value of the Shares shall be determined as of the grant date of the relevant Option. In the event that the Code or the regulations promulgated thereunder are amended after the Effective Date to provide for a different limit on the Fair Market Value of Shares permitted to be subject to Incentive Stock Options, then such different limit will be automatically incorporated herein and will apply to any Options granted after the effective date of such amendment.</w:t>
      </w:r>
    </w:p>
    <w:p>
      <w:pPr>
        <w:spacing w:after="0" w:line="165" w:lineRule="exact"/>
        <w:rPr>
          <w:rFonts w:ascii="Arial" w:cs="Arial" w:eastAsia="Arial" w:hAnsi="Arial"/>
          <w:sz w:val="16"/>
          <w:szCs w:val="16"/>
          <w:color w:val="auto"/>
        </w:rPr>
      </w:pPr>
    </w:p>
    <w:p>
      <w:pPr>
        <w:ind w:left="2160" w:hanging="855"/>
        <w:spacing w:after="0"/>
        <w:tabs>
          <w:tab w:leader="none" w:pos="2160" w:val="left"/>
        </w:tabs>
        <w:numPr>
          <w:ilvl w:val="1"/>
          <w:numId w:val="39"/>
        </w:numPr>
        <w:rPr>
          <w:rFonts w:ascii="Arial" w:cs="Arial" w:eastAsia="Arial" w:hAnsi="Arial"/>
          <w:sz w:val="18"/>
          <w:szCs w:val="18"/>
          <w:color w:val="auto"/>
        </w:rPr>
      </w:pPr>
      <w:r>
        <w:rPr>
          <w:rFonts w:ascii="Arial" w:cs="Arial" w:eastAsia="Arial" w:hAnsi="Arial"/>
          <w:sz w:val="18"/>
          <w:szCs w:val="18"/>
          <w:u w:val="single" w:color="auto"/>
          <w:color w:val="auto"/>
        </w:rPr>
        <w:t>Conditions of Award</w:t>
      </w:r>
      <w:r>
        <w:rPr>
          <w:rFonts w:ascii="Arial" w:cs="Arial" w:eastAsia="Arial" w:hAnsi="Arial"/>
          <w:sz w:val="18"/>
          <w:szCs w:val="18"/>
          <w:color w:val="auto"/>
        </w:rPr>
        <w:t>.</w:t>
      </w:r>
    </w:p>
    <w:p>
      <w:pPr>
        <w:spacing w:after="0" w:line="265" w:lineRule="exact"/>
        <w:rPr>
          <w:rFonts w:ascii="Arial" w:cs="Arial" w:eastAsia="Arial" w:hAnsi="Arial"/>
          <w:sz w:val="18"/>
          <w:szCs w:val="18"/>
          <w:color w:val="auto"/>
        </w:rPr>
      </w:pPr>
    </w:p>
    <w:p>
      <w:pPr>
        <w:jc w:val="both"/>
        <w:ind w:firstLine="1953"/>
        <w:spacing w:after="0" w:line="349" w:lineRule="auto"/>
        <w:tabs>
          <w:tab w:leader="none" w:pos="2763" w:val="left"/>
        </w:tabs>
        <w:numPr>
          <w:ilvl w:val="2"/>
          <w:numId w:val="39"/>
        </w:numPr>
        <w:rPr>
          <w:rFonts w:ascii="Arial" w:cs="Arial" w:eastAsia="Arial" w:hAnsi="Arial"/>
          <w:sz w:val="16"/>
          <w:szCs w:val="16"/>
          <w:color w:val="auto"/>
        </w:rPr>
      </w:pPr>
      <w:r>
        <w:rPr>
          <w:rFonts w:ascii="Arial" w:cs="Arial" w:eastAsia="Arial" w:hAnsi="Arial"/>
          <w:sz w:val="16"/>
          <w:szCs w:val="16"/>
          <w:color w:val="auto"/>
        </w:rPr>
        <w:t>Subject to the terms of the Plan, the Administrator shall determine the provisions, terms and conditions of each Award including, but not limited to, the Award vesting schedule, repurchase provisions, rights of first refusal, forfeiture provisions, form of payment (cash, Shares or other consideration) upon settlement of the Award, payment contingencies, and satisfaction of any performance criteria. The performance criteria established by the Administrator may be based on any one of, or combination of, the following: (i) change in share price; (ii) operating earnings, operating profit margins, earnings before interest, taxes, depreciation, or amortization, net earnings, earnings per share (basic or diluted) or other measure of earnings;</w:t>
      </w:r>
    </w:p>
    <w:p>
      <w:pPr>
        <w:sectPr>
          <w:pgSz w:w="11900" w:h="16838" w:orient="portrait"/>
          <w:cols w:equalWidth="0" w:num="1">
            <w:col w:w="11420"/>
          </w:cols>
          <w:pgMar w:left="240" w:top="827" w:right="239" w:bottom="1440" w:gutter="0" w:footer="0" w:header="0"/>
        </w:sectPr>
      </w:pPr>
    </w:p>
    <w:bookmarkStart w:id="50" w:name="page51"/>
    <w:bookmarkEnd w:id="50"/>
    <w:p>
      <w:pPr>
        <w:jc w:val="both"/>
        <w:ind w:left="-8" w:firstLine="8"/>
        <w:spacing w:after="0" w:line="334" w:lineRule="auto"/>
        <w:tabs>
          <w:tab w:leader="none" w:pos="312" w:val="left"/>
        </w:tabs>
        <w:numPr>
          <w:ilvl w:val="0"/>
          <w:numId w:val="40"/>
        </w:numPr>
        <w:rPr>
          <w:rFonts w:ascii="Arial" w:cs="Arial" w:eastAsia="Arial" w:hAnsi="Arial"/>
          <w:sz w:val="16"/>
          <w:szCs w:val="16"/>
          <w:color w:val="auto"/>
        </w:rPr>
      </w:pPr>
      <w:r>
        <w:rPr>
          <w:rFonts w:ascii="Arial" w:cs="Arial" w:eastAsia="Arial" w:hAnsi="Arial"/>
          <w:sz w:val="16"/>
          <w:szCs w:val="16"/>
          <w:color w:val="auto"/>
        </w:rPr>
        <w:t>total stockholder return; (iv) operating margin; (v) gross margin; (vi) balance sheet performance, including debt, long- or short-term, inventory, accounts payable or receivable, working capital, or shareholders’ equity; (vii) return measures, including return on invested capital, sales, assets or equity; (viii) days’ sales outstanding; (ix) operating income; (x) net operating income; (xi) pre-tax profit; (xii) cash flow, including cash flow from operations, investing, or financing activities, before or after dividends, investments or capital expenditures; (xiii) revenue; (xiv) expenses, including cost of goods sold, operating expenses, marketing and administrative expense, research and development, restructuring or other special or unusual items, interest, tax expense or other measures of savings; (xv) earnings before interest, taxes and depreciation; (xvi) economic value created or added; (xvii) market share; (xviii) sales or net sales; (xix) sales or net sales of particular products; (xx) gross profits; (xxi) net income; (xxii) inventory turns; (xxiii) revenue per employee; and</w:t>
      </w:r>
    </w:p>
    <w:p>
      <w:pPr>
        <w:spacing w:after="0" w:line="3" w:lineRule="exact"/>
        <w:rPr>
          <w:rFonts w:ascii="Arial" w:cs="Arial" w:eastAsia="Arial" w:hAnsi="Arial"/>
          <w:sz w:val="16"/>
          <w:szCs w:val="16"/>
          <w:color w:val="auto"/>
        </w:rPr>
      </w:pPr>
    </w:p>
    <w:p>
      <w:pPr>
        <w:jc w:val="both"/>
        <w:ind w:left="-8" w:firstLine="8"/>
        <w:spacing w:after="0" w:line="342" w:lineRule="auto"/>
        <w:tabs>
          <w:tab w:leader="none" w:pos="482" w:val="left"/>
        </w:tabs>
        <w:numPr>
          <w:ilvl w:val="0"/>
          <w:numId w:val="41"/>
        </w:numPr>
        <w:rPr>
          <w:rFonts w:ascii="Arial" w:cs="Arial" w:eastAsia="Arial" w:hAnsi="Arial"/>
          <w:sz w:val="16"/>
          <w:szCs w:val="16"/>
          <w:color w:val="auto"/>
        </w:rPr>
      </w:pPr>
      <w:r>
        <w:rPr>
          <w:rFonts w:ascii="Arial" w:cs="Arial" w:eastAsia="Arial" w:hAnsi="Arial"/>
          <w:sz w:val="16"/>
          <w:szCs w:val="16"/>
          <w:color w:val="auto"/>
        </w:rPr>
        <w:t>implementation or completion of critical projects involving acquisitions, divestitures, process improvements, product or production quality, attainment of other strategic objectives relating to market penetration, geographic expansion, product development, regulatory or quality performance, innovation or research goals. The performance criteria may be applicable to the Company, Related Entities and/or any individual business units of the Company or any Related Entity. Partial achievement of the specified criteria may result in a payment or vesting corresponding to the degree of achievement as specified in the Award Agreement. In addition, the performance criteria shall be calculated in accordance with generally accepted accounting principles, but excluding the effect (whether positive or negative) of any change in accounting standards and any extraordinary, unusual or nonrecurring item, as determined by the Administrator, occurring after the establishment of the performance criteria applicable to the Award intended to be performance-based compensation. Each such adjustment, if any, shall be made solely for the purpose of providing a consistent basis from period to period for the calculation of performance criteria in order to prevent the dilution or enlargement of the Grantee’s rights with respect to an Award intended to be performance-based compensation.</w:t>
      </w:r>
    </w:p>
    <w:p>
      <w:pPr>
        <w:spacing w:after="0" w:line="165" w:lineRule="exact"/>
        <w:rPr>
          <w:rFonts w:ascii="Arial" w:cs="Arial" w:eastAsia="Arial" w:hAnsi="Arial"/>
          <w:sz w:val="16"/>
          <w:szCs w:val="16"/>
          <w:color w:val="auto"/>
        </w:rPr>
      </w:pPr>
    </w:p>
    <w:p>
      <w:pPr>
        <w:jc w:val="both"/>
        <w:ind w:left="-8" w:firstLine="1953"/>
        <w:spacing w:after="0" w:line="334" w:lineRule="auto"/>
        <w:tabs>
          <w:tab w:leader="none" w:pos="2805" w:val="left"/>
        </w:tabs>
        <w:numPr>
          <w:ilvl w:val="2"/>
          <w:numId w:val="41"/>
        </w:numPr>
        <w:rPr>
          <w:rFonts w:ascii="Arial" w:cs="Arial" w:eastAsia="Arial" w:hAnsi="Arial"/>
          <w:sz w:val="16"/>
          <w:szCs w:val="16"/>
          <w:color w:val="auto"/>
        </w:rPr>
      </w:pPr>
      <w:r>
        <w:rPr>
          <w:rFonts w:ascii="Arial" w:cs="Arial" w:eastAsia="Arial" w:hAnsi="Arial"/>
          <w:sz w:val="16"/>
          <w:szCs w:val="16"/>
          <w:color w:val="auto"/>
        </w:rPr>
        <w:t>The Administrator, in its sole discretion, may provide for inclusion or exclusion of the impact of an event or occurrence which the Administrator determines should appropriately be excluded, including (i) restructurings, discontinued operations, special items, and other unusual, infrequently occurring or non-recurring charges, events or items; (ii) asset sales or write-downs; (iii) litigation or claim judgments or settlements; (iv) acquisitions or divestitures; (v) reorganization or change in the corporate structure or capital structure of the Company; (vi) an event either not directly related to the operations of the Company, Subsidiary, division, business segment or business unit or not within the reasonable control of management; (vii) foreign exchange gains and losses; (viii) a change in the fiscal year of the Company; (ix) the refinancing or repurchase of bank loans or debt securities; (x) unbudgeted capital expenditures; (xi) the issuance or repurchase of equity securities and other changes in the number of outstanding shares; (xii) conversion of some or all of convertible securities to Common Stock; (xiii) any business interruption event; (xiv) changes in pricing; (xv) changes in foreign currency exchange rates; (xvi) the cumulative effects of tax or accounting changes in accordance with U.S. generally accepted accounting principles; (xvii) gains and losses that are treated as unusual in nature or that occur infrequently under Accounting Standards Codification Topic 225; or</w:t>
      </w:r>
    </w:p>
    <w:p>
      <w:pPr>
        <w:spacing w:after="0" w:line="5" w:lineRule="exact"/>
        <w:rPr>
          <w:rFonts w:ascii="Arial" w:cs="Arial" w:eastAsia="Arial" w:hAnsi="Arial"/>
          <w:sz w:val="16"/>
          <w:szCs w:val="16"/>
          <w:color w:val="auto"/>
        </w:rPr>
      </w:pPr>
    </w:p>
    <w:p>
      <w:pPr>
        <w:ind w:left="492" w:hanging="492"/>
        <w:spacing w:after="0"/>
        <w:tabs>
          <w:tab w:leader="none" w:pos="492"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effect of changes in other laws or regulatory rules affecting reported results.</w:t>
      </w:r>
    </w:p>
    <w:p>
      <w:pPr>
        <w:spacing w:after="0" w:line="265" w:lineRule="exact"/>
        <w:rPr>
          <w:rFonts w:ascii="Arial" w:cs="Arial" w:eastAsia="Arial" w:hAnsi="Arial"/>
          <w:sz w:val="18"/>
          <w:szCs w:val="18"/>
          <w:color w:val="auto"/>
        </w:rPr>
      </w:pPr>
    </w:p>
    <w:p>
      <w:pPr>
        <w:jc w:val="both"/>
        <w:ind w:left="-8" w:firstLine="1305"/>
        <w:spacing w:after="0" w:line="306" w:lineRule="auto"/>
        <w:tabs>
          <w:tab w:leader="none" w:pos="2147" w:val="left"/>
        </w:tabs>
        <w:numPr>
          <w:ilvl w:val="1"/>
          <w:numId w:val="42"/>
        </w:numPr>
        <w:rPr>
          <w:rFonts w:ascii="Arial" w:cs="Arial" w:eastAsia="Arial" w:hAnsi="Arial"/>
          <w:sz w:val="18"/>
          <w:szCs w:val="18"/>
          <w:color w:val="auto"/>
        </w:rPr>
      </w:pPr>
      <w:r>
        <w:rPr>
          <w:rFonts w:ascii="Arial" w:cs="Arial" w:eastAsia="Arial" w:hAnsi="Arial"/>
          <w:sz w:val="18"/>
          <w:szCs w:val="18"/>
          <w:u w:val="single" w:color="auto"/>
          <w:color w:val="auto"/>
        </w:rPr>
        <w:t>Acquisitions and Other Transactions</w:t>
      </w:r>
      <w:r>
        <w:rPr>
          <w:rFonts w:ascii="Arial" w:cs="Arial" w:eastAsia="Arial" w:hAnsi="Arial"/>
          <w:sz w:val="18"/>
          <w:szCs w:val="18"/>
          <w:color w:val="auto"/>
        </w:rPr>
        <w:t>. The Administrator may issue Awards under the Plan in settlement, assumption or substitution for, outstanding awards or obligations to grant future awards in connection with the Company or a Related Entity acquiring another entity, an interest in another entity or an additional interest in a Related Entity whether by merger, stock purchase, asset purchase or other form of transaction, and any Shares subject to such Awards will not count against the Share Limit.</w:t>
      </w:r>
    </w:p>
    <w:p>
      <w:pPr>
        <w:spacing w:after="0" w:line="186" w:lineRule="exact"/>
        <w:rPr>
          <w:rFonts w:ascii="Arial" w:cs="Arial" w:eastAsia="Arial" w:hAnsi="Arial"/>
          <w:sz w:val="18"/>
          <w:szCs w:val="18"/>
          <w:color w:val="auto"/>
        </w:rPr>
      </w:pPr>
    </w:p>
    <w:p>
      <w:pPr>
        <w:jc w:val="both"/>
        <w:ind w:left="-8" w:firstLine="1305"/>
        <w:spacing w:after="0" w:line="302" w:lineRule="auto"/>
        <w:tabs>
          <w:tab w:leader="none" w:pos="2136" w:val="left"/>
        </w:tabs>
        <w:numPr>
          <w:ilvl w:val="1"/>
          <w:numId w:val="42"/>
        </w:numPr>
        <w:rPr>
          <w:rFonts w:ascii="Arial" w:cs="Arial" w:eastAsia="Arial" w:hAnsi="Arial"/>
          <w:sz w:val="18"/>
          <w:szCs w:val="18"/>
          <w:color w:val="auto"/>
        </w:rPr>
      </w:pPr>
      <w:r>
        <w:rPr>
          <w:rFonts w:ascii="Arial" w:cs="Arial" w:eastAsia="Arial" w:hAnsi="Arial"/>
          <w:sz w:val="18"/>
          <w:szCs w:val="18"/>
          <w:u w:val="single" w:color="auto"/>
          <w:color w:val="auto"/>
        </w:rPr>
        <w:t>Deferral of Award Payment</w:t>
      </w:r>
      <w:r>
        <w:rPr>
          <w:rFonts w:ascii="Arial" w:cs="Arial" w:eastAsia="Arial" w:hAnsi="Arial"/>
          <w:sz w:val="18"/>
          <w:szCs w:val="18"/>
          <w:color w:val="auto"/>
        </w:rPr>
        <w:t>. To the extent consistent with Applicable Laws, the Administrator may establish one or more programs under the Plan to permit selected Grantees the opportunity to elect to defer receipt of consideration upon vesting, exercise of an Award, satisfaction of performance criteria, or other event that absent the election would entitle the Grantee to payment or receipt of Shares or other consideration under an Award. The Administrator may establish the election procedures, the timing of such elections, the mechanisms for payments of, and accrual of interest or other earnings, if any, on amounts, Shares or other consideration so deferred, and such other terms, conditions, rules and procedures that the Administrator deems advisable for the administration of any such deferral program.</w:t>
      </w:r>
    </w:p>
    <w:p>
      <w:pPr>
        <w:spacing w:after="0" w:line="192" w:lineRule="exact"/>
        <w:rPr>
          <w:rFonts w:ascii="Arial" w:cs="Arial" w:eastAsia="Arial" w:hAnsi="Arial"/>
          <w:sz w:val="18"/>
          <w:szCs w:val="18"/>
          <w:color w:val="auto"/>
        </w:rPr>
      </w:pPr>
    </w:p>
    <w:p>
      <w:pPr>
        <w:ind w:left="-8" w:firstLine="1305"/>
        <w:spacing w:after="0" w:line="395" w:lineRule="auto"/>
        <w:tabs>
          <w:tab w:leader="none" w:pos="2117" w:val="left"/>
        </w:tabs>
        <w:numPr>
          <w:ilvl w:val="1"/>
          <w:numId w:val="42"/>
        </w:numPr>
        <w:rPr>
          <w:rFonts w:ascii="Arial" w:cs="Arial" w:eastAsia="Arial" w:hAnsi="Arial"/>
          <w:sz w:val="16"/>
          <w:szCs w:val="16"/>
          <w:color w:val="auto"/>
        </w:rPr>
      </w:pPr>
      <w:r>
        <w:rPr>
          <w:rFonts w:ascii="Arial" w:cs="Arial" w:eastAsia="Arial" w:hAnsi="Arial"/>
          <w:sz w:val="16"/>
          <w:szCs w:val="16"/>
          <w:u w:val="single" w:color="auto"/>
          <w:color w:val="auto"/>
        </w:rPr>
        <w:t>Separate Programs</w:t>
      </w:r>
      <w:r>
        <w:rPr>
          <w:rFonts w:ascii="Arial" w:cs="Arial" w:eastAsia="Arial" w:hAnsi="Arial"/>
          <w:sz w:val="16"/>
          <w:szCs w:val="16"/>
          <w:color w:val="auto"/>
        </w:rPr>
        <w:t>. The Administrator may establish one or more separate programs under the Plan for the purpose of issuing particular forms of Awards to one or more classes of Grantees on such terms and conditions as determined by the Administrator from time to time.</w:t>
      </w:r>
    </w:p>
    <w:p>
      <w:pPr>
        <w:spacing w:after="0" w:line="123" w:lineRule="exact"/>
        <w:rPr>
          <w:rFonts w:ascii="Arial" w:cs="Arial" w:eastAsia="Arial" w:hAnsi="Arial"/>
          <w:sz w:val="16"/>
          <w:szCs w:val="16"/>
          <w:color w:val="auto"/>
        </w:rPr>
      </w:pPr>
    </w:p>
    <w:p>
      <w:pPr>
        <w:ind w:left="2152" w:hanging="855"/>
        <w:spacing w:after="0"/>
        <w:tabs>
          <w:tab w:leader="none" w:pos="2152" w:val="left"/>
        </w:tabs>
        <w:numPr>
          <w:ilvl w:val="1"/>
          <w:numId w:val="42"/>
        </w:numPr>
        <w:rPr>
          <w:rFonts w:ascii="Arial" w:cs="Arial" w:eastAsia="Arial" w:hAnsi="Arial"/>
          <w:sz w:val="18"/>
          <w:szCs w:val="18"/>
          <w:color w:val="auto"/>
        </w:rPr>
      </w:pPr>
      <w:r>
        <w:rPr>
          <w:rFonts w:ascii="Arial" w:cs="Arial" w:eastAsia="Arial" w:hAnsi="Arial"/>
          <w:sz w:val="18"/>
          <w:szCs w:val="18"/>
          <w:u w:val="single" w:color="auto"/>
          <w:color w:val="auto"/>
        </w:rPr>
        <w:t>Individual Limitations on Awards</w:t>
      </w:r>
      <w:r>
        <w:rPr>
          <w:rFonts w:ascii="Arial" w:cs="Arial" w:eastAsia="Arial" w:hAnsi="Arial"/>
          <w:sz w:val="18"/>
          <w:szCs w:val="18"/>
          <w:color w:val="auto"/>
        </w:rPr>
        <w:t>.</w:t>
      </w:r>
    </w:p>
    <w:p>
      <w:pPr>
        <w:spacing w:after="0" w:line="265" w:lineRule="exact"/>
        <w:rPr>
          <w:rFonts w:ascii="Arial" w:cs="Arial" w:eastAsia="Arial" w:hAnsi="Arial"/>
          <w:sz w:val="18"/>
          <w:szCs w:val="18"/>
          <w:color w:val="auto"/>
        </w:rPr>
      </w:pPr>
    </w:p>
    <w:p>
      <w:pPr>
        <w:jc w:val="both"/>
        <w:ind w:left="-8" w:firstLine="1953"/>
        <w:spacing w:after="0" w:line="306" w:lineRule="auto"/>
        <w:tabs>
          <w:tab w:leader="none" w:pos="2755" w:val="left"/>
        </w:tabs>
        <w:numPr>
          <w:ilvl w:val="2"/>
          <w:numId w:val="42"/>
        </w:numPr>
        <w:rPr>
          <w:rFonts w:ascii="Arial" w:cs="Arial" w:eastAsia="Arial" w:hAnsi="Arial"/>
          <w:sz w:val="18"/>
          <w:szCs w:val="18"/>
          <w:color w:val="auto"/>
        </w:rPr>
      </w:pPr>
      <w:r>
        <w:rPr>
          <w:rFonts w:ascii="Arial" w:cs="Arial" w:eastAsia="Arial" w:hAnsi="Arial"/>
          <w:sz w:val="18"/>
          <w:szCs w:val="18"/>
          <w:u w:val="single" w:color="auto"/>
          <w:color w:val="auto"/>
        </w:rPr>
        <w:t>Individual Limit for Options and SARs</w:t>
      </w:r>
      <w:r>
        <w:rPr>
          <w:rFonts w:ascii="Arial" w:cs="Arial" w:eastAsia="Arial" w:hAnsi="Arial"/>
          <w:sz w:val="18"/>
          <w:szCs w:val="18"/>
          <w:color w:val="auto"/>
        </w:rPr>
        <w:t>. The maximum number of Shares with respect to which Options and SARs may be granted to any Grantee in any calendar year shall be five hundred thousand (500,000) Shares. The foregoing limitation shall be adjusted proportionately in connection with any change in the Company’s capitalization pursuant to Section 10, below. To the extent required by Section 162(m) of the Code or the regulations thereunder, in applying the foregoing</w:t>
      </w:r>
    </w:p>
    <w:p>
      <w:pPr>
        <w:sectPr>
          <w:pgSz w:w="11900" w:h="16838" w:orient="portrait"/>
          <w:cols w:equalWidth="0" w:num="1">
            <w:col w:w="11412"/>
          </w:cols>
          <w:pgMar w:left="248" w:top="611" w:right="239" w:bottom="1440" w:gutter="0" w:footer="0" w:header="0"/>
        </w:sectPr>
      </w:pPr>
    </w:p>
    <w:bookmarkStart w:id="51" w:name="page52"/>
    <w:bookmarkEnd w:id="51"/>
    <w:p>
      <w:pPr>
        <w:jc w:val="both"/>
        <w:spacing w:after="0" w:line="306" w:lineRule="auto"/>
        <w:rPr>
          <w:sz w:val="20"/>
          <w:szCs w:val="20"/>
          <w:color w:val="auto"/>
        </w:rPr>
      </w:pPr>
      <w:r>
        <w:rPr>
          <w:rFonts w:ascii="Arial" w:cs="Arial" w:eastAsia="Arial" w:hAnsi="Arial"/>
          <w:sz w:val="18"/>
          <w:szCs w:val="18"/>
          <w:color w:val="auto"/>
        </w:rPr>
        <w:t>limitation with respect to a Grantee, if any Option or SAR is canceled, the canceled Option or SAR shall continue to count against the maximum number of Shares with respect to which Options and SARs may be granted to the Grantee. For this purpose, the repricing of an Option (or in the case of a SAR, the base amount on which the stock appreciation is calculated is reduced to reflect a reduction in the Fair Market Value of the Common Stock) shall be treated as the cancellation of the existing Option or SAR and the grant of a new Option or SAR.</w:t>
      </w:r>
    </w:p>
    <w:p>
      <w:pPr>
        <w:spacing w:after="0" w:line="187" w:lineRule="exact"/>
        <w:rPr>
          <w:sz w:val="20"/>
          <w:szCs w:val="20"/>
          <w:color w:val="auto"/>
        </w:rPr>
      </w:pPr>
    </w:p>
    <w:p>
      <w:pPr>
        <w:jc w:val="both"/>
        <w:ind w:firstLine="1953"/>
        <w:spacing w:after="0" w:line="306" w:lineRule="auto"/>
        <w:tabs>
          <w:tab w:leader="none" w:pos="2813" w:val="left"/>
        </w:tabs>
        <w:numPr>
          <w:ilvl w:val="1"/>
          <w:numId w:val="43"/>
        </w:numPr>
        <w:rPr>
          <w:rFonts w:ascii="Arial" w:cs="Arial" w:eastAsia="Arial" w:hAnsi="Arial"/>
          <w:sz w:val="18"/>
          <w:szCs w:val="18"/>
          <w:color w:val="auto"/>
        </w:rPr>
      </w:pPr>
      <w:r>
        <w:rPr>
          <w:rFonts w:ascii="Arial" w:cs="Arial" w:eastAsia="Arial" w:hAnsi="Arial"/>
          <w:sz w:val="18"/>
          <w:szCs w:val="18"/>
          <w:u w:val="single" w:color="auto"/>
          <w:color w:val="auto"/>
        </w:rPr>
        <w:t>Individual Limit for Restricted Stock and Restricted Stock Units</w:t>
      </w:r>
      <w:r>
        <w:rPr>
          <w:rFonts w:ascii="Arial" w:cs="Arial" w:eastAsia="Arial" w:hAnsi="Arial"/>
          <w:sz w:val="18"/>
          <w:szCs w:val="18"/>
          <w:color w:val="auto"/>
        </w:rPr>
        <w:t>. For awards of Restricted Stock and Restricted Stock Units that are intended to be Performance-Based Compensation, the maximum number of Shares with respect to which such Awards may be granted to any Grantee in any calendar year shall be two hundred fifty thousand (250,000) Shares. The foregoing limitation shall be adjusted proportionately in connection with any change in the Company’s capitalization pursuant to Section 10, below.</w:t>
      </w:r>
    </w:p>
    <w:p>
      <w:pPr>
        <w:spacing w:after="0" w:line="186" w:lineRule="exact"/>
        <w:rPr>
          <w:rFonts w:ascii="Arial" w:cs="Arial" w:eastAsia="Arial" w:hAnsi="Arial"/>
          <w:sz w:val="18"/>
          <w:szCs w:val="18"/>
          <w:color w:val="auto"/>
        </w:rPr>
      </w:pPr>
    </w:p>
    <w:p>
      <w:pPr>
        <w:jc w:val="both"/>
        <w:ind w:firstLine="1953"/>
        <w:spacing w:after="0" w:line="306" w:lineRule="auto"/>
        <w:tabs>
          <w:tab w:leader="none" w:pos="2863" w:val="left"/>
        </w:tabs>
        <w:numPr>
          <w:ilvl w:val="1"/>
          <w:numId w:val="43"/>
        </w:numPr>
        <w:rPr>
          <w:rFonts w:ascii="Arial" w:cs="Arial" w:eastAsia="Arial" w:hAnsi="Arial"/>
          <w:sz w:val="18"/>
          <w:szCs w:val="18"/>
          <w:color w:val="auto"/>
        </w:rPr>
      </w:pPr>
      <w:r>
        <w:rPr>
          <w:rFonts w:ascii="Arial" w:cs="Arial" w:eastAsia="Arial" w:hAnsi="Arial"/>
          <w:sz w:val="18"/>
          <w:szCs w:val="18"/>
          <w:u w:val="single" w:color="auto"/>
          <w:color w:val="auto"/>
        </w:rPr>
        <w:t>Director Award Limit</w:t>
      </w:r>
      <w:r>
        <w:rPr>
          <w:rFonts w:ascii="Arial" w:cs="Arial" w:eastAsia="Arial" w:hAnsi="Arial"/>
          <w:sz w:val="18"/>
          <w:szCs w:val="18"/>
          <w:color w:val="auto"/>
        </w:rPr>
        <w:t>. Notwithstanding any provision to the contrary in the Plan, the sum of any cash compensation and the grant date fair value (determined as of the date of the grant under Financial Accounting Standards Board Accounting Standards Codification Topic 718, or any successor thereto) of all Awards granted under the Plan to a non-employee Director during any calendar year shall not exceed the amount equal to $750,000.</w:t>
      </w:r>
    </w:p>
    <w:p>
      <w:pPr>
        <w:spacing w:after="0" w:line="186" w:lineRule="exact"/>
        <w:rPr>
          <w:rFonts w:ascii="Arial" w:cs="Arial" w:eastAsia="Arial" w:hAnsi="Arial"/>
          <w:sz w:val="18"/>
          <w:szCs w:val="18"/>
          <w:color w:val="auto"/>
        </w:rPr>
      </w:pPr>
    </w:p>
    <w:p>
      <w:pPr>
        <w:jc w:val="both"/>
        <w:ind w:firstLine="1305"/>
        <w:spacing w:after="0" w:line="304" w:lineRule="auto"/>
        <w:tabs>
          <w:tab w:leader="none" w:pos="2155"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Deferral</w:t>
      </w:r>
      <w:r>
        <w:rPr>
          <w:rFonts w:ascii="Arial" w:cs="Arial" w:eastAsia="Arial" w:hAnsi="Arial"/>
          <w:sz w:val="18"/>
          <w:szCs w:val="18"/>
          <w:color w:val="auto"/>
        </w:rPr>
        <w:t>. If the vesting or receipt of Shares under an Award is deferred to a later date, any amount (whether denominated in Shares or cash) paid in addition to the original number of Shares subject to such Award will not be treated as an increase in the number of Shares subject to the Award if the additional amount is based either on a reasonable rate of interest or on one or more predetermined actual investments such that the amount payable by the Company at the later date will be based on the actual rate of return of a specific investment (including any decrease as well as any increase in the value of an investment).</w:t>
      </w:r>
    </w:p>
    <w:p>
      <w:pPr>
        <w:spacing w:after="0" w:line="188" w:lineRule="exact"/>
        <w:rPr>
          <w:rFonts w:ascii="Arial" w:cs="Arial" w:eastAsia="Arial" w:hAnsi="Arial"/>
          <w:sz w:val="18"/>
          <w:szCs w:val="18"/>
          <w:color w:val="auto"/>
        </w:rPr>
      </w:pPr>
    </w:p>
    <w:p>
      <w:pPr>
        <w:jc w:val="both"/>
        <w:ind w:firstLine="1305"/>
        <w:spacing w:after="0" w:line="306" w:lineRule="auto"/>
        <w:tabs>
          <w:tab w:leader="none" w:pos="2115"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Early Exercise</w:t>
      </w:r>
      <w:r>
        <w:rPr>
          <w:rFonts w:ascii="Arial" w:cs="Arial" w:eastAsia="Arial" w:hAnsi="Arial"/>
          <w:sz w:val="18"/>
          <w:szCs w:val="18"/>
          <w:color w:val="auto"/>
        </w:rPr>
        <w:t>. The Award Agreement may, but need not, include a provision whereby the Grantee may elect at any time while an Employee, Director or Consultant to exercise any part or all of the Award prior to full vesting of the Award. Any unvested Shares received pursuant to such exercise may be subject to a repurchase right in favor of the Company or a Related Entity or to any other restriction the Administrator determines to be appropriate.</w:t>
      </w:r>
    </w:p>
    <w:p>
      <w:pPr>
        <w:spacing w:after="0" w:line="186" w:lineRule="exact"/>
        <w:rPr>
          <w:rFonts w:ascii="Arial" w:cs="Arial" w:eastAsia="Arial" w:hAnsi="Arial"/>
          <w:sz w:val="18"/>
          <w:szCs w:val="18"/>
          <w:color w:val="auto"/>
        </w:rPr>
      </w:pPr>
    </w:p>
    <w:p>
      <w:pPr>
        <w:jc w:val="both"/>
        <w:ind w:firstLine="1305"/>
        <w:spacing w:after="0" w:line="323" w:lineRule="auto"/>
        <w:tabs>
          <w:tab w:leader="none" w:pos="2115" w:val="left"/>
        </w:tabs>
        <w:numPr>
          <w:ilvl w:val="0"/>
          <w:numId w:val="44"/>
        </w:numPr>
        <w:rPr>
          <w:rFonts w:ascii="Arial" w:cs="Arial" w:eastAsia="Arial" w:hAnsi="Arial"/>
          <w:sz w:val="17"/>
          <w:szCs w:val="17"/>
          <w:color w:val="auto"/>
        </w:rPr>
      </w:pPr>
      <w:r>
        <w:rPr>
          <w:rFonts w:ascii="Arial" w:cs="Arial" w:eastAsia="Arial" w:hAnsi="Arial"/>
          <w:sz w:val="17"/>
          <w:szCs w:val="17"/>
          <w:u w:val="single" w:color="auto"/>
          <w:color w:val="auto"/>
        </w:rPr>
        <w:t>Term of Award</w:t>
      </w:r>
      <w:r>
        <w:rPr>
          <w:rFonts w:ascii="Arial" w:cs="Arial" w:eastAsia="Arial" w:hAnsi="Arial"/>
          <w:sz w:val="17"/>
          <w:szCs w:val="17"/>
          <w:color w:val="auto"/>
        </w:rPr>
        <w:t>. The term of each Option and SAR shall be the term stated in the Award Agreement, provided, however, that the term of any Award shall be no more than ten (10) years from the date of grant thereof. However, in the case of an Incentive Stock Option granted to a Grantee who, at the time the Option is granted, owns stock representing more than ten percent (10%) of the voting power of all classes of stock of the Company or any Parent or Subsidiary of the Company, the term of the Incentive Stock Option shall be five (5) years from the date of grant thereof or such shorter term as may be provided in the Award Agreement. Notwithstanding the foregoing, the specified term of any Award shall not include any period for which the Grantee has elected to defer the receipt of the Shares or cash issuable pursuant to the Award.</w:t>
      </w:r>
    </w:p>
    <w:p>
      <w:pPr>
        <w:spacing w:after="0" w:line="177" w:lineRule="exact"/>
        <w:rPr>
          <w:rFonts w:ascii="Arial" w:cs="Arial" w:eastAsia="Arial" w:hAnsi="Arial"/>
          <w:sz w:val="17"/>
          <w:szCs w:val="17"/>
          <w:color w:val="auto"/>
        </w:rPr>
      </w:pPr>
    </w:p>
    <w:p>
      <w:pPr>
        <w:jc w:val="both"/>
        <w:ind w:firstLine="1305"/>
        <w:spacing w:after="0" w:line="302" w:lineRule="auto"/>
        <w:tabs>
          <w:tab w:leader="none" w:pos="2155"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Transferability of Awards</w:t>
      </w:r>
      <w:r>
        <w:rPr>
          <w:rFonts w:ascii="Arial" w:cs="Arial" w:eastAsia="Arial" w:hAnsi="Arial"/>
          <w:sz w:val="18"/>
          <w:szCs w:val="18"/>
          <w:color w:val="auto"/>
        </w:rPr>
        <w:t>. Incentive Stock Options may not be sold, pledged, assigned, hypothecated, transferred or disposed of in any manner other than by will or by the laws of descent or distribution and may be exercised, during the lifetime of the Grantee, only by the Grantee. Other Awards shall be transferable (i) by will and by the laws of descent and distribution and (ii) during the lifetime of the Grantee, to the extent and in the manner authorized by the Administrator but only to the extent such transfers are made to family members, to family trusts, to family controlled entities, to charitable organizations, and pursuant to domestic relations orders or agreements, in all cases without payment for such transfers to the Grantee. Notwithstanding the foregoing, the Grantee may designate one or more beneficiaries of the Grantee’s Award, in the event of the Grantee’s death, on a beneficiary designation form provided by the Administrator.</w:t>
      </w:r>
    </w:p>
    <w:p>
      <w:pPr>
        <w:spacing w:after="0" w:line="189" w:lineRule="exact"/>
        <w:rPr>
          <w:rFonts w:ascii="Arial" w:cs="Arial" w:eastAsia="Arial" w:hAnsi="Arial"/>
          <w:sz w:val="18"/>
          <w:szCs w:val="18"/>
          <w:color w:val="auto"/>
        </w:rPr>
      </w:pPr>
    </w:p>
    <w:p>
      <w:pPr>
        <w:ind w:firstLine="1305"/>
        <w:spacing w:after="0" w:line="324" w:lineRule="auto"/>
        <w:tabs>
          <w:tab w:leader="none" w:pos="2115"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Time of Granting Awards</w:t>
      </w:r>
      <w:r>
        <w:rPr>
          <w:rFonts w:ascii="Arial" w:cs="Arial" w:eastAsia="Arial" w:hAnsi="Arial"/>
          <w:sz w:val="18"/>
          <w:szCs w:val="18"/>
          <w:color w:val="auto"/>
        </w:rPr>
        <w:t>. The date of grant of an Award shall for all purposes be the date on which the Administrator makes the determination to grant such Award, or such other later date as is determined by the Administrator.</w:t>
      </w:r>
    </w:p>
    <w:p>
      <w:pPr>
        <w:spacing w:after="0" w:line="170" w:lineRule="exact"/>
        <w:rPr>
          <w:rFonts w:ascii="Arial" w:cs="Arial" w:eastAsia="Arial" w:hAnsi="Arial"/>
          <w:sz w:val="18"/>
          <w:szCs w:val="18"/>
          <w:color w:val="auto"/>
        </w:rPr>
      </w:pPr>
    </w:p>
    <w:p>
      <w:pPr>
        <w:ind w:firstLine="1305"/>
        <w:spacing w:after="0" w:line="324" w:lineRule="auto"/>
        <w:tabs>
          <w:tab w:leader="none" w:pos="2205"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Dividend and Dividend Equivalent Rights</w:t>
      </w:r>
      <w:r>
        <w:rPr>
          <w:rFonts w:ascii="Arial" w:cs="Arial" w:eastAsia="Arial" w:hAnsi="Arial"/>
          <w:sz w:val="18"/>
          <w:szCs w:val="18"/>
          <w:color w:val="auto"/>
        </w:rPr>
        <w:t>. Dividends and Dividend Equivalent Rights with respect to an Award shall only be paid to the Grantee to the extent that the applicable vesting conditions are subsequently satisfied and the Award vests.</w:t>
      </w:r>
    </w:p>
    <w:p>
      <w:pPr>
        <w:spacing w:after="0" w:line="170" w:lineRule="exact"/>
        <w:rPr>
          <w:rFonts w:ascii="Arial" w:cs="Arial" w:eastAsia="Arial" w:hAnsi="Arial"/>
          <w:sz w:val="18"/>
          <w:szCs w:val="18"/>
          <w:color w:val="auto"/>
        </w:rPr>
      </w:pPr>
    </w:p>
    <w:p>
      <w:pPr>
        <w:jc w:val="both"/>
        <w:ind w:firstLine="1305"/>
        <w:spacing w:after="0" w:line="323" w:lineRule="auto"/>
        <w:tabs>
          <w:tab w:leader="none" w:pos="2155" w:val="left"/>
        </w:tabs>
        <w:numPr>
          <w:ilvl w:val="0"/>
          <w:numId w:val="44"/>
        </w:numPr>
        <w:rPr>
          <w:rFonts w:ascii="Arial" w:cs="Arial" w:eastAsia="Arial" w:hAnsi="Arial"/>
          <w:sz w:val="17"/>
          <w:szCs w:val="17"/>
          <w:color w:val="auto"/>
        </w:rPr>
      </w:pPr>
      <w:r>
        <w:rPr>
          <w:rFonts w:ascii="Arial" w:cs="Arial" w:eastAsia="Arial" w:hAnsi="Arial"/>
          <w:sz w:val="17"/>
          <w:szCs w:val="17"/>
          <w:u w:val="single" w:color="auto"/>
          <w:color w:val="auto"/>
        </w:rPr>
        <w:t>Award Vesting Limitations</w:t>
      </w:r>
      <w:r>
        <w:rPr>
          <w:rFonts w:ascii="Arial" w:cs="Arial" w:eastAsia="Arial" w:hAnsi="Arial"/>
          <w:sz w:val="17"/>
          <w:szCs w:val="17"/>
          <w:color w:val="auto"/>
        </w:rPr>
        <w:t xml:space="preserve">. Notwithstanding any other provision of the Plan to the contrary, but subject to Section 11, Awards granted under the Plan on or after the Effective Date shall vest no earlier than the first anniversary of the date the Award is granted;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notwithstanding the foregoing, Awards that result in the issuance of an aggregate of up to 5% of the Shares available pursuant to Section 3.1(a) as of the Effective Date may be granted to any one or more Grantees without respect to such minimum vesting provisions. Nothing in this Section 6(n) shall preclude the Administrator from taking action, in its sole discretion, to accelerate the vesting of any Award in connection with or following a Grantee’s death, disability, termination of Continuous Service or the consummation of a Change in Control.</w:t>
      </w:r>
    </w:p>
    <w:p>
      <w:pPr>
        <w:sectPr>
          <w:pgSz w:w="11900" w:h="16838" w:orient="portrait"/>
          <w:cols w:equalWidth="0" w:num="1">
            <w:col w:w="11420"/>
          </w:cols>
          <w:pgMar w:left="240" w:top="611" w:right="239" w:bottom="1440" w:gutter="0" w:footer="0" w:header="0"/>
        </w:sectPr>
      </w:pPr>
    </w:p>
    <w:bookmarkStart w:id="52" w:name="page53"/>
    <w:bookmarkEnd w:id="52"/>
    <w:p>
      <w:pPr>
        <w:ind w:left="1440" w:hanging="784"/>
        <w:spacing w:after="0"/>
        <w:tabs>
          <w:tab w:leader="none" w:pos="1440" w:val="left"/>
        </w:tabs>
        <w:numPr>
          <w:ilvl w:val="1"/>
          <w:numId w:val="45"/>
        </w:numPr>
        <w:rPr>
          <w:rFonts w:ascii="Arial" w:cs="Arial" w:eastAsia="Arial" w:hAnsi="Arial"/>
          <w:sz w:val="18"/>
          <w:szCs w:val="18"/>
          <w:color w:val="auto"/>
        </w:rPr>
      </w:pPr>
      <w:r>
        <w:rPr>
          <w:rFonts w:ascii="Arial" w:cs="Arial" w:eastAsia="Arial" w:hAnsi="Arial"/>
          <w:sz w:val="18"/>
          <w:szCs w:val="18"/>
          <w:u w:val="single" w:color="auto"/>
          <w:color w:val="auto"/>
        </w:rPr>
        <w:t>Award Exercise or Purchase Price, Consideration and Taxes</w:t>
      </w:r>
      <w:r>
        <w:rPr>
          <w:rFonts w:ascii="Arial" w:cs="Arial" w:eastAsia="Arial" w:hAnsi="Arial"/>
          <w:sz w:val="18"/>
          <w:szCs w:val="18"/>
          <w:color w:val="auto"/>
        </w:rPr>
        <w:t>.</w:t>
      </w:r>
    </w:p>
    <w:p>
      <w:pPr>
        <w:spacing w:after="0" w:line="265" w:lineRule="exact"/>
        <w:rPr>
          <w:rFonts w:ascii="Arial" w:cs="Arial" w:eastAsia="Arial" w:hAnsi="Arial"/>
          <w:sz w:val="18"/>
          <w:szCs w:val="18"/>
          <w:color w:val="auto"/>
        </w:rPr>
      </w:pPr>
    </w:p>
    <w:p>
      <w:pPr>
        <w:ind w:left="2160" w:hanging="855"/>
        <w:spacing w:after="0"/>
        <w:tabs>
          <w:tab w:leader="none" w:pos="2160" w:val="left"/>
        </w:tabs>
        <w:numPr>
          <w:ilvl w:val="2"/>
          <w:numId w:val="45"/>
        </w:numPr>
        <w:rPr>
          <w:rFonts w:ascii="Arial" w:cs="Arial" w:eastAsia="Arial" w:hAnsi="Arial"/>
          <w:sz w:val="18"/>
          <w:szCs w:val="18"/>
          <w:color w:val="auto"/>
        </w:rPr>
      </w:pPr>
      <w:r>
        <w:rPr>
          <w:rFonts w:ascii="Arial" w:cs="Arial" w:eastAsia="Arial" w:hAnsi="Arial"/>
          <w:sz w:val="18"/>
          <w:szCs w:val="18"/>
          <w:u w:val="single" w:color="auto"/>
          <w:color w:val="auto"/>
        </w:rPr>
        <w:t>Exercise or Purchase Price</w:t>
      </w:r>
      <w:r>
        <w:rPr>
          <w:rFonts w:ascii="Arial" w:cs="Arial" w:eastAsia="Arial" w:hAnsi="Arial"/>
          <w:sz w:val="18"/>
          <w:szCs w:val="18"/>
          <w:color w:val="auto"/>
        </w:rPr>
        <w:t>. The exercise or purchase price, if any, for an Award shall be as follows:</w:t>
      </w:r>
    </w:p>
    <w:p>
      <w:pPr>
        <w:spacing w:after="0" w:line="265" w:lineRule="exact"/>
        <w:rPr>
          <w:rFonts w:ascii="Arial" w:cs="Arial" w:eastAsia="Arial" w:hAnsi="Arial"/>
          <w:sz w:val="18"/>
          <w:szCs w:val="18"/>
          <w:color w:val="auto"/>
        </w:rPr>
      </w:pPr>
    </w:p>
    <w:p>
      <w:pPr>
        <w:ind w:left="2780" w:hanging="827"/>
        <w:spacing w:after="0"/>
        <w:tabs>
          <w:tab w:leader="none" w:pos="2780" w:val="left"/>
        </w:tabs>
        <w:numPr>
          <w:ilvl w:val="3"/>
          <w:numId w:val="45"/>
        </w:numPr>
        <w:rPr>
          <w:rFonts w:ascii="Arial" w:cs="Arial" w:eastAsia="Arial" w:hAnsi="Arial"/>
          <w:sz w:val="18"/>
          <w:szCs w:val="18"/>
          <w:color w:val="auto"/>
        </w:rPr>
      </w:pPr>
      <w:r>
        <w:rPr>
          <w:rFonts w:ascii="Arial" w:cs="Arial" w:eastAsia="Arial" w:hAnsi="Arial"/>
          <w:sz w:val="18"/>
          <w:szCs w:val="18"/>
          <w:color w:val="auto"/>
        </w:rPr>
        <w:t>In the case of an Incentive Stock Option:</w:t>
      </w:r>
    </w:p>
    <w:p>
      <w:pPr>
        <w:spacing w:after="0" w:line="265" w:lineRule="exact"/>
        <w:rPr>
          <w:rFonts w:ascii="Arial" w:cs="Arial" w:eastAsia="Arial" w:hAnsi="Arial"/>
          <w:sz w:val="18"/>
          <w:szCs w:val="18"/>
          <w:color w:val="auto"/>
        </w:rPr>
      </w:pPr>
    </w:p>
    <w:p>
      <w:pPr>
        <w:jc w:val="both"/>
        <w:ind w:firstLine="2601"/>
        <w:spacing w:after="0" w:line="336" w:lineRule="auto"/>
        <w:tabs>
          <w:tab w:leader="none" w:pos="3491" w:val="left"/>
        </w:tabs>
        <w:numPr>
          <w:ilvl w:val="4"/>
          <w:numId w:val="45"/>
        </w:numPr>
        <w:rPr>
          <w:rFonts w:ascii="Arial" w:cs="Arial" w:eastAsia="Arial" w:hAnsi="Arial"/>
          <w:sz w:val="17"/>
          <w:szCs w:val="17"/>
          <w:color w:val="auto"/>
        </w:rPr>
      </w:pPr>
      <w:r>
        <w:rPr>
          <w:rFonts w:ascii="Arial" w:cs="Arial" w:eastAsia="Arial" w:hAnsi="Arial"/>
          <w:sz w:val="17"/>
          <w:szCs w:val="17"/>
          <w:color w:val="auto"/>
        </w:rPr>
        <w:t>granted to an Employee who, at the time of the grant of such Incentive Stock Option owns stock representing more than ten percent (10%) of the voting power of all classes of stock of the Company or any Parent or Subsidiary of the Company, the per Share exercise price shall be not less than one hundred ten percent (110%) of the Fair Market Value per Share on the date of grant; or</w:t>
      </w:r>
    </w:p>
    <w:p>
      <w:pPr>
        <w:spacing w:after="0" w:line="164" w:lineRule="exact"/>
        <w:rPr>
          <w:rFonts w:ascii="Arial" w:cs="Arial" w:eastAsia="Arial" w:hAnsi="Arial"/>
          <w:sz w:val="17"/>
          <w:szCs w:val="17"/>
          <w:color w:val="auto"/>
        </w:rPr>
      </w:pPr>
    </w:p>
    <w:p>
      <w:pPr>
        <w:ind w:left="3480" w:hanging="879"/>
        <w:spacing w:after="0"/>
        <w:tabs>
          <w:tab w:leader="none" w:pos="3480" w:val="left"/>
        </w:tabs>
        <w:numPr>
          <w:ilvl w:val="4"/>
          <w:numId w:val="45"/>
        </w:numPr>
        <w:rPr>
          <w:rFonts w:ascii="Arial" w:cs="Arial" w:eastAsia="Arial" w:hAnsi="Arial"/>
          <w:sz w:val="17"/>
          <w:szCs w:val="17"/>
          <w:color w:val="auto"/>
        </w:rPr>
      </w:pPr>
      <w:r>
        <w:rPr>
          <w:rFonts w:ascii="Arial" w:cs="Arial" w:eastAsia="Arial" w:hAnsi="Arial"/>
          <w:sz w:val="17"/>
          <w:szCs w:val="17"/>
          <w:color w:val="auto"/>
        </w:rPr>
        <w:t>granted to any Employee other than an Employee described in the preceding paragraph, the per Share</w:t>
      </w:r>
    </w:p>
    <w:p>
      <w:pPr>
        <w:spacing w:after="0" w:line="61"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exercise price shall be not less than one hundred percent (100%) of the Fair Market Value per Share on the date of grant.</w:t>
      </w:r>
    </w:p>
    <w:p>
      <w:pPr>
        <w:spacing w:after="0" w:line="265" w:lineRule="exact"/>
        <w:rPr>
          <w:rFonts w:ascii="Arial" w:cs="Arial" w:eastAsia="Arial" w:hAnsi="Arial"/>
          <w:sz w:val="17"/>
          <w:szCs w:val="17"/>
          <w:color w:val="auto"/>
        </w:rPr>
      </w:pPr>
    </w:p>
    <w:p>
      <w:pPr>
        <w:ind w:firstLine="1953"/>
        <w:spacing w:after="0" w:line="324" w:lineRule="auto"/>
        <w:tabs>
          <w:tab w:leader="none" w:pos="2813" w:val="left"/>
        </w:tabs>
        <w:numPr>
          <w:ilvl w:val="3"/>
          <w:numId w:val="45"/>
        </w:numPr>
        <w:rPr>
          <w:rFonts w:ascii="Arial" w:cs="Arial" w:eastAsia="Arial" w:hAnsi="Arial"/>
          <w:sz w:val="18"/>
          <w:szCs w:val="18"/>
          <w:color w:val="auto"/>
        </w:rPr>
      </w:pPr>
      <w:r>
        <w:rPr>
          <w:rFonts w:ascii="Arial" w:cs="Arial" w:eastAsia="Arial" w:hAnsi="Arial"/>
          <w:sz w:val="18"/>
          <w:szCs w:val="18"/>
          <w:color w:val="auto"/>
        </w:rPr>
        <w:t>In the case of a Non-Qualified Stock Option, the per Share exercise price shall be not less than one hundred percent (100%) of the Fair Market Value per Share on the date of grant.</w:t>
      </w:r>
    </w:p>
    <w:p>
      <w:pPr>
        <w:spacing w:after="0" w:line="170" w:lineRule="exact"/>
        <w:rPr>
          <w:rFonts w:ascii="Arial" w:cs="Arial" w:eastAsia="Arial" w:hAnsi="Arial"/>
          <w:sz w:val="18"/>
          <w:szCs w:val="18"/>
          <w:color w:val="auto"/>
        </w:rPr>
      </w:pPr>
    </w:p>
    <w:p>
      <w:pPr>
        <w:ind w:right="20" w:firstLine="1953"/>
        <w:spacing w:after="0" w:line="324" w:lineRule="auto"/>
        <w:tabs>
          <w:tab w:leader="none" w:pos="2863" w:val="left"/>
        </w:tabs>
        <w:numPr>
          <w:ilvl w:val="3"/>
          <w:numId w:val="45"/>
        </w:numPr>
        <w:rPr>
          <w:rFonts w:ascii="Arial" w:cs="Arial" w:eastAsia="Arial" w:hAnsi="Arial"/>
          <w:sz w:val="18"/>
          <w:szCs w:val="18"/>
          <w:color w:val="auto"/>
        </w:rPr>
      </w:pPr>
      <w:r>
        <w:rPr>
          <w:rFonts w:ascii="Arial" w:cs="Arial" w:eastAsia="Arial" w:hAnsi="Arial"/>
          <w:sz w:val="18"/>
          <w:szCs w:val="18"/>
          <w:color w:val="auto"/>
        </w:rPr>
        <w:t>In the case of Awards intended to qualify as Performance-Based Compensation, the exercise or purchase price, if any, shall be not less than one hundred percent (100%) of the Fair Market Value per Share on the date of grant.</w:t>
      </w:r>
    </w:p>
    <w:p>
      <w:pPr>
        <w:spacing w:after="0" w:line="170" w:lineRule="exact"/>
        <w:rPr>
          <w:rFonts w:ascii="Arial" w:cs="Arial" w:eastAsia="Arial" w:hAnsi="Arial"/>
          <w:sz w:val="18"/>
          <w:szCs w:val="18"/>
          <w:color w:val="auto"/>
        </w:rPr>
      </w:pPr>
    </w:p>
    <w:p>
      <w:pPr>
        <w:ind w:right="20" w:firstLine="1953"/>
        <w:spacing w:after="0" w:line="324" w:lineRule="auto"/>
        <w:tabs>
          <w:tab w:leader="none" w:pos="2853" w:val="left"/>
        </w:tabs>
        <w:numPr>
          <w:ilvl w:val="3"/>
          <w:numId w:val="45"/>
        </w:numPr>
        <w:rPr>
          <w:rFonts w:ascii="Arial" w:cs="Arial" w:eastAsia="Arial" w:hAnsi="Arial"/>
          <w:sz w:val="18"/>
          <w:szCs w:val="18"/>
          <w:color w:val="auto"/>
        </w:rPr>
      </w:pPr>
      <w:r>
        <w:rPr>
          <w:rFonts w:ascii="Arial" w:cs="Arial" w:eastAsia="Arial" w:hAnsi="Arial"/>
          <w:sz w:val="18"/>
          <w:szCs w:val="18"/>
          <w:color w:val="auto"/>
        </w:rPr>
        <w:t>In the case of SARs, the base appreciation amount shall not be less than one hundred percent (100%) of the Fair Market Value per Share on the date of grant.</w:t>
      </w:r>
    </w:p>
    <w:p>
      <w:pPr>
        <w:spacing w:after="0" w:line="170" w:lineRule="exact"/>
        <w:rPr>
          <w:rFonts w:ascii="Arial" w:cs="Arial" w:eastAsia="Arial" w:hAnsi="Arial"/>
          <w:sz w:val="18"/>
          <w:szCs w:val="18"/>
          <w:color w:val="auto"/>
        </w:rPr>
      </w:pPr>
    </w:p>
    <w:p>
      <w:pPr>
        <w:ind w:left="2820" w:hanging="867"/>
        <w:spacing w:after="0"/>
        <w:tabs>
          <w:tab w:leader="none" w:pos="2820" w:val="left"/>
        </w:tabs>
        <w:numPr>
          <w:ilvl w:val="3"/>
          <w:numId w:val="45"/>
        </w:numPr>
        <w:rPr>
          <w:rFonts w:ascii="Arial" w:cs="Arial" w:eastAsia="Arial" w:hAnsi="Arial"/>
          <w:sz w:val="18"/>
          <w:szCs w:val="18"/>
          <w:color w:val="auto"/>
        </w:rPr>
      </w:pPr>
      <w:r>
        <w:rPr>
          <w:rFonts w:ascii="Arial" w:cs="Arial" w:eastAsia="Arial" w:hAnsi="Arial"/>
          <w:sz w:val="18"/>
          <w:szCs w:val="18"/>
          <w:color w:val="auto"/>
        </w:rPr>
        <w:t>In the case of other Awards, such price as is determined by the Administrator.</w:t>
      </w:r>
    </w:p>
    <w:p>
      <w:pPr>
        <w:spacing w:after="0" w:line="265" w:lineRule="exact"/>
        <w:rPr>
          <w:rFonts w:ascii="Arial" w:cs="Arial" w:eastAsia="Arial" w:hAnsi="Arial"/>
          <w:sz w:val="18"/>
          <w:szCs w:val="18"/>
          <w:color w:val="auto"/>
        </w:rPr>
      </w:pPr>
    </w:p>
    <w:p>
      <w:pPr>
        <w:jc w:val="both"/>
        <w:ind w:firstLine="1953"/>
        <w:spacing w:after="0" w:line="311" w:lineRule="auto"/>
        <w:tabs>
          <w:tab w:leader="none" w:pos="2853" w:val="left"/>
        </w:tabs>
        <w:numPr>
          <w:ilvl w:val="3"/>
          <w:numId w:val="45"/>
        </w:numPr>
        <w:rPr>
          <w:rFonts w:ascii="Arial" w:cs="Arial" w:eastAsia="Arial" w:hAnsi="Arial"/>
          <w:sz w:val="18"/>
          <w:szCs w:val="18"/>
          <w:color w:val="auto"/>
        </w:rPr>
      </w:pPr>
      <w:r>
        <w:rPr>
          <w:rFonts w:ascii="Arial" w:cs="Arial" w:eastAsia="Arial" w:hAnsi="Arial"/>
          <w:sz w:val="18"/>
          <w:szCs w:val="18"/>
          <w:color w:val="auto"/>
        </w:rPr>
        <w:t>Notwithstanding the foregoing provisions of this Section 7(a), in the case of an Award issued pursuant to Section 6(d), above, the exercise or purchase price for the Award shall be determined in accordance with the provisions of the relevant instrument evidencing the agreement to issue such Award.</w:t>
      </w:r>
    </w:p>
    <w:p>
      <w:pPr>
        <w:spacing w:after="0" w:line="181" w:lineRule="exact"/>
        <w:rPr>
          <w:rFonts w:ascii="Arial" w:cs="Arial" w:eastAsia="Arial" w:hAnsi="Arial"/>
          <w:sz w:val="18"/>
          <w:szCs w:val="18"/>
          <w:color w:val="auto"/>
        </w:rPr>
      </w:pPr>
    </w:p>
    <w:p>
      <w:pPr>
        <w:jc w:val="both"/>
        <w:ind w:firstLine="1305"/>
        <w:spacing w:after="0" w:line="354" w:lineRule="auto"/>
        <w:tabs>
          <w:tab w:leader="none" w:pos="2155" w:val="left"/>
        </w:tabs>
        <w:numPr>
          <w:ilvl w:val="2"/>
          <w:numId w:val="45"/>
        </w:numPr>
        <w:rPr>
          <w:rFonts w:ascii="Arial" w:cs="Arial" w:eastAsia="Arial" w:hAnsi="Arial"/>
          <w:sz w:val="16"/>
          <w:szCs w:val="16"/>
          <w:color w:val="auto"/>
        </w:rPr>
      </w:pPr>
      <w:r>
        <w:rPr>
          <w:rFonts w:ascii="Arial" w:cs="Arial" w:eastAsia="Arial" w:hAnsi="Arial"/>
          <w:sz w:val="16"/>
          <w:szCs w:val="16"/>
          <w:u w:val="single" w:color="auto"/>
          <w:color w:val="auto"/>
        </w:rPr>
        <w:t>Consideration</w:t>
      </w:r>
      <w:r>
        <w:rPr>
          <w:rFonts w:ascii="Arial" w:cs="Arial" w:eastAsia="Arial" w:hAnsi="Arial"/>
          <w:sz w:val="16"/>
          <w:szCs w:val="16"/>
          <w:color w:val="auto"/>
        </w:rPr>
        <w:t>. Subject to Applicable Laws, the consideration to be paid for the Shares to be issued upon exercise or purchase of an Award, including the method of payment, shall be determined by the Administrator. In addition to any other types of consideration the Administrator may determine, the Administrator is authorized to accept as consideration for Shares issued under the Plan the following, provided that the portion of the consideration equal to the par value of the Shares must be paid in cash or other legal consideration permitted by the Delaware General Corporation Law:</w:t>
      </w:r>
    </w:p>
    <w:p>
      <w:pPr>
        <w:spacing w:after="0" w:line="156" w:lineRule="exact"/>
        <w:rPr>
          <w:rFonts w:ascii="Arial" w:cs="Arial" w:eastAsia="Arial" w:hAnsi="Arial"/>
          <w:sz w:val="16"/>
          <w:szCs w:val="16"/>
          <w:color w:val="auto"/>
        </w:rPr>
      </w:pPr>
    </w:p>
    <w:p>
      <w:pPr>
        <w:ind w:left="2780" w:hanging="827"/>
        <w:spacing w:after="0"/>
        <w:tabs>
          <w:tab w:leader="none" w:pos="2780" w:val="left"/>
        </w:tabs>
        <w:numPr>
          <w:ilvl w:val="3"/>
          <w:numId w:val="45"/>
        </w:numPr>
        <w:rPr>
          <w:rFonts w:ascii="Arial" w:cs="Arial" w:eastAsia="Arial" w:hAnsi="Arial"/>
          <w:sz w:val="18"/>
          <w:szCs w:val="18"/>
          <w:color w:val="auto"/>
        </w:rPr>
      </w:pPr>
      <w:r>
        <w:rPr>
          <w:rFonts w:ascii="Arial" w:cs="Arial" w:eastAsia="Arial" w:hAnsi="Arial"/>
          <w:sz w:val="18"/>
          <w:szCs w:val="18"/>
          <w:color w:val="auto"/>
        </w:rPr>
        <w:t>cash;</w:t>
      </w:r>
    </w:p>
    <w:p>
      <w:pPr>
        <w:spacing w:after="0" w:line="265" w:lineRule="exact"/>
        <w:rPr>
          <w:rFonts w:ascii="Arial" w:cs="Arial" w:eastAsia="Arial" w:hAnsi="Arial"/>
          <w:sz w:val="18"/>
          <w:szCs w:val="18"/>
          <w:color w:val="auto"/>
        </w:rPr>
      </w:pPr>
    </w:p>
    <w:p>
      <w:pPr>
        <w:ind w:left="2820" w:hanging="867"/>
        <w:spacing w:after="0"/>
        <w:tabs>
          <w:tab w:leader="none" w:pos="2820" w:val="left"/>
        </w:tabs>
        <w:numPr>
          <w:ilvl w:val="3"/>
          <w:numId w:val="45"/>
        </w:numPr>
        <w:rPr>
          <w:rFonts w:ascii="Arial" w:cs="Arial" w:eastAsia="Arial" w:hAnsi="Arial"/>
          <w:sz w:val="18"/>
          <w:szCs w:val="18"/>
          <w:color w:val="auto"/>
        </w:rPr>
      </w:pPr>
      <w:r>
        <w:rPr>
          <w:rFonts w:ascii="Arial" w:cs="Arial" w:eastAsia="Arial" w:hAnsi="Arial"/>
          <w:sz w:val="18"/>
          <w:szCs w:val="18"/>
          <w:color w:val="auto"/>
        </w:rPr>
        <w:t>check;</w:t>
      </w:r>
    </w:p>
    <w:p>
      <w:pPr>
        <w:spacing w:after="0" w:line="265" w:lineRule="exact"/>
        <w:rPr>
          <w:rFonts w:ascii="Arial" w:cs="Arial" w:eastAsia="Arial" w:hAnsi="Arial"/>
          <w:sz w:val="18"/>
          <w:szCs w:val="18"/>
          <w:color w:val="auto"/>
        </w:rPr>
      </w:pPr>
    </w:p>
    <w:p>
      <w:pPr>
        <w:jc w:val="both"/>
        <w:ind w:firstLine="1953"/>
        <w:spacing w:after="0" w:line="311" w:lineRule="auto"/>
        <w:tabs>
          <w:tab w:leader="none" w:pos="2863" w:val="left"/>
        </w:tabs>
        <w:numPr>
          <w:ilvl w:val="3"/>
          <w:numId w:val="45"/>
        </w:numPr>
        <w:rPr>
          <w:rFonts w:ascii="Arial" w:cs="Arial" w:eastAsia="Arial" w:hAnsi="Arial"/>
          <w:sz w:val="18"/>
          <w:szCs w:val="18"/>
          <w:color w:val="auto"/>
        </w:rPr>
      </w:pPr>
      <w:r>
        <w:rPr>
          <w:rFonts w:ascii="Arial" w:cs="Arial" w:eastAsia="Arial" w:hAnsi="Arial"/>
          <w:sz w:val="18"/>
          <w:szCs w:val="18"/>
          <w:color w:val="auto"/>
        </w:rPr>
        <w:t>surrender of Shares or delivery of a properly executed form of attestation of ownership of Shares as the Administrator may require which have a Fair Market Value on the date of surrender or attestation equal to the aggregate exercise price of the Shares as to which said Award shall be exercised;</w:t>
      </w:r>
    </w:p>
    <w:p>
      <w:pPr>
        <w:spacing w:after="0" w:line="181" w:lineRule="exact"/>
        <w:rPr>
          <w:rFonts w:ascii="Arial" w:cs="Arial" w:eastAsia="Arial" w:hAnsi="Arial"/>
          <w:sz w:val="18"/>
          <w:szCs w:val="18"/>
          <w:color w:val="auto"/>
        </w:rPr>
      </w:pPr>
    </w:p>
    <w:p>
      <w:pPr>
        <w:ind w:left="2860" w:hanging="907"/>
        <w:spacing w:after="0"/>
        <w:tabs>
          <w:tab w:leader="none" w:pos="2860" w:val="left"/>
        </w:tabs>
        <w:numPr>
          <w:ilvl w:val="3"/>
          <w:numId w:val="45"/>
        </w:numPr>
        <w:rPr>
          <w:rFonts w:ascii="Arial" w:cs="Arial" w:eastAsia="Arial" w:hAnsi="Arial"/>
          <w:sz w:val="16"/>
          <w:szCs w:val="16"/>
          <w:color w:val="auto"/>
        </w:rPr>
      </w:pPr>
      <w:r>
        <w:rPr>
          <w:rFonts w:ascii="Arial" w:cs="Arial" w:eastAsia="Arial" w:hAnsi="Arial"/>
          <w:sz w:val="16"/>
          <w:szCs w:val="16"/>
          <w:color w:val="auto"/>
        </w:rPr>
        <w:t>with respect to Options, payment through a broker-dealer sale and remittance procedure pursuant to which the Grantee</w:t>
      </w:r>
    </w:p>
    <w:p>
      <w:pPr>
        <w:spacing w:after="0" w:line="72" w:lineRule="exact"/>
        <w:rPr>
          <w:rFonts w:ascii="Arial" w:cs="Arial" w:eastAsia="Arial" w:hAnsi="Arial"/>
          <w:sz w:val="16"/>
          <w:szCs w:val="16"/>
          <w:color w:val="auto"/>
        </w:rPr>
      </w:pPr>
    </w:p>
    <w:p>
      <w:pPr>
        <w:jc w:val="both"/>
        <w:ind w:firstLine="8"/>
        <w:spacing w:after="0" w:line="336" w:lineRule="auto"/>
        <w:tabs>
          <w:tab w:leader="none" w:pos="302" w:val="left"/>
        </w:tabs>
        <w:numPr>
          <w:ilvl w:val="0"/>
          <w:numId w:val="46"/>
        </w:numPr>
        <w:rPr>
          <w:rFonts w:ascii="Arial" w:cs="Arial" w:eastAsia="Arial" w:hAnsi="Arial"/>
          <w:sz w:val="17"/>
          <w:szCs w:val="17"/>
          <w:color w:val="auto"/>
        </w:rPr>
      </w:pPr>
      <w:r>
        <w:rPr>
          <w:rFonts w:ascii="Arial" w:cs="Arial" w:eastAsia="Arial" w:hAnsi="Arial"/>
          <w:sz w:val="17"/>
          <w:szCs w:val="17"/>
          <w:color w:val="auto"/>
        </w:rPr>
        <w:t>shall provide written instructions to a Company-designated brokerage firm to effect the immediate sale of some or all of the purchased Shares and remit to the Company sufficient funds to cover the aggregate exercise price payable for the purchased Shares and (B) shall provide written directives to the Company to deliver the certificates for the purchased Shares directly to such brokerage firm in order to complete the sale transaction;</w:t>
      </w:r>
    </w:p>
    <w:p>
      <w:pPr>
        <w:spacing w:after="0" w:line="164" w:lineRule="exact"/>
        <w:rPr>
          <w:rFonts w:ascii="Arial" w:cs="Arial" w:eastAsia="Arial" w:hAnsi="Arial"/>
          <w:sz w:val="17"/>
          <w:szCs w:val="17"/>
          <w:color w:val="auto"/>
        </w:rPr>
      </w:pPr>
    </w:p>
    <w:p>
      <w:pPr>
        <w:jc w:val="both"/>
        <w:ind w:firstLine="1953"/>
        <w:spacing w:after="0" w:line="304" w:lineRule="auto"/>
        <w:tabs>
          <w:tab w:leader="none" w:pos="2803" w:val="left"/>
        </w:tabs>
        <w:numPr>
          <w:ilvl w:val="3"/>
          <w:numId w:val="46"/>
        </w:numPr>
        <w:rPr>
          <w:rFonts w:ascii="Arial" w:cs="Arial" w:eastAsia="Arial" w:hAnsi="Arial"/>
          <w:sz w:val="18"/>
          <w:szCs w:val="18"/>
          <w:color w:val="auto"/>
        </w:rPr>
      </w:pPr>
      <w:r>
        <w:rPr>
          <w:rFonts w:ascii="Arial" w:cs="Arial" w:eastAsia="Arial" w:hAnsi="Arial"/>
          <w:sz w:val="18"/>
          <w:szCs w:val="18"/>
          <w:color w:val="auto"/>
        </w:rPr>
        <w:t>with respect to Options, payment through a “net exercise” such that, without the payment of any funds, the Grantee may exercise the Option and receive the net number of Shares equal to (i) the number of Shares as to which the Option is being exercised, multiplied by (ii) a fraction, the numerator of which is the Fair Market Value per Share (on such date as is determined by the Administrator) less the Exercise Price per Share, and the denominator of which is such Fair Market Value per Share (the number of net Shares to be received shall be rounded down to the nearest whole number of Shares); or</w:t>
      </w:r>
    </w:p>
    <w:p>
      <w:pPr>
        <w:spacing w:after="0" w:line="188" w:lineRule="exact"/>
        <w:rPr>
          <w:rFonts w:ascii="Arial" w:cs="Arial" w:eastAsia="Arial" w:hAnsi="Arial"/>
          <w:sz w:val="18"/>
          <w:szCs w:val="18"/>
          <w:color w:val="auto"/>
        </w:rPr>
      </w:pPr>
    </w:p>
    <w:p>
      <w:pPr>
        <w:ind w:left="2860" w:hanging="907"/>
        <w:spacing w:after="0"/>
        <w:tabs>
          <w:tab w:leader="none" w:pos="2860" w:val="left"/>
        </w:tabs>
        <w:numPr>
          <w:ilvl w:val="3"/>
          <w:numId w:val="46"/>
        </w:numPr>
        <w:rPr>
          <w:rFonts w:ascii="Arial" w:cs="Arial" w:eastAsia="Arial" w:hAnsi="Arial"/>
          <w:sz w:val="18"/>
          <w:szCs w:val="18"/>
          <w:color w:val="auto"/>
        </w:rPr>
      </w:pPr>
      <w:r>
        <w:rPr>
          <w:rFonts w:ascii="Arial" w:cs="Arial" w:eastAsia="Arial" w:hAnsi="Arial"/>
          <w:sz w:val="18"/>
          <w:szCs w:val="18"/>
          <w:color w:val="auto"/>
        </w:rPr>
        <w:t>any combination of the foregoing methods of payment.</w:t>
      </w:r>
    </w:p>
    <w:p>
      <w:pPr>
        <w:sectPr>
          <w:pgSz w:w="11900" w:h="16838" w:orient="portrait"/>
          <w:cols w:equalWidth="0" w:num="1">
            <w:col w:w="11420"/>
          </w:cols>
          <w:pgMar w:left="240" w:top="611" w:right="239" w:bottom="1440" w:gutter="0" w:footer="0" w:header="0"/>
        </w:sectPr>
      </w:pPr>
    </w:p>
    <w:bookmarkStart w:id="53" w:name="page54"/>
    <w:bookmarkEnd w:id="53"/>
    <w:p>
      <w:pPr>
        <w:jc w:val="both"/>
        <w:spacing w:after="0" w:line="264" w:lineRule="auto"/>
        <w:rPr>
          <w:sz w:val="20"/>
          <w:szCs w:val="20"/>
          <w:color w:val="auto"/>
        </w:rPr>
      </w:pPr>
      <w:r>
        <w:rPr>
          <w:rFonts w:ascii="Arial" w:cs="Arial" w:eastAsia="Arial" w:hAnsi="Arial"/>
          <w:sz w:val="18"/>
          <w:szCs w:val="18"/>
          <w:color w:val="auto"/>
        </w:rPr>
        <w:t>The Administrator may at any time or from time to time, by adoption of or by amendment to the standard forms of Award Agreement described in Section 4(b)(iv), or by other means, grant Awards which do not permit all of the foregoing forms of consideration to be used in payment for the Shares or which otherwise restrict one or more forms of consideration.</w:t>
      </w:r>
    </w:p>
    <w:p>
      <w:pPr>
        <w:spacing w:after="0" w:line="208" w:lineRule="exact"/>
        <w:rPr>
          <w:sz w:val="20"/>
          <w:szCs w:val="20"/>
          <w:color w:val="auto"/>
        </w:rPr>
      </w:pPr>
    </w:p>
    <w:p>
      <w:pPr>
        <w:jc w:val="both"/>
        <w:ind w:firstLine="1305"/>
        <w:spacing w:after="0" w:line="346" w:lineRule="auto"/>
        <w:tabs>
          <w:tab w:leader="none" w:pos="2144" w:val="left"/>
        </w:tabs>
        <w:numPr>
          <w:ilvl w:val="1"/>
          <w:numId w:val="47"/>
        </w:numPr>
        <w:rPr>
          <w:rFonts w:ascii="Arial" w:cs="Arial" w:eastAsia="Arial" w:hAnsi="Arial"/>
          <w:sz w:val="16"/>
          <w:szCs w:val="16"/>
          <w:color w:val="auto"/>
        </w:rPr>
      </w:pPr>
      <w:r>
        <w:rPr>
          <w:rFonts w:ascii="Arial" w:cs="Arial" w:eastAsia="Arial" w:hAnsi="Arial"/>
          <w:sz w:val="16"/>
          <w:szCs w:val="16"/>
          <w:u w:val="single" w:color="auto"/>
          <w:color w:val="auto"/>
        </w:rPr>
        <w:t>Taxes</w:t>
      </w:r>
      <w:r>
        <w:rPr>
          <w:rFonts w:ascii="Arial" w:cs="Arial" w:eastAsia="Arial" w:hAnsi="Arial"/>
          <w:sz w:val="16"/>
          <w:szCs w:val="16"/>
          <w:color w:val="auto"/>
        </w:rPr>
        <w:t>. No Shares shall be delivered under the Plan to any Grantee or other person until such Grantee or other person has made arrangements acceptable to the Administrator for the satisfaction of any non-U.S., federal, state, or local income and employment tax withholding obligations, including, without limitation, obligations incident to the receipt of Shares. Upon exercise or vesting of an Award, the Company shall withhold or collect from the Grantee an amount sufficient to satisfy such tax obligations, including, but not limited to, by surrender of the whole number of Shares covered by the Award sufficient to satisfy the minimum applicable tax withholding obligations incident to the exercise or vesting of an Award (reduced to the lowest whole number of Shares if such number of Shares withheld would result in withholding a fractional Share with any remaining tax withholding settled in cash).</w:t>
      </w:r>
    </w:p>
    <w:p>
      <w:pPr>
        <w:spacing w:after="0" w:line="164" w:lineRule="exact"/>
        <w:rPr>
          <w:rFonts w:ascii="Arial" w:cs="Arial" w:eastAsia="Arial" w:hAnsi="Arial"/>
          <w:sz w:val="16"/>
          <w:szCs w:val="16"/>
          <w:color w:val="auto"/>
        </w:rPr>
      </w:pPr>
    </w:p>
    <w:p>
      <w:pPr>
        <w:ind w:left="1440" w:hanging="784"/>
        <w:spacing w:after="0"/>
        <w:tabs>
          <w:tab w:leader="none" w:pos="1440"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Exercise of Award</w:t>
      </w:r>
      <w:r>
        <w:rPr>
          <w:rFonts w:ascii="Arial" w:cs="Arial" w:eastAsia="Arial" w:hAnsi="Arial"/>
          <w:sz w:val="18"/>
          <w:szCs w:val="18"/>
          <w:color w:val="auto"/>
        </w:rPr>
        <w:t>.</w:t>
      </w:r>
    </w:p>
    <w:p>
      <w:pPr>
        <w:spacing w:after="0" w:line="265" w:lineRule="exact"/>
        <w:rPr>
          <w:rFonts w:ascii="Arial" w:cs="Arial" w:eastAsia="Arial" w:hAnsi="Arial"/>
          <w:sz w:val="18"/>
          <w:szCs w:val="18"/>
          <w:color w:val="auto"/>
        </w:rPr>
      </w:pPr>
    </w:p>
    <w:p>
      <w:pPr>
        <w:ind w:left="2160" w:hanging="855"/>
        <w:spacing w:after="0"/>
        <w:tabs>
          <w:tab w:leader="none" w:pos="2160" w:val="left"/>
        </w:tabs>
        <w:numPr>
          <w:ilvl w:val="1"/>
          <w:numId w:val="48"/>
        </w:numPr>
        <w:rPr>
          <w:rFonts w:ascii="Arial" w:cs="Arial" w:eastAsia="Arial" w:hAnsi="Arial"/>
          <w:sz w:val="18"/>
          <w:szCs w:val="18"/>
          <w:color w:val="auto"/>
        </w:rPr>
      </w:pPr>
      <w:r>
        <w:rPr>
          <w:rFonts w:ascii="Arial" w:cs="Arial" w:eastAsia="Arial" w:hAnsi="Arial"/>
          <w:sz w:val="18"/>
          <w:szCs w:val="18"/>
          <w:u w:val="single" w:color="auto"/>
          <w:color w:val="auto"/>
        </w:rPr>
        <w:t>Procedure for Exercise; Rights as a Stockholder</w:t>
      </w:r>
      <w:r>
        <w:rPr>
          <w:rFonts w:ascii="Arial" w:cs="Arial" w:eastAsia="Arial" w:hAnsi="Arial"/>
          <w:sz w:val="18"/>
          <w:szCs w:val="18"/>
          <w:color w:val="auto"/>
        </w:rPr>
        <w:t>.</w:t>
      </w:r>
    </w:p>
    <w:p>
      <w:pPr>
        <w:spacing w:after="0" w:line="265" w:lineRule="exact"/>
        <w:rPr>
          <w:rFonts w:ascii="Arial" w:cs="Arial" w:eastAsia="Arial" w:hAnsi="Arial"/>
          <w:sz w:val="18"/>
          <w:szCs w:val="18"/>
          <w:color w:val="auto"/>
        </w:rPr>
      </w:pPr>
    </w:p>
    <w:p>
      <w:pPr>
        <w:ind w:firstLine="1953"/>
        <w:spacing w:after="0" w:line="324" w:lineRule="auto"/>
        <w:tabs>
          <w:tab w:leader="none" w:pos="2763" w:val="left"/>
        </w:tabs>
        <w:numPr>
          <w:ilvl w:val="2"/>
          <w:numId w:val="48"/>
        </w:numPr>
        <w:rPr>
          <w:rFonts w:ascii="Arial" w:cs="Arial" w:eastAsia="Arial" w:hAnsi="Arial"/>
          <w:sz w:val="18"/>
          <w:szCs w:val="18"/>
          <w:color w:val="auto"/>
        </w:rPr>
      </w:pPr>
      <w:r>
        <w:rPr>
          <w:rFonts w:ascii="Arial" w:cs="Arial" w:eastAsia="Arial" w:hAnsi="Arial"/>
          <w:sz w:val="18"/>
          <w:szCs w:val="18"/>
          <w:color w:val="auto"/>
        </w:rPr>
        <w:t>Any Award granted hereunder shall be exercisable at such times and under such conditions as determined by the Administrator under the terms of the Plan and specified in the Award Agreement.</w:t>
      </w:r>
    </w:p>
    <w:p>
      <w:pPr>
        <w:spacing w:after="0" w:line="170" w:lineRule="exact"/>
        <w:rPr>
          <w:rFonts w:ascii="Arial" w:cs="Arial" w:eastAsia="Arial" w:hAnsi="Arial"/>
          <w:sz w:val="18"/>
          <w:szCs w:val="18"/>
          <w:color w:val="auto"/>
        </w:rPr>
      </w:pPr>
    </w:p>
    <w:p>
      <w:pPr>
        <w:jc w:val="both"/>
        <w:ind w:firstLine="1953"/>
        <w:spacing w:after="0" w:line="306" w:lineRule="auto"/>
        <w:tabs>
          <w:tab w:leader="none" w:pos="2813" w:val="left"/>
        </w:tabs>
        <w:numPr>
          <w:ilvl w:val="2"/>
          <w:numId w:val="48"/>
        </w:numPr>
        <w:rPr>
          <w:rFonts w:ascii="Arial" w:cs="Arial" w:eastAsia="Arial" w:hAnsi="Arial"/>
          <w:sz w:val="18"/>
          <w:szCs w:val="18"/>
          <w:color w:val="auto"/>
        </w:rPr>
      </w:pPr>
      <w:r>
        <w:rPr>
          <w:rFonts w:ascii="Arial" w:cs="Arial" w:eastAsia="Arial" w:hAnsi="Arial"/>
          <w:sz w:val="18"/>
          <w:szCs w:val="18"/>
          <w:color w:val="auto"/>
        </w:rPr>
        <w:t>An Award shall be deemed to be exercised when written notice of such exercise has been given to the Company in accordance with the terms of the Award by the person entitled to exercise the Award and full payment for the Shares with respect to which the Award is exercised has been made, including, to the extent selected, use of the broker-dealer sale and remittance procedure to pay the purchase price as provided in Section 7(b)(iv).</w:t>
      </w:r>
    </w:p>
    <w:p>
      <w:pPr>
        <w:spacing w:after="0" w:line="186" w:lineRule="exact"/>
        <w:rPr>
          <w:rFonts w:ascii="Arial" w:cs="Arial" w:eastAsia="Arial" w:hAnsi="Arial"/>
          <w:sz w:val="18"/>
          <w:szCs w:val="18"/>
          <w:color w:val="auto"/>
        </w:rPr>
      </w:pPr>
    </w:p>
    <w:p>
      <w:pPr>
        <w:ind w:left="2160" w:hanging="855"/>
        <w:spacing w:after="0"/>
        <w:tabs>
          <w:tab w:leader="none" w:pos="2160" w:val="left"/>
        </w:tabs>
        <w:numPr>
          <w:ilvl w:val="1"/>
          <w:numId w:val="48"/>
        </w:numPr>
        <w:rPr>
          <w:rFonts w:ascii="Arial" w:cs="Arial" w:eastAsia="Arial" w:hAnsi="Arial"/>
          <w:sz w:val="18"/>
          <w:szCs w:val="18"/>
          <w:color w:val="auto"/>
        </w:rPr>
      </w:pPr>
      <w:r>
        <w:rPr>
          <w:rFonts w:ascii="Arial" w:cs="Arial" w:eastAsia="Arial" w:hAnsi="Arial"/>
          <w:sz w:val="18"/>
          <w:szCs w:val="18"/>
          <w:u w:val="single" w:color="auto"/>
          <w:color w:val="auto"/>
        </w:rPr>
        <w:t>Exercise of Award Following Termination of Continuous Service</w:t>
      </w:r>
      <w:r>
        <w:rPr>
          <w:rFonts w:ascii="Arial" w:cs="Arial" w:eastAsia="Arial" w:hAnsi="Arial"/>
          <w:sz w:val="18"/>
          <w:szCs w:val="18"/>
          <w:color w:val="auto"/>
        </w:rPr>
        <w:t>.</w:t>
      </w:r>
    </w:p>
    <w:p>
      <w:pPr>
        <w:spacing w:after="0" w:line="265" w:lineRule="exact"/>
        <w:rPr>
          <w:rFonts w:ascii="Arial" w:cs="Arial" w:eastAsia="Arial" w:hAnsi="Arial"/>
          <w:sz w:val="18"/>
          <w:szCs w:val="18"/>
          <w:color w:val="auto"/>
        </w:rPr>
      </w:pPr>
    </w:p>
    <w:p>
      <w:pPr>
        <w:ind w:right="20" w:firstLine="1953"/>
        <w:spacing w:after="0" w:line="324" w:lineRule="auto"/>
        <w:tabs>
          <w:tab w:leader="none" w:pos="2763" w:val="left"/>
        </w:tabs>
        <w:numPr>
          <w:ilvl w:val="2"/>
          <w:numId w:val="48"/>
        </w:numPr>
        <w:rPr>
          <w:rFonts w:ascii="Arial" w:cs="Arial" w:eastAsia="Arial" w:hAnsi="Arial"/>
          <w:sz w:val="18"/>
          <w:szCs w:val="18"/>
          <w:color w:val="auto"/>
        </w:rPr>
      </w:pPr>
      <w:r>
        <w:rPr>
          <w:rFonts w:ascii="Arial" w:cs="Arial" w:eastAsia="Arial" w:hAnsi="Arial"/>
          <w:sz w:val="18"/>
          <w:szCs w:val="18"/>
          <w:color w:val="auto"/>
        </w:rPr>
        <w:t>An Award may not be exercised after the termination date of such Award set forth in the Award Agreement and may be exercised following the termination of a Grantee’s Continuous Service only to the extent provided in the Award Agreement.</w:t>
      </w:r>
    </w:p>
    <w:p>
      <w:pPr>
        <w:spacing w:after="0" w:line="170" w:lineRule="exact"/>
        <w:rPr>
          <w:rFonts w:ascii="Arial" w:cs="Arial" w:eastAsia="Arial" w:hAnsi="Arial"/>
          <w:sz w:val="18"/>
          <w:szCs w:val="18"/>
          <w:color w:val="auto"/>
        </w:rPr>
      </w:pPr>
    </w:p>
    <w:p>
      <w:pPr>
        <w:jc w:val="both"/>
        <w:ind w:firstLine="1953"/>
        <w:spacing w:after="0" w:line="311" w:lineRule="auto"/>
        <w:tabs>
          <w:tab w:leader="none" w:pos="2813" w:val="left"/>
        </w:tabs>
        <w:numPr>
          <w:ilvl w:val="2"/>
          <w:numId w:val="48"/>
        </w:numPr>
        <w:rPr>
          <w:rFonts w:ascii="Arial" w:cs="Arial" w:eastAsia="Arial" w:hAnsi="Arial"/>
          <w:sz w:val="18"/>
          <w:szCs w:val="18"/>
          <w:color w:val="auto"/>
        </w:rPr>
      </w:pPr>
      <w:r>
        <w:rPr>
          <w:rFonts w:ascii="Arial" w:cs="Arial" w:eastAsia="Arial" w:hAnsi="Arial"/>
          <w:sz w:val="18"/>
          <w:szCs w:val="18"/>
          <w:color w:val="auto"/>
        </w:rPr>
        <w:t>Where the Award Agreement permits a Grantee to exercise an Award following the termination of the Grantee’s Continuous Service for a specified period, the Award shall terminate to the extent not exercised on the last day of the specified period or the last day of the original term of the Award, whichever occurs first.</w:t>
      </w:r>
    </w:p>
    <w:p>
      <w:pPr>
        <w:spacing w:after="0" w:line="181" w:lineRule="exact"/>
        <w:rPr>
          <w:rFonts w:ascii="Arial" w:cs="Arial" w:eastAsia="Arial" w:hAnsi="Arial"/>
          <w:sz w:val="18"/>
          <w:szCs w:val="18"/>
          <w:color w:val="auto"/>
        </w:rPr>
      </w:pPr>
    </w:p>
    <w:p>
      <w:pPr>
        <w:jc w:val="both"/>
        <w:ind w:firstLine="1953"/>
        <w:spacing w:after="0" w:line="336" w:lineRule="auto"/>
        <w:tabs>
          <w:tab w:leader="none" w:pos="2863" w:val="left"/>
        </w:tabs>
        <w:numPr>
          <w:ilvl w:val="2"/>
          <w:numId w:val="48"/>
        </w:numPr>
        <w:rPr>
          <w:rFonts w:ascii="Arial" w:cs="Arial" w:eastAsia="Arial" w:hAnsi="Arial"/>
          <w:sz w:val="17"/>
          <w:szCs w:val="17"/>
          <w:color w:val="auto"/>
        </w:rPr>
      </w:pPr>
      <w:r>
        <w:rPr>
          <w:rFonts w:ascii="Arial" w:cs="Arial" w:eastAsia="Arial" w:hAnsi="Arial"/>
          <w:sz w:val="17"/>
          <w:szCs w:val="17"/>
          <w:color w:val="auto"/>
        </w:rPr>
        <w:t>Any Award designated as an Incentive Stock Option to the extent not exercised within the time permitted by law for the exercise of Incentive Stock Options following the termination of a Grantee’s Continuous Service shall convert automatically to a Non-Qualified Stock Option and thereafter shall be exercisable as such to the extent exercisable by its terms for the period specified in the Award Agreement.</w:t>
      </w:r>
    </w:p>
    <w:p>
      <w:pPr>
        <w:spacing w:after="0" w:line="164" w:lineRule="exact"/>
        <w:rPr>
          <w:rFonts w:ascii="Arial" w:cs="Arial" w:eastAsia="Arial" w:hAnsi="Arial"/>
          <w:sz w:val="17"/>
          <w:szCs w:val="17"/>
          <w:color w:val="auto"/>
        </w:rPr>
      </w:pPr>
    </w:p>
    <w:p>
      <w:pPr>
        <w:ind w:left="1440" w:hanging="784"/>
        <w:spacing w:after="0"/>
        <w:tabs>
          <w:tab w:leader="none" w:pos="1440"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Conditions upon Issuance of Shares</w:t>
      </w:r>
      <w:r>
        <w:rPr>
          <w:rFonts w:ascii="Arial" w:cs="Arial" w:eastAsia="Arial" w:hAnsi="Arial"/>
          <w:sz w:val="18"/>
          <w:szCs w:val="18"/>
          <w:color w:val="auto"/>
        </w:rPr>
        <w:t>.</w:t>
      </w:r>
    </w:p>
    <w:p>
      <w:pPr>
        <w:spacing w:after="0" w:line="265" w:lineRule="exact"/>
        <w:rPr>
          <w:rFonts w:ascii="Arial" w:cs="Arial" w:eastAsia="Arial" w:hAnsi="Arial"/>
          <w:sz w:val="18"/>
          <w:szCs w:val="18"/>
          <w:color w:val="auto"/>
        </w:rPr>
      </w:pPr>
    </w:p>
    <w:p>
      <w:pPr>
        <w:jc w:val="both"/>
        <w:ind w:firstLine="1305"/>
        <w:spacing w:after="0" w:line="304" w:lineRule="auto"/>
        <w:tabs>
          <w:tab w:leader="none" w:pos="2144" w:val="left"/>
        </w:tabs>
        <w:numPr>
          <w:ilvl w:val="1"/>
          <w:numId w:val="48"/>
        </w:numPr>
        <w:rPr>
          <w:rFonts w:ascii="Arial" w:cs="Arial" w:eastAsia="Arial" w:hAnsi="Arial"/>
          <w:sz w:val="18"/>
          <w:szCs w:val="18"/>
          <w:color w:val="auto"/>
        </w:rPr>
      </w:pPr>
      <w:r>
        <w:rPr>
          <w:rFonts w:ascii="Arial" w:cs="Arial" w:eastAsia="Arial" w:hAnsi="Arial"/>
          <w:sz w:val="18"/>
          <w:szCs w:val="18"/>
          <w:color w:val="auto"/>
        </w:rPr>
        <w:t>If at any time the Administrator determines that the delivery of Shares pursuant to the exercise, vesting or any other provision of an Award is or may be unlawful under Applicable Laws, the vesting or right to exercise an Award or to otherwise receive Shares pursuant to the terms of an Award shall be suspended until the Administrator determines that such delivery is lawful and shall be further subject to the approval of counsel for the Company with respect to such compliance. The Company shall have no obligation to effect any registration or qualification of the Shares under federal or state laws.</w:t>
      </w:r>
    </w:p>
    <w:p>
      <w:pPr>
        <w:spacing w:after="0" w:line="188" w:lineRule="exact"/>
        <w:rPr>
          <w:rFonts w:ascii="Arial" w:cs="Arial" w:eastAsia="Arial" w:hAnsi="Arial"/>
          <w:sz w:val="18"/>
          <w:szCs w:val="18"/>
          <w:color w:val="auto"/>
        </w:rPr>
      </w:pPr>
    </w:p>
    <w:p>
      <w:pPr>
        <w:jc w:val="both"/>
        <w:ind w:firstLine="1305"/>
        <w:spacing w:after="0" w:line="336" w:lineRule="auto"/>
        <w:tabs>
          <w:tab w:leader="none" w:pos="2155" w:val="left"/>
        </w:tabs>
        <w:numPr>
          <w:ilvl w:val="1"/>
          <w:numId w:val="48"/>
        </w:numPr>
        <w:rPr>
          <w:rFonts w:ascii="Arial" w:cs="Arial" w:eastAsia="Arial" w:hAnsi="Arial"/>
          <w:sz w:val="17"/>
          <w:szCs w:val="17"/>
          <w:color w:val="auto"/>
        </w:rPr>
      </w:pPr>
      <w:r>
        <w:rPr>
          <w:rFonts w:ascii="Arial" w:cs="Arial" w:eastAsia="Arial" w:hAnsi="Arial"/>
          <w:sz w:val="17"/>
          <w:szCs w:val="17"/>
          <w:color w:val="auto"/>
        </w:rPr>
        <w:t>As a condition to the exercise of an Award, the Company may require the person exercising such Award to represent and warrant at the time of any such exercise that the Shares are being purchased only for investment and without any present intention to sell or distribute such Shares if, in the opinion of counsel for the Company, such a representation is required by any Applicable Laws.</w:t>
      </w:r>
    </w:p>
    <w:p>
      <w:pPr>
        <w:spacing w:after="0" w:line="164" w:lineRule="exact"/>
        <w:rPr>
          <w:rFonts w:ascii="Arial" w:cs="Arial" w:eastAsia="Arial" w:hAnsi="Arial"/>
          <w:sz w:val="17"/>
          <w:szCs w:val="17"/>
          <w:color w:val="auto"/>
        </w:rPr>
      </w:pPr>
    </w:p>
    <w:p>
      <w:pPr>
        <w:jc w:val="both"/>
        <w:ind w:firstLine="656"/>
        <w:spacing w:after="0" w:line="349" w:lineRule="auto"/>
        <w:tabs>
          <w:tab w:leader="none" w:pos="1521" w:val="left"/>
        </w:tabs>
        <w:numPr>
          <w:ilvl w:val="0"/>
          <w:numId w:val="48"/>
        </w:numPr>
        <w:rPr>
          <w:rFonts w:ascii="Arial" w:cs="Arial" w:eastAsia="Arial" w:hAnsi="Arial"/>
          <w:sz w:val="16"/>
          <w:szCs w:val="16"/>
          <w:color w:val="auto"/>
        </w:rPr>
      </w:pPr>
      <w:r>
        <w:rPr>
          <w:rFonts w:ascii="Arial" w:cs="Arial" w:eastAsia="Arial" w:hAnsi="Arial"/>
          <w:sz w:val="16"/>
          <w:szCs w:val="16"/>
          <w:u w:val="single" w:color="auto"/>
          <w:color w:val="auto"/>
        </w:rPr>
        <w:t>Adjustments upon Changes in Capitalization</w:t>
      </w:r>
      <w:r>
        <w:rPr>
          <w:rFonts w:ascii="Arial" w:cs="Arial" w:eastAsia="Arial" w:hAnsi="Arial"/>
          <w:sz w:val="16"/>
          <w:szCs w:val="16"/>
          <w:color w:val="auto"/>
        </w:rPr>
        <w:t>. Subject to any required action by the stockholders of the Company and Section 11 hereof, the number of Shares covered by each outstanding Award, and the number of Shares which have been authorized for issuance under the Plan but as to which no Awards have yet been granted or which have been returned to the Plan, the exercise or purchase price of each such outstanding Award, the maximum number of Shares with respect to which Awards may be granted as incentive stock options or to any Grantee in any calendar year, as well as any other terms that the Administrator determines require adjustment, shall be proportionately adjusted for (i) any increase or decrease in the number of issued Shares</w:t>
      </w:r>
    </w:p>
    <w:p>
      <w:pPr>
        <w:sectPr>
          <w:pgSz w:w="11900" w:h="16838" w:orient="portrait"/>
          <w:cols w:equalWidth="0" w:num="1">
            <w:col w:w="11420"/>
          </w:cols>
          <w:pgMar w:left="240" w:top="584" w:right="239" w:bottom="1440" w:gutter="0" w:footer="0" w:header="0"/>
        </w:sectPr>
      </w:pPr>
    </w:p>
    <w:bookmarkStart w:id="54" w:name="page55"/>
    <w:bookmarkEnd w:id="54"/>
    <w:p>
      <w:pPr>
        <w:spacing w:after="0"/>
        <w:rPr>
          <w:sz w:val="20"/>
          <w:szCs w:val="20"/>
          <w:color w:val="auto"/>
        </w:rPr>
      </w:pPr>
      <w:r>
        <w:rPr>
          <w:rFonts w:ascii="Arial" w:cs="Arial" w:eastAsia="Arial" w:hAnsi="Arial"/>
          <w:sz w:val="17"/>
          <w:szCs w:val="17"/>
          <w:color w:val="auto"/>
        </w:rPr>
        <w:t>resulting from a stock split, reverse stock split, stock dividend, combination or reclassification of the Shares, or similar transaction affecting the Shares,</w:t>
      </w:r>
    </w:p>
    <w:p>
      <w:pPr>
        <w:spacing w:after="0" w:line="61" w:lineRule="exact"/>
        <w:rPr>
          <w:sz w:val="20"/>
          <w:szCs w:val="20"/>
          <w:color w:val="auto"/>
        </w:rPr>
      </w:pPr>
    </w:p>
    <w:p>
      <w:pPr>
        <w:jc w:val="both"/>
        <w:ind w:firstLine="8"/>
        <w:spacing w:after="0" w:line="341" w:lineRule="auto"/>
        <w:tabs>
          <w:tab w:leader="none" w:pos="267" w:val="left"/>
        </w:tabs>
        <w:numPr>
          <w:ilvl w:val="0"/>
          <w:numId w:val="49"/>
        </w:numPr>
        <w:rPr>
          <w:rFonts w:ascii="Arial" w:cs="Arial" w:eastAsia="Arial" w:hAnsi="Arial"/>
          <w:sz w:val="16"/>
          <w:szCs w:val="16"/>
          <w:color w:val="auto"/>
        </w:rPr>
      </w:pPr>
      <w:r>
        <w:rPr>
          <w:rFonts w:ascii="Arial" w:cs="Arial" w:eastAsia="Arial" w:hAnsi="Arial"/>
          <w:sz w:val="16"/>
          <w:szCs w:val="16"/>
          <w:color w:val="auto"/>
        </w:rPr>
        <w:t>any other increase or decrease in the number of issued Shares effected without receipt of consideration by the Company, or (iii) any other transaction with respect to Common Stock including a corporate merger, consolidation, acquisition of property or stock, separation (including a spin-off or other distribution of stock or property), reorganization, liquidation (whether partial or complete) or any similar transaction; provided, however, that conversion of any convertible securities of the Company shall not be deemed to have been “effected without receipt of consideration.” In the event of any distribution of cash or other assets to stockholders other than a normal cash dividend, the Administrator shall also make such adjustments as provided in this Section 10 or substitute, exchange or grant Awards to effect such adjustments (collectively “adjustments”). Any such adjustments to outstanding Awards will be effected in a manner that precludes the enlargement of rights and benefits under such Awards. In connection with the foregoing adjustments, the Administrator may, in its discretion, prohibit the exercise of Awards or other issuance of Shares, cash or other consideration pursuant to Awards during certain periods of time. Except as the Administrator determines, no issuance by the Company of shares of any class, or securities convertible into shares of any class, shall affect, and no adjustment by reason hereof shall be made with respect to, the number or price of Shares subject to an Award.</w:t>
      </w:r>
    </w:p>
    <w:p>
      <w:pPr>
        <w:spacing w:after="0" w:line="167" w:lineRule="exact"/>
        <w:rPr>
          <w:rFonts w:ascii="Arial" w:cs="Arial" w:eastAsia="Arial" w:hAnsi="Arial"/>
          <w:sz w:val="16"/>
          <w:szCs w:val="16"/>
          <w:color w:val="auto"/>
        </w:rPr>
      </w:pPr>
    </w:p>
    <w:p>
      <w:pPr>
        <w:ind w:left="1520" w:hanging="864"/>
        <w:spacing w:after="0"/>
        <w:tabs>
          <w:tab w:leader="none" w:pos="1520" w:val="left"/>
        </w:tabs>
        <w:numPr>
          <w:ilvl w:val="1"/>
          <w:numId w:val="49"/>
        </w:numPr>
        <w:rPr>
          <w:rFonts w:ascii="Arial" w:cs="Arial" w:eastAsia="Arial" w:hAnsi="Arial"/>
          <w:sz w:val="18"/>
          <w:szCs w:val="18"/>
          <w:color w:val="auto"/>
        </w:rPr>
      </w:pPr>
      <w:r>
        <w:rPr>
          <w:rFonts w:ascii="Arial" w:cs="Arial" w:eastAsia="Arial" w:hAnsi="Arial"/>
          <w:sz w:val="18"/>
          <w:szCs w:val="18"/>
          <w:u w:val="single" w:color="auto"/>
          <w:color w:val="auto"/>
        </w:rPr>
        <w:t>Corporate Transactions and Changes in Control</w:t>
      </w:r>
      <w:r>
        <w:rPr>
          <w:rFonts w:ascii="Arial" w:cs="Arial" w:eastAsia="Arial" w:hAnsi="Arial"/>
          <w:sz w:val="18"/>
          <w:szCs w:val="18"/>
          <w:color w:val="auto"/>
        </w:rPr>
        <w:t>.</w:t>
      </w:r>
    </w:p>
    <w:p>
      <w:pPr>
        <w:spacing w:after="0" w:line="265" w:lineRule="exact"/>
        <w:rPr>
          <w:rFonts w:ascii="Arial" w:cs="Arial" w:eastAsia="Arial" w:hAnsi="Arial"/>
          <w:sz w:val="18"/>
          <w:szCs w:val="18"/>
          <w:color w:val="auto"/>
        </w:rPr>
      </w:pPr>
    </w:p>
    <w:p>
      <w:pPr>
        <w:ind w:left="2160" w:hanging="855"/>
        <w:spacing w:after="0"/>
        <w:tabs>
          <w:tab w:leader="none" w:pos="2160" w:val="left"/>
        </w:tabs>
        <w:numPr>
          <w:ilvl w:val="2"/>
          <w:numId w:val="49"/>
        </w:numPr>
        <w:rPr>
          <w:rFonts w:ascii="Arial" w:cs="Arial" w:eastAsia="Arial" w:hAnsi="Arial"/>
          <w:sz w:val="18"/>
          <w:szCs w:val="18"/>
          <w:color w:val="auto"/>
        </w:rPr>
      </w:pPr>
      <w:r>
        <w:rPr>
          <w:rFonts w:ascii="Arial" w:cs="Arial" w:eastAsia="Arial" w:hAnsi="Arial"/>
          <w:sz w:val="18"/>
          <w:szCs w:val="18"/>
          <w:color w:val="auto"/>
        </w:rPr>
        <w:t>With respect to Awards granted prior to the Effective Date:</w:t>
      </w:r>
    </w:p>
    <w:p>
      <w:pPr>
        <w:spacing w:after="0" w:line="265" w:lineRule="exact"/>
        <w:rPr>
          <w:rFonts w:ascii="Arial" w:cs="Arial" w:eastAsia="Arial" w:hAnsi="Arial"/>
          <w:sz w:val="18"/>
          <w:szCs w:val="18"/>
          <w:color w:val="auto"/>
        </w:rPr>
      </w:pPr>
    </w:p>
    <w:p>
      <w:pPr>
        <w:jc w:val="both"/>
        <w:ind w:firstLine="1953"/>
        <w:spacing w:after="0" w:line="311" w:lineRule="auto"/>
        <w:tabs>
          <w:tab w:leader="none" w:pos="2763" w:val="left"/>
        </w:tabs>
        <w:numPr>
          <w:ilvl w:val="3"/>
          <w:numId w:val="49"/>
        </w:numPr>
        <w:rPr>
          <w:rFonts w:ascii="Arial" w:cs="Arial" w:eastAsia="Arial" w:hAnsi="Arial"/>
          <w:sz w:val="18"/>
          <w:szCs w:val="18"/>
          <w:color w:val="auto"/>
        </w:rPr>
      </w:pPr>
      <w:r>
        <w:rPr>
          <w:rFonts w:ascii="Arial" w:cs="Arial" w:eastAsia="Arial" w:hAnsi="Arial"/>
          <w:sz w:val="18"/>
          <w:szCs w:val="18"/>
          <w:u w:val="single" w:color="auto"/>
          <w:color w:val="auto"/>
        </w:rPr>
        <w:t>Termination of Award to Extent Not Assumed in Corporate Transaction</w:t>
      </w:r>
      <w:r>
        <w:rPr>
          <w:rFonts w:ascii="Arial" w:cs="Arial" w:eastAsia="Arial" w:hAnsi="Arial"/>
          <w:sz w:val="18"/>
          <w:szCs w:val="18"/>
          <w:color w:val="auto"/>
        </w:rPr>
        <w:t>. Effective upon the consummation of a Corporate Transaction, all outstanding Awards under the Plan shall terminate. However, all such Awards shall not terminate to the extent they are Assumed in connection with the Corporate Transaction.</w:t>
      </w:r>
    </w:p>
    <w:p>
      <w:pPr>
        <w:spacing w:after="0" w:line="181" w:lineRule="exact"/>
        <w:rPr>
          <w:rFonts w:ascii="Arial" w:cs="Arial" w:eastAsia="Arial" w:hAnsi="Arial"/>
          <w:sz w:val="18"/>
          <w:szCs w:val="18"/>
          <w:color w:val="auto"/>
        </w:rPr>
      </w:pPr>
    </w:p>
    <w:p>
      <w:pPr>
        <w:ind w:left="2820" w:hanging="867"/>
        <w:spacing w:after="0"/>
        <w:tabs>
          <w:tab w:leader="none" w:pos="2820" w:val="left"/>
        </w:tabs>
        <w:numPr>
          <w:ilvl w:val="3"/>
          <w:numId w:val="49"/>
        </w:numPr>
        <w:rPr>
          <w:rFonts w:ascii="Arial" w:cs="Arial" w:eastAsia="Arial" w:hAnsi="Arial"/>
          <w:sz w:val="18"/>
          <w:szCs w:val="18"/>
          <w:color w:val="auto"/>
        </w:rPr>
      </w:pPr>
      <w:r>
        <w:rPr>
          <w:rFonts w:ascii="Arial" w:cs="Arial" w:eastAsia="Arial" w:hAnsi="Arial"/>
          <w:sz w:val="18"/>
          <w:szCs w:val="18"/>
          <w:u w:val="single" w:color="auto"/>
          <w:color w:val="auto"/>
        </w:rPr>
        <w:t>Acceleration of Award upon Corporate Transaction or Change in Control</w:t>
      </w:r>
      <w:r>
        <w:rPr>
          <w:rFonts w:ascii="Arial" w:cs="Arial" w:eastAsia="Arial" w:hAnsi="Arial"/>
          <w:sz w:val="18"/>
          <w:szCs w:val="18"/>
          <w:color w:val="auto"/>
        </w:rPr>
        <w:t>.</w:t>
      </w:r>
    </w:p>
    <w:p>
      <w:pPr>
        <w:spacing w:after="0" w:line="265" w:lineRule="exact"/>
        <w:rPr>
          <w:rFonts w:ascii="Arial" w:cs="Arial" w:eastAsia="Arial" w:hAnsi="Arial"/>
          <w:sz w:val="18"/>
          <w:szCs w:val="18"/>
          <w:color w:val="auto"/>
        </w:rPr>
      </w:pPr>
    </w:p>
    <w:p>
      <w:pPr>
        <w:jc w:val="both"/>
        <w:ind w:firstLine="2601"/>
        <w:spacing w:after="0" w:line="325" w:lineRule="auto"/>
        <w:tabs>
          <w:tab w:leader="none" w:pos="3491" w:val="left"/>
        </w:tabs>
        <w:numPr>
          <w:ilvl w:val="4"/>
          <w:numId w:val="49"/>
        </w:numPr>
        <w:rPr>
          <w:rFonts w:ascii="Arial" w:cs="Arial" w:eastAsia="Arial" w:hAnsi="Arial"/>
          <w:sz w:val="17"/>
          <w:szCs w:val="17"/>
          <w:color w:val="auto"/>
        </w:rPr>
      </w:pPr>
      <w:r>
        <w:rPr>
          <w:rFonts w:ascii="Arial" w:cs="Arial" w:eastAsia="Arial" w:hAnsi="Arial"/>
          <w:sz w:val="17"/>
          <w:szCs w:val="17"/>
          <w:u w:val="single" w:color="auto"/>
          <w:color w:val="auto"/>
        </w:rPr>
        <w:t>Corporate Transaction</w:t>
      </w:r>
      <w:r>
        <w:rPr>
          <w:rFonts w:ascii="Arial" w:cs="Arial" w:eastAsia="Arial" w:hAnsi="Arial"/>
          <w:sz w:val="17"/>
          <w:szCs w:val="17"/>
          <w:color w:val="auto"/>
        </w:rPr>
        <w:t>. Except as provided otherwise in an individual Award Agreement, in the event of a Corporate Transaction, for the portion of each Award that is neither Assumed nor Replaced, such portion of the Award shall automatically become fully vested and exercisable and be released from any repurchase or forfeiture rights (other than repurchase rights exercisable at Fair Market Value) for all of the Shares (or other consideration) at the time represented by such portion of the Award, immediately prior to the specified effective date of such Corporate Transaction, provided that the Grantee’s Continuous Service has not terminated prior to such date.</w:t>
      </w:r>
    </w:p>
    <w:p>
      <w:pPr>
        <w:spacing w:after="0" w:line="175" w:lineRule="exact"/>
        <w:rPr>
          <w:rFonts w:ascii="Arial" w:cs="Arial" w:eastAsia="Arial" w:hAnsi="Arial"/>
          <w:sz w:val="17"/>
          <w:szCs w:val="17"/>
          <w:color w:val="auto"/>
        </w:rPr>
      </w:pPr>
    </w:p>
    <w:p>
      <w:pPr>
        <w:jc w:val="both"/>
        <w:ind w:firstLine="2601"/>
        <w:spacing w:after="0" w:line="325" w:lineRule="auto"/>
        <w:tabs>
          <w:tab w:leader="none" w:pos="3481" w:val="left"/>
        </w:tabs>
        <w:numPr>
          <w:ilvl w:val="4"/>
          <w:numId w:val="49"/>
        </w:numPr>
        <w:rPr>
          <w:rFonts w:ascii="Arial" w:cs="Arial" w:eastAsia="Arial" w:hAnsi="Arial"/>
          <w:sz w:val="17"/>
          <w:szCs w:val="17"/>
          <w:color w:val="auto"/>
        </w:rPr>
      </w:pPr>
      <w:r>
        <w:rPr>
          <w:rFonts w:ascii="Arial" w:cs="Arial" w:eastAsia="Arial" w:hAnsi="Arial"/>
          <w:sz w:val="17"/>
          <w:szCs w:val="17"/>
          <w:u w:val="single" w:color="auto"/>
          <w:color w:val="auto"/>
        </w:rPr>
        <w:t>Change in Control</w:t>
      </w:r>
      <w:r>
        <w:rPr>
          <w:rFonts w:ascii="Arial" w:cs="Arial" w:eastAsia="Arial" w:hAnsi="Arial"/>
          <w:sz w:val="17"/>
          <w:szCs w:val="17"/>
          <w:color w:val="auto"/>
        </w:rPr>
        <w:t>. Except as provided otherwise in an individual Award Agreement, in the event of a Change in Control (other than a Change in Control which also is a Corporate Transaction), each Award which is at the time outstanding under the Plan automatically shall become fully vested and exercisable and be released from any repurchase or forfeiture rights (other than repurchase rights exercisable at Fair Market Value), immediately prior to the specified effective date of such Change in Control, for all of the Shares (or other consideration) at the time represented by such Award, provided that the Grantee’s Continuous Service has not terminated prior to such date.</w:t>
      </w:r>
    </w:p>
    <w:p>
      <w:pPr>
        <w:spacing w:after="0" w:line="175" w:lineRule="exact"/>
        <w:rPr>
          <w:rFonts w:ascii="Arial" w:cs="Arial" w:eastAsia="Arial" w:hAnsi="Arial"/>
          <w:sz w:val="17"/>
          <w:szCs w:val="17"/>
          <w:color w:val="auto"/>
        </w:rPr>
      </w:pPr>
    </w:p>
    <w:p>
      <w:pPr>
        <w:jc w:val="both"/>
        <w:ind w:firstLine="1305"/>
        <w:spacing w:after="0" w:line="322" w:lineRule="auto"/>
        <w:tabs>
          <w:tab w:leader="none" w:pos="2155" w:val="left"/>
        </w:tabs>
        <w:numPr>
          <w:ilvl w:val="2"/>
          <w:numId w:val="49"/>
        </w:numPr>
        <w:rPr>
          <w:rFonts w:ascii="Arial" w:cs="Arial" w:eastAsia="Arial" w:hAnsi="Arial"/>
          <w:sz w:val="17"/>
          <w:szCs w:val="17"/>
          <w:color w:val="auto"/>
        </w:rPr>
      </w:pPr>
      <w:r>
        <w:rPr>
          <w:rFonts w:ascii="Arial" w:cs="Arial" w:eastAsia="Arial" w:hAnsi="Arial"/>
          <w:sz w:val="17"/>
          <w:szCs w:val="17"/>
          <w:color w:val="auto"/>
        </w:rPr>
        <w:t>With respect to Awards granted on or after the Effective Date, if a Change in Control occurs and a Participant’s outstanding Awards are not Assumed or Replaced by the surviving or successor entity in such Change in Control, in any case, as determined by the Administrator, then immediately prior to the Change in Control such outstanding Awards, to the extent not Assumed or Replaced, shall become fully vested and, as applicable, exercisable and shall be deemed exercised or canceled in exchange for payment of the transaction consideration (net of any applicable exercise or purchase price due) immediately prior to the consummation of such transaction, and all forfeiture, repurchase and other restrictions on such Awards shall lapse immediately prior to such transaction. If an Award vests and, as applicable, is exercised or canceled and paid out in lieu of being Assumed or Replaced in connection with a Change in Control, the Award shall terminate upon the Change in Control.</w:t>
      </w:r>
    </w:p>
    <w:p>
      <w:pPr>
        <w:spacing w:after="0" w:line="176" w:lineRule="exact"/>
        <w:rPr>
          <w:rFonts w:ascii="Arial" w:cs="Arial" w:eastAsia="Arial" w:hAnsi="Arial"/>
          <w:sz w:val="17"/>
          <w:szCs w:val="17"/>
          <w:color w:val="auto"/>
        </w:rPr>
      </w:pPr>
    </w:p>
    <w:p>
      <w:pPr>
        <w:ind w:right="120" w:firstLine="1305"/>
        <w:spacing w:after="0" w:line="311" w:lineRule="auto"/>
        <w:tabs>
          <w:tab w:leader="none" w:pos="2144" w:val="left"/>
        </w:tabs>
        <w:numPr>
          <w:ilvl w:val="2"/>
          <w:numId w:val="49"/>
        </w:numPr>
        <w:rPr>
          <w:rFonts w:ascii="Arial" w:cs="Arial" w:eastAsia="Arial" w:hAnsi="Arial"/>
          <w:sz w:val="18"/>
          <w:szCs w:val="18"/>
          <w:color w:val="auto"/>
        </w:rPr>
      </w:pPr>
      <w:r>
        <w:rPr>
          <w:rFonts w:ascii="Arial" w:cs="Arial" w:eastAsia="Arial" w:hAnsi="Arial"/>
          <w:sz w:val="18"/>
          <w:szCs w:val="18"/>
          <w:u w:val="single" w:color="auto"/>
          <w:color w:val="auto"/>
        </w:rPr>
        <w:t>Effect of Acceleration on Incentive Stock Options</w:t>
      </w:r>
      <w:r>
        <w:rPr>
          <w:rFonts w:ascii="Arial" w:cs="Arial" w:eastAsia="Arial" w:hAnsi="Arial"/>
          <w:sz w:val="18"/>
          <w:szCs w:val="18"/>
          <w:color w:val="auto"/>
        </w:rPr>
        <w:t>. Any Incentive Stock Option accelerated under this Section 11 in connection with a Corporate Transaction or Change in Control shall remain exercisable as an Incentive Stock Option under the Code only to the extent the $100,000 dollar limitation of Section 422(d) of the Code is not exceeded.</w:t>
      </w:r>
    </w:p>
    <w:p>
      <w:pPr>
        <w:spacing w:after="0" w:line="181" w:lineRule="exact"/>
        <w:rPr>
          <w:rFonts w:ascii="Arial" w:cs="Arial" w:eastAsia="Arial" w:hAnsi="Arial"/>
          <w:sz w:val="18"/>
          <w:szCs w:val="18"/>
          <w:color w:val="auto"/>
        </w:rPr>
      </w:pPr>
    </w:p>
    <w:p>
      <w:pPr>
        <w:ind w:firstLine="656"/>
        <w:spacing w:after="0" w:line="324" w:lineRule="auto"/>
        <w:tabs>
          <w:tab w:leader="none" w:pos="1521" w:val="left"/>
        </w:tabs>
        <w:numPr>
          <w:ilvl w:val="1"/>
          <w:numId w:val="49"/>
        </w:numPr>
        <w:rPr>
          <w:rFonts w:ascii="Arial" w:cs="Arial" w:eastAsia="Arial" w:hAnsi="Arial"/>
          <w:sz w:val="18"/>
          <w:szCs w:val="18"/>
          <w:color w:val="auto"/>
        </w:rPr>
      </w:pPr>
      <w:r>
        <w:rPr>
          <w:rFonts w:ascii="Arial" w:cs="Arial" w:eastAsia="Arial" w:hAnsi="Arial"/>
          <w:sz w:val="18"/>
          <w:szCs w:val="18"/>
          <w:u w:val="single" w:color="auto"/>
          <w:color w:val="auto"/>
        </w:rPr>
        <w:t>Effective Date and Term of Plan</w:t>
      </w:r>
      <w:r>
        <w:rPr>
          <w:rFonts w:ascii="Arial" w:cs="Arial" w:eastAsia="Arial" w:hAnsi="Arial"/>
          <w:sz w:val="18"/>
          <w:szCs w:val="18"/>
          <w:color w:val="auto"/>
        </w:rPr>
        <w:t>. The Plan (as amended and restated) shall become effective upon the Effective Date. The Plan (as amended and restated) shall continue in effect for a term of ten (10) years from the Effective Date.</w:t>
      </w:r>
    </w:p>
    <w:p>
      <w:pPr>
        <w:spacing w:after="0" w:line="170" w:lineRule="exact"/>
        <w:rPr>
          <w:rFonts w:ascii="Arial" w:cs="Arial" w:eastAsia="Arial" w:hAnsi="Arial"/>
          <w:sz w:val="18"/>
          <w:szCs w:val="18"/>
          <w:color w:val="auto"/>
        </w:rPr>
      </w:pPr>
    </w:p>
    <w:p>
      <w:pPr>
        <w:ind w:left="1520" w:hanging="864"/>
        <w:spacing w:after="0"/>
        <w:tabs>
          <w:tab w:leader="none" w:pos="1520" w:val="left"/>
        </w:tabs>
        <w:numPr>
          <w:ilvl w:val="1"/>
          <w:numId w:val="49"/>
        </w:numPr>
        <w:rPr>
          <w:rFonts w:ascii="Arial" w:cs="Arial" w:eastAsia="Arial" w:hAnsi="Arial"/>
          <w:sz w:val="18"/>
          <w:szCs w:val="18"/>
          <w:color w:val="auto"/>
        </w:rPr>
      </w:pPr>
      <w:r>
        <w:rPr>
          <w:rFonts w:ascii="Arial" w:cs="Arial" w:eastAsia="Arial" w:hAnsi="Arial"/>
          <w:sz w:val="18"/>
          <w:szCs w:val="18"/>
          <w:u w:val="single" w:color="auto"/>
          <w:color w:val="auto"/>
        </w:rPr>
        <w:t>Amendment, Suspension or Termination of the Plan</w:t>
      </w:r>
      <w:r>
        <w:rPr>
          <w:rFonts w:ascii="Arial" w:cs="Arial" w:eastAsia="Arial" w:hAnsi="Arial"/>
          <w:sz w:val="18"/>
          <w:szCs w:val="18"/>
          <w:color w:val="auto"/>
        </w:rPr>
        <w:t>.</w:t>
      </w:r>
    </w:p>
    <w:p>
      <w:pPr>
        <w:spacing w:after="0" w:line="265" w:lineRule="exact"/>
        <w:rPr>
          <w:rFonts w:ascii="Arial" w:cs="Arial" w:eastAsia="Arial" w:hAnsi="Arial"/>
          <w:sz w:val="18"/>
          <w:szCs w:val="18"/>
          <w:color w:val="auto"/>
        </w:rPr>
      </w:pPr>
    </w:p>
    <w:p>
      <w:pPr>
        <w:jc w:val="both"/>
        <w:ind w:firstLine="1305"/>
        <w:spacing w:after="0" w:line="311" w:lineRule="auto"/>
        <w:tabs>
          <w:tab w:leader="none" w:pos="2144" w:val="left"/>
        </w:tabs>
        <w:numPr>
          <w:ilvl w:val="2"/>
          <w:numId w:val="49"/>
        </w:numPr>
        <w:rPr>
          <w:rFonts w:ascii="Arial" w:cs="Arial" w:eastAsia="Arial" w:hAnsi="Arial"/>
          <w:sz w:val="18"/>
          <w:szCs w:val="18"/>
          <w:color w:val="auto"/>
        </w:rPr>
      </w:pPr>
      <w:r>
        <w:rPr>
          <w:rFonts w:ascii="Arial" w:cs="Arial" w:eastAsia="Arial" w:hAnsi="Arial"/>
          <w:sz w:val="18"/>
          <w:szCs w:val="18"/>
          <w:color w:val="auto"/>
        </w:rPr>
        <w:t>The Board may at any time amend, suspend or terminate the Plan; provided, however, that no such amendment shall be made without the approval of the Company’s stockholders to the extent such approval is required by Applicable Laws, or if such amendment would lessen the stockholder approval requirements of Section 4(b)(vi) or this Section 13(a).</w:t>
      </w:r>
    </w:p>
    <w:p>
      <w:pPr>
        <w:sectPr>
          <w:pgSz w:w="11900" w:h="16838" w:orient="portrait"/>
          <w:cols w:equalWidth="0" w:num="1">
            <w:col w:w="11420"/>
          </w:cols>
          <w:pgMar w:left="240" w:top="611" w:right="239" w:bottom="1440" w:gutter="0" w:footer="0" w:header="0"/>
        </w:sectPr>
      </w:pPr>
    </w:p>
    <w:bookmarkStart w:id="55" w:name="page56"/>
    <w:bookmarkEnd w:id="55"/>
    <w:p>
      <w:pPr>
        <w:ind w:left="1504" w:hanging="855"/>
        <w:spacing w:after="0"/>
        <w:tabs>
          <w:tab w:leader="none" w:pos="1504" w:val="left"/>
        </w:tabs>
        <w:numPr>
          <w:ilvl w:val="1"/>
          <w:numId w:val="50"/>
        </w:numPr>
        <w:rPr>
          <w:rFonts w:ascii="Arial" w:cs="Arial" w:eastAsia="Arial" w:hAnsi="Arial"/>
          <w:sz w:val="18"/>
          <w:szCs w:val="18"/>
          <w:color w:val="auto"/>
        </w:rPr>
      </w:pPr>
      <w:r>
        <w:rPr>
          <w:rFonts w:ascii="Arial" w:cs="Arial" w:eastAsia="Arial" w:hAnsi="Arial"/>
          <w:sz w:val="18"/>
          <w:szCs w:val="18"/>
          <w:color w:val="auto"/>
        </w:rPr>
        <w:t>No Award may be granted during any suspension of the Plan or after termination of the Plan.</w:t>
      </w:r>
    </w:p>
    <w:p>
      <w:pPr>
        <w:spacing w:after="0" w:line="265" w:lineRule="exact"/>
        <w:rPr>
          <w:rFonts w:ascii="Arial" w:cs="Arial" w:eastAsia="Arial" w:hAnsi="Arial"/>
          <w:sz w:val="18"/>
          <w:szCs w:val="18"/>
          <w:color w:val="auto"/>
        </w:rPr>
      </w:pPr>
    </w:p>
    <w:p>
      <w:pPr>
        <w:ind w:left="-656" w:right="20" w:firstLine="1305"/>
        <w:spacing w:after="0" w:line="324" w:lineRule="auto"/>
        <w:tabs>
          <w:tab w:leader="none" w:pos="1488" w:val="left"/>
        </w:tabs>
        <w:numPr>
          <w:ilvl w:val="1"/>
          <w:numId w:val="50"/>
        </w:numPr>
        <w:rPr>
          <w:rFonts w:ascii="Arial" w:cs="Arial" w:eastAsia="Arial" w:hAnsi="Arial"/>
          <w:sz w:val="18"/>
          <w:szCs w:val="18"/>
          <w:color w:val="auto"/>
        </w:rPr>
      </w:pPr>
      <w:r>
        <w:rPr>
          <w:rFonts w:ascii="Arial" w:cs="Arial" w:eastAsia="Arial" w:hAnsi="Arial"/>
          <w:sz w:val="18"/>
          <w:szCs w:val="18"/>
          <w:color w:val="auto"/>
        </w:rPr>
        <w:t>No suspension or termination of the Plan (including termination of the Plan under Section 11, above) shall adversely affect any rights under Awards already granted to a Grantee.</w:t>
      </w:r>
    </w:p>
    <w:p>
      <w:pPr>
        <w:spacing w:after="0" w:line="170" w:lineRule="exact"/>
        <w:rPr>
          <w:rFonts w:ascii="Arial" w:cs="Arial" w:eastAsia="Arial" w:hAnsi="Arial"/>
          <w:sz w:val="18"/>
          <w:szCs w:val="18"/>
          <w:color w:val="auto"/>
        </w:rPr>
      </w:pPr>
    </w:p>
    <w:p>
      <w:pPr>
        <w:ind w:left="864" w:hanging="864"/>
        <w:spacing w:after="0"/>
        <w:tabs>
          <w:tab w:leader="none" w:pos="864"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Reservation of Shares</w:t>
      </w:r>
      <w:r>
        <w:rPr>
          <w:rFonts w:ascii="Arial" w:cs="Arial" w:eastAsia="Arial" w:hAnsi="Arial"/>
          <w:sz w:val="18"/>
          <w:szCs w:val="18"/>
          <w:color w:val="auto"/>
        </w:rPr>
        <w:t>.</w:t>
      </w:r>
    </w:p>
    <w:p>
      <w:pPr>
        <w:spacing w:after="0" w:line="265" w:lineRule="exact"/>
        <w:rPr>
          <w:rFonts w:ascii="Arial" w:cs="Arial" w:eastAsia="Arial" w:hAnsi="Arial"/>
          <w:sz w:val="18"/>
          <w:szCs w:val="18"/>
          <w:color w:val="auto"/>
        </w:rPr>
      </w:pPr>
    </w:p>
    <w:p>
      <w:pPr>
        <w:ind w:left="-656" w:right="20" w:firstLine="1305"/>
        <w:spacing w:after="0" w:line="324" w:lineRule="auto"/>
        <w:tabs>
          <w:tab w:leader="none" w:pos="1488" w:val="left"/>
        </w:tabs>
        <w:numPr>
          <w:ilvl w:val="1"/>
          <w:numId w:val="51"/>
        </w:numPr>
        <w:rPr>
          <w:rFonts w:ascii="Arial" w:cs="Arial" w:eastAsia="Arial" w:hAnsi="Arial"/>
          <w:sz w:val="18"/>
          <w:szCs w:val="18"/>
          <w:color w:val="auto"/>
        </w:rPr>
      </w:pPr>
      <w:r>
        <w:rPr>
          <w:rFonts w:ascii="Arial" w:cs="Arial" w:eastAsia="Arial" w:hAnsi="Arial"/>
          <w:sz w:val="18"/>
          <w:szCs w:val="18"/>
          <w:color w:val="auto"/>
        </w:rPr>
        <w:t>The Company, during the term of the Plan, will at all times reserve and keep available such number of Shares as shall be sufficient to satisfy the requirements of the Plan.</w:t>
      </w:r>
    </w:p>
    <w:p>
      <w:pPr>
        <w:spacing w:after="0" w:line="170" w:lineRule="exact"/>
        <w:rPr>
          <w:rFonts w:ascii="Arial" w:cs="Arial" w:eastAsia="Arial" w:hAnsi="Arial"/>
          <w:sz w:val="18"/>
          <w:szCs w:val="18"/>
          <w:color w:val="auto"/>
        </w:rPr>
      </w:pPr>
    </w:p>
    <w:p>
      <w:pPr>
        <w:jc w:val="both"/>
        <w:ind w:left="-656" w:firstLine="1305"/>
        <w:spacing w:after="0" w:line="311" w:lineRule="auto"/>
        <w:tabs>
          <w:tab w:leader="none" w:pos="1498" w:val="left"/>
        </w:tabs>
        <w:numPr>
          <w:ilvl w:val="1"/>
          <w:numId w:val="51"/>
        </w:numPr>
        <w:rPr>
          <w:rFonts w:ascii="Arial" w:cs="Arial" w:eastAsia="Arial" w:hAnsi="Arial"/>
          <w:sz w:val="18"/>
          <w:szCs w:val="18"/>
          <w:color w:val="auto"/>
        </w:rPr>
      </w:pPr>
      <w:r>
        <w:rPr>
          <w:rFonts w:ascii="Arial" w:cs="Arial" w:eastAsia="Arial" w:hAnsi="Arial"/>
          <w:sz w:val="18"/>
          <w:szCs w:val="18"/>
          <w:color w:val="auto"/>
        </w:rPr>
        <w:t>The inability of the Company to obtain authority from any regulatory body having jurisdiction, which authority is deemed by the Company’s counsel to be necessary to the lawful issuance and sale of any Shares hereunder, shall relieve the Company of any liability in respect of the failure to issue or sell such Shares as to which such requisite authority shall not have been obtained.</w:t>
      </w:r>
    </w:p>
    <w:p>
      <w:pPr>
        <w:spacing w:after="0" w:line="181" w:lineRule="exact"/>
        <w:rPr>
          <w:rFonts w:ascii="Arial" w:cs="Arial" w:eastAsia="Arial" w:hAnsi="Arial"/>
          <w:sz w:val="18"/>
          <w:szCs w:val="18"/>
          <w:color w:val="auto"/>
        </w:rPr>
      </w:pPr>
    </w:p>
    <w:p>
      <w:pPr>
        <w:jc w:val="both"/>
        <w:ind w:left="-656" w:firstLine="656"/>
        <w:spacing w:after="0" w:line="304" w:lineRule="auto"/>
        <w:tabs>
          <w:tab w:leader="none" w:pos="865"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No Effect on Terms of Employment/Consulting Relationship</w:t>
      </w:r>
      <w:r>
        <w:rPr>
          <w:rFonts w:ascii="Arial" w:cs="Arial" w:eastAsia="Arial" w:hAnsi="Arial"/>
          <w:sz w:val="18"/>
          <w:szCs w:val="18"/>
          <w:color w:val="auto"/>
        </w:rPr>
        <w:t>. The Plan shall not confer upon any Grantee any right with respect to the Grantee’s Continuous Service, nor shall it interfere in any way with his or her right or the right of the Company or any Related Entity to terminate the Grantee’s Continuous Service at any time, with or without Cause including, but not limited to, Cause, and with or without notice. The ability of the Company or any Related Entity to terminate the employment of a Grantee who is employed at will is in no way affected by its determination that the Grantee’s Continuous Service has been terminated for Cause for the purposes of this Plan.</w:t>
      </w:r>
    </w:p>
    <w:p>
      <w:pPr>
        <w:spacing w:after="0" w:line="188" w:lineRule="exact"/>
        <w:rPr>
          <w:rFonts w:ascii="Arial" w:cs="Arial" w:eastAsia="Arial" w:hAnsi="Arial"/>
          <w:sz w:val="18"/>
          <w:szCs w:val="18"/>
          <w:color w:val="auto"/>
        </w:rPr>
      </w:pPr>
    </w:p>
    <w:p>
      <w:pPr>
        <w:jc w:val="both"/>
        <w:ind w:left="-656" w:firstLine="656"/>
        <w:spacing w:after="0" w:line="304" w:lineRule="auto"/>
        <w:tabs>
          <w:tab w:leader="none" w:pos="865"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No Effect on Retirement and Other Benefit Plans</w:t>
      </w:r>
      <w:r>
        <w:rPr>
          <w:rFonts w:ascii="Arial" w:cs="Arial" w:eastAsia="Arial" w:hAnsi="Arial"/>
          <w:sz w:val="18"/>
          <w:szCs w:val="18"/>
          <w:color w:val="auto"/>
        </w:rPr>
        <w:t>. Except as specifically provided in a retirement or other benefit plan of the Company or a Related Entity, Awards shall not be deemed compensation for purposes of computing benefits or contributions under any retirement plan of the Company or a Related Entity, and shall not affect any benefits under any other benefit plan of any kind or any benefit plan subsequently instituted under which the availability or amount of benefits is related to level of compensation. The Plan is not a “Pension Plan” or “Welfare Plan” under the Employee Retirement Income Security Act of 1974, as amended.</w:t>
      </w:r>
    </w:p>
    <w:p>
      <w:pPr>
        <w:spacing w:after="0" w:line="188" w:lineRule="exact"/>
        <w:rPr>
          <w:rFonts w:ascii="Arial" w:cs="Arial" w:eastAsia="Arial" w:hAnsi="Arial"/>
          <w:sz w:val="18"/>
          <w:szCs w:val="18"/>
          <w:color w:val="auto"/>
        </w:rPr>
      </w:pPr>
    </w:p>
    <w:p>
      <w:pPr>
        <w:jc w:val="both"/>
        <w:ind w:left="-656" w:firstLine="656"/>
        <w:spacing w:after="0" w:line="322" w:lineRule="auto"/>
        <w:tabs>
          <w:tab w:leader="none" w:pos="865" w:val="left"/>
        </w:tabs>
        <w:numPr>
          <w:ilvl w:val="0"/>
          <w:numId w:val="51"/>
        </w:numPr>
        <w:rPr>
          <w:rFonts w:ascii="Arial" w:cs="Arial" w:eastAsia="Arial" w:hAnsi="Arial"/>
          <w:sz w:val="17"/>
          <w:szCs w:val="17"/>
          <w:color w:val="auto"/>
        </w:rPr>
      </w:pPr>
      <w:r>
        <w:rPr>
          <w:rFonts w:ascii="Arial" w:cs="Arial" w:eastAsia="Arial" w:hAnsi="Arial"/>
          <w:sz w:val="17"/>
          <w:szCs w:val="17"/>
          <w:u w:val="single" w:color="auto"/>
          <w:color w:val="auto"/>
        </w:rPr>
        <w:t>Stockholder Approval</w:t>
      </w:r>
      <w:r>
        <w:rPr>
          <w:rFonts w:ascii="Arial" w:cs="Arial" w:eastAsia="Arial" w:hAnsi="Arial"/>
          <w:sz w:val="17"/>
          <w:szCs w:val="17"/>
          <w:color w:val="auto"/>
        </w:rPr>
        <w:t>. The Plan (as amended and restated) will be submitted for the approval of the Company’s stockholders within twelve (12) months after the date of the Board’s initial adoption of the Plan (as amended and restated). Awards may be granted or awarded under the Plan (as amended and restated) and subject to the terms and conditions of the Original Plan following the Board’s adoption of the Plan (as amended and restated) unless and until the Plan (as amended and restated) receives stockholder approval. Awards granted from and after stockholder approval of the Plan (as amended and restated) will be subject to the terms and conditions of the Plan (as amended and restated). If the Plan (as amended and restated) is not approved by stockholders within twelve (12) months after its adoption by the Board, then the Original Plan shall continue on its existing terms and conditions and the Plan (as amended and restated) shall be of no force or effect.</w:t>
      </w:r>
    </w:p>
    <w:p>
      <w:pPr>
        <w:spacing w:after="0" w:line="176" w:lineRule="exact"/>
        <w:rPr>
          <w:rFonts w:ascii="Arial" w:cs="Arial" w:eastAsia="Arial" w:hAnsi="Arial"/>
          <w:sz w:val="17"/>
          <w:szCs w:val="17"/>
          <w:color w:val="auto"/>
        </w:rPr>
      </w:pPr>
    </w:p>
    <w:p>
      <w:pPr>
        <w:jc w:val="both"/>
        <w:ind w:left="-656" w:firstLine="656"/>
        <w:spacing w:after="0" w:line="320" w:lineRule="auto"/>
        <w:tabs>
          <w:tab w:leader="none" w:pos="865" w:val="left"/>
        </w:tabs>
        <w:numPr>
          <w:ilvl w:val="0"/>
          <w:numId w:val="51"/>
        </w:numPr>
        <w:rPr>
          <w:rFonts w:ascii="Arial" w:cs="Arial" w:eastAsia="Arial" w:hAnsi="Arial"/>
          <w:sz w:val="17"/>
          <w:szCs w:val="17"/>
          <w:color w:val="auto"/>
        </w:rPr>
      </w:pPr>
      <w:r>
        <w:rPr>
          <w:rFonts w:ascii="Arial" w:cs="Arial" w:eastAsia="Arial" w:hAnsi="Arial"/>
          <w:sz w:val="17"/>
          <w:szCs w:val="17"/>
          <w:u w:val="single" w:color="auto"/>
          <w:color w:val="auto"/>
        </w:rPr>
        <w:t>Unfunded Obligation</w:t>
      </w:r>
      <w:r>
        <w:rPr>
          <w:rFonts w:ascii="Arial" w:cs="Arial" w:eastAsia="Arial" w:hAnsi="Arial"/>
          <w:sz w:val="17"/>
          <w:szCs w:val="17"/>
          <w:color w:val="auto"/>
        </w:rPr>
        <w:t>. Grantees shall have the status of general unsecured creditors of the Company. Any amounts payable to Grantees pursuant to the Plan shall be unfunded and unsecured obligations for all purposes, including, without limitation, Title I of the Employee Retirement Income Security Act of 1974, as amended. Neither the Company nor any Related Entity shall be required to segregate any monies from its general funds, or to create any trusts, or establish any special accounts with respect to such obligations. The Company shall retain at all times beneficial ownership of any investments, including trust investments, which the Company may make to fulfill its payment obligations hereunder. Any investments or the creation or maintenance of any trust or any Grantee account shall not create or constitute a trust or fiduciary relationship between the Administrator, the Company or any Related Entity and a Grantee, or otherwise create any vested or beneficial interest in any Grantee or the Grantee’s creditors in any assets of the Company or a Related Entity. The Grantees shall have no claim against the Company or any Related Entity for any changes in the value of any assets that may be invested or reinvested by the Company with respect to the Plan.</w:t>
      </w:r>
    </w:p>
    <w:p>
      <w:pPr>
        <w:spacing w:after="0" w:line="179" w:lineRule="exact"/>
        <w:rPr>
          <w:rFonts w:ascii="Arial" w:cs="Arial" w:eastAsia="Arial" w:hAnsi="Arial"/>
          <w:sz w:val="17"/>
          <w:szCs w:val="17"/>
          <w:color w:val="auto"/>
        </w:rPr>
      </w:pPr>
    </w:p>
    <w:p>
      <w:pPr>
        <w:jc w:val="both"/>
        <w:ind w:left="-656" w:firstLine="656"/>
        <w:spacing w:after="0" w:line="297" w:lineRule="auto"/>
        <w:tabs>
          <w:tab w:leader="none" w:pos="865"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Construction</w:t>
      </w:r>
      <w:r>
        <w:rPr>
          <w:rFonts w:ascii="Arial" w:cs="Arial" w:eastAsia="Arial" w:hAnsi="Arial"/>
          <w:sz w:val="18"/>
          <w:szCs w:val="18"/>
          <w:color w:val="auto"/>
        </w:rPr>
        <w:t>. Captions and titles contained herein are for convenience only and shall not affect the meaning or interpretation of any provision of the Plan. Except when otherwise indicated by the context, the singular shall include the plural and the plural shall include the singular. Use of the term “or” is not intended to be exclusive, unless the context clearly requires otherwise.</w:t>
      </w:r>
    </w:p>
    <w:p>
      <w:pPr>
        <w:spacing w:after="0" w:line="1" w:lineRule="exact"/>
        <w:rPr>
          <w:rFonts w:ascii="Arial" w:cs="Arial" w:eastAsia="Arial" w:hAnsi="Arial"/>
          <w:sz w:val="18"/>
          <w:szCs w:val="18"/>
          <w:color w:val="auto"/>
        </w:rPr>
      </w:pPr>
    </w:p>
    <w:p>
      <w:pPr>
        <w:jc w:val="both"/>
        <w:ind w:left="-656" w:firstLine="656"/>
        <w:spacing w:after="0" w:line="329" w:lineRule="auto"/>
        <w:tabs>
          <w:tab w:leader="none" w:pos="865" w:val="left"/>
        </w:tabs>
        <w:numPr>
          <w:ilvl w:val="0"/>
          <w:numId w:val="51"/>
        </w:numPr>
        <w:rPr>
          <w:rFonts w:ascii="Arial" w:cs="Arial" w:eastAsia="Arial" w:hAnsi="Arial"/>
          <w:sz w:val="17"/>
          <w:szCs w:val="17"/>
          <w:color w:val="auto"/>
        </w:rPr>
      </w:pPr>
      <w:r>
        <w:rPr>
          <w:rFonts w:ascii="Arial" w:cs="Arial" w:eastAsia="Arial" w:hAnsi="Arial"/>
          <w:sz w:val="17"/>
          <w:szCs w:val="17"/>
          <w:u w:val="single" w:color="auto"/>
          <w:color w:val="auto"/>
        </w:rPr>
        <w:t>Nonexclusivity of the Plan</w:t>
      </w:r>
      <w:r>
        <w:rPr>
          <w:rFonts w:ascii="Arial" w:cs="Arial" w:eastAsia="Arial" w:hAnsi="Arial"/>
          <w:sz w:val="17"/>
          <w:szCs w:val="17"/>
          <w:color w:val="auto"/>
        </w:rPr>
        <w:t>. Neither the adoption of the Plan (as amended and restated) by the Board, the submission of the Plan (as amended and restated) to the stockholders of the Company for approval, nor any provision of the Plan will be construed as creating any limitations on the power of the Board to adopt such additional compensation arrangements as it may deem desirable, including, without limitation, the granting of Awards otherwise than under the Plan, and such arrangements may be either generally applicable or applicable only in specific cases.</w:t>
      </w:r>
    </w:p>
    <w:p>
      <w:pPr>
        <w:sectPr>
          <w:pgSz w:w="11900" w:h="16838" w:orient="portrait"/>
          <w:cols w:equalWidth="0" w:num="1">
            <w:col w:w="10764"/>
          </w:cols>
          <w:pgMar w:left="896" w:top="827" w:right="239" w:bottom="1440" w:gutter="0" w:footer="0" w:header="0"/>
        </w:sectPr>
      </w:pPr>
    </w:p>
    <w:bookmarkStart w:id="56" w:name="page57"/>
    <w:bookmarkEnd w:id="56"/>
    <w:p>
      <w:pPr>
        <w:ind w:left="-656" w:firstLine="656"/>
        <w:spacing w:after="0" w:line="324" w:lineRule="auto"/>
        <w:tabs>
          <w:tab w:leader="none" w:pos="865"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The Plan and any agreements hereunder shall be administered, interpreted and enforced under the internal laws of the State of Delaware without regard to conflicts of laws thereof.</w:t>
      </w:r>
    </w:p>
    <w:p>
      <w:pPr>
        <w:sectPr>
          <w:pgSz w:w="11900" w:h="16838" w:orient="portrait"/>
          <w:cols w:equalWidth="0" w:num="1">
            <w:col w:w="10764"/>
          </w:cols>
          <w:pgMar w:left="896" w:top="827" w:right="2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 OF CHIEF EXECUTIVE OFFICER PURSUANT TO SECTION 302 OF THE SARBANES-OXLEY ACT OF 2002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Vivek Jain, certify that:</w:t>
      </w:r>
    </w:p>
    <w:p>
      <w:pPr>
        <w:spacing w:after="0" w:line="225" w:lineRule="exact"/>
        <w:rPr>
          <w:sz w:val="20"/>
          <w:szCs w:val="20"/>
          <w:color w:val="auto"/>
        </w:rPr>
      </w:pPr>
    </w:p>
    <w:p>
      <w:pPr>
        <w:ind w:left="1300" w:hanging="644"/>
        <w:spacing w:after="0"/>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ICU Medical, Inc.;</w:t>
      </w:r>
    </w:p>
    <w:p>
      <w:pPr>
        <w:spacing w:after="0" w:line="225" w:lineRule="exact"/>
        <w:rPr>
          <w:rFonts w:ascii="Arial" w:cs="Arial" w:eastAsia="Arial" w:hAnsi="Arial"/>
          <w:sz w:val="18"/>
          <w:szCs w:val="18"/>
          <w:color w:val="auto"/>
        </w:rPr>
      </w:pPr>
    </w:p>
    <w:p>
      <w:pPr>
        <w:ind w:left="1300" w:right="120" w:hanging="644"/>
        <w:spacing w:after="0" w:line="264" w:lineRule="auto"/>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1300" w:right="400" w:hanging="644"/>
        <w:spacing w:after="0" w:line="342" w:lineRule="auto"/>
        <w:tabs>
          <w:tab w:leader="none" w:pos="13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ind w:left="1300" w:right="20" w:hanging="644"/>
        <w:spacing w:after="0" w:line="264" w:lineRule="auto"/>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ind w:left="1300" w:right="80" w:hanging="644"/>
        <w:spacing w:after="0" w:line="264" w:lineRule="auto"/>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00" w:right="220" w:hanging="644"/>
        <w:spacing w:after="0" w:line="264" w:lineRule="auto"/>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00" w:right="380" w:hanging="644"/>
        <w:spacing w:after="0" w:line="342" w:lineRule="auto"/>
        <w:tabs>
          <w:tab w:leader="none" w:pos="13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80" w:hanging="644"/>
        <w:spacing w:after="0" w:line="264" w:lineRule="auto"/>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left="1300" w:right="320" w:hanging="644"/>
        <w:spacing w:after="0" w:line="264" w:lineRule="auto"/>
        <w:tabs>
          <w:tab w:leader="none" w:pos="1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1" w:lineRule="exact"/>
        <w:rPr>
          <w:sz w:val="20"/>
          <w:szCs w:val="20"/>
          <w:color w:val="auto"/>
        </w:rPr>
      </w:pPr>
    </w:p>
    <w:p>
      <w:pPr>
        <w:ind w:left="1300" w:right="620" w:hanging="644"/>
        <w:spacing w:after="0" w:line="342" w:lineRule="auto"/>
        <w:tabs>
          <w:tab w:leader="none" w:pos="1300" w:val="left"/>
        </w:tabs>
        <w:numPr>
          <w:ilvl w:val="0"/>
          <w:numId w:val="5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320" w:hanging="644"/>
        <w:spacing w:after="0" w:line="277" w:lineRule="auto"/>
        <w:tabs>
          <w:tab w:leader="none" w:pos="13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280"/>
        <w:spacing w:after="0"/>
        <w:tabs>
          <w:tab w:leader="none" w:pos="5840" w:val="left"/>
        </w:tabs>
        <w:rPr>
          <w:sz w:val="20"/>
          <w:szCs w:val="20"/>
          <w:color w:val="auto"/>
        </w:rPr>
      </w:pPr>
      <w:r>
        <w:rPr>
          <w:rFonts w:ascii="Arial" w:cs="Arial" w:eastAsia="Arial" w:hAnsi="Arial"/>
          <w:sz w:val="18"/>
          <w:szCs w:val="18"/>
          <w:color w:val="auto"/>
        </w:rPr>
        <w:t>Date: May 10, 2018</w:t>
      </w:r>
      <w:r>
        <w:rPr>
          <w:sz w:val="20"/>
          <w:szCs w:val="20"/>
          <w:color w:val="auto"/>
        </w:rPr>
        <w:tab/>
      </w:r>
      <w:r>
        <w:rPr>
          <w:rFonts w:ascii="Arial" w:cs="Arial" w:eastAsia="Arial" w:hAnsi="Arial"/>
          <w:sz w:val="16"/>
          <w:szCs w:val="16"/>
          <w:color w:val="auto"/>
        </w:rPr>
        <w:t>/s/ Vivek Jain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 OF CHIEF FINANCIAL OFFICER PURSUANT TO SECTION 302 OF THE SARBANES-OXLEY ACT OF 2002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Scott E. Lamb, certify that:</w:t>
      </w:r>
    </w:p>
    <w:p>
      <w:pPr>
        <w:spacing w:after="0" w:line="225" w:lineRule="exact"/>
        <w:rPr>
          <w:sz w:val="20"/>
          <w:szCs w:val="20"/>
          <w:color w:val="auto"/>
        </w:rPr>
      </w:pPr>
    </w:p>
    <w:p>
      <w:pPr>
        <w:ind w:left="1160" w:hanging="585"/>
        <w:spacing w:after="0"/>
        <w:tabs>
          <w:tab w:leader="none" w:pos="11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ICU Medical, Inc.;</w:t>
      </w:r>
    </w:p>
    <w:p>
      <w:pPr>
        <w:spacing w:after="0" w:line="265" w:lineRule="exact"/>
        <w:rPr>
          <w:rFonts w:ascii="Arial" w:cs="Arial" w:eastAsia="Arial" w:hAnsi="Arial"/>
          <w:sz w:val="18"/>
          <w:szCs w:val="18"/>
          <w:color w:val="auto"/>
        </w:rPr>
      </w:pPr>
    </w:p>
    <w:p>
      <w:pPr>
        <w:jc w:val="both"/>
        <w:ind w:left="1140" w:right="80" w:hanging="565"/>
        <w:spacing w:after="0" w:line="264" w:lineRule="auto"/>
        <w:tabs>
          <w:tab w:leader="none" w:pos="11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1140" w:right="40" w:hanging="565"/>
        <w:spacing w:after="0" w:line="308" w:lineRule="auto"/>
        <w:tabs>
          <w:tab w:leader="none" w:pos="1140" w:val="left"/>
        </w:tabs>
        <w:numPr>
          <w:ilvl w:val="0"/>
          <w:numId w:val="5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1140" w:right="180" w:hanging="565"/>
        <w:spacing w:after="0" w:line="264" w:lineRule="auto"/>
        <w:tabs>
          <w:tab w:leader="none" w:pos="11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ind w:left="1140" w:right="60" w:hanging="565"/>
        <w:spacing w:after="0" w:line="264" w:lineRule="auto"/>
        <w:tabs>
          <w:tab w:leader="none" w:pos="11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140" w:right="380" w:hanging="565"/>
        <w:spacing w:after="0" w:line="264" w:lineRule="auto"/>
        <w:tabs>
          <w:tab w:leader="none" w:pos="11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140" w:right="540" w:hanging="565"/>
        <w:spacing w:after="0" w:line="342" w:lineRule="auto"/>
        <w:tabs>
          <w:tab w:leader="none" w:pos="1140" w:val="left"/>
        </w:tabs>
        <w:numPr>
          <w:ilvl w:val="0"/>
          <w:numId w:val="5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140" w:right="60" w:hanging="565"/>
        <w:spacing w:after="0" w:line="264" w:lineRule="auto"/>
        <w:tabs>
          <w:tab w:leader="none" w:pos="11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left="1140" w:right="140" w:hanging="565"/>
        <w:spacing w:after="0" w:line="342" w:lineRule="auto"/>
        <w:tabs>
          <w:tab w:leader="none" w:pos="114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sz w:val="20"/>
          <w:szCs w:val="20"/>
          <w:color w:val="auto"/>
        </w:rPr>
      </w:pPr>
    </w:p>
    <w:p>
      <w:pPr>
        <w:ind w:left="1140" w:right="800" w:hanging="565"/>
        <w:spacing w:after="0" w:line="342" w:lineRule="auto"/>
        <w:tabs>
          <w:tab w:leader="none" w:pos="1140" w:val="left"/>
        </w:tabs>
        <w:numPr>
          <w:ilvl w:val="0"/>
          <w:numId w:val="6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140" w:right="480" w:hanging="565"/>
        <w:spacing w:after="0" w:line="277" w:lineRule="auto"/>
        <w:tabs>
          <w:tab w:leader="none" w:pos="11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260"/>
        <w:spacing w:after="0"/>
        <w:tabs>
          <w:tab w:leader="none" w:pos="5380" w:val="left"/>
        </w:tabs>
        <w:rPr>
          <w:sz w:val="20"/>
          <w:szCs w:val="20"/>
          <w:color w:val="auto"/>
        </w:rPr>
      </w:pPr>
      <w:r>
        <w:rPr>
          <w:rFonts w:ascii="Arial" w:cs="Arial" w:eastAsia="Arial" w:hAnsi="Arial"/>
          <w:sz w:val="18"/>
          <w:szCs w:val="18"/>
          <w:color w:val="auto"/>
        </w:rPr>
        <w:t>Date: May 10, 2018</w:t>
      </w:r>
      <w:r>
        <w:rPr>
          <w:sz w:val="20"/>
          <w:szCs w:val="20"/>
          <w:color w:val="auto"/>
        </w:rPr>
        <w:tab/>
      </w:r>
      <w:r>
        <w:rPr>
          <w:rFonts w:ascii="Arial" w:cs="Arial" w:eastAsia="Arial" w:hAnsi="Arial"/>
          <w:sz w:val="16"/>
          <w:szCs w:val="16"/>
          <w:color w:val="auto"/>
        </w:rPr>
        <w:t>/s/ Scott E. Lamb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3409950</wp:posOffset>
            </wp:positionH>
            <wp:positionV relativeFrom="paragraph">
              <wp:posOffset>31750</wp:posOffset>
            </wp:positionV>
            <wp:extent cx="367919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679190" cy="8890"/>
                    </a:xfrm>
                    <a:prstGeom prst="rect">
                      <a:avLst/>
                    </a:prstGeom>
                    <a:noFill/>
                  </pic:spPr>
                </pic:pic>
              </a:graphicData>
            </a:graphic>
          </wp:anchor>
        </w:drawing>
      </w:r>
    </w:p>
    <w:p>
      <w:pPr>
        <w:spacing w:after="0" w:line="57"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 connection with the Quarterly Report of ICU Medical, Inc. (the “Company”) on Form 10-Q for the period ended March 31, 2018 as filed with the Securities and Exchange Commission on the date hereof (the “Report”), I, Vivek Jain, Chief Executive Officer of the Company, certify, pursuant to 18 U.S.C. § 1350, as adopted pursuant to § 906 of the Sarbanes-Oxley Act of 2002, that:</w:t>
      </w:r>
    </w:p>
    <w:p>
      <w:pPr>
        <w:spacing w:after="0" w:line="181" w:lineRule="exact"/>
        <w:rPr>
          <w:sz w:val="20"/>
          <w:szCs w:val="20"/>
          <w:color w:val="auto"/>
        </w:rPr>
      </w:pPr>
    </w:p>
    <w:p>
      <w:pPr>
        <w:ind w:left="340" w:hanging="332"/>
        <w:spacing w:after="0"/>
        <w:tabs>
          <w:tab w:leader="none" w:pos="3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99" w:lineRule="exact"/>
        <w:rPr>
          <w:sz w:val="20"/>
          <w:szCs w:val="20"/>
          <w:color w:val="auto"/>
        </w:rPr>
      </w:pPr>
    </w:p>
    <w:p>
      <w:pPr>
        <w:ind w:left="40"/>
        <w:spacing w:after="0"/>
        <w:tabs>
          <w:tab w:leader="none" w:pos="5840" w:val="left"/>
        </w:tabs>
        <w:rPr>
          <w:sz w:val="20"/>
          <w:szCs w:val="20"/>
          <w:color w:val="auto"/>
        </w:rPr>
      </w:pPr>
      <w:r>
        <w:rPr>
          <w:rFonts w:ascii="Arial" w:cs="Arial" w:eastAsia="Arial" w:hAnsi="Arial"/>
          <w:sz w:val="18"/>
          <w:szCs w:val="18"/>
          <w:color w:val="auto"/>
        </w:rPr>
        <w:t>May 10, 2018</w:t>
      </w:r>
      <w:r>
        <w:rPr>
          <w:sz w:val="20"/>
          <w:szCs w:val="20"/>
          <w:color w:val="auto"/>
        </w:rPr>
        <w:tab/>
      </w:r>
      <w:r>
        <w:rPr>
          <w:rFonts w:ascii="Arial" w:cs="Arial" w:eastAsia="Arial" w:hAnsi="Arial"/>
          <w:sz w:val="16"/>
          <w:szCs w:val="16"/>
          <w:color w:val="auto"/>
        </w:rPr>
        <w:t>/s/ Vivek Jain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Vivek Jain</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In connection with the Quarterly Report of ICU Medical, Inc. (the “Company”) on Form 10-Q for the period ended March 31, 2018 as filed with the Securities and Exchange Commission on the date hereof (the “Report”), I, Scott E. Lamb, Chief Financial Officer of the Company, certify, pursuant to 18 U.S.C. § 1350, as adopted pursuant to § 906 of the Sarbanes-Oxley Act of 2002, that:</w:t>
      </w:r>
    </w:p>
    <w:p>
      <w:pPr>
        <w:spacing w:after="0" w:line="181" w:lineRule="exact"/>
        <w:rPr>
          <w:sz w:val="20"/>
          <w:szCs w:val="20"/>
          <w:color w:val="auto"/>
        </w:rPr>
      </w:pPr>
    </w:p>
    <w:p>
      <w:pPr>
        <w:ind w:left="340" w:hanging="332"/>
        <w:spacing w:after="0"/>
        <w:tabs>
          <w:tab w:leader="none" w:pos="3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99" w:lineRule="exact"/>
        <w:rPr>
          <w:sz w:val="20"/>
          <w:szCs w:val="20"/>
          <w:color w:val="auto"/>
        </w:rPr>
      </w:pPr>
    </w:p>
    <w:p>
      <w:pPr>
        <w:ind w:left="40"/>
        <w:spacing w:after="0"/>
        <w:tabs>
          <w:tab w:leader="none" w:pos="5840" w:val="left"/>
        </w:tabs>
        <w:rPr>
          <w:sz w:val="20"/>
          <w:szCs w:val="20"/>
          <w:color w:val="auto"/>
        </w:rPr>
      </w:pPr>
      <w:r>
        <w:rPr>
          <w:rFonts w:ascii="Arial" w:cs="Arial" w:eastAsia="Arial" w:hAnsi="Arial"/>
          <w:sz w:val="18"/>
          <w:szCs w:val="18"/>
          <w:color w:val="auto"/>
        </w:rPr>
        <w:t>May 10, 2018</w:t>
      </w:r>
      <w:r>
        <w:rPr>
          <w:sz w:val="20"/>
          <w:szCs w:val="20"/>
          <w:color w:val="auto"/>
        </w:rPr>
        <w:tab/>
      </w:r>
      <w:r>
        <w:rPr>
          <w:rFonts w:ascii="Arial" w:cs="Arial" w:eastAsia="Arial" w:hAnsi="Arial"/>
          <w:sz w:val="16"/>
          <w:szCs w:val="16"/>
          <w:color w:val="auto"/>
        </w:rPr>
        <w:t>/s/ Scott E. Lamb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Scott E. Lamb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37B8DDC"/>
    <w:multiLevelType w:val="hybridMultilevel"/>
    <w:lvl w:ilvl="0">
      <w:lvlJc w:val="left"/>
      <w:lvlText w:val="x"/>
      <w:numFmt w:val="bullet"/>
      <w:start w:val="1"/>
    </w:lvl>
  </w:abstractNum>
  <w:abstractNum w:abstractNumId="1">
    <w:nsid w:val="6CEAF087"/>
    <w:multiLevelType w:val="hybridMultilevel"/>
    <w:lvl w:ilvl="0">
      <w:lvlJc w:val="left"/>
      <w:lvlText w:val="o"/>
      <w:numFmt w:val="bullet"/>
      <w:start w:val="1"/>
    </w:lvl>
  </w:abstractNum>
  <w:abstractNum w:abstractNumId="2">
    <w:nsid w:val="22221A70"/>
    <w:multiLevelType w:val="hybridMultilevel"/>
    <w:lvl w:ilvl="0">
      <w:lvlJc w:val="left"/>
      <w:lvlText w:val="(%1)"/>
      <w:numFmt w:val="lowerRoman"/>
      <w:start w:val="2"/>
    </w:lvl>
  </w:abstractNum>
  <w:abstractNum w:abstractNumId="3">
    <w:nsid w:val="4516DDE9"/>
    <w:multiLevelType w:val="hybridMultilevel"/>
    <w:lvl w:ilvl="0">
      <w:lvlJc w:val="left"/>
      <w:lvlText w:val="(%1)"/>
      <w:numFmt w:val="decimal"/>
      <w:start w:val="1"/>
    </w:lvl>
  </w:abstractNum>
  <w:abstractNum w:abstractNumId="4">
    <w:nsid w:val="3006C83E"/>
    <w:multiLevelType w:val="hybridMultilevel"/>
    <w:lvl w:ilvl="0">
      <w:lvlJc w:val="left"/>
      <w:lvlText w:val="(%1)"/>
      <w:numFmt w:val="decimal"/>
      <w:start w:val="2"/>
    </w:lvl>
  </w:abstractNum>
  <w:abstractNum w:abstractNumId="5">
    <w:nsid w:val="614FD4A1"/>
    <w:multiLevelType w:val="hybridMultilevel"/>
    <w:lvl w:ilvl="0">
      <w:lvlJc w:val="left"/>
      <w:lvlText w:val="(%1)"/>
      <w:numFmt w:val="decimal"/>
      <w:start w:val="1"/>
    </w:lvl>
  </w:abstractNum>
  <w:abstractNum w:abstractNumId="6">
    <w:nsid w:val="419AC241"/>
    <w:multiLevelType w:val="hybridMultilevel"/>
    <w:lvl w:ilvl="0">
      <w:lvlJc w:val="left"/>
      <w:lvlText w:val="•"/>
      <w:numFmt w:val="bullet"/>
      <w:start w:val="1"/>
    </w:lvl>
  </w:abstractNum>
  <w:abstractNum w:abstractNumId="7">
    <w:nsid w:val="5577F8E1"/>
    <w:multiLevelType w:val="hybridMultilevel"/>
    <w:lvl w:ilvl="0">
      <w:lvlJc w:val="left"/>
      <w:lvlText w:val="•"/>
      <w:numFmt w:val="bullet"/>
      <w:start w:val="1"/>
    </w:lvl>
  </w:abstractNum>
  <w:abstractNum w:abstractNumId="8">
    <w:nsid w:val="440BADFC"/>
    <w:multiLevelType w:val="hybridMultilevel"/>
    <w:lvl w:ilvl="0">
      <w:lvlJc w:val="left"/>
      <w:lvlText w:val="•"/>
      <w:numFmt w:val="bullet"/>
      <w:start w:val="1"/>
    </w:lvl>
  </w:abstractNum>
  <w:abstractNum w:abstractNumId="9">
    <w:nsid w:val="5072367"/>
    <w:multiLevelType w:val="hybridMultilevel"/>
    <w:lvl w:ilvl="0">
      <w:lvlJc w:val="left"/>
      <w:lvlText w:val="•"/>
      <w:numFmt w:val="bullet"/>
      <w:start w:val="1"/>
    </w:lvl>
  </w:abstractNum>
  <w:abstractNum w:abstractNumId="10">
    <w:nsid w:val="3804823E"/>
    <w:multiLevelType w:val="hybridMultilevel"/>
    <w:lvl w:ilvl="0">
      <w:lvlJc w:val="left"/>
      <w:lvlText w:val="•"/>
      <w:numFmt w:val="bullet"/>
      <w:start w:val="1"/>
    </w:lvl>
  </w:abstractNum>
  <w:abstractNum w:abstractNumId="11">
    <w:nsid w:val="77465F01"/>
    <w:multiLevelType w:val="hybridMultilevel"/>
    <w:lvl w:ilvl="0">
      <w:lvlJc w:val="left"/>
      <w:lvlText w:val="•"/>
      <w:numFmt w:val="bullet"/>
      <w:start w:val="1"/>
    </w:lvl>
  </w:abstractNum>
  <w:abstractNum w:abstractNumId="12">
    <w:nsid w:val="7724C67E"/>
    <w:multiLevelType w:val="hybridMultilevel"/>
    <w:lvl w:ilvl="0">
      <w:lvlJc w:val="left"/>
      <w:lvlText w:val="▪"/>
      <w:numFmt w:val="bullet"/>
      <w:start w:val="1"/>
    </w:lvl>
  </w:abstractNum>
  <w:abstractNum w:abstractNumId="13">
    <w:nsid w:val="5C482A97"/>
    <w:multiLevelType w:val="hybridMultilevel"/>
    <w:lvl w:ilvl="0">
      <w:lvlJc w:val="left"/>
      <w:lvlText w:val="▪"/>
      <w:numFmt w:val="bullet"/>
      <w:start w:val="1"/>
    </w:lvl>
  </w:abstractNum>
  <w:abstractNum w:abstractNumId="14">
    <w:nsid w:val="2463B9EA"/>
    <w:multiLevelType w:val="hybridMultilevel"/>
    <w:lvl w:ilvl="0">
      <w:lvlJc w:val="left"/>
      <w:lvlText w:val="•"/>
      <w:numFmt w:val="bullet"/>
      <w:start w:val="1"/>
    </w:lvl>
    <w:lvl w:ilvl="1">
      <w:lvlJc w:val="left"/>
      <w:lvlText w:val="•"/>
      <w:numFmt w:val="bullet"/>
      <w:start w:val="1"/>
    </w:lvl>
  </w:abstractNum>
  <w:abstractNum w:abstractNumId="15">
    <w:nsid w:val="5E884ADC"/>
    <w:multiLevelType w:val="hybridMultilevel"/>
    <w:lvl w:ilvl="0">
      <w:lvlJc w:val="left"/>
      <w:lvlText w:val="(%1)"/>
      <w:numFmt w:val="decimal"/>
      <w:start w:val="1"/>
    </w:lvl>
  </w:abstractNum>
  <w:abstractNum w:abstractNumId="16">
    <w:nsid w:val="51EAD36B"/>
    <w:multiLevelType w:val="hybridMultilevel"/>
    <w:lvl w:ilvl="0">
      <w:lvlJc w:val="left"/>
      <w:lvlText w:val="(%1)"/>
      <w:numFmt w:val="decimal"/>
      <w:start w:val="4"/>
    </w:lvl>
  </w:abstractNum>
  <w:abstractNum w:abstractNumId="17">
    <w:nsid w:val="2D517796"/>
    <w:multiLevelType w:val="hybridMultilevel"/>
    <w:lvl w:ilvl="0">
      <w:lvlJc w:val="left"/>
      <w:lvlText w:val="(%1)"/>
      <w:numFmt w:val="decimal"/>
      <w:start w:val="1"/>
    </w:lvl>
  </w:abstractNum>
  <w:abstractNum w:abstractNumId="18">
    <w:nsid w:val="580BD78F"/>
    <w:multiLevelType w:val="hybridMultilevel"/>
    <w:lvl w:ilvl="0">
      <w:lvlJc w:val="left"/>
      <w:lvlText w:val="•"/>
      <w:numFmt w:val="bullet"/>
      <w:start w:val="1"/>
    </w:lvl>
  </w:abstractNum>
  <w:abstractNum w:abstractNumId="19">
    <w:nsid w:val="153EA438"/>
    <w:multiLevelType w:val="hybridMultilevel"/>
    <w:lvl w:ilvl="0">
      <w:lvlJc w:val="left"/>
      <w:lvlText w:val="•"/>
      <w:numFmt w:val="bullet"/>
      <w:start w:val="1"/>
    </w:lvl>
  </w:abstractNum>
  <w:abstractNum w:abstractNumId="20">
    <w:nsid w:val="3855585C"/>
    <w:multiLevelType w:val="hybridMultilevel"/>
    <w:lvl w:ilvl="0">
      <w:lvlJc w:val="left"/>
      <w:lvlText w:val="•"/>
      <w:numFmt w:val="bullet"/>
      <w:start w:val="1"/>
    </w:lvl>
  </w:abstractNum>
  <w:abstractNum w:abstractNumId="21">
    <w:nsid w:val="70A64E2A"/>
    <w:multiLevelType w:val="hybridMultilevel"/>
    <w:lvl w:ilvl="0">
      <w:lvlJc w:val="left"/>
      <w:lvlText w:val="•"/>
      <w:numFmt w:val="bullet"/>
      <w:start w:val="1"/>
    </w:lvl>
  </w:abstractNum>
  <w:abstractNum w:abstractNumId="22">
    <w:nsid w:val="6A2342EC"/>
    <w:multiLevelType w:val="hybridMultilevel"/>
    <w:lvl w:ilvl="0">
      <w:lvlJc w:val="left"/>
      <w:lvlText w:val="•"/>
      <w:numFmt w:val="bullet"/>
      <w:start w:val="1"/>
    </w:lvl>
  </w:abstractNum>
  <w:abstractNum w:abstractNumId="23">
    <w:nsid w:val="2A487CB0"/>
    <w:multiLevelType w:val="hybridMultilevel"/>
    <w:lvl w:ilvl="0">
      <w:lvlJc w:val="left"/>
      <w:lvlText w:val="(%1)"/>
      <w:numFmt w:val="decimal"/>
      <w:start w:val="1"/>
    </w:lvl>
  </w:abstractNum>
  <w:abstractNum w:abstractNumId="24">
    <w:nsid w:val="1D4ED43B"/>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lvl w:ilvl="3">
      <w:lvlJc w:val="left"/>
      <w:lvlText w:val="%4"/>
      <w:numFmt w:val="lowerRoman"/>
      <w:start w:val="1"/>
    </w:lvl>
    <w:lvl w:ilvl="4">
      <w:lvlJc w:val="left"/>
      <w:lvlText w:val="%5"/>
      <w:numFmt w:val="upperLetter"/>
      <w:start w:val="1"/>
    </w:lvl>
  </w:abstractNum>
  <w:abstractNum w:abstractNumId="25">
    <w:nsid w:val="725A06FB"/>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9"/>
    </w:lvl>
    <w:lvl w:ilvl="3">
      <w:lvlJc w:val="left"/>
      <w:lvlText w:val="(%4)"/>
      <w:numFmt w:val="lowerRoman"/>
      <w:start w:val="1"/>
    </w:lvl>
    <w:lvl w:ilvl="4">
      <w:lvlJc w:val="left"/>
      <w:lvlText w:val="(%5)"/>
      <w:numFmt w:val="upperLetter"/>
      <w:start w:val="1"/>
    </w:lvl>
  </w:abstractNum>
  <w:abstractNum w:abstractNumId="26">
    <w:nsid w:val="2CD89A32"/>
    <w:multiLevelType w:val="hybridMultilevel"/>
    <w:lvl w:ilvl="0">
      <w:lvlJc w:val="left"/>
      <w:lvlText w:val="(%1)"/>
      <w:numFmt w:val="lowerRoman"/>
      <w:start w:val="3"/>
    </w:lvl>
    <w:lvl w:ilvl="1">
      <w:lvlJc w:val="left"/>
      <w:lvlText w:val="(%2)"/>
      <w:numFmt w:val="upperLetter"/>
      <w:start w:val="2"/>
    </w:lvl>
  </w:abstractNum>
  <w:abstractNum w:abstractNumId="27">
    <w:nsid w:val="57E4CCAF"/>
    <w:multiLevelType w:val="hybridMultilevel"/>
    <w:lvl w:ilvl="0">
      <w:lvlJc w:val="left"/>
      <w:lvlText w:val="(%1)"/>
      <w:numFmt w:val="lowerLetter"/>
      <w:start w:val="10"/>
    </w:lvl>
  </w:abstractNum>
  <w:abstractNum w:abstractNumId="28">
    <w:nsid w:val="7A6D8D3C"/>
    <w:multiLevelType w:val="hybridMultilevel"/>
    <w:lvl w:ilvl="0">
      <w:lvlJc w:val="left"/>
      <w:lvlText w:val="%1"/>
      <w:numFmt w:val="lowerLetter"/>
      <w:start w:val="1"/>
    </w:lvl>
    <w:lvl w:ilvl="1">
      <w:lvlJc w:val="left"/>
      <w:lvlText w:val="(%2)"/>
      <w:numFmt w:val="lowerLetter"/>
      <w:start w:val="14"/>
    </w:lvl>
    <w:lvl w:ilvl="2">
      <w:lvlJc w:val="left"/>
      <w:lvlText w:val="%3"/>
      <w:numFmt w:val="lowerRoman"/>
      <w:start w:val="1"/>
    </w:lvl>
  </w:abstractNum>
  <w:abstractNum w:abstractNumId="29">
    <w:nsid w:val="4B588F54"/>
    <w:multiLevelType w:val="hybridMultilevel"/>
    <w:lvl w:ilvl="0">
      <w:lvlJc w:val="left"/>
      <w:lvlText w:val="(%1)"/>
      <w:numFmt w:val="lowerLetter"/>
      <w:start w:val="61"/>
    </w:lvl>
    <w:lvl w:ilvl="1">
      <w:lvlJc w:val="left"/>
      <w:lvlText w:val="(%2)"/>
      <w:numFmt w:val="lowerLetter"/>
      <w:start w:val="17"/>
    </w:lvl>
    <w:lvl w:ilvl="2">
      <w:lvlJc w:val="left"/>
      <w:lvlText w:val="(%3)"/>
      <w:numFmt w:val="lowerRoman"/>
      <w:start w:val="1"/>
    </w:lvl>
  </w:abstractNum>
  <w:abstractNum w:abstractNumId="30">
    <w:nsid w:val="542289EC"/>
    <w:multiLevelType w:val="hybridMultilevel"/>
    <w:lvl w:ilvl="0">
      <w:lvlJc w:val="left"/>
      <w:lvlText w:val="(%1)"/>
      <w:numFmt w:val="lowerLetter"/>
      <w:start w:val="22"/>
    </w:lvl>
    <w:lvl w:ilvl="1">
      <w:lvlJc w:val="left"/>
      <w:lvlText w:val="(%2)"/>
      <w:numFmt w:val="lowerRoman"/>
      <w:start w:val="1"/>
    </w:lvl>
  </w:abstractNum>
  <w:abstractNum w:abstractNumId="31">
    <w:nsid w:val="6DE91B18"/>
    <w:multiLevelType w:val="hybridMultilevel"/>
    <w:lvl w:ilvl="0">
      <w:lvlJc w:val="left"/>
      <w:lvlText w:val="(%1)"/>
      <w:numFmt w:val="lowerLetter"/>
      <w:start w:val="27"/>
    </w:lvl>
  </w:abstractNum>
  <w:abstractNum w:abstractNumId="32">
    <w:nsid w:val="38437FDB"/>
    <w:multiLevelType w:val="hybridMultilevel"/>
    <w:lvl w:ilvl="0">
      <w:lvlJc w:val="left"/>
      <w:lvlText w:val="%1"/>
      <w:numFmt w:val="decimal"/>
      <w:start w:val="1"/>
    </w:lvl>
    <w:lvl w:ilvl="1">
      <w:lvlJc w:val="left"/>
      <w:lvlText w:val="(%2)"/>
      <w:numFmt w:val="lowerLetter"/>
      <w:start w:val="1"/>
    </w:lvl>
  </w:abstractNum>
  <w:abstractNum w:abstractNumId="33">
    <w:nsid w:val="7644A45C"/>
    <w:multiLevelType w:val="hybridMultilevel"/>
    <w:lvl w:ilvl="0">
      <w:lvlJc w:val="left"/>
      <w:lvlText w:val="%1."/>
      <w:numFmt w:val="decimal"/>
      <w:start w:val="4"/>
    </w:lvl>
    <w:lvl w:ilvl="1">
      <w:lvlJc w:val="left"/>
      <w:lvlText w:val="(%2)"/>
      <w:numFmt w:val="lowerLetter"/>
      <w:start w:val="1"/>
    </w:lvl>
  </w:abstractNum>
  <w:abstractNum w:abstractNumId="34">
    <w:nsid w:val="32FFF902"/>
    <w:multiLevelType w:val="hybridMultilevel"/>
    <w:lvl w:ilvl="0">
      <w:lvlJc w:val="left"/>
      <w:lvlText w:val="%1"/>
      <w:numFmt w:val="lowerLetter"/>
      <w:start w:val="1"/>
    </w:lvl>
    <w:lvl w:ilvl="1">
      <w:lvlJc w:val="left"/>
      <w:lvlText w:val="(%2)"/>
      <w:numFmt w:val="lowerRoman"/>
      <w:start w:val="1"/>
    </w:lvl>
  </w:abstractNum>
  <w:abstractNum w:abstractNumId="35">
    <w:nsid w:val="684A481A"/>
    <w:multiLevelType w:val="hybridMultilevel"/>
    <w:lvl w:ilvl="0">
      <w:lvlJc w:val="left"/>
      <w:lvlText w:val="(%1)"/>
      <w:numFmt w:val="lowerLetter"/>
      <w:start w:val="2"/>
    </w:lvl>
    <w:lvl w:ilvl="1">
      <w:lvlJc w:val="left"/>
      <w:lvlText w:val="(%2)"/>
      <w:numFmt w:val="lowerRoman"/>
      <w:start w:val="1"/>
    </w:lvl>
  </w:abstractNum>
  <w:abstractNum w:abstractNumId="36">
    <w:nsid w:val="579478FE"/>
    <w:multiLevelType w:val="hybridMultilevel"/>
    <w:lvl w:ilvl="0">
      <w:lvlJc w:val="left"/>
      <w:lvlText w:val="(%1)"/>
      <w:numFmt w:val="lowerRoman"/>
      <w:start w:val="9"/>
    </w:lvl>
  </w:abstractNum>
  <w:abstractNum w:abstractNumId="37">
    <w:nsid w:val="749ABB43"/>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38">
    <w:nsid w:val="3DC240FB"/>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9"/>
    </w:lvl>
  </w:abstractNum>
  <w:abstractNum w:abstractNumId="39">
    <w:nsid w:val="1BA026FA"/>
    <w:multiLevelType w:val="hybridMultilevel"/>
    <w:lvl w:ilvl="0">
      <w:lvlJc w:val="left"/>
      <w:lvlText w:val="(%1)"/>
      <w:numFmt w:val="lowerRoman"/>
      <w:start w:val="3"/>
    </w:lvl>
    <w:lvl w:ilvl="1">
      <w:lvlJc w:val="left"/>
      <w:lvlText w:val="%2"/>
      <w:numFmt w:val="lowerLetter"/>
      <w:start w:val="1"/>
    </w:lvl>
    <w:lvl w:ilvl="2">
      <w:lvlJc w:val="left"/>
      <w:lvlText w:val="%3"/>
      <w:numFmt w:val="lowerRoman"/>
      <w:start w:val="1"/>
    </w:lvl>
  </w:abstractNum>
  <w:abstractNum w:abstractNumId="40">
    <w:nsid w:val="79A1DEAA"/>
    <w:multiLevelType w:val="hybridMultilevel"/>
    <w:lvl w:ilvl="0">
      <w:lvlJc w:val="left"/>
      <w:lvlText w:val="(%1)"/>
      <w:numFmt w:val="lowerRoman"/>
      <w:start w:val="24"/>
    </w:lvl>
    <w:lvl w:ilvl="1">
      <w:lvlJc w:val="left"/>
      <w:lvlText w:val="%2"/>
      <w:numFmt w:val="lowerLetter"/>
      <w:start w:val="1"/>
    </w:lvl>
    <w:lvl w:ilvl="2">
      <w:lvlJc w:val="left"/>
      <w:lvlText w:val="(%3)"/>
      <w:numFmt w:val="lowerRoman"/>
      <w:start w:val="2"/>
    </w:lvl>
  </w:abstractNum>
  <w:abstractNum w:abstractNumId="41">
    <w:nsid w:val="75C6C33A"/>
    <w:multiLevelType w:val="hybridMultilevel"/>
    <w:lvl w:ilvl="0">
      <w:lvlJc w:val="left"/>
      <w:lvlText w:val="(%1)"/>
      <w:numFmt w:val="lowerRoman"/>
      <w:start w:val="18"/>
    </w:lvl>
    <w:lvl w:ilvl="1">
      <w:lvlJc w:val="left"/>
      <w:lvlText w:val="(%2)"/>
      <w:numFmt w:val="lowerLetter"/>
      <w:start w:val="4"/>
    </w:lvl>
    <w:lvl w:ilvl="2">
      <w:lvlJc w:val="left"/>
      <w:lvlText w:val="(%3)"/>
      <w:numFmt w:val="lowerRoman"/>
      <w:start w:val="1"/>
    </w:lvl>
  </w:abstractNum>
  <w:abstractNum w:abstractNumId="42">
    <w:nsid w:val="12E685FB"/>
    <w:multiLevelType w:val="hybridMultilevel"/>
    <w:lvl w:ilvl="0">
      <w:lvlJc w:val="left"/>
      <w:lvlText w:val="%1"/>
      <w:numFmt w:val="lowerLetter"/>
      <w:start w:val="1"/>
    </w:lvl>
    <w:lvl w:ilvl="1">
      <w:lvlJc w:val="left"/>
      <w:lvlText w:val="(%2)"/>
      <w:numFmt w:val="lowerRoman"/>
      <w:start w:val="2"/>
    </w:lvl>
  </w:abstractNum>
  <w:abstractNum w:abstractNumId="43">
    <w:nsid w:val="70C6A529"/>
    <w:multiLevelType w:val="hybridMultilevel"/>
    <w:lvl w:ilvl="0">
      <w:lvlJc w:val="left"/>
      <w:lvlText w:val="(%1)"/>
      <w:numFmt w:val="lowerLetter"/>
      <w:start w:val="8"/>
    </w:lvl>
    <w:lvl w:ilvl="1">
      <w:lvlJc w:val="left"/>
      <w:lvlText w:val="%2"/>
      <w:numFmt w:val="lowerRoman"/>
      <w:start w:val="1"/>
    </w:lvl>
  </w:abstractNum>
  <w:abstractNum w:abstractNumId="44">
    <w:nsid w:val="520EEDD1"/>
    <w:multiLevelType w:val="hybridMultilevel"/>
    <w:lvl w:ilvl="0">
      <w:lvlJc w:val="left"/>
      <w:lvlText w:val="%1"/>
      <w:numFmt w:val="upperLetter"/>
      <w:start w:val="1"/>
    </w:lvl>
    <w:lvl w:ilvl="1">
      <w:lvlJc w:val="left"/>
      <w:lvlText w:val="%2."/>
      <w:numFmt w:val="decimal"/>
      <w:start w:val="7"/>
    </w:lvl>
    <w:lvl w:ilvl="2">
      <w:lvlJc w:val="left"/>
      <w:lvlText w:val="(%3)"/>
      <w:numFmt w:val="lowerLetter"/>
      <w:start w:val="1"/>
    </w:lvl>
    <w:lvl w:ilvl="3">
      <w:lvlJc w:val="left"/>
      <w:lvlText w:val="(%4)"/>
      <w:numFmt w:val="lowerRoman"/>
      <w:start w:val="1"/>
    </w:lvl>
    <w:lvl w:ilvl="4">
      <w:lvlJc w:val="left"/>
      <w:lvlText w:val="(%5)"/>
      <w:numFmt w:val="upperLetter"/>
      <w:start w:val="1"/>
    </w:lvl>
  </w:abstractNum>
  <w:abstractNum w:abstractNumId="45">
    <w:nsid w:val="374A3FE6"/>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lvl w:ilvl="3">
      <w:lvlJc w:val="left"/>
      <w:lvlText w:val="(%4)"/>
      <w:numFmt w:val="lowerRoman"/>
      <w:start w:val="5"/>
    </w:lvl>
    <w:lvl w:ilvl="4">
      <w:lvlJc w:val="left"/>
      <w:lvlText w:val="%5"/>
      <w:numFmt w:val="upperLetter"/>
      <w:start w:val="1"/>
    </w:lvl>
  </w:abstractNum>
  <w:abstractNum w:abstractNumId="46">
    <w:nsid w:val="4F4EF005"/>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47">
    <w:nsid w:val="23F9C13C"/>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48">
    <w:nsid w:val="649BB77C"/>
    <w:multiLevelType w:val="hybridMultilevel"/>
    <w:lvl w:ilvl="0">
      <w:lvlJc w:val="left"/>
      <w:lvlText w:val="(%1)"/>
      <w:numFmt w:val="lowerLetter"/>
      <w:start w:val="35"/>
    </w:lvl>
    <w:lvl w:ilvl="1">
      <w:lvlJc w:val="left"/>
      <w:lvlText w:val="%2."/>
      <w:numFmt w:val="decimal"/>
      <w:start w:val="11"/>
    </w:lvl>
    <w:lvl w:ilvl="2">
      <w:lvlJc w:val="left"/>
      <w:lvlText w:val="(%3)"/>
      <w:numFmt w:val="lowerLetter"/>
      <w:start w:val="1"/>
    </w:lvl>
    <w:lvl w:ilvl="3">
      <w:lvlJc w:val="left"/>
      <w:lvlText w:val="(%4)"/>
      <w:numFmt w:val="lowerRoman"/>
      <w:start w:val="1"/>
    </w:lvl>
    <w:lvl w:ilvl="4">
      <w:lvlJc w:val="left"/>
      <w:lvlText w:val="(%5)"/>
      <w:numFmt w:val="upperLetter"/>
      <w:start w:val="1"/>
    </w:lvl>
  </w:abstractNum>
  <w:abstractNum w:abstractNumId="49">
    <w:nsid w:val="275AC794"/>
    <w:multiLevelType w:val="hybridMultilevel"/>
    <w:lvl w:ilvl="0">
      <w:lvlJc w:val="left"/>
      <w:lvlText w:val="%1"/>
      <w:numFmt w:val="decimal"/>
      <w:start w:val="1"/>
    </w:lvl>
    <w:lvl w:ilvl="1">
      <w:lvlJc w:val="left"/>
      <w:lvlText w:val="(%2)"/>
      <w:numFmt w:val="lowerLetter"/>
      <w:start w:val="2"/>
    </w:lvl>
  </w:abstractNum>
  <w:abstractNum w:abstractNumId="50">
    <w:nsid w:val="39386575"/>
    <w:multiLevelType w:val="hybridMultilevel"/>
    <w:lvl w:ilvl="0">
      <w:lvlJc w:val="left"/>
      <w:lvlText w:val="%1."/>
      <w:numFmt w:val="decimal"/>
      <w:start w:val="14"/>
    </w:lvl>
    <w:lvl w:ilvl="1">
      <w:lvlJc w:val="left"/>
      <w:lvlText w:val="(%2)"/>
      <w:numFmt w:val="lowerLetter"/>
      <w:start w:val="1"/>
    </w:lvl>
  </w:abstractNum>
  <w:abstractNum w:abstractNumId="51">
    <w:nsid w:val="1CF10FD8"/>
    <w:multiLevelType w:val="hybridMultilevel"/>
    <w:lvl w:ilvl="0">
      <w:lvlJc w:val="left"/>
      <w:lvlText w:val="%1."/>
      <w:numFmt w:val="decimal"/>
      <w:start w:val="21"/>
    </w:lvl>
  </w:abstractNum>
  <w:abstractNum w:abstractNumId="52">
    <w:nsid w:val="180115BE"/>
    <w:multiLevelType w:val="hybridMultilevel"/>
    <w:lvl w:ilvl="0">
      <w:lvlJc w:val="left"/>
      <w:lvlText w:val="%1."/>
      <w:numFmt w:val="decimal"/>
      <w:start w:val="1"/>
    </w:lvl>
  </w:abstractNum>
  <w:abstractNum w:abstractNumId="53">
    <w:nsid w:val="235BA861"/>
    <w:multiLevelType w:val="hybridMultilevel"/>
    <w:lvl w:ilvl="0">
      <w:lvlJc w:val="left"/>
      <w:lvlText w:val="%1)"/>
      <w:numFmt w:val="lowerLetter"/>
      <w:start w:val="1"/>
    </w:lvl>
  </w:abstractNum>
  <w:abstractNum w:abstractNumId="54">
    <w:nsid w:val="47398C89"/>
    <w:multiLevelType w:val="hybridMultilevel"/>
    <w:lvl w:ilvl="0">
      <w:lvlJc w:val="left"/>
      <w:lvlText w:val="%1."/>
      <w:numFmt w:val="decimal"/>
      <w:start w:val="5"/>
    </w:lvl>
  </w:abstractNum>
  <w:abstractNum w:abstractNumId="55">
    <w:nsid w:val="354FE9F9"/>
    <w:multiLevelType w:val="hybridMultilevel"/>
    <w:lvl w:ilvl="0">
      <w:lvlJc w:val="left"/>
      <w:lvlText w:val="%1)"/>
      <w:numFmt w:val="lowerLetter"/>
      <w:start w:val="1"/>
    </w:lvl>
  </w:abstractNum>
  <w:abstractNum w:abstractNumId="56">
    <w:nsid w:val="15B5AF5C"/>
    <w:multiLevelType w:val="hybridMultilevel"/>
    <w:lvl w:ilvl="0">
      <w:lvlJc w:val="left"/>
      <w:lvlText w:val="%1."/>
      <w:numFmt w:val="decimal"/>
      <w:start w:val="1"/>
    </w:lvl>
  </w:abstractNum>
  <w:abstractNum w:abstractNumId="57">
    <w:nsid w:val="741226BB"/>
    <w:multiLevelType w:val="hybridMultilevel"/>
    <w:lvl w:ilvl="0">
      <w:lvlJc w:val="left"/>
      <w:lvlText w:val="%1)"/>
      <w:numFmt w:val="lowerLetter"/>
      <w:start w:val="1"/>
    </w:lvl>
  </w:abstractNum>
  <w:abstractNum w:abstractNumId="58">
    <w:nsid w:val="D34B6A8"/>
    <w:multiLevelType w:val="hybridMultilevel"/>
    <w:lvl w:ilvl="0">
      <w:lvlJc w:val="left"/>
      <w:lvlText w:val="%1."/>
      <w:numFmt w:val="decimal"/>
      <w:start w:val="5"/>
    </w:lvl>
  </w:abstractNum>
  <w:abstractNum w:abstractNumId="59">
    <w:nsid w:val="10233C99"/>
    <w:multiLevelType w:val="hybridMultilevel"/>
    <w:lvl w:ilvl="0">
      <w:lvlJc w:val="left"/>
      <w:lvlText w:val="%1)"/>
      <w:numFmt w:val="lowerLetter"/>
      <w:start w:val="1"/>
    </w:lvl>
  </w:abstractNum>
  <w:abstractNum w:abstractNumId="60">
    <w:nsid w:val="3F6AB60F"/>
    <w:multiLevelType w:val="hybridMultilevel"/>
    <w:lvl w:ilvl="0">
      <w:lvlJc w:val="left"/>
      <w:lvlText w:val="(%1)"/>
      <w:numFmt w:val="decimal"/>
      <w:start w:val="1"/>
    </w:lvl>
  </w:abstractNum>
  <w:abstractNum w:abstractNumId="61">
    <w:nsid w:val="6157409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2019-12-28T22:10:46Z</dcterms:created>
  <dcterms:modified xsi:type="dcterms:W3CDTF">2019-12-28T22:10:46Z</dcterms:modified>
</cp:coreProperties>
</file>