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ICU MEDICAL,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88"/>
        </w:trPr>
        <w:tc>
          <w:tcPr>
            <w:tcW w:w="3320" w:type="dxa"/>
            <w:vAlign w:val="bottom"/>
          </w:tcPr>
          <w:p>
            <w:pPr>
              <w:jc w:val="center"/>
              <w:ind w:right="1"/>
              <w:spacing w:after="0"/>
              <w:rPr>
                <w:sz w:val="20"/>
                <w:szCs w:val="20"/>
                <w:color w:val="auto"/>
              </w:rPr>
            </w:pPr>
            <w:r>
              <w:rPr>
                <w:rFonts w:ascii="Times New Roman" w:cs="Times New Roman" w:eastAsia="Times New Roman" w:hAnsi="Times New Roman"/>
                <w:sz w:val="22"/>
                <w:szCs w:val="22"/>
                <w:b w:val="1"/>
                <w:bCs w:val="1"/>
                <w:color w:val="auto"/>
                <w:w w:val="96"/>
              </w:rPr>
              <w:t>Delaware</w:t>
            </w:r>
          </w:p>
        </w:tc>
        <w:tc>
          <w:tcPr>
            <w:tcW w:w="4600" w:type="dxa"/>
            <w:vAlign w:val="bottom"/>
          </w:tcPr>
          <w:p>
            <w:pPr>
              <w:jc w:val="center"/>
              <w:ind w:right="404"/>
              <w:spacing w:after="0"/>
              <w:rPr>
                <w:sz w:val="20"/>
                <w:szCs w:val="20"/>
                <w:color w:val="auto"/>
              </w:rPr>
            </w:pPr>
            <w:r>
              <w:rPr>
                <w:rFonts w:ascii="Times New Roman" w:cs="Times New Roman" w:eastAsia="Times New Roman" w:hAnsi="Times New Roman"/>
                <w:sz w:val="18"/>
                <w:szCs w:val="18"/>
                <w:b w:val="1"/>
                <w:bCs w:val="1"/>
                <w:color w:val="auto"/>
                <w:w w:val="99"/>
              </w:rPr>
              <w:t>001-34634</w:t>
            </w:r>
          </w:p>
        </w:tc>
        <w:tc>
          <w:tcPr>
            <w:tcW w:w="19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33-0022692</w:t>
            </w:r>
          </w:p>
        </w:tc>
        <w:tc>
          <w:tcPr>
            <w:tcW w:w="0" w:type="dxa"/>
            <w:vAlign w:val="bottom"/>
          </w:tcPr>
          <w:p>
            <w:pPr>
              <w:spacing w:after="0"/>
              <w:rPr>
                <w:sz w:val="1"/>
                <w:szCs w:val="1"/>
                <w:color w:val="auto"/>
              </w:rPr>
            </w:pPr>
          </w:p>
        </w:tc>
      </w:tr>
      <w:tr>
        <w:trPr>
          <w:trHeight w:val="324"/>
        </w:trPr>
        <w:tc>
          <w:tcPr>
            <w:tcW w:w="3320" w:type="dxa"/>
            <w:vAlign w:val="bottom"/>
          </w:tcPr>
          <w:p>
            <w:pPr>
              <w:spacing w:after="0"/>
              <w:rPr>
                <w:sz w:val="24"/>
                <w:szCs w:val="24"/>
                <w:color w:val="auto"/>
              </w:rPr>
            </w:pPr>
          </w:p>
        </w:tc>
        <w:tc>
          <w:tcPr>
            <w:tcW w:w="4600" w:type="dxa"/>
            <w:vAlign w:val="bottom"/>
          </w:tcPr>
          <w:p>
            <w:pPr>
              <w:jc w:val="center"/>
              <w:ind w:right="404"/>
              <w:spacing w:after="0"/>
              <w:rPr>
                <w:sz w:val="20"/>
                <w:szCs w:val="20"/>
                <w:color w:val="auto"/>
              </w:rPr>
            </w:pPr>
            <w:r>
              <w:rPr>
                <w:rFonts w:ascii="Times New Roman" w:cs="Times New Roman" w:eastAsia="Times New Roman" w:hAnsi="Times New Roman"/>
                <w:sz w:val="18"/>
                <w:szCs w:val="18"/>
                <w:color w:val="auto"/>
              </w:rPr>
              <w:t>(Commission</w:t>
            </w:r>
          </w:p>
        </w:tc>
        <w:tc>
          <w:tcPr>
            <w:tcW w:w="19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70"/>
        </w:trPr>
        <w:tc>
          <w:tcPr>
            <w:tcW w:w="3320" w:type="dxa"/>
            <w:vAlign w:val="bottom"/>
            <w:vMerge w:val="restart"/>
          </w:tcPr>
          <w:p>
            <w:pPr>
              <w:jc w:val="center"/>
              <w:ind w:right="1"/>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600" w:type="dxa"/>
            <w:vAlign w:val="bottom"/>
          </w:tcPr>
          <w:p>
            <w:pPr>
              <w:jc w:val="center"/>
              <w:ind w:right="404"/>
              <w:spacing w:after="0"/>
              <w:rPr>
                <w:sz w:val="20"/>
                <w:szCs w:val="20"/>
                <w:color w:val="auto"/>
              </w:rPr>
            </w:pPr>
            <w:r>
              <w:rPr>
                <w:rFonts w:ascii="Times New Roman" w:cs="Times New Roman" w:eastAsia="Times New Roman" w:hAnsi="Times New Roman"/>
                <w:sz w:val="18"/>
                <w:szCs w:val="18"/>
                <w:color w:val="auto"/>
              </w:rPr>
              <w:t>File Number)</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94"/>
        </w:trPr>
        <w:tc>
          <w:tcPr>
            <w:tcW w:w="3320" w:type="dxa"/>
            <w:vAlign w:val="bottom"/>
            <w:vMerge w:val="continue"/>
          </w:tcPr>
          <w:p>
            <w:pPr>
              <w:spacing w:after="0"/>
              <w:rPr>
                <w:sz w:val="8"/>
                <w:szCs w:val="8"/>
                <w:color w:val="auto"/>
              </w:rPr>
            </w:pPr>
          </w:p>
        </w:tc>
        <w:tc>
          <w:tcPr>
            <w:tcW w:w="4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9"/>
        </w:trPr>
        <w:tc>
          <w:tcPr>
            <w:tcW w:w="3320" w:type="dxa"/>
            <w:vAlign w:val="bottom"/>
          </w:tcPr>
          <w:p>
            <w:pPr>
              <w:spacing w:after="0"/>
              <w:rPr>
                <w:sz w:val="24"/>
                <w:szCs w:val="24"/>
                <w:color w:val="auto"/>
              </w:rPr>
            </w:pPr>
          </w:p>
        </w:tc>
        <w:tc>
          <w:tcPr>
            <w:tcW w:w="4600" w:type="dxa"/>
            <w:vAlign w:val="bottom"/>
          </w:tcPr>
          <w:p>
            <w:pPr>
              <w:jc w:val="center"/>
              <w:ind w:right="364"/>
              <w:spacing w:after="0"/>
              <w:rPr>
                <w:sz w:val="20"/>
                <w:szCs w:val="20"/>
                <w:color w:val="auto"/>
              </w:rPr>
            </w:pPr>
            <w:r>
              <w:rPr>
                <w:rFonts w:ascii="Times New Roman" w:cs="Times New Roman" w:eastAsia="Times New Roman" w:hAnsi="Times New Roman"/>
                <w:sz w:val="22"/>
                <w:szCs w:val="22"/>
                <w:b w:val="1"/>
                <w:bCs w:val="1"/>
                <w:color w:val="auto"/>
                <w:w w:val="98"/>
              </w:rPr>
              <w:t>951 Calle Amanecer</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20" w:type="dxa"/>
            <w:vAlign w:val="bottom"/>
          </w:tcPr>
          <w:p>
            <w:pPr>
              <w:spacing w:after="0"/>
              <w:rPr>
                <w:sz w:val="22"/>
                <w:szCs w:val="22"/>
                <w:color w:val="auto"/>
              </w:rPr>
            </w:pPr>
          </w:p>
        </w:tc>
        <w:tc>
          <w:tcPr>
            <w:tcW w:w="4600" w:type="dxa"/>
            <w:vAlign w:val="bottom"/>
          </w:tcPr>
          <w:p>
            <w:pPr>
              <w:jc w:val="center"/>
              <w:ind w:right="384"/>
              <w:spacing w:after="0"/>
              <w:rPr>
                <w:sz w:val="20"/>
                <w:szCs w:val="20"/>
                <w:color w:val="auto"/>
              </w:rPr>
            </w:pPr>
            <w:r>
              <w:rPr>
                <w:rFonts w:ascii="Times New Roman" w:cs="Times New Roman" w:eastAsia="Times New Roman" w:hAnsi="Times New Roman"/>
                <w:sz w:val="22"/>
                <w:szCs w:val="22"/>
                <w:b w:val="1"/>
                <w:bCs w:val="1"/>
                <w:color w:val="auto"/>
                <w:w w:val="97"/>
              </w:rPr>
              <w:t>San Clemente, California 92673</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4600" w:type="dxa"/>
            <w:vAlign w:val="bottom"/>
          </w:tcPr>
          <w:p>
            <w:pPr>
              <w:jc w:val="center"/>
              <w:ind w:right="384"/>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Brian M. Bonnell</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Chief Financial Officer</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(949) 366-2183</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278" w:lineRule="exact"/>
        <w:rPr>
          <w:sz w:val="24"/>
          <w:szCs w:val="24"/>
          <w:color w:val="auto"/>
        </w:rPr>
      </w:pPr>
    </w:p>
    <w:p>
      <w:pPr>
        <w:jc w:val="center"/>
        <w:ind w:left="58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18"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w:t>
      </w:r>
    </w:p>
    <w:p>
      <w:pPr>
        <w:ind w:left="1080" w:hanging="423"/>
        <w:spacing w:after="0"/>
        <w:tabs>
          <w:tab w:leader="none" w:pos="10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2025.</w:t>
      </w:r>
    </w:p>
    <w:p>
      <w:pPr>
        <w:sectPr>
          <w:pgSz w:w="11900" w:h="16838" w:orient="portrait"/>
          <w:cols w:equalWidth="0" w:num="1">
            <w:col w:w="10760"/>
          </w:cols>
          <w:pgMar w:left="560" w:top="999" w:right="5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2" w:lineRule="exact"/>
        <w:rPr>
          <w:sz w:val="20"/>
          <w:szCs w:val="20"/>
          <w:color w:val="auto"/>
        </w:rPr>
      </w:pPr>
    </w:p>
    <w:p>
      <w:pPr>
        <w:ind w:firstLine="180"/>
        <w:spacing w:after="0" w:line="286" w:lineRule="auto"/>
        <w:rPr>
          <w:sz w:val="20"/>
          <w:szCs w:val="20"/>
          <w:color w:val="auto"/>
        </w:rPr>
      </w:pPr>
      <w:r>
        <w:rPr>
          <w:rFonts w:ascii="Times New Roman" w:cs="Times New Roman" w:eastAsia="Times New Roman" w:hAnsi="Times New Roman"/>
          <w:sz w:val="18"/>
          <w:szCs w:val="18"/>
          <w:color w:val="auto"/>
        </w:rPr>
        <w:t>ICU Medical, Inc. (including its consolidated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filing this Form SD pursuant to Rule 13p-1 under the Securities Exchange Act of 1934 for the reporting period from January 1, 2025 to December 31, 2025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220" w:firstLine="180"/>
        <w:spacing w:after="0" w:line="258" w:lineRule="auto"/>
        <w:rPr>
          <w:sz w:val="20"/>
          <w:szCs w:val="20"/>
          <w:color w:val="auto"/>
        </w:rPr>
      </w:pPr>
      <w:r>
        <w:rPr>
          <w:rFonts w:ascii="Times New Roman" w:cs="Times New Roman" w:eastAsia="Times New Roman" w:hAnsi="Times New Roman"/>
          <w:sz w:val="18"/>
          <w:szCs w:val="18"/>
          <w:color w:val="auto"/>
        </w:rPr>
        <w:t>In accordance with the requirements of Rule 13p-1, a copy of the Company's Conflict Minerals Report is provided as Exhibit 1.01 to this Form SD, is hereby incorporated by reference herein, and is publicly available on the Company’s website at https://www.icumed.com/about-us/corporate-policies/conflict-minerals-disclosure.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specified in Section 2, Item 2.01 of this Form SD, the Company is hereby filing its Conflict Minerals Report as Exhibit 1.01 to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5"/>
              </w:rPr>
              <w:t>1.</w:t>
            </w:r>
            <w:r>
              <w:rPr>
                <w:rFonts w:ascii="Times New Roman" w:cs="Times New Roman" w:eastAsia="Times New Roman" w:hAnsi="Times New Roman"/>
                <w:sz w:val="18"/>
                <w:szCs w:val="18"/>
                <w:u w:val="single" w:color="auto"/>
                <w:color w:val="0000FF"/>
                <w:w w:val="95"/>
              </w:rPr>
              <w:t>01</w:t>
            </w:r>
          </w:p>
        </w:tc>
        <w:tc>
          <w:tcPr>
            <w:tcW w:w="1220" w:type="dxa"/>
            <w:vAlign w:val="bottom"/>
          </w:tcPr>
          <w:p>
            <w:pPr>
              <w:spacing w:after="0"/>
              <w:rPr>
                <w:sz w:val="16"/>
                <w:szCs w:val="16"/>
                <w:color w:val="auto"/>
              </w:rPr>
            </w:pPr>
          </w:p>
        </w:tc>
        <w:tc>
          <w:tcPr>
            <w:tcW w:w="9000" w:type="dxa"/>
            <w:vAlign w:val="bottom"/>
          </w:tcPr>
          <w:p>
            <w:pPr>
              <w:ind w:left="640"/>
              <w:spacing w:after="0" w:line="194" w:lineRule="exact"/>
              <w:rPr>
                <w:sz w:val="20"/>
                <w:szCs w:val="20"/>
                <w:color w:val="auto"/>
              </w:rPr>
            </w:pPr>
            <w:r>
              <w:rPr>
                <w:rFonts w:ascii="Times New Roman" w:cs="Times New Roman" w:eastAsia="Times New Roman" w:hAnsi="Times New Roman"/>
                <w:sz w:val="18"/>
                <w:szCs w:val="18"/>
                <w:color w:val="auto"/>
                <w:w w:val="99"/>
              </w:rPr>
              <w:t>Conflict Minerals Report of ICU Medical, Inc. for the reporting period from January 1, 2025 to December 31, 2025.</w:t>
            </w:r>
          </w:p>
        </w:tc>
      </w:tr>
    </w:tbl>
    <w:p>
      <w:pPr>
        <w:sectPr>
          <w:pgSz w:w="11900" w:h="16838" w:orient="portrait"/>
          <w:cols w:equalWidth="0" w:num="1">
            <w:col w:w="11180"/>
          </w:cols>
          <w:pgMar w:left="320" w:top="887" w:right="39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ICU Medical, Inc.</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M. BONNELL</w:t>
            </w:r>
          </w:p>
        </w:tc>
        <w:tc>
          <w:tcPr>
            <w:tcW w:w="0" w:type="dxa"/>
            <w:vAlign w:val="bottom"/>
          </w:tcPr>
          <w:p>
            <w:pPr>
              <w:spacing w:after="0"/>
              <w:rPr>
                <w:sz w:val="1"/>
                <w:szCs w:val="1"/>
                <w:color w:val="auto"/>
              </w:rPr>
            </w:pPr>
          </w:p>
        </w:tc>
      </w:tr>
      <w:tr>
        <w:trPr>
          <w:trHeight w:val="291"/>
        </w:trPr>
        <w:tc>
          <w:tcPr>
            <w:tcW w:w="4380" w:type="dxa"/>
            <w:vAlign w:val="bottom"/>
          </w:tcPr>
          <w:p>
            <w:pPr>
              <w:spacing w:after="0"/>
              <w:rPr>
                <w:sz w:val="24"/>
                <w:szCs w:val="24"/>
                <w:color w:val="auto"/>
              </w:rPr>
            </w:pPr>
          </w:p>
        </w:tc>
        <w:tc>
          <w:tcPr>
            <w:tcW w:w="1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Brian M. Bonnell</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8"/>
              </w:rPr>
              <w:t>Chief Financial Officer and Treasurer</w:t>
            </w:r>
          </w:p>
        </w:tc>
        <w:tc>
          <w:tcPr>
            <w:tcW w:w="0" w:type="dxa"/>
            <w:vAlign w:val="bottom"/>
          </w:tcPr>
          <w:p>
            <w:pPr>
              <w:spacing w:after="0"/>
              <w:rPr>
                <w:sz w:val="1"/>
                <w:szCs w:val="1"/>
                <w:color w:val="auto"/>
              </w:rPr>
            </w:pPr>
          </w:p>
        </w:tc>
      </w:tr>
      <w:tr>
        <w:trPr>
          <w:trHeight w:val="108"/>
        </w:trPr>
        <w:tc>
          <w:tcPr>
            <w:tcW w:w="438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882"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 to Form SD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Calendar Year Ended 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Reporting Period, the Company was engaged in the development, manufacture and sale of innovative medical products used in infusion therapy, vascular access, and vital care applications. ICU's product portfolio includes ambulatory, syringe, and large volume IV pumps and safety software; dedicated and non-dedicated IV sets, needle free IV connectors, peripheral IV catheters, sharps safety products, and sterile IV solutions offered on behalf of our joint venture; closed system transfer devices and pharmacy compounding systems; as well as a range of respiratory, anesthesia, patient monitoring, and temperature management products.</w:t>
      </w:r>
    </w:p>
    <w:p>
      <w:pPr>
        <w:spacing w:after="0" w:line="20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Rule 13p-1 of the Securities Exchange Act and Form SD thereunder (the “</w:t>
      </w:r>
      <w:r>
        <w:rPr>
          <w:rFonts w:ascii="Times New Roman" w:cs="Times New Roman" w:eastAsia="Times New Roman" w:hAnsi="Times New Roman"/>
          <w:sz w:val="18"/>
          <w:szCs w:val="18"/>
          <w:b w:val="1"/>
          <w:bCs w:val="1"/>
          <w:i w:val="1"/>
          <w:iCs w:val="1"/>
          <w:color w:val="auto"/>
        </w:rPr>
        <w:t>Conflict Minerals Rule</w:t>
      </w:r>
      <w:r>
        <w:rPr>
          <w:rFonts w:ascii="Times New Roman" w:cs="Times New Roman" w:eastAsia="Times New Roman" w:hAnsi="Times New Roman"/>
          <w:sz w:val="18"/>
          <w:szCs w:val="18"/>
          <w:color w:val="auto"/>
        </w:rPr>
        <w:t>”), requires the disclosure of certain information if a company manufactures or contracts to manufacture products for which certain “conflict minerals” (as defined below) are necessary to the functionality or production of such products. Form SD defines “</w:t>
      </w:r>
      <w:r>
        <w:rPr>
          <w:rFonts w:ascii="Times New Roman" w:cs="Times New Roman" w:eastAsia="Times New Roman" w:hAnsi="Times New Roman"/>
          <w:sz w:val="18"/>
          <w:szCs w:val="18"/>
          <w:b w:val="1"/>
          <w:bCs w:val="1"/>
          <w:i w:val="1"/>
          <w:iCs w:val="1"/>
          <w:color w:val="auto"/>
        </w:rPr>
        <w:t>conflict minerals</w:t>
      </w:r>
      <w:r>
        <w:rPr>
          <w:rFonts w:ascii="Times New Roman" w:cs="Times New Roman" w:eastAsia="Times New Roman" w:hAnsi="Times New Roman"/>
          <w:sz w:val="18"/>
          <w:szCs w:val="18"/>
          <w:color w:val="auto"/>
        </w:rPr>
        <w:t>” as: (i)(a) columbite-tantalite (coltan), (b) cassiterite, (c) gold and (d) wolframite,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i w:val="1"/>
          <w:i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Countries</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Reasonable Country of Origin Inquiry</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performed an investigation into the content of all of its purchased and contract manufactured materials to determine whether or not any of these contain conflict minerals. We analyzed our products and determined that gold, tantalum and tin are in certain raw material and/or components used in our products.</w:t>
      </w:r>
    </w:p>
    <w:p>
      <w:pPr>
        <w:spacing w:after="0" w:line="19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As a result, the Company performed, in good faith, a reasonable country-of-origin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designed to determine whether the gold, tantalum and tin contained in its products originated in the Covered Countries during the Reporting Period. For the Reporting Period, the Company received responses from 69% and completed surveys from 55% of the suppliers contacted. Review of the surveys indicated that some of the conflict minerals used in the products they manufacture originated from smelters in the covered countries.</w:t>
      </w:r>
    </w:p>
    <w:p>
      <w:pPr>
        <w:spacing w:after="0" w:line="201"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The RCOI involved identifying “high risk” suppliers with whom we needed to engage, based on the probability that the raw materials, components, or finished product they supplied may contain conflict minerals. “High risk suppliers” are suppliers that supply raw materials, components, or finished products that we determine have the highest risk of containing conflict minerals, based on our review of the category of items supplied by the suppliers. Our risk evaluation included the following steps: (1) review a list of items procured during the reporting period and (2) identify items in such list that may contain conflict minerals, based on a review of the item’s category (e.g., electronics and metal components were considered to have a high risk of containing conflict minerals; whereas, pharmaceutical ingredients and paper/label suppliers were considered to have low risk of containing conflict minerals). We then contacted the “high risk” suppliers to request the country-of-origin of the conflict minerals that may be present in the materials and/or components and/or finished products they supplied. For the Reporting Period, we sent a supplier survey to our “high risk suppliers.” We used the Conflict Minerals Reporting Template, developed by the Responsible Minerals Initiative, to survey our suppliers (the “</w:t>
      </w:r>
      <w:r>
        <w:rPr>
          <w:rFonts w:ascii="Times New Roman" w:cs="Times New Roman" w:eastAsia="Times New Roman" w:hAnsi="Times New Roman"/>
          <w:sz w:val="18"/>
          <w:szCs w:val="18"/>
          <w:b w:val="1"/>
          <w:bCs w:val="1"/>
          <w:i w:val="1"/>
          <w:iCs w:val="1"/>
          <w:color w:val="auto"/>
        </w:rPr>
        <w:t>Survey</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Because of our size, the complexity of our products, and the depth, breadth, and constant evolution of our supply chain, it is difficult to identify suppliers upstream from our direct suppliers. We rely on our direct suppliers to provide us with information about the source of conflict minerals contained in the raw materials and/or components supplied to us. In many instances, our direct suppliers are similarly reliant upon information provided by their suppliers. Our disclosures in this report are based on the information we received from our suppliers.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Results</w:t>
      </w:r>
    </w:p>
    <w:p>
      <w:pPr>
        <w:spacing w:after="0" w:line="25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For the Reporting Period, the Company surveyed 236 "high risk suppliers" and received responses from 163 of the suppliers surveyed. Forty-three (43) suppliers confirmed the use of gold, tin, or tantalum. Of the 43 suppliers, 23 suppliers indicated sources in the Covered Countries or sources were unknown. Of the 23 suppliers, 5 were able to confirm the sources of the conflict minerals with the remaining 18 suppliers indicating that the status of some of the sources were unknown.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Due Diligence Efforts:</w:t>
      </w:r>
    </w:p>
    <w:p>
      <w:pPr>
        <w:sectPr>
          <w:pgSz w:w="11900" w:h="16838" w:orient="portrait"/>
          <w:cols w:equalWidth="0" w:num="1">
            <w:col w:w="11240"/>
          </w:cols>
          <w:pgMar w:left="320" w:top="887" w:right="339" w:bottom="1440" w:gutter="0" w:footer="0" w:header="0"/>
        </w:sectPr>
      </w:pPr>
    </w:p>
    <w:bookmarkStart w:id="4" w:name="page5"/>
    <w:bookmarkEnd w:id="4"/>
    <w:p>
      <w:pPr>
        <w:ind w:left="660" w:hanging="328"/>
        <w:spacing w:after="0" w:line="25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and, as necessary, follow up multiple times to increase the response rate and request additional detail regarding the supplier survey responses. We inform our suppliers about the Conflict Minerals Rule, and direct current, and will direct future, suppliers to our Supplier Code of Conduct.</w:t>
      </w:r>
    </w:p>
    <w:p>
      <w:pPr>
        <w:spacing w:after="0" w:line="1" w:lineRule="exact"/>
        <w:rPr>
          <w:rFonts w:ascii="Times New Roman" w:cs="Times New Roman" w:eastAsia="Times New Roman" w:hAnsi="Times New Roman"/>
          <w:sz w:val="18"/>
          <w:szCs w:val="18"/>
          <w:color w:val="auto"/>
        </w:rPr>
      </w:pPr>
    </w:p>
    <w:p>
      <w:pPr>
        <w:ind w:left="660" w:right="14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a stipulation in the terms and conditions of all purchase orders, each of which is acknowledged by our vendors, that the vendor is in compliance with the Conflict Minerals Rule.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Looking Statements</w:t>
      </w:r>
    </w:p>
    <w:p>
      <w:pPr>
        <w:spacing w:after="0" w:line="2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Statements relating to due diligence improvements are forward-looking in nature and are based on ICU Medical management's current expectations or beliefs. These forward-looking statements are not a guarantee of performance and are subject to a number of uncertainties and other factors that may be outside of ICU Medical’s control and that could cause actual events to differ materially from those expressed or implied by the statements made herein.</w:t>
      </w:r>
    </w:p>
    <w:sectPr>
      <w:pgSz w:w="11900" w:h="16838" w:orient="portrait"/>
      <w:cols w:equalWidth="0" w:num="1">
        <w:col w:w="11180"/>
      </w:cols>
      <w:pgMar w:left="320" w:top="113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2026-06-01T12:32:22Z</dcterms:created>
  <dcterms:modified xsi:type="dcterms:W3CDTF">2026-06-01T12:32:22Z</dcterms:modified>
</cp:coreProperties>
</file>