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32" w:lineRule="exact"/>
        <w:rPr>
          <w:sz w:val="24"/>
          <w:szCs w:val="24"/>
          <w:color w:val="auto"/>
        </w:rPr>
      </w:pPr>
    </w:p>
    <w:p>
      <w:pPr>
        <w:ind w:left="3900" w:right="1100" w:hanging="2481"/>
        <w:spacing w:after="0" w:line="364" w:lineRule="auto"/>
        <w:tabs>
          <w:tab w:leader="none" w:pos="1745"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2022 or</w:t>
      </w:r>
    </w:p>
    <w:p>
      <w:pPr>
        <w:spacing w:after="0" w:line="25" w:lineRule="exact"/>
        <w:rPr>
          <w:rFonts w:ascii="MS PGothic" w:cs="MS PGothic" w:eastAsia="MS PGothic" w:hAnsi="MS PGothic"/>
          <w:sz w:val="17"/>
          <w:szCs w:val="17"/>
          <w:color w:val="auto"/>
        </w:rPr>
      </w:pPr>
    </w:p>
    <w:p>
      <w:pPr>
        <w:ind w:left="1560" w:hanging="317"/>
        <w:spacing w:after="0"/>
        <w:tabs>
          <w:tab w:leader="none" w:pos="1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4" w:lineRule="exact"/>
        <w:rPr>
          <w:sz w:val="24"/>
          <w:szCs w:val="24"/>
          <w:color w:val="auto"/>
        </w:rPr>
      </w:pPr>
    </w:p>
    <w:p>
      <w:pPr>
        <w:jc w:val="right"/>
        <w:ind w:right="4420"/>
        <w:spacing w:after="0"/>
        <w:tabs>
          <w:tab w:leader="none" w:pos="36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4"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b w:val="1"/>
          <w:bCs w:val="1"/>
          <w:color w:val="auto"/>
        </w:rPr>
        <w:t>Commission File No. 001-34634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ICU MEDICAL,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834" w:right="339" w:bottom="1440" w:gutter="0" w:footer="0" w:header="0"/>
        </w:sectPr>
      </w:pPr>
    </w:p>
    <w:p>
      <w:pPr>
        <w:spacing w:after="0" w:line="221"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33-0022692</w:t>
      </w:r>
    </w:p>
    <w:p>
      <w:pPr>
        <w:spacing w:after="0" w:line="43" w:lineRule="exact"/>
        <w:rPr>
          <w:sz w:val="24"/>
          <w:szCs w:val="24"/>
          <w:color w:val="auto"/>
        </w:rPr>
      </w:pPr>
    </w:p>
    <w:p>
      <w:pPr>
        <w:sectPr>
          <w:pgSz w:w="11900" w:h="16838" w:orient="portrait"/>
          <w:cols w:equalWidth="0" w:num="2">
            <w:col w:w="7320" w:space="720"/>
            <w:col w:w="3200"/>
          </w:cols>
          <w:pgMar w:left="320" w:top="834" w:right="3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80" w:space="720"/>
            <w:col w:w="4040"/>
          </w:cols>
          <w:pgMar w:left="320" w:top="834" w:right="339" w:bottom="1440" w:gutter="0" w:footer="0" w:header="0"/>
          <w:type w:val="continuous"/>
        </w:sectPr>
      </w:pPr>
    </w:p>
    <w:p>
      <w:pPr>
        <w:spacing w:after="0" w:line="11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951 Calle Amanecer</w:t>
      </w:r>
    </w:p>
    <w:p>
      <w:pPr>
        <w:spacing w:after="0" w:line="3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b w:val="1"/>
          <w:bCs w:val="1"/>
          <w:color w:val="auto"/>
        </w:rPr>
        <w:t>San Clemente , California</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92673</w:t>
      </w:r>
    </w:p>
    <w:p>
      <w:pPr>
        <w:spacing w:after="0" w:line="43" w:lineRule="exact"/>
        <w:rPr>
          <w:sz w:val="24"/>
          <w:szCs w:val="24"/>
          <w:color w:val="auto"/>
        </w:rPr>
      </w:pPr>
    </w:p>
    <w:p>
      <w:pPr>
        <w:sectPr>
          <w:pgSz w:w="11900" w:h="16838" w:orient="portrait"/>
          <w:cols w:equalWidth="0" w:num="2">
            <w:col w:w="7360" w:space="720"/>
            <w:col w:w="3160"/>
          </w:cols>
          <w:pgMar w:left="320" w:top="834"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96" w:lineRule="exact"/>
        <w:rPr>
          <w:sz w:val="24"/>
          <w:szCs w:val="24"/>
          <w:color w:val="auto"/>
        </w:rPr>
      </w:pPr>
    </w:p>
    <w:p>
      <w:pPr>
        <w:sectPr>
          <w:pgSz w:w="11900" w:h="16838" w:orient="portrait"/>
          <w:cols w:equalWidth="0" w:num="2">
            <w:col w:w="7200" w:space="720"/>
            <w:col w:w="3320"/>
          </w:cols>
          <w:pgMar w:left="320" w:top="834" w:right="339" w:bottom="1440" w:gutter="0" w:footer="0" w:header="0"/>
          <w:type w:val="continuous"/>
        </w:sectPr>
      </w:pPr>
    </w:p>
    <w:p>
      <w:pPr>
        <w:ind w:left="320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(949) 366-2183</w:t>
      </w:r>
    </w:p>
    <w:p>
      <w:pPr>
        <w:spacing w:after="0" w:line="11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5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3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3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09"/>
        </w:trPr>
        <w:tc>
          <w:tcPr>
            <w:tcW w:w="4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360" w:type="dxa"/>
            <w:vAlign w:val="bottom"/>
          </w:tcPr>
          <w:p>
            <w:pPr>
              <w:jc w:val="center"/>
              <w:ind w:right="80"/>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38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auto"/>
              </w:rPr>
              <w:t>Common stock, par value $0.10 per share</w:t>
            </w:r>
          </w:p>
        </w:tc>
        <w:tc>
          <w:tcPr>
            <w:tcW w:w="2500" w:type="dxa"/>
            <w:vAlign w:val="bottom"/>
          </w:tcPr>
          <w:p>
            <w:pPr>
              <w:jc w:val="center"/>
              <w:ind w:right="23"/>
              <w:spacing w:after="0"/>
              <w:rPr>
                <w:sz w:val="20"/>
                <w:szCs w:val="20"/>
                <w:color w:val="auto"/>
              </w:rPr>
            </w:pPr>
            <w:r>
              <w:rPr>
                <w:rFonts w:ascii="Times New Roman" w:cs="Times New Roman" w:eastAsia="Times New Roman" w:hAnsi="Times New Roman"/>
                <w:sz w:val="17"/>
                <w:szCs w:val="17"/>
                <w:color w:val="auto"/>
              </w:rPr>
              <w:t>ICUI</w:t>
            </w:r>
          </w:p>
        </w:tc>
        <w:tc>
          <w:tcPr>
            <w:tcW w:w="4360" w:type="dxa"/>
            <w:vAlign w:val="bottom"/>
          </w:tcPr>
          <w:p>
            <w:pPr>
              <w:jc w:val="center"/>
              <w:ind w:right="100"/>
              <w:spacing w:after="0"/>
              <w:rPr>
                <w:sz w:val="20"/>
                <w:szCs w:val="20"/>
                <w:color w:val="auto"/>
              </w:rPr>
            </w:pPr>
            <w:r>
              <w:rPr>
                <w:rFonts w:ascii="Times New Roman" w:cs="Times New Roman" w:eastAsia="Times New Roman" w:hAnsi="Times New Roman"/>
                <w:sz w:val="17"/>
                <w:szCs w:val="17"/>
                <w:color w:val="auto"/>
              </w:rPr>
              <w:t>(Global Select Market)</w:t>
            </w:r>
          </w:p>
        </w:tc>
      </w:tr>
    </w:tbl>
    <w:p>
      <w:pPr>
        <w:spacing w:after="0" w:line="17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90"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4"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42" w:lineRule="exact"/>
        <w:rPr>
          <w:sz w:val="24"/>
          <w:szCs w:val="24"/>
          <w:color w:val="auto"/>
        </w:rPr>
      </w:pPr>
    </w:p>
    <w:p>
      <w:pPr>
        <w:jc w:val="both"/>
        <w:ind w:right="200" w:firstLine="309"/>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70" w:lineRule="exact"/>
        <w:rPr>
          <w:sz w:val="24"/>
          <w:szCs w:val="24"/>
          <w:color w:val="auto"/>
        </w:rPr>
      </w:pPr>
    </w:p>
    <w:p>
      <w:pPr>
        <w:ind w:right="100" w:firstLine="309"/>
        <w:spacing w:after="0" w:line="21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87" w:lineRule="exact"/>
        <w:rPr>
          <w:sz w:val="24"/>
          <w:szCs w:val="24"/>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or an emerging growth company. See definition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60" w:type="dxa"/>
        <w:tblCellMar>
          <w:top w:w="0" w:type="dxa"/>
          <w:left w:w="0" w:type="dxa"/>
          <w:bottom w:w="0" w:type="dxa"/>
          <w:right w:w="0" w:type="dxa"/>
        </w:tblCellMar>
      </w:tblPr>
      <w:tr>
        <w:trPr>
          <w:trHeight w:val="223"/>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020" w:type="dxa"/>
            <w:vAlign w:val="bottom"/>
          </w:tcPr>
          <w:p>
            <w:pPr>
              <w:ind w:left="280"/>
              <w:spacing w:after="0"/>
              <w:rPr>
                <w:sz w:val="20"/>
                <w:szCs w:val="20"/>
                <w:color w:val="auto"/>
              </w:rPr>
            </w:pPr>
            <w:r>
              <w:rPr>
                <w:rFonts w:ascii="Wingdings" w:cs="Wingdings" w:eastAsia="Wingdings" w:hAnsi="Wingdings"/>
                <w:sz w:val="17"/>
                <w:szCs w:val="17"/>
                <w:b w:val="1"/>
                <w:bCs w:val="1"/>
                <w:color w:val="auto"/>
              </w:rPr>
              <w:t>x</w:t>
            </w:r>
          </w:p>
        </w:tc>
        <w:tc>
          <w:tcPr>
            <w:tcW w:w="28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Accelerated filer</w:t>
            </w:r>
          </w:p>
        </w:tc>
        <w:tc>
          <w:tcPr>
            <w:tcW w:w="640" w:type="dxa"/>
            <w:vAlign w:val="bottom"/>
          </w:tcPr>
          <w:p>
            <w:pPr>
              <w:ind w:left="480"/>
              <w:spacing w:after="0"/>
              <w:rPr>
                <w:sz w:val="20"/>
                <w:szCs w:val="20"/>
                <w:color w:val="auto"/>
              </w:rPr>
            </w:pPr>
            <w:r>
              <w:rPr>
                <w:rFonts w:ascii="Wingdings" w:cs="Wingdings" w:eastAsia="Wingdings" w:hAnsi="Wingdings"/>
                <w:sz w:val="17"/>
                <w:szCs w:val="17"/>
                <w:b w:val="1"/>
                <w:bCs w:val="1"/>
                <w:color w:val="auto"/>
                <w:w w:val="92"/>
              </w:rPr>
              <w:t>o</w:t>
            </w:r>
          </w:p>
        </w:tc>
      </w:tr>
      <w:tr>
        <w:trPr>
          <w:trHeight w:val="456"/>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020" w:type="dxa"/>
            <w:vAlign w:val="bottom"/>
          </w:tcPr>
          <w:p>
            <w:pPr>
              <w:ind w:left="300"/>
              <w:spacing w:after="0"/>
              <w:rPr>
                <w:sz w:val="20"/>
                <w:szCs w:val="20"/>
                <w:color w:val="auto"/>
              </w:rPr>
            </w:pPr>
            <w:r>
              <w:rPr>
                <w:rFonts w:ascii="Wingdings" w:cs="Wingdings" w:eastAsia="Wingdings" w:hAnsi="Wingdings"/>
                <w:sz w:val="17"/>
                <w:szCs w:val="17"/>
                <w:b w:val="1"/>
                <w:bCs w:val="1"/>
                <w:color w:val="auto"/>
              </w:rPr>
              <w:t>o</w:t>
            </w:r>
          </w:p>
        </w:tc>
        <w:tc>
          <w:tcPr>
            <w:tcW w:w="28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Small reporting company</w:t>
            </w:r>
          </w:p>
        </w:tc>
        <w:tc>
          <w:tcPr>
            <w:tcW w:w="64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71"/>
        </w:trPr>
        <w:tc>
          <w:tcPr>
            <w:tcW w:w="1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4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93"/>
              </w:rPr>
              <w:t>☐</w:t>
            </w:r>
          </w:p>
        </w:tc>
      </w:tr>
    </w:tbl>
    <w:p>
      <w:pPr>
        <w:spacing w:after="0" w:line="146" w:lineRule="exact"/>
        <w:rPr>
          <w:sz w:val="24"/>
          <w:szCs w:val="24"/>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177" w:lineRule="exact"/>
        <w:rPr>
          <w:sz w:val="24"/>
          <w:szCs w:val="24"/>
          <w:color w:val="auto"/>
        </w:rPr>
      </w:pPr>
    </w:p>
    <w:p>
      <w:pPr>
        <w:jc w:val="both"/>
        <w:ind w:right="240" w:firstLine="309"/>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170"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42" w:lineRule="exact"/>
        <w:rPr>
          <w:sz w:val="24"/>
          <w:szCs w:val="24"/>
          <w:color w:val="auto"/>
        </w:rPr>
      </w:pPr>
    </w:p>
    <w:p>
      <w:pPr>
        <w:ind w:right="460" w:firstLine="309"/>
        <w:spacing w:after="0" w:line="287" w:lineRule="auto"/>
        <w:rPr>
          <w:sz w:val="20"/>
          <w:szCs w:val="20"/>
          <w:color w:val="auto"/>
        </w:rPr>
      </w:pPr>
      <w:r>
        <w:rPr>
          <w:rFonts w:ascii="Times New Roman" w:cs="Times New Roman" w:eastAsia="Times New Roman" w:hAnsi="Times New Roman"/>
          <w:sz w:val="17"/>
          <w:szCs w:val="17"/>
          <w:color w:val="auto"/>
        </w:rPr>
        <w:t>The aggregate market value of the voting stock held by non-affiliates of registrant as of June 30, 2022, the last business day of registrant’s most recently completed second fiscal quarter, was $3,305,900,983.</w:t>
      </w:r>
    </w:p>
    <w:p>
      <w:pPr>
        <w:spacing w:after="0" w:line="4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number of shares outstanding of registrant’s common stock, $.10 par value, as of January 31, 2023 was 23,998,252.</w:t>
      </w:r>
    </w:p>
    <w:p>
      <w:pPr>
        <w:spacing w:after="0" w:line="11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114" w:lineRule="exact"/>
        <w:rPr>
          <w:sz w:val="24"/>
          <w:szCs w:val="24"/>
          <w:color w:val="auto"/>
        </w:rPr>
      </w:pPr>
    </w:p>
    <w:p>
      <w:pPr>
        <w:ind w:right="640" w:firstLine="309"/>
        <w:spacing w:after="0" w:line="287" w:lineRule="auto"/>
        <w:rPr>
          <w:sz w:val="20"/>
          <w:szCs w:val="20"/>
          <w:color w:val="auto"/>
        </w:rPr>
      </w:pPr>
      <w:r>
        <w:rPr>
          <w:rFonts w:ascii="Times New Roman" w:cs="Times New Roman" w:eastAsia="Times New Roman" w:hAnsi="Times New Roman"/>
          <w:sz w:val="17"/>
          <w:szCs w:val="17"/>
          <w:color w:val="auto"/>
        </w:rPr>
        <w:t>Portions of the Proxy Statement for registrant’s 2023 Annual Meeting of Stockholders filed or to be filed pursuant to Regulation 14A within 120 days following registrant’s fiscal year ended December 31, 2022,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699770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20" w:type="dxa"/>
            <w:vAlign w:val="bottom"/>
            <w:gridSpan w:val="9"/>
          </w:tcPr>
          <w:p>
            <w:pPr>
              <w:jc w:val="center"/>
              <w:ind w:right="4200"/>
              <w:spacing w:after="0"/>
              <w:rPr>
                <w:sz w:val="20"/>
                <w:szCs w:val="20"/>
                <w:color w:val="auto"/>
              </w:rPr>
            </w:pPr>
            <w:r>
              <w:rPr>
                <w:rFonts w:ascii="Times New Roman" w:cs="Times New Roman" w:eastAsia="Times New Roman" w:hAnsi="Times New Roman"/>
                <w:sz w:val="17"/>
                <w:szCs w:val="17"/>
                <w:b w:val="1"/>
                <w:bCs w:val="1"/>
                <w:color w:val="auto"/>
              </w:rPr>
              <w:t>ICU Medical, Inc.</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gridSpan w:val="8"/>
          </w:tcPr>
          <w:p>
            <w:pPr>
              <w:jc w:val="center"/>
              <w:ind w:right="4340"/>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80" w:type="dxa"/>
            <w:vAlign w:val="bottom"/>
            <w:gridSpan w:val="11"/>
          </w:tcPr>
          <w:p>
            <w:pPr>
              <w:jc w:val="center"/>
              <w:ind w:right="3140"/>
              <w:spacing w:after="0"/>
              <w:rPr>
                <w:sz w:val="20"/>
                <w:szCs w:val="20"/>
                <w:color w:val="auto"/>
              </w:rPr>
            </w:pPr>
            <w:r>
              <w:rPr>
                <w:rFonts w:ascii="Times New Roman" w:cs="Times New Roman" w:eastAsia="Times New Roman" w:hAnsi="Times New Roman"/>
                <w:sz w:val="17"/>
                <w:szCs w:val="17"/>
                <w:b w:val="1"/>
                <w:bCs w:val="1"/>
                <w:color w:val="auto"/>
              </w:rPr>
              <w:t>For the Year Ended December 31, 2022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0" w:type="dxa"/>
            <w:vAlign w:val="bottom"/>
            <w:gridSpan w:val="10"/>
          </w:tcPr>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978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auto"/>
              </w:rPr>
              <w:t>Forward-Looking Statements</w:t>
            </w: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9780" w:type="dxa"/>
            <w:vAlign w:val="bottom"/>
            <w:gridSpan w:val="25"/>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Risk Factors Summary</w:t>
            </w:r>
          </w:p>
        </w:tc>
        <w:tc>
          <w:tcPr>
            <w:tcW w:w="7760" w:type="dxa"/>
            <w:vAlign w:val="bottom"/>
            <w:gridSpan w:val="17"/>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4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1</w:t>
            </w:r>
          </w:p>
        </w:tc>
        <w:tc>
          <w:tcPr>
            <w:tcW w:w="8540" w:type="dxa"/>
            <w:vAlign w:val="bottom"/>
            <w:gridSpan w:val="22"/>
          </w:tcPr>
          <w:p>
            <w:pPr>
              <w:spacing w:after="0" w:line="184" w:lineRule="exact"/>
              <w:rPr>
                <w:sz w:val="20"/>
                <w:szCs w:val="20"/>
                <w:color w:val="auto"/>
              </w:rPr>
            </w:pPr>
            <w:r>
              <w:rPr>
                <w:rFonts w:ascii="Times New Roman" w:cs="Times New Roman" w:eastAsia="Times New Roman" w:hAnsi="Times New Roman"/>
                <w:sz w:val="17"/>
                <w:szCs w:val="17"/>
                <w:color w:val="auto"/>
              </w:rPr>
              <w:t>Business</w:t>
            </w:r>
          </w:p>
        </w:tc>
        <w:tc>
          <w:tcPr>
            <w:tcW w:w="420" w:type="dxa"/>
            <w:vAlign w:val="bottom"/>
            <w:gridSpan w:val="2"/>
          </w:tcPr>
          <w:p>
            <w:pPr>
              <w:jc w:val="center"/>
              <w:ind w:left="255"/>
              <w:spacing w:after="0" w:line="184" w:lineRule="exact"/>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5"/>
              </w:rPr>
              <w:t>Item 1A</w:t>
            </w:r>
          </w:p>
        </w:tc>
        <w:tc>
          <w:tcPr>
            <w:tcW w:w="720" w:type="dxa"/>
            <w:vAlign w:val="bottom"/>
          </w:tcPr>
          <w:p>
            <w:pPr>
              <w:spacing w:after="0"/>
              <w:rPr>
                <w:sz w:val="17"/>
                <w:szCs w:val="17"/>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16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6"/>
              </w:rPr>
              <w:t>Item 1B</w:t>
            </w:r>
          </w:p>
        </w:tc>
        <w:tc>
          <w:tcPr>
            <w:tcW w:w="720" w:type="dxa"/>
            <w:vAlign w:val="bottom"/>
          </w:tcPr>
          <w:p>
            <w:pPr>
              <w:spacing w:after="0"/>
              <w:rPr>
                <w:sz w:val="17"/>
                <w:szCs w:val="17"/>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Unresolved Staff Comments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37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720" w:type="dxa"/>
            <w:vAlign w:val="bottom"/>
          </w:tcPr>
          <w:p>
            <w:pPr>
              <w:spacing w:after="0"/>
              <w:rPr>
                <w:sz w:val="17"/>
                <w:szCs w:val="17"/>
                <w:color w:val="auto"/>
              </w:rPr>
            </w:pPr>
          </w:p>
        </w:tc>
        <w:tc>
          <w:tcPr>
            <w:tcW w:w="196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Properties</w:t>
            </w:r>
          </w:p>
        </w:tc>
        <w:tc>
          <w:tcPr>
            <w:tcW w:w="6580" w:type="dxa"/>
            <w:vAlign w:val="bottom"/>
            <w:gridSpan w:val="11"/>
          </w:tcPr>
          <w:p>
            <w:pPr>
              <w:spacing w:after="0"/>
              <w:rPr>
                <w:sz w:val="17"/>
                <w:szCs w:val="17"/>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37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3</w:t>
            </w: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Legal Proceedings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4</w:t>
            </w: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Mine Safety Disclosures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38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4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5</w:t>
            </w:r>
          </w:p>
        </w:tc>
        <w:tc>
          <w:tcPr>
            <w:tcW w:w="8540" w:type="dxa"/>
            <w:vAlign w:val="bottom"/>
            <w:gridSpan w:val="22"/>
          </w:tcPr>
          <w:p>
            <w:pPr>
              <w:spacing w:after="0" w:line="184" w:lineRule="exact"/>
              <w:rPr>
                <w:sz w:val="20"/>
                <w:szCs w:val="20"/>
                <w:color w:val="auto"/>
              </w:rPr>
            </w:pPr>
            <w:r>
              <w:rPr>
                <w:rFonts w:ascii="Times New Roman" w:cs="Times New Roman" w:eastAsia="Times New Roman" w:hAnsi="Times New Roman"/>
                <w:sz w:val="17"/>
                <w:szCs w:val="17"/>
                <w:color w:val="auto"/>
              </w:rPr>
              <w:t>Market for the Registrant’s Common Equity, Related Stockholder Matters, and Issuer Purchases of Equity Securities</w:t>
            </w:r>
          </w:p>
        </w:tc>
        <w:tc>
          <w:tcPr>
            <w:tcW w:w="500" w:type="dxa"/>
            <w:vAlign w:val="bottom"/>
            <w:gridSpan w:val="3"/>
          </w:tcPr>
          <w:p>
            <w:pPr>
              <w:jc w:val="center"/>
              <w:ind w:left="175"/>
              <w:spacing w:after="0" w:line="184" w:lineRule="exact"/>
              <w:rPr>
                <w:sz w:val="20"/>
                <w:szCs w:val="20"/>
                <w:color w:val="auto"/>
              </w:rPr>
            </w:pPr>
            <w:r>
              <w:rPr>
                <w:rFonts w:ascii="Times New Roman" w:cs="Times New Roman" w:eastAsia="Times New Roman" w:hAnsi="Times New Roman"/>
                <w:sz w:val="17"/>
                <w:szCs w:val="17"/>
                <w:color w:val="auto"/>
                <w:w w:val="93"/>
              </w:rPr>
              <w:t>39</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6</w:t>
            </w: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Reserved</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40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7</w:t>
            </w: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40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5"/>
              </w:rPr>
              <w:t>Item 7A</w:t>
            </w:r>
          </w:p>
        </w:tc>
        <w:tc>
          <w:tcPr>
            <w:tcW w:w="720" w:type="dxa"/>
            <w:vAlign w:val="bottom"/>
          </w:tcPr>
          <w:p>
            <w:pPr>
              <w:spacing w:after="0"/>
              <w:rPr>
                <w:sz w:val="17"/>
                <w:szCs w:val="17"/>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7"/>
                <w:szCs w:val="17"/>
                <w:color w:val="auto"/>
                <w:w w:val="99"/>
              </w:rPr>
              <w:t>Quantitative and Qualitative Disclosures about Market Risk</w:t>
            </w:r>
          </w:p>
        </w:tc>
        <w:tc>
          <w:tcPr>
            <w:tcW w:w="4440" w:type="dxa"/>
            <w:vAlign w:val="bottom"/>
            <w:gridSpan w:val="6"/>
          </w:tcPr>
          <w:p>
            <w:pPr>
              <w:spacing w:after="0"/>
              <w:rPr>
                <w:sz w:val="17"/>
                <w:szCs w:val="17"/>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55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8</w:t>
            </w:r>
          </w:p>
        </w:tc>
        <w:tc>
          <w:tcPr>
            <w:tcW w:w="720" w:type="dxa"/>
            <w:vAlign w:val="bottom"/>
          </w:tcPr>
          <w:p>
            <w:pPr>
              <w:spacing w:after="0"/>
              <w:rPr>
                <w:sz w:val="17"/>
                <w:szCs w:val="17"/>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4440" w:type="dxa"/>
            <w:vAlign w:val="bottom"/>
            <w:gridSpan w:val="6"/>
          </w:tcPr>
          <w:p>
            <w:pPr>
              <w:spacing w:after="0"/>
              <w:rPr>
                <w:sz w:val="17"/>
                <w:szCs w:val="17"/>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w:t>
            </w:r>
          </w:p>
        </w:tc>
        <w:tc>
          <w:tcPr>
            <w:tcW w:w="4440" w:type="dxa"/>
            <w:vAlign w:val="bottom"/>
            <w:gridSpan w:val="6"/>
          </w:tcPr>
          <w:p>
            <w:pPr>
              <w:spacing w:after="0"/>
              <w:rPr>
                <w:sz w:val="17"/>
                <w:szCs w:val="17"/>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57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9</w:t>
            </w: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76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5"/>
              </w:rPr>
              <w:t>Item 9A</w:t>
            </w:r>
          </w:p>
        </w:tc>
        <w:tc>
          <w:tcPr>
            <w:tcW w:w="720" w:type="dxa"/>
            <w:vAlign w:val="bottom"/>
          </w:tcPr>
          <w:p>
            <w:pPr>
              <w:spacing w:after="0"/>
              <w:rPr>
                <w:sz w:val="17"/>
                <w:szCs w:val="17"/>
                <w:color w:val="auto"/>
              </w:rPr>
            </w:pPr>
          </w:p>
        </w:tc>
        <w:tc>
          <w:tcPr>
            <w:tcW w:w="17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Controls and Procedures</w:t>
            </w:r>
          </w:p>
        </w:tc>
        <w:tc>
          <w:tcPr>
            <w:tcW w:w="684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color w:val="auto"/>
                <w:w w:val="70"/>
              </w:rPr>
              <w:t>108</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6"/>
              </w:rPr>
              <w:t>Item 9B</w:t>
            </w:r>
          </w:p>
        </w:tc>
        <w:tc>
          <w:tcPr>
            <w:tcW w:w="720" w:type="dxa"/>
            <w:vAlign w:val="bottom"/>
          </w:tcPr>
          <w:p>
            <w:pPr>
              <w:spacing w:after="0"/>
              <w:rPr>
                <w:sz w:val="17"/>
                <w:szCs w:val="17"/>
                <w:color w:val="auto"/>
              </w:rPr>
            </w:pPr>
          </w:p>
        </w:tc>
        <w:tc>
          <w:tcPr>
            <w:tcW w:w="17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Other Information</w:t>
            </w:r>
          </w:p>
        </w:tc>
        <w:tc>
          <w:tcPr>
            <w:tcW w:w="684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color w:val="auto"/>
                <w:w w:val="70"/>
              </w:rPr>
              <w:t>109</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9C</w:t>
            </w: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76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2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w w:val="91"/>
              </w:rPr>
              <w:t>Item 10</w:t>
            </w:r>
          </w:p>
        </w:tc>
        <w:tc>
          <w:tcPr>
            <w:tcW w:w="720" w:type="dxa"/>
            <w:vAlign w:val="bottom"/>
          </w:tcPr>
          <w:p>
            <w:pPr>
              <w:spacing w:after="0"/>
              <w:rPr>
                <w:sz w:val="16"/>
                <w:szCs w:val="16"/>
                <w:color w:val="auto"/>
              </w:rPr>
            </w:pPr>
          </w:p>
        </w:tc>
        <w:tc>
          <w:tcPr>
            <w:tcW w:w="3920" w:type="dxa"/>
            <w:vAlign w:val="bottom"/>
            <w:gridSpan w:val="15"/>
          </w:tcPr>
          <w:p>
            <w:pPr>
              <w:spacing w:after="0" w:line="184" w:lineRule="exact"/>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4620" w:type="dxa"/>
            <w:vAlign w:val="bottom"/>
            <w:gridSpan w:val="7"/>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color w:val="auto"/>
                <w:w w:val="70"/>
              </w:rPr>
              <w:t>109</w:t>
            </w:r>
          </w:p>
        </w:tc>
        <w:tc>
          <w:tcPr>
            <w:tcW w:w="0" w:type="dxa"/>
            <w:vAlign w:val="bottom"/>
          </w:tcPr>
          <w:p>
            <w:pPr>
              <w:spacing w:after="0"/>
              <w:rPr>
                <w:sz w:val="1"/>
                <w:szCs w:val="1"/>
                <w:color w:val="auto"/>
              </w:rPr>
            </w:pPr>
          </w:p>
        </w:tc>
      </w:tr>
      <w:tr>
        <w:trPr>
          <w:trHeight w:val="199"/>
        </w:trPr>
        <w:tc>
          <w:tcPr>
            <w:tcW w:w="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1"/>
              </w:rPr>
              <w:t>Item 11</w:t>
            </w:r>
          </w:p>
        </w:tc>
        <w:tc>
          <w:tcPr>
            <w:tcW w:w="720" w:type="dxa"/>
            <w:vAlign w:val="bottom"/>
          </w:tcPr>
          <w:p>
            <w:pPr>
              <w:spacing w:after="0"/>
              <w:rPr>
                <w:sz w:val="17"/>
                <w:szCs w:val="17"/>
                <w:color w:val="auto"/>
              </w:rPr>
            </w:pPr>
          </w:p>
        </w:tc>
        <w:tc>
          <w:tcPr>
            <w:tcW w:w="392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rPr>
              <w:t>Executive Compensation</w:t>
            </w:r>
          </w:p>
        </w:tc>
        <w:tc>
          <w:tcPr>
            <w:tcW w:w="462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70"/>
              </w:rPr>
              <w:t>111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1"/>
              </w:rPr>
              <w:t>Item 12</w:t>
            </w:r>
          </w:p>
        </w:tc>
        <w:tc>
          <w:tcPr>
            <w:tcW w:w="720" w:type="dxa"/>
            <w:vAlign w:val="bottom"/>
          </w:tcPr>
          <w:p>
            <w:pPr>
              <w:spacing w:after="0"/>
              <w:rPr>
                <w:sz w:val="17"/>
                <w:szCs w:val="17"/>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112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gridSpan w:val="5"/>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1"/>
              </w:rPr>
              <w:t>Item 13</w:t>
            </w:r>
          </w:p>
        </w:tc>
        <w:tc>
          <w:tcPr>
            <w:tcW w:w="720" w:type="dxa"/>
            <w:vAlign w:val="bottom"/>
          </w:tcPr>
          <w:p>
            <w:pPr>
              <w:spacing w:after="0"/>
              <w:rPr>
                <w:sz w:val="17"/>
                <w:szCs w:val="17"/>
                <w:color w:val="auto"/>
              </w:rPr>
            </w:pPr>
          </w:p>
        </w:tc>
        <w:tc>
          <w:tcPr>
            <w:tcW w:w="696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1580" w:type="dxa"/>
            <w:vAlign w:val="bottom"/>
            <w:gridSpan w:val="2"/>
          </w:tcPr>
          <w:p>
            <w:pPr>
              <w:spacing w:after="0"/>
              <w:rPr>
                <w:sz w:val="17"/>
                <w:szCs w:val="17"/>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112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gridSpan w:val="5"/>
            <w:shd w:val="clear" w:color="auto" w:fill="000000"/>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1"/>
              </w:rPr>
              <w:t>Item 14</w:t>
            </w:r>
          </w:p>
        </w:tc>
        <w:tc>
          <w:tcPr>
            <w:tcW w:w="720" w:type="dxa"/>
            <w:vAlign w:val="bottom"/>
          </w:tcPr>
          <w:p>
            <w:pPr>
              <w:spacing w:after="0"/>
              <w:rPr>
                <w:sz w:val="17"/>
                <w:szCs w:val="17"/>
                <w:color w:val="auto"/>
              </w:rPr>
            </w:pPr>
          </w:p>
        </w:tc>
        <w:tc>
          <w:tcPr>
            <w:tcW w:w="274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2460" w:type="dxa"/>
            <w:vAlign w:val="bottom"/>
            <w:gridSpan w:val="6"/>
          </w:tcPr>
          <w:p>
            <w:pPr>
              <w:spacing w:after="0"/>
              <w:rPr>
                <w:sz w:val="17"/>
                <w:szCs w:val="17"/>
                <w:color w:val="auto"/>
              </w:rPr>
            </w:pPr>
          </w:p>
        </w:tc>
        <w:tc>
          <w:tcPr>
            <w:tcW w:w="3340" w:type="dxa"/>
            <w:vAlign w:val="bottom"/>
            <w:gridSpan w:val="4"/>
          </w:tcPr>
          <w:p>
            <w:pPr>
              <w:spacing w:after="0"/>
              <w:rPr>
                <w:sz w:val="17"/>
                <w:szCs w:val="17"/>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112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2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w w:val="91"/>
              </w:rPr>
              <w:t>Item 15</w:t>
            </w:r>
          </w:p>
        </w:tc>
        <w:tc>
          <w:tcPr>
            <w:tcW w:w="720" w:type="dxa"/>
            <w:vAlign w:val="bottom"/>
          </w:tcPr>
          <w:p>
            <w:pPr>
              <w:spacing w:after="0"/>
              <w:rPr>
                <w:sz w:val="16"/>
                <w:szCs w:val="16"/>
                <w:color w:val="auto"/>
              </w:rPr>
            </w:pPr>
          </w:p>
        </w:tc>
        <w:tc>
          <w:tcPr>
            <w:tcW w:w="3020" w:type="dxa"/>
            <w:vAlign w:val="bottom"/>
            <w:gridSpan w:val="13"/>
          </w:tcPr>
          <w:p>
            <w:pPr>
              <w:spacing w:after="0" w:line="184" w:lineRule="exact"/>
              <w:rPr>
                <w:sz w:val="20"/>
                <w:szCs w:val="20"/>
                <w:color w:val="auto"/>
              </w:rPr>
            </w:pPr>
            <w:r>
              <w:rPr>
                <w:rFonts w:ascii="Times New Roman" w:cs="Times New Roman" w:eastAsia="Times New Roman" w:hAnsi="Times New Roman"/>
                <w:sz w:val="17"/>
                <w:szCs w:val="17"/>
                <w:color w:val="auto"/>
              </w:rPr>
              <w:t>Exhibits and Financial Statement Schedules</w:t>
            </w:r>
          </w:p>
        </w:tc>
        <w:tc>
          <w:tcPr>
            <w:tcW w:w="5520" w:type="dxa"/>
            <w:vAlign w:val="bottom"/>
            <w:gridSpan w:val="9"/>
          </w:tcPr>
          <w:p>
            <w:pPr>
              <w:spacing w:after="0"/>
              <w:rPr>
                <w:sz w:val="16"/>
                <w:szCs w:val="16"/>
                <w:color w:val="auto"/>
              </w:rPr>
            </w:pPr>
          </w:p>
        </w:tc>
        <w:tc>
          <w:tcPr>
            <w:tcW w:w="500" w:type="dxa"/>
            <w:vAlign w:val="bottom"/>
            <w:gridSpan w:val="3"/>
          </w:tcPr>
          <w:p>
            <w:pPr>
              <w:jc w:val="center"/>
              <w:ind w:left="175"/>
              <w:spacing w:after="0" w:line="184" w:lineRule="exact"/>
              <w:rPr>
                <w:sz w:val="20"/>
                <w:szCs w:val="20"/>
                <w:color w:val="auto"/>
              </w:rPr>
            </w:pPr>
            <w:r>
              <w:rPr>
                <w:rFonts w:ascii="Times New Roman" w:cs="Times New Roman" w:eastAsia="Times New Roman" w:hAnsi="Times New Roman"/>
                <w:sz w:val="17"/>
                <w:szCs w:val="17"/>
                <w:color w:val="auto"/>
                <w:w w:val="93"/>
              </w:rPr>
              <w:t>113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1"/>
              </w:rPr>
              <w:t>Item 16</w:t>
            </w:r>
          </w:p>
        </w:tc>
        <w:tc>
          <w:tcPr>
            <w:tcW w:w="720" w:type="dxa"/>
            <w:vAlign w:val="bottom"/>
          </w:tcPr>
          <w:p>
            <w:pPr>
              <w:spacing w:after="0"/>
              <w:rPr>
                <w:sz w:val="17"/>
                <w:szCs w:val="17"/>
                <w:color w:val="auto"/>
              </w:rPr>
            </w:pPr>
          </w:p>
        </w:tc>
        <w:tc>
          <w:tcPr>
            <w:tcW w:w="30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Form 10-K Summary</w:t>
            </w:r>
          </w:p>
        </w:tc>
        <w:tc>
          <w:tcPr>
            <w:tcW w:w="5520" w:type="dxa"/>
            <w:vAlign w:val="bottom"/>
            <w:gridSpan w:val="9"/>
          </w:tcPr>
          <w:p>
            <w:pPr>
              <w:spacing w:after="0"/>
              <w:rPr>
                <w:sz w:val="17"/>
                <w:szCs w:val="17"/>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116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Signatures</w:t>
            </w:r>
          </w:p>
        </w:tc>
        <w:tc>
          <w:tcPr>
            <w:tcW w:w="7060" w:type="dxa"/>
            <w:vAlign w:val="bottom"/>
            <w:gridSpan w:val="14"/>
          </w:tcPr>
          <w:p>
            <w:pPr>
              <w:spacing w:after="0"/>
              <w:rPr>
                <w:sz w:val="17"/>
                <w:szCs w:val="17"/>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auto"/>
                <w:w w:val="93"/>
              </w:rPr>
              <w:t>116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3098165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40"/>
          </w:cols>
          <w:pgMar w:left="1020" w:top="85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2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Various portions of this Annual Report on Form 10-K,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205" w:lineRule="exact"/>
        <w:rPr>
          <w:sz w:val="20"/>
          <w:szCs w:val="20"/>
          <w:color w:val="auto"/>
        </w:rPr>
      </w:pPr>
    </w:p>
    <w:p>
      <w:pPr>
        <w:ind w:left="620" w:right="140" w:hanging="307"/>
        <w:spacing w:after="0" w:line="264"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growth; future operating results and financial condition (including, among other things, anticipated sales; accruals for restructuring charges, production costs; gross margins; litigation expense; future SG&amp;A and R&amp;D expenses; manufacturing expenses; our expectations regarding liquidity and capital resources over the next twelve months; source of funds for capital purchases and operations; future tax rates; alternative sources of capital or financing; changes in working capital items such as receivables and inventory; and income taxes);</w:t>
      </w:r>
    </w:p>
    <w:p>
      <w:pPr>
        <w:spacing w:after="0" w:line="197" w:lineRule="exact"/>
        <w:rPr>
          <w:rFonts w:ascii="Times New Roman" w:cs="Times New Roman" w:eastAsia="Times New Roman" w:hAnsi="Times New Roman"/>
          <w:sz w:val="17"/>
          <w:szCs w:val="17"/>
          <w:color w:val="auto"/>
        </w:rPr>
      </w:pPr>
    </w:p>
    <w:p>
      <w:pPr>
        <w:ind w:left="620" w:hanging="307"/>
        <w:spacing w:after="0" w:line="256"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affecting our operating results, such as the impact of an increase in shipping costs; loss of a strategic relationship; change in demand for our products; domestic and international sales; expansion in international markets,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plant and equipment; manufacturing efficiencies and cost savings; unit manufacturing costs; establishment or expansion of production facilities inside or outside of the U.S.; planned new orders for semi-automated or fully automated assembly machines for new products; adequacy of production capacity;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205" w:lineRule="exact"/>
        <w:rPr>
          <w:rFonts w:ascii="Times New Roman" w:cs="Times New Roman" w:eastAsia="Times New Roman" w:hAnsi="Times New Roman"/>
          <w:sz w:val="17"/>
          <w:szCs w:val="17"/>
          <w:color w:val="auto"/>
        </w:rPr>
      </w:pPr>
    </w:p>
    <w:p>
      <w:pPr>
        <w:ind w:left="620" w:right="20" w:hanging="307"/>
        <w:spacing w:after="0" w:line="258"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or extended contracts with manufacturers and buying organizations; dependence on a small number of customers; loss of larger distributors and the ability to locate other distributors;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foreign exchange risk; commodity price risk; plans to convert existing space; acquisitions of other businesses or product lines.</w:t>
      </w:r>
    </w:p>
    <w:p>
      <w:pPr>
        <w:spacing w:after="0" w:line="204"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acquisitions, including our recently completed acquisition of the Smiths Medical business and the integration of acquired businesses and product lines (including the Smiths Medical business).</w:t>
      </w:r>
    </w:p>
    <w:p>
      <w:pPr>
        <w:spacing w:after="0" w:line="164" w:lineRule="exact"/>
        <w:rPr>
          <w:sz w:val="20"/>
          <w:szCs w:val="20"/>
          <w:color w:val="auto"/>
        </w:rPr>
      </w:pPr>
    </w:p>
    <w:p>
      <w:pPr>
        <w:jc w:val="both"/>
        <w:ind w:right="140" w:firstLine="619"/>
        <w:spacing w:after="0" w:line="245" w:lineRule="auto"/>
        <w:rPr>
          <w:sz w:val="20"/>
          <w:szCs w:val="20"/>
          <w:color w:val="auto"/>
        </w:rPr>
      </w:pPr>
      <w:r>
        <w:rPr>
          <w:rFonts w:ascii="Times New Roman" w:cs="Times New Roman" w:eastAsia="Times New Roman" w:hAnsi="Times New Roman"/>
          <w:sz w:val="17"/>
          <w:szCs w:val="17"/>
          <w:color w:val="auto"/>
        </w:rPr>
        <w:t>The forward looking statements in this report on Form 10-K are only predictions and are based largely on our current expectations and projections about future events and financial trends that we believe may effect our business, financial condition and results of operations. These forward-looking statements speak only as of the date of this Annual Report on Form 10-K and are subject to a number of known and unknown risks, uncertainties and assumptions, including those described under the sections in this Annual Report on Form 10-K entitled “Summary Risk Factors,” “Risk Factors” and “Management’s Discussion and Analysis of Financial Condition and Results of Operations” and elsewhere in this Annual Report on Form 10-K.</w:t>
      </w:r>
    </w:p>
    <w:p>
      <w:pPr>
        <w:spacing w:after="0" w:line="201"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518160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 w:name="page4"/>
    <w:bookmarkEnd w:id="3"/>
    <w:p>
      <w:pPr>
        <w:ind w:right="300"/>
        <w:spacing w:after="0" w:line="271" w:lineRule="auto"/>
        <w:rPr>
          <w:sz w:val="20"/>
          <w:szCs w:val="20"/>
          <w:color w:val="auto"/>
        </w:rPr>
      </w:pPr>
      <w:r>
        <w:rPr>
          <w:rFonts w:ascii="Times New Roman" w:cs="Times New Roman" w:eastAsia="Times New Roman" w:hAnsi="Times New Roman"/>
          <w:sz w:val="17"/>
          <w:szCs w:val="17"/>
          <w:color w:val="auto"/>
        </w:rPr>
        <w:t>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47"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business is subject to a number of risks and uncertainties, including those described in Part I, Item 1A. "Risk Factors" in this Annual Report on Form 10-K. You should carefully consider these risks and uncertainties when investing in our securities. Principal risks and uncertainties include:</w:t>
      </w:r>
    </w:p>
    <w:p>
      <w:pPr>
        <w:spacing w:after="0" w:line="177" w:lineRule="exact"/>
        <w:rPr>
          <w:sz w:val="20"/>
          <w:szCs w:val="20"/>
          <w:color w:val="auto"/>
        </w:rPr>
      </w:pPr>
    </w:p>
    <w:p>
      <w:pPr>
        <w:ind w:left="620" w:right="2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any of our manufacturing facilities or disruption to our supply chain network could impair our ability to produce our products.</w:t>
      </w:r>
    </w:p>
    <w:p>
      <w:pPr>
        <w:spacing w:after="0" w:line="268" w:lineRule="exact"/>
        <w:rPr>
          <w:rFonts w:ascii="Times New Roman" w:cs="Times New Roman" w:eastAsia="Times New Roman" w:hAnsi="Times New Roman"/>
          <w:sz w:val="17"/>
          <w:szCs w:val="17"/>
          <w:color w:val="auto"/>
        </w:rPr>
      </w:pPr>
    </w:p>
    <w:p>
      <w:pPr>
        <w:ind w:left="620" w:right="40" w:hanging="307"/>
        <w:spacing w:after="0" w:line="228"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Prolonged periods of inflation, rising interest rates and the impact of foreign currency exchange rates as a result of the current global macroeconomic and geopolitical conditions have had and could in the future have a material adverse effect on our results of operations.</w:t>
      </w:r>
    </w:p>
    <w:p>
      <w:pPr>
        <w:spacing w:after="0" w:line="216" w:lineRule="exact"/>
        <w:rPr>
          <w:rFonts w:ascii="Arial" w:cs="Arial" w:eastAsia="Arial" w:hAnsi="Arial"/>
          <w:sz w:val="21"/>
          <w:szCs w:val="21"/>
          <w:color w:val="auto"/>
        </w:rPr>
      </w:pPr>
    </w:p>
    <w:p>
      <w:pPr>
        <w:ind w:left="620" w:right="1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pandemic has disrupted how we, our suppliers and our customers operate and the duration, and the extent to which this will impact our business, future results of operations, liquidity and overall financial performance remains uncertain.</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Significant sales through distributors expose us to risks that could have a material effect on our results of operations.</w:t>
      </w:r>
    </w:p>
    <w:p>
      <w:pPr>
        <w:spacing w:after="0" w:line="242" w:lineRule="exact"/>
        <w:rPr>
          <w:rFonts w:ascii="Times New Roman" w:cs="Times New Roman" w:eastAsia="Times New Roman" w:hAnsi="Times New Roman"/>
          <w:sz w:val="17"/>
          <w:szCs w:val="17"/>
          <w:color w:val="231F20"/>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achieving expected operating efficiencies or expense reductions associated with cost reduction and restructuring efforts and may experience a decline in our profitability, business disruptions or other adverse consequences to our business as a result.</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compete successfully with our competitors, we may be unable to maintain market share, in which case our sales may not grow and our profitability may be adversely affected.</w:t>
      </w:r>
    </w:p>
    <w:p>
      <w:pPr>
        <w:spacing w:after="0" w:line="177"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development requires substantial investment that may be difficult for us to fund and may be challenging to recover through commercial product sales.</w:t>
      </w:r>
    </w:p>
    <w:p>
      <w:pPr>
        <w:spacing w:after="0" w:line="177"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demand for our products were to decline significantly, we might not be able to recover the cost of our expensive automated molding and assembly equipment and tooling, which could have an adverse effect on our results of operations.</w:t>
      </w:r>
    </w:p>
    <w:p>
      <w:pPr>
        <w:spacing w:after="0" w:line="177" w:lineRule="exact"/>
        <w:rPr>
          <w:rFonts w:ascii="Times New Roman" w:cs="Times New Roman" w:eastAsia="Times New Roman" w:hAnsi="Times New Roman"/>
          <w:sz w:val="17"/>
          <w:szCs w:val="17"/>
          <w:color w:val="auto"/>
        </w:rPr>
      </w:pPr>
    </w:p>
    <w:p>
      <w:pPr>
        <w:jc w:val="both"/>
        <w:ind w:left="620" w:right="5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pressures to reduce healthcare costs and inadequate coverage and reimbursement may adversely affect our prices. If we cannot reduce manufacturing costs of existing and new products to counteract such pricing pressures, our sales may not grow and our profitability may decline.</w:t>
      </w:r>
    </w:p>
    <w:p>
      <w:pPr>
        <w:spacing w:after="0" w:line="177" w:lineRule="exact"/>
        <w:rPr>
          <w:rFonts w:ascii="Times New Roman" w:cs="Times New Roman" w:eastAsia="Times New Roman" w:hAnsi="Times New Roman"/>
          <w:sz w:val="17"/>
          <w:szCs w:val="17"/>
          <w:color w:val="auto"/>
        </w:rPr>
      </w:pPr>
    </w:p>
    <w:p>
      <w:pPr>
        <w:ind w:left="620" w:right="7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spacing w:after="0" w:line="177" w:lineRule="exact"/>
        <w:rPr>
          <w:rFonts w:ascii="Times New Roman" w:cs="Times New Roman" w:eastAsia="Times New Roman" w:hAnsi="Times New Roman"/>
          <w:sz w:val="17"/>
          <w:szCs w:val="17"/>
          <w:color w:val="auto"/>
        </w:rPr>
      </w:pPr>
    </w:p>
    <w:p>
      <w:pPr>
        <w:ind w:left="620" w:right="80" w:hanging="307"/>
        <w:spacing w:after="0" w:line="269" w:lineRule="auto"/>
        <w:tabs>
          <w:tab w:leader="none" w:pos="616"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Disruptions at the FDA, other government agencies or notified bodies caused by funding shortages or global health concerns could hinder their ability to hire, retain, or deploy key leadership and other personnel, or otherwise prevent new or modified products from being developed, cleared, approved, certified, or commercialized in a timely manner, or at all, which could negatively impact our business.</w:t>
      </w:r>
    </w:p>
    <w:p>
      <w:pPr>
        <w:spacing w:after="0" w:line="192" w:lineRule="exact"/>
        <w:rPr>
          <w:rFonts w:ascii="Arial" w:cs="Arial" w:eastAsia="Arial" w:hAnsi="Arial"/>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failures to comply with foreign, federal, and state data privacy and security laws, regulations and standards may adversely affect our business, operations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641985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45" w:right="379" w:bottom="1440" w:gutter="0" w:footer="0" w:header="0"/>
        </w:sectPr>
      </w:pPr>
    </w:p>
    <w:bookmarkStart w:id="4" w:name="page5"/>
    <w:bookmarkEnd w:id="4"/>
    <w:p>
      <w:pPr>
        <w:ind w:left="620" w:right="8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77" w:lineRule="exact"/>
        <w:rPr>
          <w:rFonts w:ascii="Times New Roman" w:cs="Times New Roman" w:eastAsia="Times New Roman" w:hAnsi="Times New Roman"/>
          <w:sz w:val="17"/>
          <w:szCs w:val="17"/>
          <w:color w:val="auto"/>
        </w:rPr>
      </w:pPr>
    </w:p>
    <w:p>
      <w:pPr>
        <w:jc w:val="both"/>
        <w:ind w:left="620" w:right="60" w:hanging="307"/>
        <w:spacing w:after="0" w:line="269" w:lineRule="auto"/>
        <w:tabs>
          <w:tab w:leader="none" w:pos="616"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Our business could be materially and adversely affected if we fail to defend and enforce our patents or other proprietary rights, if our products are found to infringe patents or other proprietary rights owned by others or if the cost to protect our patents or other proprietary rights becomes excessive or as our patents expire.</w:t>
      </w:r>
    </w:p>
    <w:p>
      <w:pPr>
        <w:spacing w:after="0" w:line="19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Our operations may be adversely impacted by our exposure to risks related to foreign currency exchange rates.</w:t>
      </w:r>
    </w:p>
    <w:p>
      <w:pPr>
        <w:spacing w:after="0" w:line="242" w:lineRule="exact"/>
        <w:rPr>
          <w:rFonts w:ascii="Arial" w:cs="Arial" w:eastAsia="Arial" w:hAnsi="Arial"/>
          <w:sz w:val="17"/>
          <w:szCs w:val="17"/>
          <w:color w:val="auto"/>
        </w:rPr>
      </w:pPr>
    </w:p>
    <w:p>
      <w:pPr>
        <w:ind w:left="620" w:right="380" w:hanging="307"/>
        <w:spacing w:after="0" w:line="286" w:lineRule="auto"/>
        <w:tabs>
          <w:tab w:leader="none" w:pos="616"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Any significant changes in U.S. trade, tax or other policies that restrict imports or increase import tariffs could have a material adverse effect on our results of operations.</w:t>
      </w:r>
    </w:p>
    <w:p>
      <w:pPr>
        <w:spacing w:after="0" w:line="177" w:lineRule="exact"/>
        <w:rPr>
          <w:rFonts w:ascii="Arial" w:cs="Arial" w:eastAsia="Arial" w:hAnsi="Arial"/>
          <w:sz w:val="17"/>
          <w:szCs w:val="17"/>
          <w:color w:val="auto"/>
        </w:rPr>
      </w:pPr>
    </w:p>
    <w:p>
      <w:pPr>
        <w:ind w:left="620" w:right="380" w:hanging="307"/>
        <w:spacing w:after="0" w:line="286" w:lineRule="auto"/>
        <w:tabs>
          <w:tab w:leader="none" w:pos="616"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International sales pose additional risks related to competition with larger international companies and established local companies and our possibly higher cost structure.</w:t>
      </w:r>
    </w:p>
    <w:p>
      <w:pPr>
        <w:spacing w:after="0" w:line="177" w:lineRule="exact"/>
        <w:rPr>
          <w:rFonts w:ascii="Arial" w:cs="Arial" w:eastAsia="Arial" w:hAnsi="Arial"/>
          <w:sz w:val="17"/>
          <w:szCs w:val="17"/>
          <w:color w:val="auto"/>
        </w:rPr>
      </w:pPr>
    </w:p>
    <w:p>
      <w:pPr>
        <w:ind w:left="620" w:right="40" w:hanging="307"/>
        <w:spacing w:after="0" w:line="269" w:lineRule="auto"/>
        <w:tabs>
          <w:tab w:leader="none" w:pos="616"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The Smiths Medical acquisition completed in January 2022 has resulted in organizational changes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19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impact of the Smiths Medical acquisition on our financial results may be worse than the assumptions we have used.</w:t>
      </w:r>
    </w:p>
    <w:p>
      <w:pPr>
        <w:spacing w:after="0" w:line="242" w:lineRule="exact"/>
        <w:rPr>
          <w:rFonts w:ascii="Times New Roman" w:cs="Times New Roman" w:eastAsia="Times New Roman" w:hAnsi="Times New Roman"/>
          <w:sz w:val="17"/>
          <w:szCs w:val="17"/>
          <w:color w:val="auto"/>
        </w:rPr>
      </w:pPr>
    </w:p>
    <w:p>
      <w:pPr>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Smiths Medical acquisition, we have used a significant portion of our cash on hand and incurred a substantial amount of debt to finance the cash consideration portion and certain other amounts paid in connection with the Smiths Medical acquisition, which could adversely affect our business, including by restricting our ability to engage in additional transactions or incur additional indebtedness.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Part I, Item 1A of this Annual Report on Form 10-K for the detailed discussion of the above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683895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1"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First person pronouns used in this Annual Report on Form 10-K, such as “we,” “us,” and “our,” refer to ICU Medical, Inc. (“ICU”) and its subsidiaries unless context requires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Background and Overview of Business</w:t>
      </w:r>
    </w:p>
    <w:p>
      <w:pPr>
        <w:spacing w:after="0" w:line="247"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ICU develops, manufactures and sells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w:t>
      </w:r>
    </w:p>
    <w:p>
      <w:pPr>
        <w:spacing w:after="0" w:line="19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Headquartered in San Clemente, California, ICU was founded in 1984. Our primary customers are acute care hospitals, wholesalers, ambulatory clinics and alternate site facilities, such as outpatient clinics, home health care providers, and long-term care facilities. Since our inception we have grown organically and through acquisition.</w:t>
      </w:r>
    </w:p>
    <w:p>
      <w:pPr>
        <w:spacing w:after="0" w:line="191"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In February 2017, we acquired Pfizer Inc.’s (“Pfizer”) Hospira Infusion Systems (“HIS”) business. The HIS acquisition complemented our legacy non-dedicated infusion sets and oncology business by expanding our product portfolio to include a complete intravenous infusion therapy product-line from IV solutions to IV pumps to non-dedicated infusion sets.</w:t>
      </w:r>
    </w:p>
    <w:p>
      <w:pPr>
        <w:spacing w:after="0" w:line="191" w:lineRule="exact"/>
        <w:rPr>
          <w:sz w:val="20"/>
          <w:szCs w:val="20"/>
          <w:color w:val="auto"/>
        </w:rPr>
      </w:pPr>
    </w:p>
    <w:p>
      <w:pPr>
        <w:ind w:right="360" w:firstLine="619"/>
        <w:spacing w:after="0" w:line="271" w:lineRule="auto"/>
        <w:rPr>
          <w:sz w:val="20"/>
          <w:szCs w:val="20"/>
          <w:color w:val="auto"/>
        </w:rPr>
      </w:pPr>
      <w:r>
        <w:rPr>
          <w:rFonts w:ascii="Times New Roman" w:cs="Times New Roman" w:eastAsia="Times New Roman" w:hAnsi="Times New Roman"/>
          <w:sz w:val="17"/>
          <w:szCs w:val="17"/>
          <w:color w:val="auto"/>
        </w:rPr>
        <w:t>In November 2019, we acquired Pursuit Vascular, Inc. (“Pursuit”). Pursuit was a privately-held medical device company with a primary focus on innovative catheter disinfecting products and technologies to reduce costly bloodstream infections and lower healthcare costs. Pursuit’s primary product is the ClearGuard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HD cap, which is used for the maintenance of hemodialysis catheters.</w:t>
      </w:r>
    </w:p>
    <w:p>
      <w:pPr>
        <w:spacing w:after="0" w:line="124" w:lineRule="exact"/>
        <w:rPr>
          <w:sz w:val="20"/>
          <w:szCs w:val="20"/>
          <w:color w:val="auto"/>
        </w:rPr>
      </w:pPr>
    </w:p>
    <w:p>
      <w:pPr>
        <w:jc w:val="both"/>
        <w:ind w:right="360" w:firstLine="619"/>
        <w:spacing w:after="0" w:line="270" w:lineRule="auto"/>
        <w:rPr>
          <w:sz w:val="20"/>
          <w:szCs w:val="20"/>
          <w:color w:val="auto"/>
        </w:rPr>
      </w:pPr>
      <w:r>
        <w:rPr>
          <w:rFonts w:ascii="Times New Roman" w:cs="Times New Roman" w:eastAsia="Times New Roman" w:hAnsi="Times New Roman"/>
          <w:sz w:val="17"/>
          <w:szCs w:val="17"/>
          <w:color w:val="auto"/>
        </w:rPr>
        <w:t>In January 2022, we acquired Smiths Medical 2020 Limited (“Smiths Medical”), the holding company of Smiths Group plc’s global medical device business. The Smiths Medical acquisition complemented and broadened our preexisting product portfolio by adding syringe and ambulatory infusion devices, vascular access, and vital care products, and significantly strengthened and expanded our global market reach.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247"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2022, our primary product offerings are listed below. Our product offerings related to our Smiths Medical acquisition are listed separately as we integrate that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Consumables</w:t>
      </w:r>
    </w:p>
    <w:p>
      <w:pPr>
        <w:spacing w:after="0" w:line="249"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Infusion therapy sets, used in hospitals and ambulatory clinics, consist of a tube running from a bottle or plastic bag containing a solution to a catheter inserted in a patient’s vein, that may or may not be used with an IV pump. Closed System Transfer Devices (“CSTD”) and hazardous drug compounding systems are used to prepare and deliver hazardous IV medications such as those used in chemotherapy, which, if released, can have harmful effects to the healthcare worker and environment. Our primary products include:</w:t>
      </w:r>
    </w:p>
    <w:p>
      <w:pPr>
        <w:spacing w:after="0" w:line="193" w:lineRule="exact"/>
        <w:rPr>
          <w:sz w:val="20"/>
          <w:szCs w:val="20"/>
          <w:color w:val="auto"/>
        </w:rPr>
      </w:pPr>
    </w:p>
    <w:p>
      <w:pPr>
        <w:ind w:left="1240" w:right="240" w:hanging="309"/>
        <w:spacing w:after="0" w:line="272" w:lineRule="auto"/>
        <w:tabs>
          <w:tab w:leader="none" w:pos="12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Clave™ </w:t>
      </w:r>
      <w:r>
        <w:rPr>
          <w:rFonts w:ascii="Times New Roman" w:cs="Times New Roman" w:eastAsia="Times New Roman" w:hAnsi="Times New Roman"/>
          <w:sz w:val="17"/>
          <w:szCs w:val="17"/>
          <w:color w:val="auto"/>
        </w:rPr>
        <w:t>needlefree products, including the MicroClave, MicroClave Clear, and NanoClave™ brand of connectors, accessories, extension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administration sets used for the administration of IV fluids and medications and the Neutron catheter patency device, used to help maintain patency of central venous catheters;</w:t>
      </w:r>
    </w:p>
    <w:p>
      <w:pPr>
        <w:spacing w:after="0" w:line="183" w:lineRule="exact"/>
        <w:rPr>
          <w:rFonts w:ascii="Times New Roman" w:cs="Times New Roman" w:eastAsia="Times New Roman" w:hAnsi="Times New Roman"/>
          <w:sz w:val="17"/>
          <w:szCs w:val="17"/>
          <w:i w:val="1"/>
          <w:iCs w:val="1"/>
          <w:color w:val="auto"/>
        </w:rPr>
      </w:pPr>
    </w:p>
    <w:p>
      <w:pPr>
        <w:ind w:left="1240" w:right="120" w:hanging="309"/>
        <w:spacing w:after="0" w:line="239"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ChemoLock</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CSTD, which utilizes a proprietary needlefree connection method, is used for the preparation and administration of hazardous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drugs. ChemoLock is used to limit the escape of hazardous drug or vapor concentrations, block the transfer of environmental contaminants into the system, and eliminates the risk of needlestick injury; and</w:t>
      </w:r>
    </w:p>
    <w:p>
      <w:pPr>
        <w:spacing w:after="0" w:line="209" w:lineRule="exact"/>
        <w:rPr>
          <w:rFonts w:ascii="Times New Roman" w:cs="Times New Roman" w:eastAsia="Times New Roman" w:hAnsi="Times New Roman"/>
          <w:sz w:val="17"/>
          <w:szCs w:val="17"/>
          <w:color w:val="auto"/>
        </w:rPr>
      </w:pPr>
    </w:p>
    <w:p>
      <w:pPr>
        <w:ind w:left="1240" w:right="120" w:hanging="309"/>
        <w:spacing w:after="0" w:line="233"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ChemoClave</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color w:val="auto"/>
        </w:rPr>
        <w:t>, an ISO Connection standard and universally compatible CSTD used for the preparation and administration of hazardous drugs.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ChemoClave utilizes standard ISO luer locking connections, making it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86" w:right="359" w:bottom="1440" w:gutter="0" w:footer="0" w:header="0"/>
        </w:sectPr>
      </w:pPr>
    </w:p>
    <w:bookmarkStart w:id="6" w:name="page7"/>
    <w:bookmarkEnd w:id="6"/>
    <w:p>
      <w:pPr>
        <w:ind w:left="1240" w:right="120"/>
        <w:spacing w:after="0" w:line="287" w:lineRule="auto"/>
        <w:rPr>
          <w:sz w:val="20"/>
          <w:szCs w:val="20"/>
          <w:color w:val="auto"/>
        </w:rPr>
      </w:pPr>
      <w:r>
        <w:rPr>
          <w:rFonts w:ascii="Times New Roman" w:cs="Times New Roman" w:eastAsia="Times New Roman" w:hAnsi="Times New Roman"/>
          <w:sz w:val="17"/>
          <w:szCs w:val="17"/>
          <w:color w:val="auto"/>
        </w:rPr>
        <w:t>compatible with all brands of needlefree connectors and pump delivery systems. ChemoClave also is used to limit the escape of hazardous drug or vapor concentrations, block the transfer of environmental contaminants into the system, and eliminate the risk of needlestick injury.</w:t>
      </w:r>
    </w:p>
    <w:p>
      <w:pPr>
        <w:spacing w:after="0" w:line="17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We offer a wide range of infusion pumps, dedicated IV sets, software and professional services. Our primary Infusion System products are dedicated IV sets and the following: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Infusion Pump Hardware:</w:t>
      </w:r>
    </w:p>
    <w:p>
      <w:pPr>
        <w:spacing w:after="0" w:line="243" w:lineRule="exact"/>
        <w:rPr>
          <w:sz w:val="20"/>
          <w:szCs w:val="20"/>
          <w:color w:val="auto"/>
        </w:rPr>
      </w:pPr>
    </w:p>
    <w:p>
      <w:pPr>
        <w:ind w:left="1240" w:right="20" w:hanging="309"/>
        <w:spacing w:after="0" w:line="266"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Plum 360™</w:t>
      </w:r>
      <w:r>
        <w:rPr>
          <w:rFonts w:ascii="Times New Roman" w:cs="Times New Roman" w:eastAsia="Times New Roman" w:hAnsi="Times New Roman"/>
          <w:sz w:val="17"/>
          <w:szCs w:val="17"/>
          <w:color w:val="auto"/>
        </w:rPr>
        <w:t>: The Plum 360™ infusion pump is an ICU Medical MedNet™ ready large volume infusion pump with an extensive drug library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wireless capability. Plum 360 was named the 2018, 2019, 2020 and 2022 Best in KLAS winner as top-performing IV smart pump and was the first medical device to be awarded UL Cybersecurity Assurance Program Certification. Also, in 2021, 2022 and 2023, the Plum 360 won the award as the top-performing Smart Pump EMR-Integrated.</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IV Medication Safety Software:</w:t>
      </w:r>
    </w:p>
    <w:p>
      <w:pPr>
        <w:spacing w:after="0" w:line="243" w:lineRule="exact"/>
        <w:rPr>
          <w:sz w:val="20"/>
          <w:szCs w:val="20"/>
          <w:color w:val="auto"/>
        </w:rPr>
      </w:pPr>
    </w:p>
    <w:p>
      <w:pPr>
        <w:ind w:left="1240" w:right="20" w:hanging="309"/>
        <w:spacing w:after="0" w:line="266"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ICU Medical MedNet</w:t>
      </w:r>
      <w:r>
        <w:rPr>
          <w:rFonts w:ascii="Times New Roman" w:cs="Times New Roman" w:eastAsia="Times New Roman" w:hAnsi="Times New Roman"/>
          <w:sz w:val="17"/>
          <w:szCs w:val="17"/>
          <w:color w:val="auto"/>
        </w:rPr>
        <w:t>™: ICU Medical MedNet is an enterprise-class medication management platform for any sized healthcare system that 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help reduce medication errors, improve quality of care, streamline workflows and maximize revenue capture. ICU Medical MedNet connects our industry-leading smart pumps to a hospital’s EHR, asset tracking systems, and alarm notification platforms with the largest array of integration partners.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247" w:lineRule="exact"/>
        <w:rPr>
          <w:sz w:val="20"/>
          <w:szCs w:val="20"/>
          <w:color w:val="auto"/>
        </w:rPr>
      </w:pPr>
    </w:p>
    <w:p>
      <w:pPr>
        <w:ind w:left="1240" w:hanging="309"/>
        <w:spacing w:after="0" w:line="270" w:lineRule="auto"/>
        <w:tabs>
          <w:tab w:leader="none" w:pos="12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IV Solutions</w:t>
      </w:r>
    </w:p>
    <w:p>
      <w:pPr>
        <w:spacing w:after="0" w:line="249" w:lineRule="exact"/>
        <w:rPr>
          <w:sz w:val="20"/>
          <w:szCs w:val="20"/>
          <w:color w:val="auto"/>
        </w:rPr>
      </w:pPr>
    </w:p>
    <w:p>
      <w:pPr>
        <w:ind w:right="720" w:firstLine="619"/>
        <w:spacing w:after="0" w:line="287" w:lineRule="auto"/>
        <w:rPr>
          <w:sz w:val="20"/>
          <w:szCs w:val="20"/>
          <w:color w:val="auto"/>
        </w:rPr>
      </w:pPr>
      <w:r>
        <w:rPr>
          <w:rFonts w:ascii="Times New Roman" w:cs="Times New Roman" w:eastAsia="Times New Roman" w:hAnsi="Times New Roman"/>
          <w:sz w:val="17"/>
          <w:szCs w:val="17"/>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IV Therapy and Diluents:</w:t>
      </w:r>
    </w:p>
    <w:p>
      <w:pPr>
        <w:spacing w:after="0" w:line="247" w:lineRule="exact"/>
        <w:rPr>
          <w:sz w:val="20"/>
          <w:szCs w:val="20"/>
          <w:color w:val="auto"/>
        </w:rPr>
      </w:pPr>
    </w:p>
    <w:p>
      <w:pPr>
        <w:ind w:left="1240" w:right="280" w:hanging="309"/>
        <w:spacing w:after="0" w:line="287" w:lineRule="auto"/>
        <w:tabs>
          <w:tab w:leader="none" w:pos="123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Including Sodium Chloride, Dextrose, Balanced Electrolyte Solutions, Lactated Ringer’s, Ringer’s, Mannitol, Sodium Chloride/Dextrose and Sterile Water.</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Irrigation:</w:t>
      </w:r>
    </w:p>
    <w:p>
      <w:pPr>
        <w:spacing w:after="0" w:line="247" w:lineRule="exact"/>
        <w:rPr>
          <w:sz w:val="20"/>
          <w:szCs w:val="20"/>
          <w:color w:val="auto"/>
        </w:rPr>
      </w:pPr>
    </w:p>
    <w:p>
      <w:pPr>
        <w:ind w:left="1240" w:right="560" w:hanging="309"/>
        <w:spacing w:after="0" w:line="287" w:lineRule="auto"/>
        <w:tabs>
          <w:tab w:leader="none" w:pos="123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Care</w:t>
      </w:r>
    </w:p>
    <w:p>
      <w:pPr>
        <w:spacing w:after="0" w:line="249"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 w:name="page8"/>
    <w:bookmarkEnd w:id="7"/>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Cogent™ 2-in-1 hemodynamic monitoring system;</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CardioFlo™ hemodynamic monitoring system;</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TDQ™ and OptiQ™ cardiac output monitoring catheters;</w:t>
      </w:r>
    </w:p>
    <w:p>
      <w:pPr>
        <w:spacing w:after="0" w:line="10" w:lineRule="exact"/>
        <w:rPr>
          <w:rFonts w:ascii="Times New Roman" w:cs="Times New Roman" w:eastAsia="Times New Roman" w:hAnsi="Times New Roman"/>
          <w:sz w:val="17"/>
          <w:szCs w:val="17"/>
          <w:color w:val="auto"/>
        </w:rPr>
      </w:pPr>
    </w:p>
    <w:p>
      <w:pPr>
        <w:ind w:left="1240" w:hanging="309"/>
        <w:spacing w:after="0" w:line="196"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TriOx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venous oximetry catheters;</w:t>
      </w: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Transpac™ blood pressure transducers; and</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SafeSet™ closed blood sampling and conservation system.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Systems-Smiths Medical</w:t>
      </w:r>
    </w:p>
    <w:p>
      <w:pPr>
        <w:spacing w:after="0" w:line="249"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We offer a wide range of infusion pumps, disposables and safety software for use in both hospital and home settings. These products participate in adjacent categories to the legacy ICU Medical Infusion Systems product line. The primary Infusion Systems-Smiths Medical products are: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Ambulatory Infusion Hardware:</w:t>
      </w:r>
    </w:p>
    <w:p>
      <w:pPr>
        <w:spacing w:after="0" w:line="243" w:lineRule="exact"/>
        <w:rPr>
          <w:sz w:val="20"/>
          <w:szCs w:val="20"/>
          <w:color w:val="auto"/>
        </w:rPr>
      </w:pPr>
    </w:p>
    <w:p>
      <w:pPr>
        <w:ind w:left="1240" w:right="20" w:hanging="309"/>
        <w:spacing w:after="0" w:line="292" w:lineRule="auto"/>
        <w:tabs>
          <w:tab w:leader="none" w:pos="12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CADD</w:t>
      </w:r>
      <w:r>
        <w:rPr>
          <w:rFonts w:ascii="Times New Roman" w:cs="Times New Roman" w:eastAsia="Times New Roman" w:hAnsi="Times New Roman"/>
          <w:sz w:val="17"/>
          <w:szCs w:val="17"/>
          <w:color w:val="auto"/>
        </w:rPr>
        <w:t>® ambulatory infusion pumps and disposables, including administration sets and medication cassette reservoirs, support a variety of IV</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pain management therapies across clinical care areas from hospital to outpatient treatment.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Syringe Infusion Hardware:</w:t>
      </w:r>
    </w:p>
    <w:p>
      <w:pPr>
        <w:spacing w:after="0" w:line="242" w:lineRule="exact"/>
        <w:rPr>
          <w:sz w:val="20"/>
          <w:szCs w:val="20"/>
          <w:color w:val="auto"/>
        </w:rPr>
      </w:pPr>
    </w:p>
    <w:p>
      <w:pPr>
        <w:ind w:left="1240" w:right="60" w:hanging="309"/>
        <w:spacing w:after="0" w:line="232"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Medfusion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syringe infusion pumps are designed for the administration of fluids and medication requiring precisely controlled infusion rates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a variety of syringe sizes in acute care settings.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Infusion Software:</w:t>
      </w:r>
    </w:p>
    <w:p>
      <w:pPr>
        <w:spacing w:after="0" w:line="243" w:lineRule="exact"/>
        <w:rPr>
          <w:sz w:val="20"/>
          <w:szCs w:val="20"/>
          <w:color w:val="auto"/>
        </w:rPr>
      </w:pPr>
    </w:p>
    <w:p>
      <w:pPr>
        <w:ind w:left="1240" w:hanging="309"/>
        <w:spacing w:after="0" w:line="292" w:lineRule="auto"/>
        <w:tabs>
          <w:tab w:leader="none" w:pos="12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PharmGuard</w:t>
      </w:r>
      <w:r>
        <w:rPr>
          <w:rFonts w:ascii="Times New Roman" w:cs="Times New Roman" w:eastAsia="Times New Roman" w:hAnsi="Times New Roman"/>
          <w:sz w:val="17"/>
          <w:szCs w:val="17"/>
          <w:color w:val="auto"/>
        </w:rPr>
        <w:t>® Medication Safety Software for MedfusionTM 4000 syringe and CADD™ Solis pumps allows for customized drug libraries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the standardization of protocols for medication administration throughout the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Vascular Access-Smiths Medical</w:t>
      </w:r>
    </w:p>
    <w:p>
      <w:pPr>
        <w:spacing w:after="0" w:line="249"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Our Vascular Access-Smiths Medical products allow clinicians to safely access the patients’ bloodstream to deliver fluids and medication or to obtain blood samples. Vascular Access products are often used in conjunction with Consumables and Infusion Systems devices. Our primary Vascular Access products are:</w:t>
      </w:r>
    </w:p>
    <w:p>
      <w:pPr>
        <w:spacing w:after="0" w:line="187" w:lineRule="exact"/>
        <w:rPr>
          <w:sz w:val="20"/>
          <w:szCs w:val="20"/>
          <w:color w:val="auto"/>
        </w:rPr>
      </w:pPr>
    </w:p>
    <w:p>
      <w:pPr>
        <w:ind w:left="1240" w:right="20" w:hanging="309"/>
        <w:spacing w:after="0" w:line="272" w:lineRule="auto"/>
        <w:tabs>
          <w:tab w:leader="none" w:pos="1236"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Jelco</w:t>
      </w:r>
      <w:r>
        <w:rPr>
          <w:rFonts w:ascii="Times New Roman" w:cs="Times New Roman" w:eastAsia="Times New Roman" w:hAnsi="Times New Roman"/>
          <w:sz w:val="17"/>
          <w:szCs w:val="17"/>
          <w:color w:val="auto"/>
        </w:rPr>
        <w:t>® safety and conventional peripheral IV catheters, sharps safety devices for hypodermic injection, and venipuncture blood collection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peripheral IV catheters designed to help prevent needlestick injury and to reduce the risks associated with blood exposure and contamination while reducing patients’ risk of infection;</w:t>
      </w:r>
    </w:p>
    <w:p>
      <w:pPr>
        <w:spacing w:after="0" w:line="186" w:lineRule="exact"/>
        <w:rPr>
          <w:rFonts w:ascii="Times New Roman" w:cs="Times New Roman" w:eastAsia="Times New Roman" w:hAnsi="Times New Roman"/>
          <w:sz w:val="17"/>
          <w:szCs w:val="17"/>
          <w:i w:val="1"/>
          <w:iCs w:val="1"/>
          <w:color w:val="auto"/>
        </w:rPr>
      </w:pPr>
    </w:p>
    <w:p>
      <w:pPr>
        <w:ind w:left="1240" w:hanging="309"/>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DELTEC</w:t>
      </w:r>
      <w:r>
        <w:rPr>
          <w:rFonts w:ascii="Times New Roman" w:cs="Times New Roman" w:eastAsia="Times New Roman" w:hAnsi="Times New Roman"/>
          <w:sz w:val="17"/>
          <w:szCs w:val="17"/>
          <w:color w:val="auto"/>
        </w:rPr>
        <w:t>® implantable ports and GRIPPER® non-coring needles for portal access;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Portex</w:t>
      </w:r>
      <w:r>
        <w:rPr>
          <w:rFonts w:ascii="Times New Roman" w:cs="Times New Roman" w:eastAsia="Times New Roman" w:hAnsi="Times New Roman"/>
          <w:sz w:val="17"/>
          <w:szCs w:val="17"/>
          <w:color w:val="auto"/>
        </w:rPr>
        <w:t>® arterial blood sampling syringes, anesthesia trays and kits for pain management;</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Powerwand</w:t>
      </w:r>
      <w:r>
        <w:rPr>
          <w:rFonts w:ascii="Times New Roman" w:cs="Times New Roman" w:eastAsia="Times New Roman" w:hAnsi="Times New Roman"/>
          <w:sz w:val="17"/>
          <w:szCs w:val="17"/>
          <w:color w:val="auto"/>
        </w:rPr>
        <w:t>® midline catheters; and</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MEDEX</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LogiCal</w:t>
      </w:r>
      <w:r>
        <w:rPr>
          <w:rFonts w:ascii="Times New Roman" w:cs="Times New Roman" w:eastAsia="Times New Roman" w:hAnsi="Times New Roman"/>
          <w:sz w:val="17"/>
          <w:szCs w:val="17"/>
          <w:color w:val="auto"/>
        </w:rPr>
        <w:t>® Pressure Monitoring System and components.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Care-Smiths Medical</w:t>
      </w:r>
    </w:p>
    <w:p>
      <w:pPr>
        <w:spacing w:after="0" w:line="249"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We offer a range of devices and systems to maintain patients’ airways and body temperature before, during and after surgery. Our primary Vital Care products are:</w:t>
      </w:r>
    </w:p>
    <w:p>
      <w:pPr>
        <w:spacing w:after="0" w:line="173" w:lineRule="exact"/>
        <w:rPr>
          <w:sz w:val="20"/>
          <w:szCs w:val="20"/>
          <w:color w:val="auto"/>
        </w:rPr>
      </w:pPr>
    </w:p>
    <w:p>
      <w:pPr>
        <w:ind w:left="1240" w:right="240" w:hanging="309"/>
        <w:spacing w:after="0" w:line="292"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 temperature management systems used in perioperative and critical care settings to help monitor and regulate patient temperature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rapid infusion, routine blood and fluid warming, irrigation warming and convective warming.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090" w:right="539" w:bottom="1440" w:gutter="0" w:footer="0" w:header="0"/>
        </w:sectPr>
      </w:pPr>
    </w:p>
    <w:bookmarkStart w:id="8" w:name="page9"/>
    <w:bookmarkEnd w:id="8"/>
    <w:p>
      <w:pPr>
        <w:ind w:left="1240" w:right="500" w:hanging="309"/>
        <w:spacing w:after="0" w:line="292"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Portex</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acapella</w:t>
      </w:r>
      <w:r>
        <w:rPr>
          <w:rFonts w:ascii="Times New Roman" w:cs="Times New Roman" w:eastAsia="Times New Roman" w:hAnsi="Times New Roman"/>
          <w:sz w:val="17"/>
          <w:szCs w:val="17"/>
          <w:color w:val="auto"/>
        </w:rPr>
        <w:t>® bronchial hygiene products used to mobilize pulmonary secretions to facilitate the opening of airways in patients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chronic respiratory diseases such as chronic obstructive pulmonary disease ("COPD"), asthma and cystic fibrosis.</w:t>
      </w:r>
    </w:p>
    <w:p>
      <w:pPr>
        <w:spacing w:after="0" w:line="168" w:lineRule="exact"/>
        <w:rPr>
          <w:rFonts w:ascii="Times New Roman" w:cs="Times New Roman" w:eastAsia="Times New Roman" w:hAnsi="Times New Roman"/>
          <w:sz w:val="17"/>
          <w:szCs w:val="17"/>
          <w:color w:val="auto"/>
        </w:rPr>
      </w:pPr>
    </w:p>
    <w:p>
      <w:pPr>
        <w:ind w:left="1240" w:right="680" w:hanging="309"/>
        <w:spacing w:after="0" w:line="292"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Portex</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Bivona</w:t>
      </w:r>
      <w:r>
        <w:rPr>
          <w:rFonts w:ascii="Times New Roman" w:cs="Times New Roman" w:eastAsia="Times New Roman" w:hAnsi="Times New Roman"/>
          <w:sz w:val="17"/>
          <w:szCs w:val="17"/>
          <w:color w:val="auto"/>
        </w:rPr>
        <w:t>® tracheostomy tubes in PVC and silicone construction that provide a secure airway for both surgical and percutaneous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Our silicone tracheostomy tubes are customizable to accommodate unique patient requirements.</w:t>
      </w:r>
    </w:p>
    <w:p>
      <w:pPr>
        <w:spacing w:after="0" w:line="173"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Financial information relating to our reporting segment and primary product lines is set forth in Part II, Item 7. "Management’s Discussion and Analysis of Financial Condition and Results of Operations" of this Annual Report on Form 10-K, and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Facilities</w:t>
      </w:r>
    </w:p>
    <w:p>
      <w:pPr>
        <w:spacing w:after="0" w:line="22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Our manufacturing facilities are concentrated in the United States, Costa Rica, Mexico, and Czech Republic. See Part I, Item 2 of this Annual Report on Form 10-K.</w:t>
      </w:r>
    </w:p>
    <w:p>
      <w:pPr>
        <w:spacing w:after="0" w:line="177"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We also rely on certain outside manufacturers for certain product lines in Infusion Systems and we leverage a long-term supply agreement with Pfizer (described below) to provide additional IV Solution products to us.</w:t>
      </w:r>
    </w:p>
    <w:p>
      <w:pPr>
        <w:spacing w:after="0" w:line="164"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In 2017, we entered into two Manufacturing and Supply Agreements ("MSAs") with Pfizer under which, (i) Pfizer agreed to manufacture and supply us with certain agreed upon products for an initial five-year term with a one-time two-year option to extend and (ii) we agreed to manufacture and supply Pfizer certain agreed upon products for a term of five or ten years depending on the product, with a one-time two-year option to extend. The initial supply price under each MSA is annually updated and is in full consideration for all costs associated with the manufacture, documentation, packaging and certification of the products. In January 2021, we amended our MSA with Pfizer whereby we agreed to manufacture and supply certain agreed upon products to Pfizer. The amendment included a change to the term of the agreement to end on December 31, 2024 with Pfizer's unilateral election to extend through December 31, 2025. Other changes included (i) changes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agreement whereby Pfizer agreed to manufacture and supply to us certain agreed upon products subject to certain time and pricing terms and conditions. The Product Addendum expired on November 30, 2022.</w:t>
      </w:r>
    </w:p>
    <w:p>
      <w:pPr>
        <w:spacing w:after="0" w:line="206" w:lineRule="exact"/>
        <w:rPr>
          <w:sz w:val="20"/>
          <w:szCs w:val="20"/>
          <w:color w:val="auto"/>
        </w:rPr>
      </w:pPr>
    </w:p>
    <w:p>
      <w:pPr>
        <w:ind w:right="160" w:firstLine="619"/>
        <w:spacing w:after="0" w:line="271" w:lineRule="auto"/>
        <w:rPr>
          <w:sz w:val="20"/>
          <w:szCs w:val="20"/>
          <w:color w:val="auto"/>
        </w:rPr>
      </w:pPr>
      <w:r>
        <w:rPr>
          <w:rFonts w:ascii="Times New Roman" w:cs="Times New Roman" w:eastAsia="Times New Roman" w:hAnsi="Times New Roman"/>
          <w:sz w:val="17"/>
          <w:szCs w:val="17"/>
          <w:color w:val="auto"/>
        </w:rPr>
        <w:t>We operate regional device service centers, in a number of locations, including Salt Lake City, Utah, U.S., Sligo, Ireland; San Laurent, Quebec, Canada; Taipei, Taiwan and Rydalmere, Australia. See Part I, Item 2 of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Raw Materials</w:t>
      </w:r>
    </w:p>
    <w:p>
      <w:pPr>
        <w:spacing w:after="0" w:line="234"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 xml:space="preserve">We purchase many of the components and raw materials used in manufacturing our products from numerous suppliers in various countries. Certain components and raw materials are available only from a single supplier.We currently attempt to manage the risk associated with such suppliers by means of inventory management, relationship management and evaluation of alternative sources when feasible.See Item 1A. Risk Factors - </w:t>
      </w:r>
      <w:r>
        <w:rPr>
          <w:rFonts w:ascii="Times New Roman" w:cs="Times New Roman" w:eastAsia="Times New Roman" w:hAnsi="Times New Roman"/>
          <w:sz w:val="17"/>
          <w:szCs w:val="17"/>
          <w:i w:val="1"/>
          <w:iCs w:val="1"/>
          <w:color w:val="auto"/>
        </w:rPr>
        <w:t>We are dependent on single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limited source third-party suppliers, which subjects our business and results of operations to risks of supplier business interruptions, and a loss or degradation in performance in our suppliers could have an adverse effect on our business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Marketing and Administration</w:t>
      </w:r>
    </w:p>
    <w:p>
      <w:pPr>
        <w:spacing w:after="0" w:line="221"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We sell globally through our own direct sales force and through independent distributors. We currently serve customers in over 100 countries throughout the world. The majority of our sales is denominated in United States ("U.S.") dollars and we have sales denominated in Euros, Canadian dollars, Japanese Yen, British Pound and Australian dollars as well as other currencies. In 2022, we had worldwide net sales to Medline of 15% of consolidated net sales. In 2021 and 2020, we did not have sales over 10% to any single customer.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9" w:name="page10"/>
    <w:bookmarkEnd w:id="9"/>
    <w:p>
      <w:pPr>
        <w:ind w:left="620"/>
        <w:spacing w:after="0"/>
        <w:rPr>
          <w:sz w:val="20"/>
          <w:szCs w:val="20"/>
          <w:color w:val="auto"/>
        </w:rPr>
      </w:pPr>
      <w:r>
        <w:rPr>
          <w:rFonts w:ascii="Times New Roman" w:cs="Times New Roman" w:eastAsia="Times New Roman" w:hAnsi="Times New Roman"/>
          <w:sz w:val="17"/>
          <w:szCs w:val="17"/>
          <w:color w:val="auto"/>
        </w:rPr>
        <w:t>Our products are marketed and distributed in the U.S. and internationally to medical product manufacturers, independent distributors and directly to end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users.</w:t>
      </w:r>
    </w:p>
    <w:p>
      <w:pPr>
        <w:spacing w:after="0" w:line="2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distribution of our products in the U.S. is supported by a network of owned and leased distribution centers, which include King of Prussia,</w:t>
      </w:r>
    </w:p>
    <w:p>
      <w:pPr>
        <w:spacing w:after="0" w:line="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Pennsylvania; Los Angeles, California; Dallas, Texas and Olive Branch, Mississippi. We also utilize a number of public warehouses as part of our supply chain.</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Internationally, we manage distribution by utilizing international regional hubs and through independent distributors.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post-approval monitoring and reporting and import and export of drug products, medical devices and combination drug/device products in the U.S. to assure the safety and effectiveness of such medical products for their intended uses and otherwise meet the applicable requirements of the Federal Food, Drug and Cosmetic Act (“FDC Act”). The Federal Trade Commission ("FTC") also regulates the advertising of our products. Further, we are subject to laws directed at preventing fraud and abuse, which subject our sales and marketing, training and other practices to government scrutiny.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Medical Device Regulation in the U.S.</w:t>
      </w:r>
    </w:p>
    <w:p>
      <w:pPr>
        <w:spacing w:after="0" w:line="24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The majority of our products are regulated by the FDA as medical devices in the U.S. Unless an exemption applies, each new or significantly modified medical device we seek to commercially distribute in the U.S. will require either a pre-market notification to the FDA requesting permission for commercial distribution under Section 510(k) of the FDC Act, also referred to as a 510(k) clearance, or approval from the FDA of a pre-market approval ("PMA") application. Under the FDC Act, medical devices are classified into one of three classes—Class I, Class II or Class III—depending on the degree of risk associated with each medical device and the extent of manufacturer and regulatory control needed to ensure its safety and effectiveness. Class I devices are those that pose the lowest risk to the patient and are those for which safety and effectiveness can be assured by adherence to the FDA's General Controls for medical devices, which include compliance with the applicable portions of current good manufacturing practices ("cGMPs") for medical devices known as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Devices deemed by the FDA to pose the greatest risks, such as life sustaining, life supporting or some implantable devices, or devices that have a new intended use, or use advanced technology that is not substantially equivalent to that of a legally marketed device, are placed into Class III.</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Manufacturers of most Class II devices are required to obtain from the FDA a 510(k) clearance for permission to commercially distribute the device.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III devices require approval of a PMA application evidencing safety and effectiveness of the device.</w:t>
      </w:r>
    </w:p>
    <w:p>
      <w:pPr>
        <w:spacing w:after="0" w:line="226" w:lineRule="exact"/>
        <w:rPr>
          <w:sz w:val="20"/>
          <w:szCs w:val="20"/>
          <w:color w:val="auto"/>
        </w:rPr>
      </w:pPr>
    </w:p>
    <w:p>
      <w:pPr>
        <w:ind w:right="120" w:firstLine="619"/>
        <w:spacing w:after="0" w:line="257" w:lineRule="auto"/>
        <w:rPr>
          <w:sz w:val="20"/>
          <w:szCs w:val="20"/>
          <w:color w:val="auto"/>
        </w:rPr>
      </w:pPr>
      <w:r>
        <w:rPr>
          <w:rFonts w:ascii="Times New Roman" w:cs="Times New Roman" w:eastAsia="Times New Roman" w:hAnsi="Times New Roman"/>
          <w:sz w:val="17"/>
          <w:szCs w:val="17"/>
          <w:color w:val="auto"/>
        </w:rPr>
        <w:t xml:space="preserve">Under the 510(k) process, applicants must demonstrate to the FDA that the device is as safe and effective as, or substantially equivalent to, a legally marketed device, the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If the FDA agrees that the device is substantially equivalent to a lawfully marketed predicate device, it will grant 510(k) clearance to authorize the device for commercialization. If the FDA determines that the device is "not substantially equivalent,"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process, which is a route to market for novel medical devices that are low to moderate risk and are not substantially equivalent to a predicate device.</w:t>
      </w:r>
    </w:p>
    <w:p>
      <w:pPr>
        <w:spacing w:after="0" w:line="201"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The FDA requires each manufacturer to determine whether the proposed change requires submission of a 510(k),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request or a PMA in the first instance, but the FDA can</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10" w:name="page11"/>
    <w:bookmarkEnd w:id="10"/>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 xml:space="preserve">review any such decision and disagree with a manufacturer’s determination. If the FDA disagrees with a manufacturer’s determination not to seek a new 510(k) or other form of marketing authorization for the modification to the 510(k)-cleared product, the FDA can require the manufacturer to cease marketing and/or request the recall of the modified device until 510(k) clearance or PMA approval is obtained or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is granted.</w:t>
      </w:r>
    </w:p>
    <w:p>
      <w:pPr>
        <w:spacing w:after="0" w:line="191"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Following receipt of a PMA application, the FDA determines whether the application is sufficiently complete to permit a substantive review. If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facilities to ensure compliance with the QSR. 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Certain changes to an approved device, such as changes in manufacturing facilities, methods, or quality control procedures, or changes in the design performance specifications, which affect the safety or effectiveness of the device, require submission of a PMA supplement, or in some cases a new PMA.</w:t>
      </w:r>
    </w:p>
    <w:p>
      <w:pPr>
        <w:spacing w:after="0" w:line="200" w:lineRule="exact"/>
        <w:rPr>
          <w:sz w:val="20"/>
          <w:szCs w:val="20"/>
          <w:color w:val="auto"/>
        </w:rPr>
      </w:pPr>
    </w:p>
    <w:p>
      <w:pPr>
        <w:spacing w:after="0" w:line="220"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After a device is cleared or approved or otherwise authorized for marketing, numerous pervasive regulatory requirements continue to apply unless explicitly exempt. These include:</w:t>
      </w:r>
    </w:p>
    <w:p>
      <w:pPr>
        <w:spacing w:after="0" w:line="177"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registration and device listing with the FDA;</w:t>
      </w:r>
    </w:p>
    <w:p>
      <w:pPr>
        <w:spacing w:after="0" w:line="242"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77"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clearance or approval of product modifications to 510(k)-cleared devices that could significantly affect safety or effectiveness or that would constitute a major change in intended use of cleared devices;</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91"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spacing w:after="0" w:line="177"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requirements governing Unique Device Identifiers on devices and also requiring the submission of certain information about each device to the FDA's Global Unique Device Identification Database;</w:t>
      </w:r>
    </w:p>
    <w:p>
      <w:pPr>
        <w:spacing w:after="0" w:line="177"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recall authority, whereby the agency can order device manufacturers to recall from the market a product that is in violation of governing laws and regulations; and</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activities and regulations, which apply when deemed by the FDA to be necessary to protect public health or to provide additional safety and effectiveness data for the device.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Drug Regulation in the U.S.</w:t>
      </w:r>
    </w:p>
    <w:p>
      <w:pPr>
        <w:spacing w:after="0" w:line="247"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Certain of our IV solutions products are regulated by the FDA as drugs. In the U.S., the FDA regulates drugs under the FDC Act, and its implementing regulations, and biologics under the FDC Act and its implementing regulations. The process required by the FDA before a drug may be marketed in the U.S. generally involves the following: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1" w:name="page12"/>
    <w:bookmarkEnd w:id="11"/>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preclinical laboratory tests and animal studies performed in accordance with the FDA's Good Laboratory Practice requirements;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investigational new drug application ("IND"), which must become effective before clinical trials may begin;</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an institutional review board ("IRB") or ethics committee at each clinical site before the trial is commenced;</w:t>
      </w:r>
    </w:p>
    <w:p>
      <w:pPr>
        <w:spacing w:after="0" w:line="242" w:lineRule="exact"/>
        <w:rPr>
          <w:rFonts w:ascii="Times New Roman" w:cs="Times New Roman" w:eastAsia="Times New Roman" w:hAnsi="Times New Roman"/>
          <w:sz w:val="17"/>
          <w:szCs w:val="17"/>
          <w:color w:val="auto"/>
        </w:rPr>
      </w:pPr>
    </w:p>
    <w:p>
      <w:pPr>
        <w:ind w:left="620" w:right="20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to establish the safety and efficacy of the proposed product candidate for its intended purpose;</w:t>
      </w:r>
    </w:p>
    <w:p>
      <w:pPr>
        <w:spacing w:after="0" w:line="177" w:lineRule="exact"/>
        <w:rPr>
          <w:rFonts w:ascii="Times New Roman" w:cs="Times New Roman" w:eastAsia="Times New Roman" w:hAnsi="Times New Roman"/>
          <w:sz w:val="17"/>
          <w:szCs w:val="17"/>
          <w:color w:val="auto"/>
        </w:rPr>
      </w:pPr>
    </w:p>
    <w:p>
      <w:pPr>
        <w:ind w:left="620" w:right="22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of and submission to the FDA of a New Drug Application ("NDA") or abbreviated new drug application ("ANDA") after completion of all required clinical trials;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Advisory Committee review, if applicable;</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an NDA to file the application for review;</w:t>
      </w:r>
    </w:p>
    <w:p>
      <w:pPr>
        <w:spacing w:after="0" w:line="242" w:lineRule="exact"/>
        <w:rPr>
          <w:rFonts w:ascii="Times New Roman" w:cs="Times New Roman" w:eastAsia="Times New Roman" w:hAnsi="Times New Roman"/>
          <w:sz w:val="17"/>
          <w:szCs w:val="17"/>
          <w:color w:val="auto"/>
        </w:rPr>
      </w:pPr>
    </w:p>
    <w:p>
      <w:pPr>
        <w:ind w:left="620" w:right="20" w:hanging="307"/>
        <w:spacing w:after="0" w:line="27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product's continued safety, purity and potency, and of selected clinical investigation sites to assess compliance with Good Clinical Practices ("GCPs"); and</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 to permit commercial marketing of the product for particular indications for use in the U.S.</w:t>
      </w:r>
    </w:p>
    <w:p>
      <w:pPr>
        <w:spacing w:after="0" w:line="24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Prior to beginning clinical trials of a drug product in the U.S., an IND must be submitted to the FDA. An IND is a request for authorization from the FDA to administer an investigational new drug product to humans. An IND must become effective before human clinical trials may begin. Assuming successful completion of all required testing in accordance with all applicable regulatory requirements, the results of product development, nonclinical studies and clinical trials are submitted to the FDA as part of an NDA requesting approval to market the product for one or more indications. The NDA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The submission of an NDA requires payment of a substantial application user fee to the FDA, unless a waiver or exemption applies.</w:t>
      </w:r>
    </w:p>
    <w:p>
      <w:pPr>
        <w:spacing w:after="0" w:line="205"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After the FDA evaluates an NDA and conducts inspections of manufacturing facilities where the investigational product and/or its drug substance will be produced and of select clinical trial sites, the FDA may issue an approval letter or a Complete Response Letter ("CRL"). An approval letter authorizes commercial marketing of the product with specific prescribing information for specific indications. A CRL will generally describe all of the deficiencies that the FDA has identified in the NDA.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199"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If regulatory approval of a drug is granted, such approval will be granted for particular indications and may include limitations on the indicated uses for which such drug may be marketed. The FDA also may condition approval on, among other things, changes to proposed labeling or the development of adequate controls and specifications. Once approved, the FDA may withdraw the approval if compliance with pre- and post-marketing requirements is not maintained or if problems occur after the product reaches the marketplace. The FDA may require one or more post-market studies and surveillance to further assess and monitor the drug’s safety and effectiveness after commercialization, and may limit further marketing of the drug based on the results of these post-marketing studies.</w:t>
      </w:r>
    </w:p>
    <w:p>
      <w:pPr>
        <w:spacing w:after="0" w:line="200"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Any drugs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7"/>
          <w:szCs w:val="17"/>
          <w:color w:val="auto"/>
        </w:rPr>
        <w:t>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Post-Market Enforcement in the U.S.</w:t>
      </w:r>
    </w:p>
    <w:p>
      <w:pPr>
        <w:spacing w:after="0" w:line="2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FDA may withdraw marketing authorizations for drugs or medical devices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 complete withdrawal of the product from the market, product recalls, fines, warning letters, untitled letters, clinical holds on clinical studies, refusal of the FDA to approve pending applications or supplements to approved applications, product seizures or detention, refusal to permit the import or export of products, consent decrees, corporate integrity agreements, debarment or exclusion from federal healthcare programs, the issuance of corrective information, injunctions, or the imposition of civil or criminal penalties.</w:t>
      </w:r>
    </w:p>
    <w:p>
      <w:pPr>
        <w:spacing w:after="0" w:line="20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In addition, the FDA closely regulates the marketing, labeling, advertising and promotion of drugs and medical devices. A company can make only those claims relating to safety and efficacy, purity and potency that are cleared or approved by the FDA and in accordance with the provisions of the authorized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Regulation of Medical Devices in the European Union</w:t>
      </w:r>
    </w:p>
    <w:p>
      <w:pPr>
        <w:spacing w:after="0" w:line="247"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The European Union ("EU") has adopted specific directives and regulations regulating the design, manufacture, clinical investigation, conformity assessment, labeling and adverse event reporting for medical devices.</w:t>
      </w:r>
    </w:p>
    <w:p>
      <w:pPr>
        <w:spacing w:after="0" w:line="17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 Medical Devices Directive</w:t>
      </w:r>
    </w:p>
    <w:p>
      <w:pPr>
        <w:spacing w:after="0" w:line="247"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01"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3" w:name="page14"/>
    <w:bookmarkEnd w:id="13"/>
    <w:p>
      <w:pPr>
        <w:ind w:right="20"/>
        <w:spacing w:after="0" w:line="257" w:lineRule="auto"/>
        <w:rPr>
          <w:sz w:val="20"/>
          <w:szCs w:val="20"/>
          <w:color w:val="auto"/>
        </w:rPr>
      </w:pPr>
      <w:r>
        <w:rPr>
          <w:rFonts w:ascii="Times New Roman" w:cs="Times New Roman" w:eastAsia="Times New Roman" w:hAnsi="Times New Roman"/>
          <w:sz w:val="17"/>
          <w:szCs w:val="17"/>
          <w:color w:val="auto"/>
        </w:rPr>
        <w:t>claims made about the performance and safety of the device are supported by suitable evidence.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European Conformity ("CE") mark to the device, which allows the device to be placed on the market throughout the EU.</w:t>
      </w:r>
    </w:p>
    <w:p>
      <w:pPr>
        <w:spacing w:after="0" w:line="200" w:lineRule="exact"/>
        <w:rPr>
          <w:sz w:val="20"/>
          <w:szCs w:val="20"/>
          <w:color w:val="auto"/>
        </w:rPr>
      </w:pPr>
    </w:p>
    <w:p>
      <w:pPr>
        <w:spacing w:after="0" w:line="207"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 Medical Devices Regulation</w:t>
      </w:r>
    </w:p>
    <w:p>
      <w:pPr>
        <w:spacing w:after="0" w:line="247"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 the EU Medical Devices Regulation is directly applicable in EU member states without the need for member states to implement into national law. This aims to increase harmonization across the EU.</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EU Medical Devices Regulation became effective on May 26, 2021.</w:t>
      </w:r>
    </w:p>
    <w:p>
      <w:pPr>
        <w:spacing w:after="0" w:line="243"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w:t>
      </w:r>
    </w:p>
    <w:p>
      <w:pPr>
        <w:spacing w:after="0" w:line="197"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20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A serious incident is defined as any malfunction or deterioration in the characteristics or performance of a device made available on the market, including use-error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 Manufacturers are required to take FSCAs defined as any corrective action for technical or medical</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7"/>
          <w:szCs w:val="17"/>
          <w:color w:val="auto"/>
        </w:rPr>
        <w:t>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200"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The advertising and promotion of medical devices is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205"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U.S., on medical device manufacturers. Certain countries also mandate implementation of commercial compliance programs.</w:t>
      </w:r>
    </w:p>
    <w:p>
      <w:pPr>
        <w:spacing w:after="0" w:line="200"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200"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aforementioned EU rules are generally applicable in the European Economic Area ("EEA") which consists of the 27 EU member states plus Norway, Liechtenstein and Iceland.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Brexit</w:t>
      </w:r>
    </w:p>
    <w:p>
      <w:pPr>
        <w:spacing w:after="0" w:line="247"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Since January 1, 2021, the Medicines and Healthcare Products Regulatory Agency ("MHRA") has become the sovereign regulatory authority responsible for Great Britain (i.e. England, Wales and Scotland) medical device market according to the requirements provided in the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United Kingdom's ("UK's") withdrawal from the EU ("Brexit") transitional period on January 1, 2021, new regulations require all medical devices to be registered with the MHRA before being placed on the Great Britain market. The MHRA only registers devices where the manufacturer or their UK responsible person has a registered place of business in the UK. Beginning January 1, 2022, manufacturers based outside the UK need to appoint a UK responsible person that has a registered place of business in the UK to register devices with the MHRA.</w:t>
      </w:r>
    </w:p>
    <w:p>
      <w:pPr>
        <w:spacing w:after="0" w:line="201" w:lineRule="exact"/>
        <w:rPr>
          <w:sz w:val="20"/>
          <w:szCs w:val="20"/>
          <w:color w:val="auto"/>
        </w:rPr>
      </w:pPr>
    </w:p>
    <w:p>
      <w:pPr>
        <w:ind w:right="80" w:firstLine="619"/>
        <w:spacing w:after="0" w:line="256" w:lineRule="auto"/>
        <w:rPr>
          <w:sz w:val="20"/>
          <w:szCs w:val="20"/>
          <w:color w:val="auto"/>
        </w:rPr>
      </w:pPr>
      <w:r>
        <w:rPr>
          <w:rFonts w:ascii="Times New Roman" w:cs="Times New Roman" w:eastAsia="Times New Roman" w:hAnsi="Times New Roman"/>
          <w:sz w:val="17"/>
          <w:szCs w:val="17"/>
          <w:color w:val="auto"/>
        </w:rPr>
        <w:t>On June 26, 2022, the MHRA published its response to a 10-week consultation on the post-Brexit regulatory framework for medical devices and diagnostics. MHRA seeks to amend the UK Medical Devices Regulations 2002 (which are based on EU legislation, primarily the EU Medical Devices Directive and the EU In Vitro Diagnostic Medical Devices Directive 98/79/EC), in particular to create a new access pathway to support innovation, create an innovative framework for regulating software and artificial intelligence as medical devices, reform IVD regulation and foster sustainability through the reuse and remanufacture of medical devices. Regulations implementing the new regime were originally scheduled to come into force in July 2023, but have recently been postponed to July 2024. Devices bearing CE marks issued by EU notified bodies under the MDR or MDD are now subject to transitional arrangements. In its consultation response, the MHRA indicated that the future UK regulations will allow devices certified under the MDR to be placed on the market in Great Britain under the CE mark until either the certificate expires or for five years after the new regulations take effect, whichever is sooner. Devices certified under the MDD could continue to be placed on the market until either the certificate expires or for three years after the new regulations take effect, whichever is sooner. Following these transitional periods, it is expected that all medical devices will require a UK Conformity Assessed ("UKCA") mark. Manufacturers may choose to use the UKCA mark on a voluntary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5" w:name="page16"/>
    <w:bookmarkEnd w:id="15"/>
    <w:p>
      <w:pPr>
        <w:ind w:right="300"/>
        <w:spacing w:after="0" w:line="270" w:lineRule="auto"/>
        <w:rPr>
          <w:sz w:val="20"/>
          <w:szCs w:val="20"/>
          <w:color w:val="auto"/>
        </w:rPr>
      </w:pPr>
      <w:r>
        <w:rPr>
          <w:rFonts w:ascii="Times New Roman" w:cs="Times New Roman" w:eastAsia="Times New Roman" w:hAnsi="Times New Roman"/>
          <w:sz w:val="17"/>
          <w:szCs w:val="17"/>
          <w:color w:val="auto"/>
        </w:rPr>
        <w:t>basis until June 30, 2023. However, UKCA marking will not be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spacing w:after="0" w:line="191"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19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Under the terms of the Northern Ireland Protocol, Northern Ireland follows EU rules on medical devices and devices marketed in Northern Ireland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Manufacturing Regulation</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We must also comply with FDA and International Organization for Standardization ("ISO") governing medical device manufacturing practices. The FDA, state, foreign agencies and ISO require manufacturers to register and subject manufacturers to periodic FDA, state, foreign agencies and notified bodies and ISO inspections and audits of their manufacturing facilities. We are a FDA and ISO registered medical device manufacturer, and must demonstrate that we and our contract manufacturers comply with the FDA's QSR, cGMPs and similar foreign requirements. The FDA, other regulatory agencies and notified bodies outside the U.S. monitor compliance with these requirements through inspections and audits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Healthcare Laws</w:t>
      </w:r>
    </w:p>
    <w:p>
      <w:pPr>
        <w:spacing w:after="0" w:line="247"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We are subject to additional healthcare regulation and enforcement by the federal government and by authorities in the states and foreign jurisdictions in which we conduct our business. These laws include:</w:t>
      </w:r>
    </w:p>
    <w:p>
      <w:pPr>
        <w:spacing w:after="0" w:line="177" w:lineRule="exact"/>
        <w:rPr>
          <w:sz w:val="20"/>
          <w:szCs w:val="20"/>
          <w:color w:val="auto"/>
        </w:rPr>
      </w:pPr>
    </w:p>
    <w:p>
      <w:pPr>
        <w:ind w:left="620" w:right="100" w:hanging="307"/>
        <w:spacing w:after="0" w:line="26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w:t>
      </w:r>
    </w:p>
    <w:p>
      <w:pPr>
        <w:spacing w:after="0" w:line="197" w:lineRule="exact"/>
        <w:rPr>
          <w:rFonts w:ascii="Times New Roman" w:cs="Times New Roman" w:eastAsia="Times New Roman" w:hAnsi="Times New Roman"/>
          <w:sz w:val="17"/>
          <w:szCs w:val="17"/>
          <w:color w:val="auto"/>
        </w:rPr>
      </w:pPr>
    </w:p>
    <w:p>
      <w:pPr>
        <w:ind w:left="620" w:right="60" w:hanging="307"/>
        <w:spacing w:after="0" w:line="26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false claims laws which prohibit, among other things, individuals or entities from knowingly presenting, or causing to be presented, claims for payment from Medicare, Medicaid or other federal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spacing w:after="0" w:line="197"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91" w:lineRule="exact"/>
        <w:rPr>
          <w:rFonts w:ascii="Times New Roman" w:cs="Times New Roman" w:eastAsia="Times New Roman" w:hAnsi="Times New Roman"/>
          <w:sz w:val="17"/>
          <w:szCs w:val="17"/>
          <w:color w:val="auto"/>
        </w:rPr>
      </w:pPr>
    </w:p>
    <w:p>
      <w:pPr>
        <w:jc w:val="both"/>
        <w:ind w:left="620" w:right="8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91"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77" w:lineRule="exact"/>
        <w:rPr>
          <w:rFonts w:ascii="Times New Roman" w:cs="Times New Roman" w:eastAsia="Times New Roman" w:hAnsi="Times New Roman"/>
          <w:sz w:val="17"/>
          <w:szCs w:val="17"/>
          <w:color w:val="auto"/>
        </w:rPr>
      </w:pPr>
    </w:p>
    <w:p>
      <w:pPr>
        <w:ind w:left="620" w:right="16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6" w:name="page17"/>
    <w:bookmarkEnd w:id="16"/>
    <w:p>
      <w:pPr>
        <w:ind w:left="620" w:right="200"/>
        <w:spacing w:after="0" w:line="264" w:lineRule="auto"/>
        <w:rPr>
          <w:sz w:val="20"/>
          <w:szCs w:val="20"/>
          <w:color w:val="auto"/>
        </w:rPr>
      </w:pPr>
      <w:r>
        <w:rPr>
          <w:rFonts w:ascii="Times New Roman" w:cs="Times New Roman" w:eastAsia="Times New Roman" w:hAnsi="Times New Roman"/>
          <w:sz w:val="17"/>
          <w:szCs w:val="17"/>
          <w:color w:val="auto"/>
        </w:rPr>
        <w:t>payments or other "transfers of value" made to physicians (defined to include doctors, dentists, optometrists, podiatrists and chiropractors), certain non-physician health care professionals (physician assistants, nurse practitioners, clinical nurse specialists, anesthesiologist assistants, certified registered nurse anesthetists, anesthesiology assistants and certified nurse midwives), and teaching hospitals and ownership and investment interests held by the physicians described above and their immediate family members; and</w:t>
      </w:r>
    </w:p>
    <w:p>
      <w:pPr>
        <w:spacing w:after="0" w:line="197" w:lineRule="exact"/>
        <w:rPr>
          <w:sz w:val="20"/>
          <w:szCs w:val="20"/>
          <w:color w:val="auto"/>
        </w:rPr>
      </w:pPr>
    </w:p>
    <w:p>
      <w:pPr>
        <w:ind w:left="620" w:right="40" w:hanging="307"/>
        <w:spacing w:after="0" w:line="26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 providers or pricing, marketing expenditures and information.</w:t>
      </w:r>
    </w:p>
    <w:p>
      <w:pPr>
        <w:spacing w:after="0" w:line="199"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Violations of any of the laws described above include civil and criminal penalties, damages, fines, the curtailment or restructuring of an entity’s operations, the debarment, suspension or exclusion from federal and state healthcare programs and/or imprisonment.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Coverage and Reimbursement</w:t>
      </w:r>
    </w:p>
    <w:p>
      <w:pPr>
        <w:spacing w:after="0" w:line="247"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 purchase and the prices they are willing to pay since our products are not separately reimbursed by any third-party payor. Third-party payors are increasingly reducing coverage and reimbursement for certain healthcare services and products and challenging prices charged for healthcare services and products.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 Care Reform in the U.S.</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the U.S., there have been, and we expect that there will continue to be, a number of federal and state proposals to limit payments by governmental payors for medical devices, and the procedures in which medical devices are used. For example, in March 2010, comprehensive healthcare reform legislation was enacted through the passage of the Patient Protection and Affordable Care Act, as amended by the Health Care and Education and Reconciliation Act (the "ACA"), which,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9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for purposes of obtaining health insurance coverage through the ACA marketplace from February 15, 2021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5"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which went into effect on April 1, 2013, and will stay in effect through 2031, with the exception of a temporary suspension from May 1, 2020 through March 31, 2021 unless additional Congressional action is taken. On January 2, 2013, the American Taxpayer Relief Act of 2012, was signed into law, which, among other things, further reduced Medicare payments to several providers, including hospitals. We cannot predict whether future healthcare initiatives will be implemented at the federal or state level or internationally, or the effect any future legislation or regulation will have on us. Such legislation and regulation of healthcare costs may, however, result in decreased lower reimbursements by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governmental and private payors to our customers, which may adversely affect our business,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 Healthcare Reform</w:t>
      </w:r>
    </w:p>
    <w:p>
      <w:pPr>
        <w:spacing w:after="0" w:line="24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Additional healthcare reform measures in the EU may be adopted in the future as well. For instance, in December 2021, Regulation (EU) No 2021/2282 on Health Technology Assessment (“HTA”) amending Directive 2011/24/EU, was adopted. This regulation which entered into force in January 2022 intends to boost cooperation among EU member states in assessing health technologies, including certain high-risk medical devices,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Data Privacy and Security</w:t>
      </w:r>
    </w:p>
    <w:p>
      <w:pPr>
        <w:spacing w:after="0" w:line="234"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Medical device companies may be subject to U.S. federal and state and foreign data privacy, security and data breach notification laws governing the collection, use, disclosure and protection of health-related and other personal information.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Our industry is highly competitive. We believe our ability to effectively compete in this industry is determined by our ability to provide a wide breadth of cost-effective, high quality products. We believe the added breadth of our acquired product portfolios have increased our competitiveness as we can now provide a one-stop shop for customers and offer more flexible competitive pricing. We also believe our infusion pump product offering will enable us to achieve sales of a larger volume of higher margin infusion consumables, and we believe we have a wider customer reach through our unified distribution channels.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Infusion Consumables</w:t>
      </w:r>
    </w:p>
    <w:p>
      <w:pPr>
        <w:spacing w:after="0" w:line="247"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We believe that our ability to effectively compete in the Infusion Consumables market depends upon our ability to differentiate our products based on continued innovation, safety, quality, convenience, reliability, patent protection, ease of use and the pricing of our products, in addition to access to distribution channels. We encounter significant competition in this market both from global, large, established medical device manufacturers and from smaller companies. We compete with products and systems marketed by Becton Dickinson ("BD"), Baxter International ("Baxter"), and B. Braun Medical, Inc. ("B. Braun"). Our CSTD products and systems, used for the preparation and safe handling of oncology drugs, compete with similar products from BD and EquaShield. We believe that our current CSTD product offering provides benefits over these competing systems in several areas related to safety, ease of use, quality, and cost; however, ongoing innovation will be required to remain competitive in this market space.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Infusion Systems (Legacy ICU and Smiths Medical)</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face strong global competitors in the Infusion Systems market. In the United States ("U.S.") our competitors include BD, Baxter, Moog Medical, Fresenius and B. Braun. Outside of the U.S., our primary competitors are BD, B. Braun, Fresenius Kabi, a division of Fresenius Group, and a large number of local market pump manufacturers. These competitors benefit from greater financial, research and development and marketing resources than we have. The smart pump market in recent years has been troubled with security concerns and product recalls. We believe our ability to effectively compete will be determined by our ability to build our brand strength using the development of technological advancements aimed at increasing the quality, reliability, safety and security of our pumps while at the same time focusing on manufacturing efficiency and cost-effectiveness, which are operationally challenging with evolving product lines.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IV Solutions</w:t>
      </w:r>
    </w:p>
    <w:p>
      <w:pPr>
        <w:spacing w:after="0" w:line="247"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We participate in the IV solutions market only in the U.S. and Canada. Our primary competitors in the U.S. include Baxter and B. Braun. Demand for IV solutions is typically high and raw materials required to produce IV solutions are readily available. Our ability to compete will depend on our ability to maximize production, develop innovations in our product line, focus on cost-effectiveness and maintain the appropriate quality infrastructure.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Care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primary competitor in Critical Care is Edwards Lifesciences.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Vascular Access-Smiths Medical</w:t>
      </w:r>
    </w:p>
    <w:p>
      <w:pPr>
        <w:spacing w:after="0" w:line="247"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Our Vascular Access product line of Smiths Medical competes primarily with BD and B. Braun as well as Angio Dynamics, Greiner Bio-One and Teleflex Incorporated. Our ability to remain competitive in this market will depend on our ability to focus on demonstrable patient outcomes by differentiating our products by improving device functionality and by providing successful customer training programs on the use and maintenance of our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Vital Care-Smiths Medical</w:t>
      </w:r>
    </w:p>
    <w:p>
      <w:pPr>
        <w:spacing w:after="0" w:line="247"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Vital Care product line of Smiths Medical competes with numerous competitors due to its broad product portfolio. Those include multinational competitors such as Philips Healthcare as well as smaller more focused competitors such as Belmont and Intersurgical plc. Our ability to compete in this market will depend on our ability to continue to make technological advances to our products, thereby increasing customer efficiency, and provide product support aimed at improving clinical decision-making that ultimately enhances patient safety.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w:t>
      </w:r>
    </w:p>
    <w:p>
      <w:pPr>
        <w:spacing w:after="0" w:line="221"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Many of our product lines rely on patent protection. We have obtained U.S. and foreign patents relating to certain of the technologies found in our products, and are pursuing additional patent applications. There is however, no single patent or group of patents that we own that we believe is material in relation to our business as a whole.</w:t>
      </w:r>
    </w:p>
    <w:p>
      <w:pPr>
        <w:spacing w:after="0" w:line="19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Our success will depend in part on our ability to obtain, maintain and enforce patent protection for our products and to operate without infringing on the proprietary rights of third parties. While we have obtained certain patents and applied for additional U.S. and foreign patents covering certain of our products, there is no assurance that the scope of any patent protection will prevent competitors from introducing similar or competing devices or that any of our patents will be held valid if subsequently challenged. We can also lose patent protection through expiration. The inability to obtain effective patent protection or the loss of patent protection on a specific product line could adversely affect our ability to exclude other company from producing effective competitive products. The loss of a significant portion of our patent portfolio could have an adverse impact on our financial results.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fact that a patent is issued to us does not eliminate the possibility that patents owned by others may contain claims that are infringed by our products.</w:t>
      </w:r>
    </w:p>
    <w:p>
      <w:pPr>
        <w:spacing w:after="0" w:line="217"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There has been substantial litigation regarding patent and other intellectual property rights in the medical device industry. Litigation, which would result in substantial cost to us and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 the future, to enforce our intellectual property rights against those we believe to be infringing on our patents. Such litigation could result in substantial cost and diversion of resources.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Seasonality/Quarterly Results</w:t>
      </w:r>
    </w:p>
    <w:p>
      <w:pPr>
        <w:spacing w:after="0" w:line="22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Our business is not significantly impacted by seasonal aspects. We can, however, experience fluctuations in net sales as a result of variations in the ordering patterns of our largest customers, which has been and may continue to be driven more by the COVID-19 pandemic surges and its impact on hospital admissions and procedure volumes along with production scheduling and customer inventory levels, as well as fluctuations due to supply constraints as a result of other macroeconomic</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9" w:name="page20"/>
    <w:bookmarkEnd w:id="19"/>
    <w:p>
      <w:pPr>
        <w:ind w:right="280"/>
        <w:spacing w:after="0" w:line="287" w:lineRule="auto"/>
        <w:rPr>
          <w:sz w:val="20"/>
          <w:szCs w:val="20"/>
          <w:color w:val="auto"/>
        </w:rPr>
      </w:pPr>
      <w:r>
        <w:rPr>
          <w:rFonts w:ascii="Times New Roman" w:cs="Times New Roman" w:eastAsia="Times New Roman" w:hAnsi="Times New Roman"/>
          <w:sz w:val="17"/>
          <w:szCs w:val="17"/>
          <w:color w:val="auto"/>
        </w:rPr>
        <w:t>and global geopolitical events, such as the conflict in the Ukraine. Our expenses do not typically fluctuate in the same manner as net sales, which may result in cause fluctuations in operating income that are disproportionate to fluctuations in our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47"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We continue to invest in certain research and development ("R&amp;D") projects to drive future growth and to remain competitive in our product lines. Our main R&amp;D facilities are located in the U.S and India. Our R&amp;D costs primarily include personnel costs and expenses related to the development of new products. Research and development costs were $93.0 million in 2022, $47.5 million in 2021 and $42.9 million in 2020.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247"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We believe our employees are the foundation of our business and are key to executing our strategy globally. The knowledge, skills and abilities of our diverse workforce is paramount in upholding our mission of connecting patients and caregivers through safe, life-saving, life enhancing IV therapy products, systems, and services.</w:t>
      </w:r>
    </w:p>
    <w:p>
      <w:pPr>
        <w:spacing w:after="0" w:line="19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We believe the health and well-being of our employees are cornerstones for our successful operations. Whether you are a machine operator in one of our manufacturing locations, a material handler in a distribution center, a service technician supporting our products in the field, or a clinician training customers on the use of our products in a hospital, we strive to prioritize the safety of our team members. This includes designing our work environments with a safety first mindset, providing personal protective equipment and safety training beginning day one.</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ability to attract and retain talented individuals globally begins with our commitment to offer a career that gives people a unique opportunity to work in an exhilarating, fast-paced, inspiring, and collaborative environment where what they do makes a difference. We offer competitive salaries and benefit packages to all employees as well as select participation in incentive plans based on individual and company performance.</w:t>
      </w:r>
    </w:p>
    <w:p>
      <w:pPr>
        <w:spacing w:after="0" w:line="19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We believe the development of our workforce is critical for personal growth and the success of our company as well. We reinforce this with challenging, yet rewarding assignments, continued learning and training programs through our global iLearning platform, and support continued education globally through tuition reimbursement programs. Our team believes in diversity, collaboration, and removing barriers to communication—all to create an environment where innovation and creativity can flourish. This is principal for us in attracting, developing, retaining and rewarding talent on a global scale.</w:t>
      </w:r>
    </w:p>
    <w:p>
      <w:pPr>
        <w:spacing w:after="0" w:line="197"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Finally, we believe that our leadership team, with its broad, and deep category knowledge and averaging approximately 22 years of experience in IV therapy has the necessary experience to effectively lead the execution of our strategy.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December 31, 2022, we had approximately 14,500 employees located in over 35 countries.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Geographic Data</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Information regarding financial data by geography is set forth in Part II, Item 8. "Financial Statements and Supplementary Data" of this Annual Report on Form 10-K in Notes 4 and 13 to the Consolidated Financial Statements, and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7"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Our website address is http://www.icumed.com. We make available our Annual Reports on Form 10-K, Quarterly Reports on Form 10-Q and Current Reports on Form 8-K and other filings and amendments thereto those reports, free of charge on our website as soon as reasonably practicable after filing or furnishing them with the Securities and Exchange Commission ("SEC"). We also have our code of ethics posted on our website (http://www.icumed.com). The information on our website is not incorporated into this Annual Report on Form 10-K.</w:t>
      </w:r>
    </w:p>
    <w:p>
      <w:pPr>
        <w:spacing w:after="0" w:line="17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SEC maintains an Internet site that contains reports, proxy and information statements, and other information regarding issuers that file electronically with the SEC on its website (http://www.sec.gov).</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1"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In evaluating an investment in our common stock, investors should consider carefully, among other things, the following risk factors, as well as the other information contained in this Annual Report on Form 10-K and our other reports and registration statements filed with the SEC. Any of the following risks could materially and adversely affect our results of operations or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Operating Risks</w:t>
      </w:r>
    </w:p>
    <w:p>
      <w:pPr>
        <w:spacing w:after="0" w:line="230" w:lineRule="exact"/>
        <w:rPr>
          <w:sz w:val="20"/>
          <w:szCs w:val="20"/>
          <w:color w:val="auto"/>
        </w:rPr>
      </w:pPr>
    </w:p>
    <w:p>
      <w:pPr>
        <w:ind w:right="860"/>
        <w:spacing w:after="0" w:line="292" w:lineRule="auto"/>
        <w:rPr>
          <w:sz w:val="20"/>
          <w:szCs w:val="20"/>
          <w:color w:val="auto"/>
        </w:rPr>
      </w:pPr>
      <w:r>
        <w:rPr>
          <w:rFonts w:ascii="Times New Roman" w:cs="Times New Roman" w:eastAsia="Times New Roman" w:hAnsi="Times New Roman"/>
          <w:sz w:val="17"/>
          <w:szCs w:val="17"/>
          <w:i w:val="1"/>
          <w:iCs w:val="1"/>
          <w:color w:val="auto"/>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spacing w:after="0" w:line="17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risk mitigation plans employed with key suppliers of materials (such as resins) that are critical to our ability to manufacture our products, the supply of which is currently from a sole supplier, may not suffice to ensure that we are able to receive requisite materials as and when needed an in sufficient quantity. We cannot be certain that our current suppliers will continue to provide us with the quantities of materials that we require or satisfy our anticipated specifications and quality requirements on a timely basis or at all. Any supply interruption in limited or sole sourced raw materials could materially harm our ability to manufacture our products until a new source of supply, if any, could be identified and qualified. Upon identification, the qualification process of new suppliers and component materials can take a considerable amount of time. We may be unable to find a sufficient alternative supply channel in a reasonable time or on commercially reasonable terms. The price and supply of these materials may be impacted or disrupted for reasons beyond our control including supplier shutdowns, transportation delays, inflationary pricing pressures, work stoppages, labor shortages and governmental regulatory actions. We have experienced, and may continue to experience, significant challenges to our global transportation channels and other aspects of the global supply chain network, including the cost and availability of raw materials and components due to shortages and resulting cost inflation.</w:t>
      </w:r>
    </w:p>
    <w:p>
      <w:pPr>
        <w:spacing w:after="0" w:line="201"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The COVID-19 pandemic continues to impact supply channels resulting in raw material shortages and supply chain disruptions generally. Furthermore, our contract manufacturers could require us to move to another one of their production facilities. An interruption in our commercial operations could occur if we encounter delays or difficulties in securing these components, materials or services, and if we cannot then obtain an acceptable substitute. Additionally, we are subject to FDA and foreign regulations, which could further delay our ability to obtain a qualified alternative supplier.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 party payors, as well as entering into long-term fixed price contracts we may be unable to pass along cost increases for any key components or raw materials through higher prices to our customers. If the cost of key components or raw materials increases and we are unable to fully recover those increased costs through price increases or offset these increases through other cost reductions, we could experience an adverse effect on our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Damage to any of our manufacturing facilities or disruption to our supply chain network could impair our ability to produce our products.</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 severe weather event, other natural or man-made disaster, or any other significant disruption, such as outbreak of disease (including the COVID-19 pandemic), the impact of war or political instability (such as the conflict in the Ukraine), work stoppages, labor shortages and similar interruptions affecting our manufacturing facilities or our suppliers and logistics partners could materially and adversely impact our business, financial condition and results of operations. The COVID-19 pandemic caused us to temporarily shut down some of our facilities. Additionally, in 2021, we experienced supply chain disruptions and general supply constraints as a result of the continued economic uncertainty and, in part, due to COVID-19 infections and quarantine protocols. In 2022, we continued to experience these supply chain disruptions, as well as an increase in raw material costs and shipping costs, as prices on several commodities, including oil and gas, increased as a result of the conflict in the Ukraine and it's impact on the global economy.</w:t>
      </w:r>
    </w:p>
    <w:p>
      <w:pPr>
        <w:spacing w:after="0" w:line="205" w:lineRule="exact"/>
        <w:rPr>
          <w:sz w:val="20"/>
          <w:szCs w:val="20"/>
          <w:color w:val="auto"/>
        </w:rPr>
      </w:pPr>
    </w:p>
    <w:p>
      <w:pPr>
        <w:ind w:right="240" w:firstLine="619"/>
        <w:spacing w:after="0" w:line="261" w:lineRule="auto"/>
        <w:rPr>
          <w:sz w:val="20"/>
          <w:szCs w:val="20"/>
          <w:color w:val="auto"/>
        </w:rPr>
      </w:pPr>
      <w:r>
        <w:rPr>
          <w:rFonts w:ascii="Times New Roman" w:cs="Times New Roman" w:eastAsia="Times New Roman" w:hAnsi="Times New Roman"/>
          <w:sz w:val="17"/>
          <w:szCs w:val="17"/>
          <w:color w:val="auto"/>
        </w:rPr>
        <w:t>We have a single manufacturing facility for our Clave products located in Salt Lake City, Utah. Our Salt Lake City facility also produces other components on which our manufacturing operations in Mexico and Costa Rica rely. Our IV Solutions are manufactured at our manufacturing facility in Austin, Texas and by a third party manufacturer, Pfizer, in Rocky Mount, North Carolina or our suppliers’ facilities. We have also added various other manufacturing facilities with the acquisition of Smiths Medical in the U.S., Mexico, Italy and Czech Republic. If our facilities are inoperable, for even a short period of time, it could adversely affect our ability to manufacture and distribute our products in a timely or cost-effective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1" w:name="page22"/>
    <w:bookmarkEnd w:id="21"/>
    <w:p>
      <w:pPr>
        <w:ind w:right="120"/>
        <w:spacing w:after="0" w:line="287" w:lineRule="auto"/>
        <w:rPr>
          <w:sz w:val="20"/>
          <w:szCs w:val="20"/>
          <w:color w:val="auto"/>
        </w:rPr>
      </w:pPr>
      <w:r>
        <w:rPr>
          <w:rFonts w:ascii="Times New Roman" w:cs="Times New Roman" w:eastAsia="Times New Roman" w:hAnsi="Times New Roman"/>
          <w:sz w:val="17"/>
          <w:szCs w:val="17"/>
          <w:color w:val="auto"/>
        </w:rPr>
        <w:t>manner, and our ability to make product sales. Furthermore, our facilities and the equipment we use to perform our manufacturing processes could be unavailable or costly and time-consuming to repair or replace.</w:t>
      </w:r>
    </w:p>
    <w:p>
      <w:pPr>
        <w:spacing w:after="0" w:line="177"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Damage to any of our facilities or interruptions at our facilities due to work stoppages or labor shortages could render us unable to manufacture our products or require us to reduce the output of products at our facilities. Several of our manufacturing facilities are located near known earthquake fault zones and are vulnerable to damage from earthquakes. We carry insurance for damage to our property and disruption of our business, but this insurance may not be adequate to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184" w:lineRule="exact"/>
        <w:rPr>
          <w:sz w:val="20"/>
          <w:szCs w:val="20"/>
          <w:color w:val="auto"/>
        </w:rPr>
      </w:pPr>
    </w:p>
    <w:p>
      <w:pPr>
        <w:ind w:right="600"/>
        <w:spacing w:after="0" w:line="276" w:lineRule="auto"/>
        <w:rPr>
          <w:sz w:val="20"/>
          <w:szCs w:val="20"/>
          <w:color w:val="auto"/>
        </w:rPr>
      </w:pPr>
      <w:r>
        <w:rPr>
          <w:rFonts w:ascii="Times New Roman" w:cs="Times New Roman" w:eastAsia="Times New Roman" w:hAnsi="Times New Roman"/>
          <w:sz w:val="17"/>
          <w:szCs w:val="17"/>
          <w:i w:val="1"/>
          <w:iCs w:val="1"/>
          <w:color w:val="auto"/>
        </w:rPr>
        <w:t>Prolonged periods of inflation, rising interest rates and the impact of foreign currency exchange rates as a result of the current global macroeconomic and geopolitical conditions have had and could in the future have a material adverse effect on our results of operations.</w:t>
      </w:r>
    </w:p>
    <w:p>
      <w:pPr>
        <w:spacing w:after="0" w:line="18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Global supply chain disruptions as a result of COVID-19 and, more recently, the war in the Ukraine has resulted in, and may continue to result in, a challenging macroeconomic environment with higher interest rates and capital costs, increased raw material costs, higher shipping costs, higher labor costs, and the negative impacts from weakening foreign exchange rates. We have experienced and may continue to experience these inflationary increases in our manufacturing costs and operating expenses, including higher materials and labor costs, as well as negative impacts on our operating results from the strengthening of the U.S. dollar relative to foreign currencies weakening exchange rates. See the risk factor titled “</w:t>
      </w:r>
      <w:r>
        <w:rPr>
          <w:rFonts w:ascii="Times New Roman" w:cs="Times New Roman" w:eastAsia="Times New Roman" w:hAnsi="Times New Roman"/>
          <w:sz w:val="17"/>
          <w:szCs w:val="17"/>
          <w:i w:val="1"/>
          <w:iCs w:val="1"/>
          <w:color w:val="auto"/>
        </w:rPr>
        <w:t>Our operations may be adversely impacted by our exposure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risks related to foreign currency exchange rates</w:t>
      </w:r>
      <w:r>
        <w:rPr>
          <w:rFonts w:ascii="Times New Roman" w:cs="Times New Roman" w:eastAsia="Times New Roman" w:hAnsi="Times New Roman"/>
          <w:sz w:val="17"/>
          <w:szCs w:val="17"/>
          <w:color w:val="auto"/>
        </w:rPr>
        <w:t>” under the “Geographic Risks” subsection for a discussion of risks related to foreign currency exchange rates.</w:t>
      </w:r>
    </w:p>
    <w:p>
      <w:pPr>
        <w:spacing w:after="0" w:line="19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Additionally, the majority of our sales are conducted pursuant to long-term contracts. Our efforts to minimize the impact of inflation on our business through contractual protections may not prove effective, and the presence of longer pricing periods within our contracts along with sustained or higher than anticipated inflation increases the likelihood that the contract protections do not adequately mitigate the financial impact of inflation. If our contractual protections do not adequately protect us in the context of substantial cost increases and inflationary pressures, it could have a material adverse effect on our results of operations. Prolonged inflation may also reduce or delay orders for our products and for certain products we may be unable to satisfy demand, both of which could have a material adverse impact on our sales and results of operations. The inflationary cost increases during 2022 caused by COVID -19 and the war in the Ukraine impacted our freight rates as well as, labor and materials costs.</w:t>
      </w:r>
    </w:p>
    <w:p>
      <w:pPr>
        <w:spacing w:after="0" w:line="201"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i w:val="1"/>
          <w:iCs w:val="1"/>
          <w:color w:val="auto"/>
        </w:rPr>
        <w:t>The COVID-19 pandemic has disrupted how we, our suppliers and our customers operate and the duration, and the extent to which this will impact our business, future results of operations, liquidity and overall financial performance remains uncertain.</w:t>
      </w:r>
    </w:p>
    <w:p>
      <w:pPr>
        <w:spacing w:after="0" w:line="173" w:lineRule="exact"/>
        <w:rPr>
          <w:sz w:val="20"/>
          <w:szCs w:val="20"/>
          <w:color w:val="auto"/>
        </w:rPr>
      </w:pPr>
    </w:p>
    <w:p>
      <w:pPr>
        <w:ind w:right="380" w:firstLine="169"/>
        <w:spacing w:after="0" w:line="270" w:lineRule="auto"/>
        <w:rPr>
          <w:sz w:val="20"/>
          <w:szCs w:val="20"/>
          <w:color w:val="auto"/>
        </w:rPr>
      </w:pPr>
      <w:r>
        <w:rPr>
          <w:rFonts w:ascii="Times New Roman" w:cs="Times New Roman" w:eastAsia="Times New Roman" w:hAnsi="Times New Roman"/>
          <w:sz w:val="17"/>
          <w:szCs w:val="17"/>
          <w:color w:val="auto"/>
        </w:rPr>
        <w:t>The COVID-19 pandemic has created significant volatility, uncertainty, and economic disruption. We operate globally and the COVID-19 pandemic and its adverse effects have impacted most of the locations where we, our customers and our suppliers conduct business and, as a result, we have experienced some disruption to our operations, most notably due to reduced demand for our disposable product portfolio.</w:t>
      </w:r>
    </w:p>
    <w:p>
      <w:pPr>
        <w:spacing w:after="0" w:line="191" w:lineRule="exact"/>
        <w:rPr>
          <w:sz w:val="20"/>
          <w:szCs w:val="20"/>
          <w:color w:val="auto"/>
        </w:rPr>
      </w:pPr>
    </w:p>
    <w:p>
      <w:pPr>
        <w:ind w:right="280" w:firstLine="169"/>
        <w:spacing w:after="0" w:line="264" w:lineRule="auto"/>
        <w:rPr>
          <w:sz w:val="20"/>
          <w:szCs w:val="20"/>
          <w:color w:val="auto"/>
        </w:rPr>
      </w:pPr>
      <w:r>
        <w:rPr>
          <w:rFonts w:ascii="Times New Roman" w:cs="Times New Roman" w:eastAsia="Times New Roman" w:hAnsi="Times New Roman"/>
          <w:sz w:val="17"/>
          <w:szCs w:val="17"/>
          <w:color w:val="auto"/>
        </w:rPr>
        <w:t>We have also experienced significant reductions in demand for certain products as our health care customers re-prioritized the treatment of patients, delay elective procedures and shift resources and operations to fight COVID-19 and the complications it causes. For example, during 2020, we experienced lower demand from hospital customers for our Infusion Consumables non-dedicated sets and lower demand for our Infusion Systems dedicated sets. Additionally, the COVID-19 pandemic could potentially adversely affect our distributors if they are not able to maintain their historical levels of sales.</w:t>
      </w:r>
    </w:p>
    <w:p>
      <w:pPr>
        <w:spacing w:after="0" w:line="19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extent to which the COVID-19 pandemic continues to impact our business depends on future developments that cannot be fully predicted at this time. Accordingly, the impact of the COVID-19 pandemic on our future results of operations and overall financial performance remains uncertain and cannot as yet be quantified. Additional factors that have contributed or may contribute to the adverse impact of the COVID-19 pandemic on our business, results of operations, financial condition and liquidity include, without limitation, the following:</w:t>
      </w:r>
    </w:p>
    <w:p>
      <w:pPr>
        <w:spacing w:after="0" w:line="197" w:lineRule="exact"/>
        <w:rPr>
          <w:sz w:val="20"/>
          <w:szCs w:val="20"/>
          <w:color w:val="auto"/>
        </w:rPr>
      </w:pPr>
    </w:p>
    <w:p>
      <w:pPr>
        <w:ind w:left="620" w:right="640" w:hanging="307"/>
        <w:spacing w:after="0" w:line="263"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lost revenue or additional costs associated with either disruptions at our production and distribution facilities or interruptions in our supply chain, including shortages of raw materials or components for our products;</w:t>
      </w: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shortages as a result of COVID-19 infections and quarantine protocols;</w:t>
      </w:r>
    </w:p>
    <w:p>
      <w:pPr>
        <w:spacing w:after="0" w:line="32" w:lineRule="exact"/>
        <w:rPr>
          <w:rFonts w:ascii="Times New Roman" w:cs="Times New Roman" w:eastAsia="Times New Roman" w:hAnsi="Times New Roman"/>
          <w:sz w:val="17"/>
          <w:szCs w:val="17"/>
          <w:color w:val="auto"/>
        </w:rPr>
      </w:pPr>
    </w:p>
    <w:p>
      <w:pPr>
        <w:ind w:left="620" w:right="320" w:hanging="307"/>
        <w:spacing w:after="0" w:line="287"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demand from customers as a result of an increase in COVID-19 patient admissions in hospitals offset by the decline in non-COVID-19 patient admissions;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2" w:name="page23"/>
    <w:bookmarkEnd w:id="22"/>
    <w:p>
      <w:pPr>
        <w:ind w:left="620" w:right="260" w:hanging="307"/>
        <w:spacing w:after="0" w:line="263"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customers that defer the more profitable elective procedures may experience financial difficulties and may be unable to pay within payment terms for the products they purchased;</w:t>
      </w: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lower demand in future periods due to over-purchasing of our products due to the COVID-19 pandemic and supply chain disruption;</w:t>
      </w:r>
    </w:p>
    <w:p>
      <w:pPr>
        <w:spacing w:after="0" w:line="2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revenue due to delays in implementation of our infusion systems and oncology products at hospital locations due to restricted access;</w:t>
      </w:r>
    </w:p>
    <w:p>
      <w:pPr>
        <w:spacing w:after="0" w:line="1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operating costs related to additional compensation paid to our manufacturing and distribution facility workers;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cash flow, revenue and income due to foreign currency fluctuations and volatility;</w:t>
      </w:r>
    </w:p>
    <w:p>
      <w:pPr>
        <w:spacing w:after="0" w:line="2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income due to a delay in cost savings projects as a result of the travel and social distancing requirements of COVID-19.</w:t>
      </w:r>
    </w:p>
    <w:p>
      <w:pPr>
        <w:spacing w:after="0" w:line="265" w:lineRule="exact"/>
        <w:rPr>
          <w:sz w:val="20"/>
          <w:szCs w:val="20"/>
          <w:color w:val="auto"/>
        </w:rPr>
      </w:pPr>
    </w:p>
    <w:p>
      <w:pPr>
        <w:ind w:firstLine="172"/>
        <w:spacing w:after="0" w:line="258" w:lineRule="auto"/>
        <w:rPr>
          <w:sz w:val="20"/>
          <w:szCs w:val="20"/>
          <w:color w:val="auto"/>
        </w:rPr>
      </w:pPr>
      <w:r>
        <w:rPr>
          <w:rFonts w:ascii="Times New Roman" w:cs="Times New Roman" w:eastAsia="Times New Roman" w:hAnsi="Times New Roman"/>
          <w:sz w:val="17"/>
          <w:szCs w:val="17"/>
          <w:color w:val="231F20"/>
        </w:rPr>
        <w:t>To the extent the COVID-19 pandemic and related containment measures continue to adversely affect regional, national and global economic conditions and financial markets, as well as the business, results of operations, financial conditions and liquidity of us, our suppliers and our customers, it may also have the effect of heightening many of the risks described in this "Risk Factors" section and elsewhere in this Annual Report on Form 10-K for the year ended December 31, 2022, including the risks resulting from our dependency on key personnel; impairment of our supply chain or manufacturing facilities; and the impact of negative economic conditions. In addition, in light of the COVID-19 pandemic and the measures taken to limit its spread, our historical information regarding our business, results of operations, financial condition or liquidity may not be representative of the future results of operations, financial condition, liquidity or other financial or operating results of us or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sales through distributors expose us to risks that could have a material effect on our results of operations.</w:t>
      </w:r>
    </w:p>
    <w:p>
      <w:pPr>
        <w:spacing w:after="0" w:line="24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For the year ended December 31, 2022, business from one distributor, Medline, accounted for 15% of our consolidated revenues. We may rely on one or more key distributors for a product, and the loss of these distributors could reduce our revenue. Additionally, distributors may face financial difficulties, including bankruptcy, which could harm our collection of accounts receivable and financial results. Failure to manage risks related to our use of distributors may reduce sales, increase expenses, and weaken our competitive position, any of which could have a material adverse effect on our results of operations.</w:t>
      </w:r>
    </w:p>
    <w:p>
      <w:pPr>
        <w:spacing w:after="0" w:line="193"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7"/>
          <w:szCs w:val="17"/>
          <w:i w:val="1"/>
          <w:iCs w:val="1"/>
          <w:color w:val="auto"/>
        </w:rPr>
        <w:t>We may not be successful in achieving expected operating efficiencies or expense reductions associated with cost reduction and restructuring efforts and may experience a decline in our profitability, business disruptions or other adverse consequences to our business as a result.</w:t>
      </w:r>
    </w:p>
    <w:p>
      <w:pPr>
        <w:spacing w:after="0" w:line="173" w:lineRule="exact"/>
        <w:rPr>
          <w:sz w:val="20"/>
          <w:szCs w:val="20"/>
          <w:color w:val="auto"/>
        </w:rPr>
      </w:pPr>
    </w:p>
    <w:p>
      <w:pPr>
        <w:ind w:right="20" w:firstLine="169"/>
        <w:spacing w:after="0" w:line="249" w:lineRule="auto"/>
        <w:rPr>
          <w:sz w:val="20"/>
          <w:szCs w:val="20"/>
          <w:color w:val="auto"/>
        </w:rPr>
      </w:pPr>
      <w:r>
        <w:rPr>
          <w:rFonts w:ascii="Times New Roman" w:cs="Times New Roman" w:eastAsia="Times New Roman" w:hAnsi="Times New Roman"/>
          <w:sz w:val="17"/>
          <w:szCs w:val="17"/>
          <w:color w:val="auto"/>
        </w:rPr>
        <w:t>We have engaged in restructuring activities in the past and may engage in other restructuring activities in the future. For example, since the Smiths Medical acquisition, we have taken realignment and cost reduction initiatives to achieve operating efficiencies for the combined company. These types of cost reduction and restructuring activities are complex. If we do not successfully manage our current restructuring activities, or any other restructuring activities that we may take in the future, any expected efficiencies and benefits might be delayed or not fully realized, and our operations and business could be disrupted. In addition, the costs associated with implementing restructuring activities might exceed expectations, which could result in additional future charges.</w:t>
      </w:r>
    </w:p>
    <w:p>
      <w:pPr>
        <w:spacing w:after="0" w:line="194"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i w:val="1"/>
          <w:iCs w:val="1"/>
          <w:color w:val="auto"/>
        </w:rPr>
        <w:t>The agreements governing our debt contain a number of restrictive covenants which limit our flexibility in operating our business, finance future operations or pursue our business strategies.</w:t>
      </w:r>
    </w:p>
    <w:p>
      <w:pPr>
        <w:spacing w:after="0" w:line="160"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governing our Senior Secured Credit Facilities contains,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While we have not previously breached and are not currently in breach of these or any other covenants contained in our credit agreement.</w:t>
      </w:r>
    </w:p>
    <w:p>
      <w:pPr>
        <w:spacing w:after="0" w:line="19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Our ability to comply with these covenants may be affected by events beyond our control, including the COVID-19 pandemic, the conflict in the Ukraine, supply chain interruptions or general economic environment, including increases in inflation and interest rates.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Senior Secured Credit Facility may restrict our ability to pursue our business strategies.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23" w:name="page24"/>
    <w:bookmarkEnd w:id="23"/>
    <w:p>
      <w:pPr>
        <w:ind w:right="280"/>
        <w:spacing w:after="0" w:line="292" w:lineRule="auto"/>
        <w:rPr>
          <w:sz w:val="20"/>
          <w:szCs w:val="20"/>
          <w:color w:val="auto"/>
        </w:rPr>
      </w:pPr>
      <w:r>
        <w:rPr>
          <w:rFonts w:ascii="Times New Roman" w:cs="Times New Roman" w:eastAsia="Times New Roman" w:hAnsi="Times New Roman"/>
          <w:sz w:val="17"/>
          <w:szCs w:val="17"/>
          <w:i w:val="1"/>
          <w:iCs w:val="1"/>
          <w:color w:val="auto"/>
        </w:rPr>
        <w:t>Our operating results may be adversely affected by unfavorable economic conditions that affect our customers’ ability to buy our products and could affect our relationships with our suppliers.</w:t>
      </w:r>
    </w:p>
    <w:p>
      <w:pPr>
        <w:spacing w:after="0" w:line="173" w:lineRule="exact"/>
        <w:rPr>
          <w:sz w:val="20"/>
          <w:szCs w:val="20"/>
          <w:color w:val="auto"/>
        </w:rPr>
      </w:pPr>
    </w:p>
    <w:p>
      <w:pPr>
        <w:ind w:right="80" w:firstLine="619"/>
        <w:spacing w:after="0" w:line="276" w:lineRule="auto"/>
        <w:rPr>
          <w:sz w:val="20"/>
          <w:szCs w:val="20"/>
          <w:color w:val="auto"/>
        </w:rPr>
      </w:pPr>
      <w:r>
        <w:rPr>
          <w:rFonts w:ascii="Times New Roman" w:cs="Times New Roman" w:eastAsia="Times New Roman" w:hAnsi="Times New Roman"/>
          <w:sz w:val="17"/>
          <w:szCs w:val="17"/>
          <w:color w:val="auto"/>
        </w:rPr>
        <w:t>Disruptions in financial markets worldwide and other worldwide macro-economic challenges have caused and may in the future cause our customers and suppliers to experience cash flow concerns. If job losses and the resulting loss of health insurance and personal savings cause individuals to forego or postpone</w:t>
      </w:r>
    </w:p>
    <w:p>
      <w:pPr>
        <w:spacing w:after="0" w:line="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treatment, the resulting decreased hospital use could affect the demand for our products. 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terms that are less favorable to us. Any inability of current and/or potential customers to pay us for our products or any demands by suppliers for different payment terms may adversely affect our earnings and cash flow.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and Other External Risks</w:t>
      </w:r>
    </w:p>
    <w:p>
      <w:pPr>
        <w:spacing w:after="0" w:line="243" w:lineRule="exact"/>
        <w:rPr>
          <w:sz w:val="20"/>
          <w:szCs w:val="20"/>
          <w:color w:val="auto"/>
        </w:rPr>
      </w:pPr>
    </w:p>
    <w:p>
      <w:pPr>
        <w:ind w:right="640"/>
        <w:spacing w:after="0" w:line="292" w:lineRule="auto"/>
        <w:rPr>
          <w:sz w:val="20"/>
          <w:szCs w:val="20"/>
          <w:color w:val="auto"/>
        </w:rPr>
      </w:pPr>
      <w:r>
        <w:rPr>
          <w:rFonts w:ascii="Times New Roman" w:cs="Times New Roman" w:eastAsia="Times New Roman" w:hAnsi="Times New Roman"/>
          <w:sz w:val="17"/>
          <w:szCs w:val="17"/>
          <w:i w:val="1"/>
          <w:iCs w:val="1"/>
          <w:color w:val="auto"/>
        </w:rPr>
        <w:t>If we are unable to compete successfully with our competitors, we may be unable to maintain market share, in which case our sales may not grow and our profitability may be adversely affected.</w:t>
      </w:r>
    </w:p>
    <w:p>
      <w:pPr>
        <w:spacing w:after="0" w:line="173"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consumable medical device segment of the health care industry and in particular the infusion products market is intensely competitive and continues to experience both horizontal and vertical consolidation. We believe that our ability to compete depends upon numerous factors including, among other things, continued product innovation, the quality, convenience and reliability of our products, access to distribution channels, patent protection and pricing. The ability to compete effectively depends on our ability to differentiate our products based on these factors, as well as our ability to perceive and respond to changing customer needs. We encounter significant competition in our markets both from large established medical device manufacturers and from smaller companies. Many of these companies have introduced competitive products with features not provided by the conventional products and methods they are intended to replace. Most of our current and prospective competitors have economic and other resources substantially greater than ours and are well established in the 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organized buying groups may reduce market prices for our products thereby affecting our profitability. While having a contract with a GPO or IDN can facilitate sales to members of that GPO or IDN, it is no assurance that the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 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 marketing of products competitive with our products. The successful implementation of such a strategy by one or more of our competitors could materially and adversely affect us.</w:t>
      </w:r>
    </w:p>
    <w:p>
      <w:pPr>
        <w:spacing w:after="0" w:line="202"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7"/>
          <w:szCs w:val="17"/>
          <w:i w:val="1"/>
          <w:iCs w:val="1"/>
          <w:color w:val="auto"/>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spacing w:after="0" w:line="173"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we will be able to successfully develop and commercialize enhanced or new products or that they will be accepted in the marketplace.</w:t>
      </w:r>
    </w:p>
    <w:p>
      <w:pPr>
        <w:spacing w:after="0" w:line="196" w:lineRule="exact"/>
        <w:rPr>
          <w:sz w:val="20"/>
          <w:szCs w:val="20"/>
          <w:color w:val="auto"/>
        </w:rPr>
      </w:pPr>
    </w:p>
    <w:p>
      <w:pPr>
        <w:ind w:right="3340"/>
        <w:spacing w:after="0" w:line="292" w:lineRule="auto"/>
        <w:rPr>
          <w:sz w:val="20"/>
          <w:szCs w:val="20"/>
          <w:color w:val="auto"/>
        </w:rPr>
      </w:pPr>
      <w:r>
        <w:rPr>
          <w:rFonts w:ascii="Times New Roman" w:cs="Times New Roman" w:eastAsia="Times New Roman" w:hAnsi="Times New Roman"/>
          <w:sz w:val="17"/>
          <w:szCs w:val="17"/>
          <w:i w:val="1"/>
          <w:iCs w:val="1"/>
          <w:color w:val="auto"/>
        </w:rPr>
        <w:t>Product development requires substantial investment that may be difficult for us to fund and may be challenging to recover through commercial product sales.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4" w:name="page25"/>
    <w:bookmarkEnd w:id="24"/>
    <w:p>
      <w:pPr>
        <w:ind w:right="40" w:firstLine="172"/>
        <w:spacing w:after="0" w:line="257" w:lineRule="auto"/>
        <w:rPr>
          <w:sz w:val="20"/>
          <w:szCs w:val="20"/>
          <w:color w:val="auto"/>
        </w:rPr>
      </w:pPr>
      <w:r>
        <w:rPr>
          <w:rFonts w:ascii="Times New Roman" w:cs="Times New Roman" w:eastAsia="Times New Roman" w:hAnsi="Times New Roman"/>
          <w:sz w:val="17"/>
          <w:szCs w:val="17"/>
          <w:color w:val="auto"/>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those innovations still may fail to result in commercially successful products. The success of new product offerings for device products depends on several factors, including our ability to anticipate and meet customers' or patients' needs, obtain timely regulatory approvals, clearances or certifications, and manufacture quality products in an economic and timely manner. Even if we are able to develop successful new products or enhancements, we may not produce sales exceeding the costs of development, and we may not avoid infringing the proprietary rights of third parties. Moreover, innovations may not be successful due to difficulties encountered in achieving positive clinical outcomes, meeting safety, efficacy or other regulatory requirements of government agencies or notified bodies, or obtaining favorable pricing on those products. Finally, innovations may not be accepted quickly in the marketplace because of, among other things, entrenched patterns of clinical practice and uncertainty over third-party reimbursement.</w:t>
      </w:r>
    </w:p>
    <w:p>
      <w:pPr>
        <w:spacing w:after="0" w:line="20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i w:val="1"/>
          <w:iCs w:val="1"/>
          <w:color w:val="auto"/>
        </w:rPr>
        <w:t>If demand for our products were to decline significantly, we might not be able to recover the cost of our expensive automated molding and assembly equipment and tooling, which could have an adverse effect on our results of operations.</w:t>
      </w:r>
    </w:p>
    <w:p>
      <w:pPr>
        <w:spacing w:after="0" w:line="173" w:lineRule="exact"/>
        <w:rPr>
          <w:sz w:val="20"/>
          <w:szCs w:val="20"/>
          <w:color w:val="auto"/>
        </w:rPr>
      </w:pPr>
    </w:p>
    <w:p>
      <w:pPr>
        <w:ind w:firstLine="619"/>
        <w:spacing w:after="0" w:line="263" w:lineRule="auto"/>
        <w:rPr>
          <w:sz w:val="20"/>
          <w:szCs w:val="20"/>
          <w:color w:val="auto"/>
        </w:rPr>
      </w:pPr>
      <w:r>
        <w:rPr>
          <w:rFonts w:ascii="Times New Roman" w:cs="Times New Roman" w:eastAsia="Times New Roman" w:hAnsi="Times New Roman"/>
          <w:sz w:val="17"/>
          <w:szCs w:val="17"/>
          <w:color w:val="auto"/>
        </w:rPr>
        <w:t>Our production tooling is relatively expensive, with each "module," which consists of an automated assembly machine and the molds and molding machines that mold the components, costing several million dollars. Most of the modules are for the Clave product family. If the demand for these products changes significantly, which could happen with the loss of a customer or a change in product mix, it may be necessary for us to recognize an impairment charge for the value of the production tooling because its cost may not be recovered through production of saleable product, which could adversely affect our financial condition.</w:t>
      </w:r>
    </w:p>
    <w:p>
      <w:pPr>
        <w:spacing w:after="0" w:line="200" w:lineRule="exact"/>
        <w:rPr>
          <w:sz w:val="20"/>
          <w:szCs w:val="20"/>
          <w:color w:val="auto"/>
        </w:rPr>
      </w:pPr>
    </w:p>
    <w:p>
      <w:pPr>
        <w:spacing w:after="0" w:line="20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have been and will be ordering production molds and equipment for our new products. We expect to order semi-automated or fully automated assembly machines for certain products in 2023. If we do not achieve significant sales of these new/transitioned products, it might be necessary for us to recognize an impairment charge for the value of the production tooling because its costs may not be recovered through production of saleable product, which could adversely affect our financial condition.</w:t>
      </w:r>
    </w:p>
    <w:p>
      <w:pPr>
        <w:spacing w:after="0" w:line="193"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i w:val="1"/>
          <w:iCs w:val="1"/>
          <w:color w:val="auto"/>
        </w:rPr>
        <w:t>Continuing pressures to reduce healthcare costs and inadequate coverage and reimbursement may adversely affect our prices. If we cannot reduce manufacturing costs of existing and new products to counteract such pricing pressures, our sales may not grow and our profitability may decline.</w:t>
      </w:r>
    </w:p>
    <w:p>
      <w:pPr>
        <w:spacing w:after="0" w:line="173" w:lineRule="exact"/>
        <w:rPr>
          <w:sz w:val="20"/>
          <w:szCs w:val="20"/>
          <w:color w:val="auto"/>
        </w:rPr>
      </w:pPr>
    </w:p>
    <w:p>
      <w:pPr>
        <w:ind w:firstLine="172"/>
        <w:spacing w:after="0" w:line="256" w:lineRule="auto"/>
        <w:rPr>
          <w:sz w:val="20"/>
          <w:szCs w:val="20"/>
          <w:color w:val="auto"/>
        </w:rPr>
      </w:pPr>
      <w:r>
        <w:rPr>
          <w:rFonts w:ascii="Times New Roman" w:cs="Times New Roman" w:eastAsia="Times New Roman" w:hAnsi="Times New Roman"/>
          <w:sz w:val="17"/>
          <w:szCs w:val="17"/>
          <w:color w:val="auto"/>
        </w:rPr>
        <w:t>Increasing awareness of healthcare costs, public interest in healthcare reform and continuing pressure from Medicare, Medicaid, GPOs and other payors,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customers purchase and the prices they are willing to pay. Because there is often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Further, any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207" w:lineRule="exact"/>
        <w:rPr>
          <w:sz w:val="20"/>
          <w:szCs w:val="20"/>
          <w:color w:val="auto"/>
        </w:rPr>
      </w:pPr>
    </w:p>
    <w:p>
      <w:pPr>
        <w:ind w:right="60" w:firstLine="169"/>
        <w:spacing w:after="0" w:line="258" w:lineRule="auto"/>
        <w:rPr>
          <w:sz w:val="20"/>
          <w:szCs w:val="20"/>
          <w:color w:val="auto"/>
        </w:rPr>
      </w:pPr>
      <w:r>
        <w:rPr>
          <w:rFonts w:ascii="Times New Roman" w:cs="Times New Roman" w:eastAsia="Times New Roman" w:hAnsi="Times New Roman"/>
          <w:sz w:val="17"/>
          <w:szCs w:val="17"/>
          <w:color w:val="auto"/>
        </w:rPr>
        <w:t>Third-party payors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or if third-party payors that currently cover or reimburse our products and related procedures reverse or limit their coverage in the future, or if other third-party payors issue similar policies, this could have a material adverse effect on our business.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Further, we believe that future coverage and reimbursement may be subject to increased restrictions, such as</w:t>
      </w:r>
    </w:p>
    <w:p>
      <w:pPr>
        <w:spacing w:after="0" w:line="2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additional prior authorization requirements. Third-party coverage and reimbursement for procedures using our products or any of our products in development for which we may receive regulatory approval or certification may not be available or adequate,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which could have an adverse effect on our business, financial condition and results of operations and impair our ability to grow our business.</w:t>
      </w:r>
    </w:p>
    <w:p>
      <w:pPr>
        <w:spacing w:after="0" w:line="24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our products or may lose market share to alternative products, including competitors’ products. Similarly, if we cannot reduce unit manufacturing costs of new products as production volumes increase, we may not be able to sell new products profitably or gain any meaningful market share. Any of these results would adversely affect our future results of operations.</w:t>
      </w:r>
    </w:p>
    <w:p>
      <w:pPr>
        <w:spacing w:after="0" w:line="197"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i w:val="1"/>
          <w:iCs w:val="1"/>
          <w:color w:val="auto"/>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spacing w:after="0" w:line="17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depend heavily on information technology infrastructure and systems to achieve our business objectives.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 security related incidents continue to evolve, and regulatory focus on these issues continues to expand, additional investment in protective measures, and vulnerability remediation, may be required.</w:t>
      </w:r>
    </w:p>
    <w:p>
      <w:pPr>
        <w:spacing w:after="0" w:line="199"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Our ability to execute our business strategy depends, in part, on the continued and uninterrupted performance of our information technology systems, which support our operations. Despite the implementation of security measures, our information technology systems, and those of third parties on which we rely, are vulnerable to attack and damage from, among others, computer viruses, malware (e.g. ransomware), malicious code,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and certain of our service providers are from time to time subject to cyberattacks and security incidents.</w:t>
      </w:r>
    </w:p>
    <w:p>
      <w:pPr>
        <w:spacing w:after="0" w:line="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While we do not believe that we have experienced any significant system failure, accident or security breach to date, if such event were to occur, public perception of the effectiveness of our security measures and brand could be harmed and our results of operations could be negatively affected. Data security breaches and other incidents may also result from non-technical means (e.g., actions by employees or contractors). Any such security breach may compromise information stored on our networks and may result in significant data losses or theft of personally identifiable information. Any compromise of our security could result in a violation of applicable security, privacy or data protection, consumer and other laws, regulatory or other governmental investigations, enforcement actions, and legal and financial exposure, including potential contractual liability.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Any such compromise could also result in damage to our reputation and a loss of confidence in our security and privacy or data protection measures. In addition, a cybersecurity attack could result in other negative consequences, including disruption of our internal operations, increased cyber security protection costs, lost revenue, regulatory actions or litigations. Any of these effects could materially and adversely affect our business, financial condition and results of operations. Our cyber liability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6" w:name="page27"/>
    <w:bookmarkEnd w:id="26"/>
    <w:p>
      <w:pPr>
        <w:jc w:val="both"/>
        <w:ind w:right="160"/>
        <w:spacing w:after="0" w:line="292" w:lineRule="auto"/>
        <w:rPr>
          <w:sz w:val="20"/>
          <w:szCs w:val="20"/>
          <w:color w:val="auto"/>
        </w:rPr>
      </w:pPr>
      <w:r>
        <w:rPr>
          <w:rFonts w:ascii="Times New Roman" w:cs="Times New Roman" w:eastAsia="Times New Roman" w:hAnsi="Times New Roman"/>
          <w:sz w:val="17"/>
          <w:szCs w:val="17"/>
          <w:i w:val="1"/>
          <w:iCs w:val="1"/>
          <w:color w:val="auto"/>
        </w:rPr>
        <w:t>If we cannot obtain additional custom tooling and equipment on a timely basis to enable us to meet demand for our products, we might be unable to increase our sales or might lose customers, in which case our sales could decline.</w:t>
      </w:r>
    </w:p>
    <w:p>
      <w:pPr>
        <w:spacing w:after="0" w:line="147" w:lineRule="exact"/>
        <w:rPr>
          <w:sz w:val="20"/>
          <w:szCs w:val="20"/>
          <w:color w:val="auto"/>
        </w:rPr>
      </w:pPr>
    </w:p>
    <w:p>
      <w:pPr>
        <w:jc w:val="both"/>
        <w:ind w:right="160" w:firstLine="619"/>
        <w:spacing w:after="0" w:line="264" w:lineRule="auto"/>
        <w:rPr>
          <w:sz w:val="20"/>
          <w:szCs w:val="20"/>
          <w:color w:val="auto"/>
        </w:rPr>
      </w:pPr>
      <w:r>
        <w:rPr>
          <w:rFonts w:ascii="Times New Roman" w:cs="Times New Roman" w:eastAsia="Times New Roman" w:hAnsi="Times New Roman"/>
          <w:sz w:val="17"/>
          <w:szCs w:val="17"/>
          <w:color w:val="auto"/>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 which would adversely affect our sales.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volatility or loss of supply of our raw materials could have an adverse effect on our profitability.</w:t>
      </w:r>
    </w:p>
    <w:p>
      <w:pPr>
        <w:spacing w:after="0" w:line="24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Most of the materials used in our products are resins, plastics and other material that depend upon oil or natural gas as their raw material. Crude oil markets have historically been affected by political uncertainty in the Middle East and more recently, by the conflict in the Ukraine, and there is no assurance that crude oil supplies will not be interrupted in the future. New laws or regulations adopted in response to climate change could also increase energy costs as well as the costs of certain raw materials and components. Any such regulations or interruptions could have an adverse effect on our ability to produce, or the cost to produce, our products. Also, crude oil and natural gas prices have been volatile in recent years.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the past, we have rarely raised prices and it is uncertain that we would be able to raise them to recover higher prices from our suppliers. Our inability to raise prices in those circumstances, or to otherwise recover these costs, could have an adverse effect on our profitability.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business could suffer if we lose the services of key personnel.</w:t>
      </w:r>
    </w:p>
    <w:p>
      <w:pPr>
        <w:spacing w:after="0" w:line="247" w:lineRule="exact"/>
        <w:rPr>
          <w:sz w:val="20"/>
          <w:szCs w:val="20"/>
          <w:color w:val="auto"/>
        </w:rPr>
      </w:pPr>
    </w:p>
    <w:p>
      <w:pPr>
        <w:jc w:val="both"/>
        <w:ind w:firstLine="169"/>
        <w:spacing w:after="0" w:line="264" w:lineRule="auto"/>
        <w:rPr>
          <w:sz w:val="20"/>
          <w:szCs w:val="20"/>
          <w:color w:val="auto"/>
        </w:rPr>
      </w:pPr>
      <w:r>
        <w:rPr>
          <w:rFonts w:ascii="Times New Roman" w:cs="Times New Roman" w:eastAsia="Times New Roman" w:hAnsi="Times New Roman"/>
          <w:sz w:val="17"/>
          <w:szCs w:val="17"/>
          <w:color w:val="auto"/>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price of our common stock has been and may continue to be highly volatile due to many factors.</w:t>
      </w:r>
    </w:p>
    <w:p>
      <w:pPr>
        <w:spacing w:after="0" w:line="24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The public equity market can be highly volatile, and we have experienced significant volatility in the price of our common stock in the past.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general economic trends (including macroeconomic challenges related to the COVID-19 pandemic and the conflict in the Ukraine) and substantial product orders could contribute to the volatility in the price of our common stock.</w:t>
      </w:r>
    </w:p>
    <w:p>
      <w:pPr>
        <w:spacing w:after="0" w:line="199"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Most of our common stock is held by, or included in accounts managed by, institutional investors or managers. Several of those institutions own or manage a significant percentage of our outstanding shares, with the ten largest interests accounting for approximately 65% of our outstanding shares at the end of 2022. If one or more of the institutions or if our other large stockholders should decide to reduce or eliminate their position in our common stock, it could cause a significant decrease in the price of our common stock.</w:t>
      </w:r>
    </w:p>
    <w:p>
      <w:pPr>
        <w:spacing w:after="0" w:line="193"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i w:val="1"/>
          <w:iCs w:val="1"/>
          <w:color w:val="auto"/>
        </w:rPr>
        <w:t>Disruptions at the FDA, other government agencies or notified bodies caused by funding shortages or global health concerns could hinder their ability to hire, retain, or deploy key leadership and other personnel, or otherwise prevent new or modified products from being developed, cleared, approved, certified, or commercialized in a timely manner, or at all, which could negatively impact our business.</w:t>
      </w:r>
    </w:p>
    <w:p>
      <w:pPr>
        <w:spacing w:after="0" w:line="190"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7" w:name="page28"/>
    <w:bookmarkEnd w:id="27"/>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Disruptions at the FDA, foreign regulatory authorities and notified bodies to review and approve or certify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government's ability to perform routine functions. Average review times at the FDA, other government agencies, foreign regulatory authorities and notified bodies have fluctuated in recent years as a result. In addition, government funding of other government agencies that fund research and development activities is subject to the political process, which is inherently fluid and unpredictable. For example, over the last several years, the U.S. government has shut down several times and certain regulatory agencies, such as the FDA, have had to furlough critical FDA employees and stop critical activities.</w:t>
      </w:r>
    </w:p>
    <w:p>
      <w:pPr>
        <w:spacing w:after="0" w:line="20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and notified bodies outside the U.S. have adopted similar restrictions or other policy measures in response to the COVID-19 pandemic. If a prolonged government shutdown occurs, or if global health concerns continue to prevent the FDA,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20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For instance, in the EU, notified bodies must be officially designated to certify products and services in accordance with the EU Medical Devices Regulation. While several notified bodies have been designated under the EU Medical Devices Regulation the COVID-19 pandemic has significantly slowed down their designation process and the current designated notified bodies are facing a large amount of requests with the new regulation as a consequence of which review times have lengthened. This situation could impact our ability to grow our business in the EU and EEA and the ability of our notified body to timely review and process our regulatory submissions and perform its audits.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Compliance, and Regulatory Risks</w:t>
      </w:r>
    </w:p>
    <w:p>
      <w:pPr>
        <w:spacing w:after="0" w:line="24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i w:val="1"/>
          <w:iCs w:val="1"/>
          <w:color w:val="auto"/>
        </w:rPr>
        <w:t>Actual or perceived failures to comply with foreign, federal, and state data privacy and security laws, regulations and standards may adversely affect our business, operations and financial performance.</w:t>
      </w:r>
    </w:p>
    <w:p>
      <w:pPr>
        <w:spacing w:after="0" w:line="173" w:lineRule="exact"/>
        <w:rPr>
          <w:sz w:val="20"/>
          <w:szCs w:val="20"/>
          <w:color w:val="auto"/>
        </w:rPr>
      </w:pPr>
    </w:p>
    <w:p>
      <w:pPr>
        <w:ind w:firstLine="169"/>
        <w:spacing w:after="0" w:line="254" w:lineRule="auto"/>
        <w:rPr>
          <w:sz w:val="20"/>
          <w:szCs w:val="20"/>
          <w:color w:val="auto"/>
        </w:rPr>
      </w:pPr>
      <w:r>
        <w:rPr>
          <w:rFonts w:ascii="Times New Roman" w:cs="Times New Roman" w:eastAsia="Times New Roman" w:hAnsi="Times New Roman"/>
          <w:sz w:val="17"/>
          <w:szCs w:val="17"/>
          <w:color w:val="auto"/>
        </w:rPr>
        <w:t>We are subject to various federal, state and foreign laws that govern the collection, use, disclosure, retention and security of personal information, including patient health information.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In the U.S., numerous federal and state laws and regulations could apply to our operations or the operations of our partners, including state data breach notification laws, federal and state health information privacy laws, and federal and state consumer protection laws and regulations (e.g. Section 5 of the Federal Trade Commission Act (the "FTC Act")). For example, the privacy, security and breach notification rules promulgated under the Health Insurance Portability and Accountability Act of 1996 ("HIPAA"), as amended by the Health Information Technology for Economic and Clinical Health Act of 2009, establish a set of national privacy and security standards for the protection of protected health information ("PHI") by health plans, health care clearinghouses and certain health care providers, called covered entities, and the business associates with whom such covered entities contract for services that involve creating, receiving, maintaining or transmitting PHI, as well as their covered subcontractors. HIPAA also requires covered entities to provide individuals with certain rights with respect to their PHI, and requires covered entities to enter into a written business associate contract or other arrangement with the business associate that establishes specifically what the business associate has been engaged to do and requires the business associate to comply with the requirements of HIPAA.</w:t>
      </w:r>
    </w:p>
    <w:p>
      <w:pPr>
        <w:spacing w:after="0" w:line="8"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the U.S. Department of Health and Human Services ("HHS") which would post the violation on its website, and to the media.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8" w:name="page29"/>
    <w:bookmarkEnd w:id="28"/>
    <w:p>
      <w:pPr>
        <w:ind w:right="160" w:firstLine="619"/>
        <w:spacing w:after="0" w:line="265" w:lineRule="auto"/>
        <w:rPr>
          <w:sz w:val="20"/>
          <w:szCs w:val="20"/>
          <w:color w:val="auto"/>
        </w:rPr>
      </w:pPr>
      <w:r>
        <w:rPr>
          <w:rFonts w:ascii="Times New Roman" w:cs="Times New Roman" w:eastAsia="Times New Roman" w:hAnsi="Times New Roman"/>
          <w:sz w:val="17"/>
          <w:szCs w:val="17"/>
          <w:color w:val="auto"/>
        </w:rPr>
        <w:t>Penalties for failure to comply with a requirement of HIPAA vary significantly depending on the nature of violation and could include civil monetary or criminal penalties. 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97"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Certain states have also adopted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of 2018 (the "CCPA"), which went into effect on January 1, 2020. The CCPA applies to certain businesses that collect personal information from California residents.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health-related information, including PHI maintained by covered entities and business associates, the CCPA may increase our compliance costs and potential liability. Further, the California Privacy Rights Act ("CPRA") recently passed in California. The CPRA imposes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Similar laws have passed in Virginia, Connecticut, Utah and Colorado, and have been proposed in other states and at the federal level, reflecting a trend toward more stringent privacy legislation in the U.S. The enactment of such laws could have potentially conflicting requirements that would make compliance challenging. In addition, the CCPA has prompted a number of proposals for new federal and state privacy legislation that, if passed, could increase our potential liability, increase our compliance costs and adversely affect our business.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HIPAA or applicable state laws.</w:t>
      </w:r>
    </w:p>
    <w:p>
      <w:pPr>
        <w:spacing w:after="0" w:line="200" w:lineRule="exact"/>
        <w:rPr>
          <w:sz w:val="20"/>
          <w:szCs w:val="20"/>
          <w:color w:val="auto"/>
        </w:rPr>
      </w:pPr>
    </w:p>
    <w:p>
      <w:pPr>
        <w:spacing w:after="0" w:line="213"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00"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Foreign data protection laws, including the General Data Protection Regulation (the "GDPR"), which became effective in May 2018, and EU and EEA member state data protection legislation, may also apply to health-related and other personal data obtained outside of the U.S. The GDPR imposes strict requirements for processing the personal data of individuals within the EEA. The GDPR has and will continue to increase compliance burdens on us, including by mandating potentially burdensome documentation requirements and granting certain rights to individuals to control how we collect, use, disclose, retain and process data about them. Fines for non-compliance with the GDPR are significant-the greater of €20 million or 4% of global turnover. The GDPR provides that EU and EEA member states may impose further obligations relating to the processing of genetic, biometric or health data, which could limit our ability to collect, use and share personal data, or could cause our compliance costs to increase, ultimately having an adverse impact on our business. Data privacy laws in the EU and the EEA are developing rapidly and, in July 2020, the Court of Justice of the EU (the "CJEU") limited how organizations could lawfully transfer personal data from the EEA to the U.S. by invalidating the Privacy Shield for purposes of international transfers and imposing further restrictions on use of the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 w:name="page30"/>
    <w:bookmarkEnd w:id="29"/>
    <w:p>
      <w:pPr>
        <w:spacing w:after="0" w:line="256" w:lineRule="auto"/>
        <w:rPr>
          <w:sz w:val="20"/>
          <w:szCs w:val="20"/>
          <w:color w:val="auto"/>
        </w:rPr>
      </w:pPr>
      <w:r>
        <w:rPr>
          <w:rFonts w:ascii="Times New Roman" w:cs="Times New Roman" w:eastAsia="Times New Roman" w:hAnsi="Times New Roman"/>
          <w:sz w:val="17"/>
          <w:szCs w:val="17"/>
          <w:color w:val="auto"/>
        </w:rPr>
        <w:t>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UK. The UK’s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and the response to this consultation was published in June 2022. There is a risk that any material changes which are made to the UK data protection regime could result in the European Commission reviewing the UK adequacy decision, and</w:t>
      </w:r>
    </w:p>
    <w:p>
      <w:pPr>
        <w:spacing w:after="0" w:line="1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UK losing its adequacy decision if the European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w:t>
      </w:r>
    </w:p>
    <w:p>
      <w:pPr>
        <w:spacing w:after="0" w:line="187"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7"/>
          <w:szCs w:val="17"/>
          <w:i w:val="1"/>
          <w:iCs w:val="1"/>
          <w:color w:val="auto"/>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47"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There are numerous U.S. federal and state, as well as foreign, laws pertaining to healthcare fraud and abuse, including anti-kickback, false claims and transparency laws regarding payments and other transfers of value made to physicians and other licensed healthcare professionals. Our business practices and relationships with providers are subject to scrutiny under these laws. The healthcare laws and regulations that may affect our ability to operate include, but are not limited to:</w:t>
      </w:r>
    </w:p>
    <w:p>
      <w:pPr>
        <w:spacing w:after="0" w:line="197" w:lineRule="exact"/>
        <w:rPr>
          <w:sz w:val="20"/>
          <w:szCs w:val="20"/>
          <w:color w:val="auto"/>
        </w:rPr>
      </w:pPr>
    </w:p>
    <w:p>
      <w:pPr>
        <w:ind w:left="620" w:right="40" w:hanging="307"/>
        <w:spacing w:after="0" w:line="261"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to apply to the marketing and sales activities of manufacturers;</w:t>
      </w:r>
    </w:p>
    <w:p>
      <w:pPr>
        <w:spacing w:after="0" w:line="7" w:lineRule="exact"/>
        <w:rPr>
          <w:rFonts w:ascii="Times New Roman" w:cs="Times New Roman" w:eastAsia="Times New Roman" w:hAnsi="Times New Roman"/>
          <w:sz w:val="17"/>
          <w:szCs w:val="17"/>
          <w:color w:val="auto"/>
        </w:rPr>
      </w:pPr>
    </w:p>
    <w:p>
      <w:pPr>
        <w:ind w:left="620" w:hanging="307"/>
        <w:spacing w:after="0" w:line="260"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 Moreover, the government may assert that a claim including items or services resulting from a violation of the federal Anti-Kickback Statute constitutes a false or fraudulent claim for purposes of the federal civil False Claims Act;</w:t>
      </w:r>
    </w:p>
    <w:p>
      <w:pPr>
        <w:spacing w:after="0" w:line="5" w:lineRule="exact"/>
        <w:rPr>
          <w:rFonts w:ascii="Times New Roman" w:cs="Times New Roman" w:eastAsia="Times New Roman" w:hAnsi="Times New Roman"/>
          <w:sz w:val="17"/>
          <w:szCs w:val="17"/>
          <w:color w:val="auto"/>
        </w:rPr>
      </w:pPr>
    </w:p>
    <w:p>
      <w:pPr>
        <w:ind w:left="620" w:right="120" w:hanging="307"/>
        <w:spacing w:after="0" w:line="263"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 w:lineRule="exact"/>
        <w:rPr>
          <w:rFonts w:ascii="Times New Roman" w:cs="Times New Roman" w:eastAsia="Times New Roman" w:hAnsi="Times New Roman"/>
          <w:sz w:val="17"/>
          <w:szCs w:val="17"/>
          <w:color w:val="auto"/>
        </w:rPr>
      </w:pPr>
    </w:p>
    <w:p>
      <w:pPr>
        <w:ind w:left="620" w:right="140" w:hanging="307"/>
        <w:spacing w:after="0" w:line="26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Sunshine Act, which require certain applicable manufacturers of drugs, devices, biologics and medical supplies for which payment is available under Medicare, Medicaid or the Children’s Health Insurance Program ("CHIP") to report annually to the U.S. Department of Health and Human Services' CMS information related to payments and other transfers of value to physicians (defined to include doctors, dentists, optometrists, podiatrists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 w:name="page31"/>
    <w:bookmarkEnd w:id="30"/>
    <w:p>
      <w:pPr>
        <w:ind w:left="620" w:right="180"/>
        <w:spacing w:after="0" w:line="269" w:lineRule="auto"/>
        <w:rPr>
          <w:sz w:val="20"/>
          <w:szCs w:val="20"/>
          <w:color w:val="auto"/>
        </w:rPr>
      </w:pPr>
      <w:r>
        <w:rPr>
          <w:rFonts w:ascii="Times New Roman" w:cs="Times New Roman" w:eastAsia="Times New Roman" w:hAnsi="Times New Roman"/>
          <w:sz w:val="17"/>
          <w:szCs w:val="17"/>
          <w:color w:val="auto"/>
        </w:rPr>
        <w:t>and chiropractors), certain other healthcare providers (physician assistants, nurse practitioners, clinical nurse specialists, anesthesiologist assistants, certified registered nurse anesthetists, anesthesiology assistants and certified nurse midwives, and teaching hospitals), and applicable manufacturers and GPOs, to report annually ownership and investment interests held by physicians and their immediate family members;</w:t>
      </w:r>
    </w:p>
    <w:p>
      <w:pPr>
        <w:ind w:left="620" w:right="60" w:hanging="307"/>
        <w:spacing w:after="0" w:line="263"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and</w:t>
      </w:r>
    </w:p>
    <w:p>
      <w:pPr>
        <w:spacing w:after="0" w:line="1" w:lineRule="exact"/>
        <w:rPr>
          <w:rFonts w:ascii="Times New Roman" w:cs="Times New Roman" w:eastAsia="Times New Roman" w:hAnsi="Times New Roman"/>
          <w:sz w:val="17"/>
          <w:szCs w:val="17"/>
          <w:color w:val="auto"/>
        </w:rPr>
      </w:pPr>
    </w:p>
    <w:p>
      <w:pPr>
        <w:ind w:left="620" w:right="40" w:hanging="307"/>
        <w:spacing w:after="0" w:line="25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and state laws related to insurance fraud in the case of claims involving private insurers.</w:t>
      </w:r>
    </w:p>
    <w:p>
      <w:pPr>
        <w:spacing w:after="0" w:line="205"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1" w:lineRule="exact"/>
        <w:rPr>
          <w:sz w:val="20"/>
          <w:szCs w:val="20"/>
          <w:color w:val="auto"/>
        </w:rPr>
      </w:pPr>
    </w:p>
    <w:p>
      <w:pPr>
        <w:ind w:right="160" w:firstLine="619"/>
        <w:spacing w:after="0" w:line="257" w:lineRule="auto"/>
        <w:rPr>
          <w:sz w:val="20"/>
          <w:szCs w:val="20"/>
          <w:color w:val="auto"/>
        </w:rPr>
      </w:pPr>
      <w:r>
        <w:rPr>
          <w:rFonts w:ascii="Times New Roman" w:cs="Times New Roman" w:eastAsia="Times New Roman" w:hAnsi="Times New Roman"/>
          <w:sz w:val="17"/>
          <w:szCs w:val="17"/>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Healthcare regulation and reform measures could adversely affect our revenue and financial condition.</w:t>
      </w:r>
    </w:p>
    <w:p>
      <w:pPr>
        <w:spacing w:after="0" w:line="247" w:lineRule="exact"/>
        <w:rPr>
          <w:sz w:val="20"/>
          <w:szCs w:val="20"/>
          <w:color w:val="auto"/>
        </w:rPr>
      </w:pPr>
    </w:p>
    <w:p>
      <w:pPr>
        <w:ind w:right="20" w:firstLine="172"/>
        <w:spacing w:after="0" w:line="257" w:lineRule="auto"/>
        <w:rPr>
          <w:sz w:val="20"/>
          <w:szCs w:val="20"/>
          <w:color w:val="auto"/>
        </w:rPr>
      </w:pPr>
      <w:r>
        <w:rPr>
          <w:rFonts w:ascii="Times New Roman" w:cs="Times New Roman" w:eastAsia="Times New Roman" w:hAnsi="Times New Roman"/>
          <w:sz w:val="17"/>
          <w:szCs w:val="17"/>
          <w:color w:val="auto"/>
        </w:rPr>
        <w:t>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 results in significant changes to the healthcare system, some of which are intended to contain or reduce the costs of medical products and services. For example, in 2010, the ACA was signed into law introducing comprehensive health insurance and healthcare reforms in the U.S.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has expanded eligibility criteria for Medicaid programs and created a new Patient-Centered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spacing w:after="0" w:line="21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anticipate there will continue to be proposals by legislators at both the federal and state levels, regulators and commercial payors to reduce costs while expanding individual healthcare benefits. The ultimate implementation of any healthcare reform legislation and any new laws and regulations, and its impact on us, is impossible to predict, particularly in light of the new presidential administration. Any significant reforms made to the healthcare system in the U.S., or in other jurisdictions, may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 w:name="page32"/>
    <w:bookmarkEnd w:id="31"/>
    <w:p>
      <w:pPr>
        <w:ind w:right="280"/>
        <w:spacing w:after="0" w:line="272" w:lineRule="auto"/>
        <w:rPr>
          <w:sz w:val="20"/>
          <w:szCs w:val="20"/>
          <w:color w:val="auto"/>
        </w:rPr>
      </w:pPr>
      <w:r>
        <w:rPr>
          <w:rFonts w:ascii="Times New Roman" w:cs="Times New Roman" w:eastAsia="Times New Roman" w:hAnsi="Times New Roman"/>
          <w:sz w:val="17"/>
          <w:szCs w:val="17"/>
          <w:i w:val="1"/>
          <w:iCs w:val="1"/>
          <w:color w:val="auto"/>
        </w:rPr>
        <w:t>Our business could be materially and adversely affected if we fail to defend and enforce our patents or other proprietary rights, if our products are found to infringe patents or other proprietary rights owned by others or if the cost to protect our patents or other proprietary rights becomes excessive or as our patents expire.</w:t>
      </w:r>
    </w:p>
    <w:p>
      <w:pPr>
        <w:spacing w:after="0" w:line="190" w:lineRule="exact"/>
        <w:rPr>
          <w:sz w:val="20"/>
          <w:szCs w:val="20"/>
          <w:color w:val="auto"/>
        </w:rPr>
      </w:pPr>
    </w:p>
    <w:p>
      <w:pPr>
        <w:ind w:right="200" w:firstLine="696"/>
        <w:spacing w:after="0" w:line="264" w:lineRule="auto"/>
        <w:rPr>
          <w:sz w:val="20"/>
          <w:szCs w:val="20"/>
          <w:color w:val="auto"/>
        </w:rPr>
      </w:pPr>
      <w:r>
        <w:rPr>
          <w:rFonts w:ascii="Times New Roman" w:cs="Times New Roman" w:eastAsia="Times New Roman" w:hAnsi="Times New Roman"/>
          <w:sz w:val="17"/>
          <w:szCs w:val="17"/>
          <w:color w:val="auto"/>
        </w:rPr>
        <w:t>We rely on a combination of patents, trademarks, copyrights, trade secrets, business methods, software and nondisclosure agreements to protect our proprietary intellectual property. Our efforts to protect our intellectual and proprietary rights may not be sufficient. Further, there is no assurance that patents pending will issue or that the protection from patents which have issued or may issue in the future will be broad enough to prevent competitors from introducing similar devices, that such patents, if challenged, will be upheld by the courts or that we will be able to prove infringement and damages in litigation.</w:t>
      </w:r>
    </w:p>
    <w:p>
      <w:pPr>
        <w:spacing w:after="0" w:line="197" w:lineRule="exact"/>
        <w:rPr>
          <w:sz w:val="20"/>
          <w:szCs w:val="20"/>
          <w:color w:val="auto"/>
        </w:rPr>
      </w:pPr>
    </w:p>
    <w:p>
      <w:pPr>
        <w:jc w:val="both"/>
        <w:ind w:right="140" w:firstLine="657"/>
        <w:spacing w:after="0" w:line="264" w:lineRule="auto"/>
        <w:rPr>
          <w:sz w:val="20"/>
          <w:szCs w:val="20"/>
          <w:color w:val="auto"/>
        </w:rPr>
      </w:pPr>
      <w:r>
        <w:rPr>
          <w:rFonts w:ascii="Times New Roman" w:cs="Times New Roman" w:eastAsia="Times New Roman" w:hAnsi="Times New Roman"/>
          <w:sz w:val="17"/>
          <w:szCs w:val="17"/>
          <w:color w:val="auto"/>
        </w:rPr>
        <w:t>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identical or similar to ours, which could adversely affect our business.</w:t>
      </w:r>
    </w:p>
    <w:p>
      <w:pPr>
        <w:spacing w:after="0" w:line="197" w:lineRule="exact"/>
        <w:rPr>
          <w:sz w:val="20"/>
          <w:szCs w:val="20"/>
          <w:color w:val="auto"/>
        </w:rPr>
      </w:pPr>
    </w:p>
    <w:p>
      <w:pPr>
        <w:ind w:right="60" w:firstLine="215"/>
        <w:spacing w:after="0" w:line="270" w:lineRule="auto"/>
        <w:rPr>
          <w:sz w:val="20"/>
          <w:szCs w:val="20"/>
          <w:color w:val="auto"/>
        </w:rPr>
      </w:pPr>
      <w:r>
        <w:rPr>
          <w:rFonts w:ascii="Times New Roman" w:cs="Times New Roman" w:eastAsia="Times New Roman" w:hAnsi="Times New Roman"/>
          <w:sz w:val="17"/>
          <w:szCs w:val="17"/>
          <w:color w:val="auto"/>
        </w:rPr>
        <w:t>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spacing w:after="0" w:line="191" w:lineRule="exact"/>
        <w:rPr>
          <w:sz w:val="20"/>
          <w:szCs w:val="20"/>
          <w:color w:val="auto"/>
        </w:rPr>
      </w:pPr>
    </w:p>
    <w:p>
      <w:pPr>
        <w:ind w:right="100" w:firstLine="657"/>
        <w:spacing w:after="0" w:line="287" w:lineRule="auto"/>
        <w:rPr>
          <w:sz w:val="20"/>
          <w:szCs w:val="20"/>
          <w:color w:val="auto"/>
        </w:rPr>
      </w:pPr>
      <w:r>
        <w:rPr>
          <w:rFonts w:ascii="Times New Roman" w:cs="Times New Roman" w:eastAsia="Times New Roman" w:hAnsi="Times New Roman"/>
          <w:sz w:val="17"/>
          <w:szCs w:val="17"/>
          <w:color w:val="auto"/>
        </w:rPr>
        <w:t>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spacing w:after="0" w:line="177"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spacing w:after="0" w:line="177" w:lineRule="exact"/>
        <w:rPr>
          <w:sz w:val="20"/>
          <w:szCs w:val="20"/>
          <w:color w:val="auto"/>
        </w:rPr>
      </w:pPr>
    </w:p>
    <w:p>
      <w:pPr>
        <w:ind w:firstLine="657"/>
        <w:spacing w:after="0" w:line="258" w:lineRule="auto"/>
        <w:rPr>
          <w:sz w:val="20"/>
          <w:szCs w:val="20"/>
          <w:color w:val="auto"/>
        </w:rPr>
      </w:pPr>
      <w:r>
        <w:rPr>
          <w:rFonts w:ascii="Times New Roman" w:cs="Times New Roman" w:eastAsia="Times New Roman" w:hAnsi="Times New Roman"/>
          <w:sz w:val="17"/>
          <w:szCs w:val="17"/>
          <w:color w:val="auto"/>
        </w:rPr>
        <w:t>In the past, we have faced patent infringement claims related to our Clave products, the CLC2000 Connector and Tego Connector. We believe these claims had no merit, and all have been settled or dismissed. We may also face claims in the future. Additionally, there has been substantial litigation regarding patent and other intellectual property rights in the medical device industry.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 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spacing w:after="0" w:line="205"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become aware of newly issued patents on medical devices, which we review to evaluate any infringement risk. We are aware of a number of patents for infusion connection systems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spacing w:after="0" w:line="187"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i w:val="1"/>
          <w:iCs w:val="1"/>
          <w:color w:val="auto"/>
        </w:rPr>
        <w:t>Our ability to market our products in the U.S. and other countries may be adversely affected if our products fail to comply with the applicable requirements of the FDA and regulatory agencies in other countries.</w:t>
      </w:r>
    </w:p>
    <w:p>
      <w:pPr>
        <w:spacing w:after="0" w:line="173" w:lineRule="exact"/>
        <w:rPr>
          <w:sz w:val="20"/>
          <w:szCs w:val="20"/>
          <w:color w:val="auto"/>
        </w:rPr>
      </w:pPr>
    </w:p>
    <w:p>
      <w:pPr>
        <w:ind w:right="200" w:firstLine="169"/>
        <w:spacing w:after="0" w:line="260" w:lineRule="auto"/>
        <w:rPr>
          <w:sz w:val="20"/>
          <w:szCs w:val="20"/>
          <w:color w:val="auto"/>
        </w:rPr>
      </w:pPr>
      <w:r>
        <w:rPr>
          <w:rFonts w:ascii="Times New Roman" w:cs="Times New Roman" w:eastAsia="Times New Roman" w:hAnsi="Times New Roman"/>
          <w:sz w:val="17"/>
          <w:szCs w:val="17"/>
          <w:color w:val="auto"/>
        </w:rPr>
        <w:t>We and our products are subject to extensive regulation in the U.S. and elsewhere, including by the FDA and its foreign counterparts. The FDA and foreign regulatory agencies and notified bodies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approval and certification;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199" w:lineRule="exact"/>
        <w:rPr>
          <w:sz w:val="20"/>
          <w:szCs w:val="20"/>
          <w:color w:val="auto"/>
        </w:rPr>
      </w:pPr>
    </w:p>
    <w:p>
      <w:pPr>
        <w:ind w:right="80" w:firstLine="172"/>
        <w:spacing w:after="0" w:line="264" w:lineRule="auto"/>
        <w:rPr>
          <w:sz w:val="20"/>
          <w:szCs w:val="20"/>
          <w:color w:val="auto"/>
        </w:rPr>
      </w:pPr>
      <w:r>
        <w:rPr>
          <w:rFonts w:ascii="Times New Roman" w:cs="Times New Roman" w:eastAsia="Times New Roman" w:hAnsi="Times New Roman"/>
          <w:sz w:val="17"/>
          <w:szCs w:val="17"/>
          <w:color w:val="auto"/>
        </w:rPr>
        <w:t>In the U.S., our medical device products are subject to clearance or approval by the U.S. FDA under the FDC Act. Before we can market a new medical device, or a new use of, new claim for, or significant modification to, an existing product, we must first receive either clearance under Section 510(k) of the FDC Act or approval of PMA application from the FDA, unless an exemption applies. Under the 510(k) process, the manufacturer must submit to the FDA a pre-market notification, demonstrating that the device is "substantially equivalent," as defined in the FDC Act, to a legally marketed predicate device.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2" w:name="page33"/>
    <w:bookmarkEnd w:id="32"/>
    <w:p>
      <w:pPr>
        <w:ind w:right="40"/>
        <w:spacing w:after="0" w:line="258" w:lineRule="auto"/>
        <w:rPr>
          <w:sz w:val="20"/>
          <w:szCs w:val="20"/>
          <w:color w:val="auto"/>
        </w:rPr>
      </w:pPr>
      <w:r>
        <w:rPr>
          <w:rFonts w:ascii="Times New Roman" w:cs="Times New Roman" w:eastAsia="Times New Roman" w:hAnsi="Times New Roman"/>
          <w:sz w:val="17"/>
          <w:szCs w:val="17"/>
          <w:color w:val="auto"/>
        </w:rPr>
        <w:t>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spacing w:after="0" w:line="201" w:lineRule="exact"/>
        <w:rPr>
          <w:sz w:val="20"/>
          <w:szCs w:val="20"/>
          <w:color w:val="auto"/>
        </w:rPr>
      </w:pPr>
    </w:p>
    <w:p>
      <w:pPr>
        <w:ind w:right="180" w:firstLine="619"/>
        <w:spacing w:after="0" w:line="258" w:lineRule="auto"/>
        <w:rPr>
          <w:sz w:val="20"/>
          <w:szCs w:val="20"/>
          <w:color w:val="auto"/>
        </w:rPr>
      </w:pPr>
      <w:r>
        <w:rPr>
          <w:rFonts w:ascii="Times New Roman" w:cs="Times New Roman" w:eastAsia="Times New Roman" w:hAnsi="Times New Roman"/>
          <w:sz w:val="17"/>
          <w:szCs w:val="17"/>
          <w:color w:val="auto"/>
        </w:rPr>
        <w:t>We currently market certain products that have received 510(k) clearance, and we may pursue 510(k) clearance for future products. However, certain of our new products may require a longer time for clearance than we have experienced in the past and there can be no assurance that a PMA application will not be required. Further, there is no assurance that other new products developed by us or any manufacturers that we might acquire will be eligible for 510(k) clearance rather than undergoing a more time consuming pre-market approval procedure or that, in any case, they will receive clearance or approval from the FDA. For example, in 2022, we acquired Smiths Medical, which has marketed its PORT-A-CATH implantable access systems pursuant to PMA approval. FDA regulatory processes are time consuming and expensive. Uncertainties as to the time required to obtain FDA clearances or approvals could adversely affect the timing and expense of new product introductions.</w:t>
      </w:r>
    </w:p>
    <w:p>
      <w:pPr>
        <w:spacing w:after="0" w:line="205"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The regulations to which we are subject are complex and have tended to become more stringent over time. Regulatory changes could result in restrictions on our ability to continue or expand our operations, higher than anticipated costs, or lower than anticipated sales. The FDA enforces these regulatory requirements through periodic unannounced inspections. Even after we have obtained the proper regulatory clearance or approval to market a product, we have ongoing responsibilities under FDA regulations and applicable foreign laws and regulations. The FDA, state and foreign regulatory authorities have broad enforcement powers.</w:t>
      </w:r>
    </w:p>
    <w:p>
      <w:pPr>
        <w:spacing w:after="0" w:line="188"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We do not know whether we will pass or be found compliant in any future inspections by FDA or other regulatory authorities. Our failure to comply with applicable regulatory requirements could result in enforcement action by the FDA, state or foreign regulatory authorities which may include any of the following sanctions:</w:t>
      </w:r>
    </w:p>
    <w:p>
      <w:pPr>
        <w:spacing w:after="0" w:line="204"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or warning letters;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injunctions, consent decrees and civil penalties;</w:t>
      </w:r>
    </w:p>
    <w:p>
      <w:pPr>
        <w:spacing w:after="0" w:line="2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termination of distribution, administrative detention, or seizure of our products;</w:t>
      </w:r>
    </w:p>
    <w:p>
      <w:pPr>
        <w:spacing w:after="0" w:line="3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or repair, replacement or refunds;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10" w:lineRule="exact"/>
        <w:rPr>
          <w:rFonts w:ascii="Times New Roman" w:cs="Times New Roman" w:eastAsia="Times New Roman" w:hAnsi="Times New Roman"/>
          <w:sz w:val="17"/>
          <w:szCs w:val="17"/>
          <w:color w:val="auto"/>
        </w:rPr>
      </w:pPr>
    </w:p>
    <w:p>
      <w:pPr>
        <w:ind w:left="620" w:hanging="307"/>
        <w:spacing w:after="0" w:line="261"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or refusal to grant our requests for future 510(k) clearances, PMA approvals or foreign regulatory approvals of new products, new intended uses, or modifications to existing products;</w:t>
      </w: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withdrawals or suspensions of current 510(k) clearances or PMAs or foreign regulatory approvals, resulting in prohibitions on sales of our products;</w:t>
      </w:r>
    </w:p>
    <w:p>
      <w:pPr>
        <w:spacing w:after="0" w:line="3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refusal to issue certificates to foreign governments needed to export products for sale in other countries; and</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239" w:lineRule="exact"/>
        <w:rPr>
          <w:sz w:val="20"/>
          <w:szCs w:val="20"/>
          <w:color w:val="auto"/>
        </w:rPr>
      </w:pPr>
    </w:p>
    <w:p>
      <w:pPr>
        <w:ind w:right="360" w:firstLine="169"/>
        <w:spacing w:after="0" w:line="270"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or certification of our product candidates. We cannot predict the likelihood, nature or extent of government regulation that may arise from future legislation or administrative action, either in the U.S. or abroad.</w:t>
      </w:r>
    </w:p>
    <w:p>
      <w:pPr>
        <w:spacing w:after="0" w:line="191" w:lineRule="exact"/>
        <w:rPr>
          <w:sz w:val="20"/>
          <w:szCs w:val="20"/>
          <w:color w:val="auto"/>
        </w:rPr>
      </w:pPr>
    </w:p>
    <w:p>
      <w:pPr>
        <w:ind w:right="80" w:firstLine="619"/>
        <w:spacing w:after="0" w:line="269" w:lineRule="auto"/>
        <w:rPr>
          <w:sz w:val="20"/>
          <w:szCs w:val="20"/>
          <w:color w:val="auto"/>
        </w:rPr>
      </w:pPr>
      <w:r>
        <w:rPr>
          <w:rFonts w:ascii="Times New Roman" w:cs="Times New Roman" w:eastAsia="Times New Roman" w:hAnsi="Times New Roman"/>
          <w:sz w:val="17"/>
          <w:szCs w:val="17"/>
          <w:color w:val="auto"/>
        </w:rPr>
        <w:t>In addition, the FDA may change its clearance and approval policies, adopt additional regulations or revise existing regulations, or take other actions which may prevent or delay approval or clearance of our future products under development. For example, on February 23, 2022, the FDA issued a proposed rule to amend the Quality System Regulation, or QSR, which establishes current good manufacturing practice requirements for medical device manufacturers, to align</w:t>
      </w:r>
    </w:p>
    <w:p>
      <w:pPr>
        <w:ind w:right="80"/>
        <w:spacing w:after="0" w:line="270" w:lineRule="auto"/>
        <w:rPr>
          <w:sz w:val="20"/>
          <w:szCs w:val="20"/>
          <w:color w:val="auto"/>
        </w:rPr>
      </w:pPr>
      <w:r>
        <w:rPr>
          <w:rFonts w:ascii="Times New Roman" w:cs="Times New Roman" w:eastAsia="Times New Roman" w:hAnsi="Times New Roman"/>
          <w:sz w:val="17"/>
          <w:szCs w:val="17"/>
          <w:color w:val="auto"/>
        </w:rPr>
        <w:t>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3" w:name="page34"/>
    <w:bookmarkEnd w:id="33"/>
    <w:p>
      <w:pPr>
        <w:ind w:firstLine="619"/>
        <w:spacing w:after="0" w:line="258" w:lineRule="auto"/>
        <w:rPr>
          <w:sz w:val="20"/>
          <w:szCs w:val="20"/>
          <w:color w:val="auto"/>
        </w:rPr>
      </w:pPr>
      <w:r>
        <w:rPr>
          <w:rFonts w:ascii="Times New Roman" w:cs="Times New Roman" w:eastAsia="Times New Roman" w:hAnsi="Times New Roman"/>
          <w:sz w:val="17"/>
          <w:szCs w:val="17"/>
          <w:color w:val="auto"/>
        </w:rPr>
        <w:t>Additionally, in September 2019, the FDA issued revised final guidance describing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201"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In addition, FDA and foreign regulations and guidance are often revised or reinterpreted by the FDA and foreign counterparts in ways that may significantly affect our business and our products. Any new statutes, regulations or revisions or reinterpretations of existing regulations may impose additional costs or lengthen review times of any future products or make it more difficult to obtain clearance, approval, or certification to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approval, or certification; changes to manufacturing methods; recall, replacement or discontinuance of our products; or additional record keeping.</w:t>
      </w:r>
    </w:p>
    <w:p>
      <w:pPr>
        <w:spacing w:after="0" w:line="199"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For instance, the EU landscape concerning medical devices recently evolved. On May 25, 2017, the EU Medical Devices Regulation entered into force, which repeals and replaces the EU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with regard to registration of economic operators and of devices, post-market surveillance, market surveillance and vigilance requirements.</w:t>
      </w:r>
    </w:p>
    <w:p>
      <w:pPr>
        <w:spacing w:after="0" w:line="201"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Subject to the transitional provisions and in order to sell our products in EU member states, our products must comply with the general safety and performance requirements of the EU Medical Devices Regulation, which repeals and replaces EU Medical Devices Directive.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w:t>
      </w:r>
    </w:p>
    <w:p>
      <w:pPr>
        <w:spacing w:after="0" w:line="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patient and are compatible with a high level of protection of health and safety, taking into account the generally acknowledged state of the art. Compliance with these requirements is a prerequisite to be able to affix the CE mark to our products, without which they cannot be sold or marketed in the EU. See – Government Regulation. To demonstrate compliance with the general safety and performance requirements, we must undergo a conformity assessment procedure, which varies according to the type of medical device and its (risk) classification.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20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aforementioned EU rules are generally applicable in the EEA. Non-compliance with the above requirements would also prevent us from selling our products in these three countries.</w:t>
      </w:r>
    </w:p>
    <w:p>
      <w:pPr>
        <w:spacing w:after="0" w:line="177"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The rules applicable in Great Britain may differ from the EEA as a result of proposals for the new regulatory landscape which will be implemented, subject to a transitional period, as a result of Brexit. Following the transitional period, compliance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 w:name="page35"/>
    <w:bookmarkEnd w:id="34"/>
    <w:p>
      <w:pPr>
        <w:ind w:right="100"/>
        <w:spacing w:after="0" w:line="287" w:lineRule="auto"/>
        <w:rPr>
          <w:sz w:val="20"/>
          <w:szCs w:val="20"/>
          <w:color w:val="auto"/>
        </w:rPr>
      </w:pPr>
      <w:r>
        <w:rPr>
          <w:rFonts w:ascii="Times New Roman" w:cs="Times New Roman" w:eastAsia="Times New Roman" w:hAnsi="Times New Roman"/>
          <w:sz w:val="17"/>
          <w:szCs w:val="17"/>
          <w:color w:val="auto"/>
        </w:rPr>
        <w:t>with the UK regulations will be a prerequisite to be able to affix the UKCA mark to our products, without which they cannot be sold or marketed in Great Britain. See “Part 1, Item 1. Government Regulation - Regulation of Medical Devices in the European Union - Brexit.”</w:t>
      </w:r>
    </w:p>
    <w:p>
      <w:pPr>
        <w:spacing w:after="0" w:line="173" w:lineRule="exact"/>
        <w:rPr>
          <w:sz w:val="20"/>
          <w:szCs w:val="20"/>
          <w:color w:val="auto"/>
        </w:rPr>
      </w:pPr>
    </w:p>
    <w:p>
      <w:pPr>
        <w:ind w:right="900"/>
        <w:spacing w:after="0" w:line="292" w:lineRule="auto"/>
        <w:rPr>
          <w:sz w:val="20"/>
          <w:szCs w:val="20"/>
          <w:color w:val="auto"/>
        </w:rPr>
      </w:pPr>
      <w:r>
        <w:rPr>
          <w:rFonts w:ascii="Times New Roman" w:cs="Times New Roman" w:eastAsia="Times New Roman" w:hAnsi="Times New Roman"/>
          <w:sz w:val="17"/>
          <w:szCs w:val="17"/>
          <w:i w:val="1"/>
          <w:iCs w:val="1"/>
          <w:color w:val="auto"/>
        </w:rPr>
        <w:t>If we or our component manufacturers fail to comply with the FDA's Quality System Regulation or Good Manufacturing Practice regulations or other requirements, our manufacturing operations could be interrupted, and our product sales and operating results could suffer.</w:t>
      </w:r>
    </w:p>
    <w:p>
      <w:pPr>
        <w:spacing w:after="0" w:line="173" w:lineRule="exact"/>
        <w:rPr>
          <w:sz w:val="20"/>
          <w:szCs w:val="20"/>
          <w:color w:val="auto"/>
        </w:rPr>
      </w:pPr>
    </w:p>
    <w:p>
      <w:pPr>
        <w:ind w:right="100" w:firstLine="619"/>
        <w:spacing w:after="0" w:line="256" w:lineRule="auto"/>
        <w:rPr>
          <w:sz w:val="20"/>
          <w:szCs w:val="20"/>
          <w:color w:val="auto"/>
        </w:rPr>
      </w:pPr>
      <w:r>
        <w:rPr>
          <w:rFonts w:ascii="Times New Roman" w:cs="Times New Roman" w:eastAsia="Times New Roman" w:hAnsi="Times New Roman"/>
          <w:sz w:val="17"/>
          <w:szCs w:val="17"/>
          <w:color w:val="auto"/>
        </w:rPr>
        <w:t>We and some of our component manufacturers are required to comply with regulatory requirements known as the FDA's Quality System Regulation, or QSR, a complex regulatory scheme which covers the procedures and documentation of the design, testing, production, control, quality assurance, inspection, complaint handling, recordkeeping, management review, labeling, packaging, sterilization, storage and shipping of our device products. The FDA's cGMPs apply to the manufacture of medical device components and finished medical devices. The FDA audits compliance with these regulatory requirements through periodic announced and unannounced inspections of manufacturing and other facilities. The FDA may conduct inspections or audits at any time, and we and some of our component suppliers are subject to such inspections. Although we believe our manufacturing facilities and those of our critical component suppliers are in compliance with the QSR requirements, and with applicable cGMPs for our products, we cannot provide assurance that any future inspection will not result in adverse findings. For example, on October 1, 2021, Smiths Medical received a Warning Letter from the FDA following an inspection of Smiths Medical’s Minneapolis, Minnesota Facility on March 30, 2021. The Warning Letter cited, among other things, failures to comply with FDA's medical device reporting requirements and failures to comply with applicable portions of the QSR. There is no guarantee that we will be able to successfully resolve the issues identified in the Warning Letter or do so in a timely manner or that similar compliance issues will not be identified in a future FDA inspection.</w:t>
      </w:r>
    </w:p>
    <w:p>
      <w:pPr>
        <w:spacing w:after="0" w:line="20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If our manufacturing facilities or those of any of our component suppliers 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in response to observed deficiencies is not sufficient, the FDA or foreign regulatory authorities could take enforcement action, including any of the following sanctions:</w:t>
      </w:r>
    </w:p>
    <w:p>
      <w:pPr>
        <w:spacing w:after="0" w:line="197"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or warning letters;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injunctions, consent decrees and civil penalties;</w:t>
      </w:r>
    </w:p>
    <w:p>
      <w:pPr>
        <w:spacing w:after="0" w:line="3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or repair, replacement, refunds, recall, detention or seizure of our products;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2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or delaying our requests for clearance or approval or certifications of new products or modified products;</w:t>
      </w:r>
    </w:p>
    <w:p>
      <w:pPr>
        <w:spacing w:after="0" w:line="3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withdrawing clearances, approvals, or certifications that have already been granted;</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approval for our products; or</w:t>
      </w:r>
    </w:p>
    <w:p>
      <w:pPr>
        <w:spacing w:after="0" w:line="2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Any of these sanctions could adversely affect our business, financial condition and operating results.</w:t>
      </w:r>
    </w:p>
    <w:p>
      <w:pPr>
        <w:spacing w:after="0" w:line="243"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To market our products in the EU, we must conform to additional requirements and demonstrate conformance to harmonized quality standards.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Subject to the transitional provisions, manufacturers of medical devices must also comply with the EU Medical Devices Regulation. Compliance with these requirements assure that medical devices are both safe and effective and do not compromise the clinical condition or safety of patients, or the safety and health of users and – where applicable – other persons and meet all applicable established standards prior to being marketed in the EU. There is no assurance that we will continue to meet the requirements for distribution of our products in Europe.</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the EU Medical Devices Regulation, among other things:</w:t>
      </w:r>
    </w:p>
    <w:p>
      <w:pPr>
        <w:spacing w:after="0" w:line="243" w:lineRule="exact"/>
        <w:rPr>
          <w:sz w:val="20"/>
          <w:szCs w:val="20"/>
          <w:color w:val="auto"/>
        </w:rPr>
      </w:pPr>
    </w:p>
    <w:p>
      <w:pPr>
        <w:ind w:left="620" w:right="260" w:hanging="307"/>
        <w:spacing w:after="0" w:line="276"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strengthens the rules on placing devices on the market (e.g. reclassification of certain devices and wider scope than the EU Medical Devices Directive) and reinforces surveillance once they are available;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explicit provisions on manufacturers' responsibilities for the follow-up of the quality, performance and safety of devices placed on the market;</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explicit provisions on importers' and distributors' obligations and responsibilities;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 w:name="page36"/>
    <w:bookmarkEnd w:id="35"/>
    <w:p>
      <w:pPr>
        <w:ind w:left="620" w:right="520" w:hanging="307"/>
        <w:spacing w:after="0" w:line="276"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imposes an obligation to identify a responsible person who is ultimately responsible for all aspects of compliance with the requirements of the new regulation;</w:t>
      </w:r>
    </w:p>
    <w:p>
      <w:pPr>
        <w:spacing w:after="0" w:line="1" w:lineRule="exact"/>
        <w:rPr>
          <w:rFonts w:ascii="Times New Roman" w:cs="Times New Roman" w:eastAsia="Times New Roman" w:hAnsi="Times New Roman"/>
          <w:sz w:val="17"/>
          <w:szCs w:val="17"/>
          <w:color w:val="auto"/>
        </w:rPr>
      </w:pPr>
    </w:p>
    <w:p>
      <w:pPr>
        <w:ind w:left="620" w:right="180" w:hanging="307"/>
        <w:spacing w:after="0" w:line="263"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 w:lineRule="exact"/>
        <w:rPr>
          <w:rFonts w:ascii="Times New Roman" w:cs="Times New Roman" w:eastAsia="Times New Roman" w:hAnsi="Times New Roman"/>
          <w:sz w:val="17"/>
          <w:szCs w:val="17"/>
          <w:color w:val="auto"/>
        </w:rPr>
      </w:pPr>
    </w:p>
    <w:p>
      <w:pPr>
        <w:ind w:left="620" w:right="20" w:hanging="307"/>
        <w:spacing w:after="0" w:line="276"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sets up a central database (Eudamed) to provide patients, healthcare professionals and the public with comprehensive information on products available in the EU; and</w:t>
      </w:r>
    </w:p>
    <w:p>
      <w:pPr>
        <w:spacing w:after="0" w:line="1" w:lineRule="exact"/>
        <w:rPr>
          <w:rFonts w:ascii="Times New Roman" w:cs="Times New Roman" w:eastAsia="Times New Roman" w:hAnsi="Times New Roman"/>
          <w:sz w:val="17"/>
          <w:szCs w:val="17"/>
          <w:color w:val="auto"/>
        </w:rPr>
      </w:pPr>
    </w:p>
    <w:p>
      <w:pPr>
        <w:ind w:left="620" w:right="720" w:hanging="307"/>
        <w:spacing w:after="0" w:line="287"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strengthens rules for the assessment of certain high-risk devices, such as implants, which may have to undergo a clinical evaluation consultation procedure by experts before they are placed on the market.</w:t>
      </w:r>
    </w:p>
    <w:p>
      <w:pPr>
        <w:spacing w:after="0" w:line="177" w:lineRule="exact"/>
        <w:rPr>
          <w:sz w:val="20"/>
          <w:szCs w:val="20"/>
          <w:color w:val="auto"/>
        </w:rPr>
      </w:pPr>
    </w:p>
    <w:p>
      <w:pPr>
        <w:ind w:right="120" w:firstLine="162"/>
        <w:spacing w:after="0" w:line="270" w:lineRule="auto"/>
        <w:rPr>
          <w:sz w:val="20"/>
          <w:szCs w:val="20"/>
          <w:color w:val="auto"/>
        </w:rPr>
      </w:pPr>
      <w:r>
        <w:rPr>
          <w:rFonts w:ascii="Times New Roman" w:cs="Times New Roman" w:eastAsia="Times New Roman" w:hAnsi="Times New Roman"/>
          <w:sz w:val="17"/>
          <w:szCs w:val="17"/>
          <w:color w:val="auto"/>
        </w:rPr>
        <w:t>As a result of these new requirements, we may be subject to risks associated with additional testing, modification, certification, or amendment of our existing certifications, or we may be required to modify products already installed at our customers' facilities to comply with the official interpretations of the EU Medical Devices Regulation.</w:t>
      </w:r>
    </w:p>
    <w:p>
      <w:pPr>
        <w:spacing w:after="0" w:line="191"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Distribution of our products in other countries may be subject to regulation in those countries, and there is no assurance that we will obtain necessary approvals or certifications in countries in which we want to introduce our products.</w:t>
      </w:r>
    </w:p>
    <w:p>
      <w:pPr>
        <w:spacing w:after="0" w:line="173"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7"/>
          <w:szCs w:val="17"/>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90"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Our products have been cleared, approved or certified by the FDA, foreign regulatory authorities and notified bodies for specific indications of use. We train our marketing personnel and direct sales force to not promote our products for uses outside of the FDA-cleared or 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cleared or approved by the FDA or approved by any foreign body may not effectively treat such conditions, which could harm our reputation in the marketplace among physicians and patients.</w:t>
      </w:r>
    </w:p>
    <w:p>
      <w:pPr>
        <w:spacing w:after="0" w:line="199"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If the FDA or any foreign regulatory authorities determine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99" w:lineRule="exact"/>
        <w:rPr>
          <w:sz w:val="20"/>
          <w:szCs w:val="20"/>
          <w:color w:val="auto"/>
        </w:rPr>
      </w:pPr>
    </w:p>
    <w:p>
      <w:pPr>
        <w:ind w:right="40" w:firstLine="172"/>
        <w:spacing w:after="0" w:line="287" w:lineRule="auto"/>
        <w:rPr>
          <w:sz w:val="20"/>
          <w:szCs w:val="20"/>
          <w:color w:val="auto"/>
        </w:rPr>
      </w:pPr>
      <w:r>
        <w:rPr>
          <w:rFonts w:ascii="Times New Roman" w:cs="Times New Roman" w:eastAsia="Times New Roman" w:hAnsi="Times New Roman"/>
          <w:sz w:val="17"/>
          <w:szCs w:val="17"/>
          <w:color w:val="auto"/>
        </w:rPr>
        <w:t>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 product liability claims or product recalls could be costly and could expose us to loss.</w:t>
      </w:r>
    </w:p>
    <w:p>
      <w:pPr>
        <w:spacing w:after="0" w:line="24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use of our products exposes us to an inherent risk of product liability. Further, the medical device industry has historically been subject to extensive litigation and we cannot offer any assurance that we will not face product liability or other lawsuits in the future. Patients, healthcare workers, healthcare providers or others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$40 million per occurrence. However, legal proceedings are inherently unpredictable, and the outcome can result in judgments that affect how we operate our business, or we may enter into settlements of claims for monetary damages that exceed our insurance coverage, if any is available. A successful claim against us in excess of insurance coverage could materially and adversely affect us, and result in substantial liabilities and reputational harm including product recalls or withdrawals from the market, withdrawal of clinical trial participants or clinical studies, the inability to commercialize our existing or new products, distraction of management’s attention from our primary business or decreased demand for our products or, if cleared or approved, products in development.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 w:name="page37"/>
    <w:bookmarkEnd w:id="36"/>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 material adverse effect on our business, financial condition and results of operations.</w:t>
      </w:r>
    </w:p>
    <w:p>
      <w:pPr>
        <w:spacing w:after="0" w:line="199"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Additionally, we generally offer a limited warranty for product returns which are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spacing w:after="0" w:line="19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i w:val="1"/>
          <w:iCs w:val="1"/>
          <w:color w:val="auto"/>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94" w:lineRule="exact"/>
        <w:rPr>
          <w:sz w:val="20"/>
          <w:szCs w:val="20"/>
          <w:color w:val="auto"/>
        </w:rPr>
      </w:pPr>
    </w:p>
    <w:p>
      <w:pPr>
        <w:ind w:right="60" w:firstLine="169"/>
        <w:spacing w:after="0" w:line="257" w:lineRule="auto"/>
        <w:rPr>
          <w:sz w:val="20"/>
          <w:szCs w:val="20"/>
          <w:color w:val="auto"/>
        </w:rPr>
      </w:pPr>
      <w:r>
        <w:rPr>
          <w:rFonts w:ascii="Times New Roman" w:cs="Times New Roman" w:eastAsia="Times New Roman" w:hAnsi="Times New Roman"/>
          <w:sz w:val="17"/>
          <w:szCs w:val="17"/>
          <w:color w:val="auto"/>
        </w:rPr>
        <w:t>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clearances, approvals or certifications, seizure of our products or delay in clearance, approval, or certification of future products.</w:t>
      </w:r>
    </w:p>
    <w:p>
      <w:pPr>
        <w:spacing w:after="0" w:line="205"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For example, on June 26, 2020, Smiths Medical ASD initiated Class 1 recalls of a Medfusion Syringe Pump. We can provide no assurance that our efforts to work with the FDA to complete the Class 1 recall, and ultimately close, this product recall will be accomplished in a timely manner, or at all. In addition, the costs associated with conducting and closing this recall, including any liabilities we may incur, could have a material adverse effect on our business, financial condition and results of operations.</w:t>
      </w:r>
    </w:p>
    <w:p>
      <w:pPr>
        <w:spacing w:after="0" w:line="205"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color w:val="auto"/>
        </w:rPr>
        <w:t>Depending on the corrective action we take to redress a product's deficiencies or defects, the FDA or foreign regulatory agencies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foreign regulatory authorities warning letters, product seizure, injunctions, administrative penalties or civil or criminal fines.</w:t>
      </w:r>
    </w:p>
    <w:p>
      <w:pPr>
        <w:spacing w:after="0" w:line="200" w:lineRule="exact"/>
        <w:rPr>
          <w:sz w:val="20"/>
          <w:szCs w:val="20"/>
          <w:color w:val="auto"/>
        </w:rPr>
      </w:pPr>
    </w:p>
    <w:p>
      <w:pPr>
        <w:ind w:right="240" w:firstLine="172"/>
        <w:spacing w:after="0" w:line="264" w:lineRule="auto"/>
        <w:rPr>
          <w:sz w:val="20"/>
          <w:szCs w:val="20"/>
          <w:color w:val="auto"/>
        </w:rPr>
      </w:pPr>
      <w:r>
        <w:rPr>
          <w:rFonts w:ascii="Times New Roman" w:cs="Times New Roman" w:eastAsia="Times New Roman" w:hAnsi="Times New Roman"/>
          <w:sz w:val="17"/>
          <w:szCs w:val="17"/>
          <w:color w:val="auto"/>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7" w:name="page38"/>
    <w:bookmarkEnd w:id="37"/>
    <w:p>
      <w:pPr>
        <w:ind w:right="100"/>
        <w:spacing w:after="0" w:line="270" w:lineRule="auto"/>
        <w:rPr>
          <w:sz w:val="20"/>
          <w:szCs w:val="20"/>
          <w:color w:val="auto"/>
        </w:rPr>
      </w:pPr>
      <w:r>
        <w:rPr>
          <w:rFonts w:ascii="Times New Roman" w:cs="Times New Roman" w:eastAsia="Times New Roman" w:hAnsi="Times New Roman"/>
          <w:sz w:val="17"/>
          <w:szCs w:val="17"/>
          <w:color w:val="auto"/>
        </w:rPr>
        <w:t>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Geographic Risks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operations may be adversely impacted by our exposure to risks related to foreign currency exchange rates.</w:t>
      </w:r>
    </w:p>
    <w:p>
      <w:pPr>
        <w:spacing w:after="0" w:line="247"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We face exposure to adverse movements in foreign currency exchange rates due to our operations in foreign markets through our foreign subsidiaries and other international distributors. Our primary foreign currency exchange rate exposures are currently with the Euro, Mexican Peso, Czech Koruna, Japanese Yen, Chinese Renminbi, Australian Dollar, and the Canadian Dollar against the U.S. dollar. Our income and expenses are based on a mix of currencies, and a decline in one currency relative to the other currencies could adversely affect our operating results. Furthermore, our operating results are reported in U.S. dollars, using the exchange rate in effect at the balance sheet date, or, for revenues and expenses, using the average monthly exchange rates during the year. Accordingly, our operating results are subject to volatility due to fluctuations in foreign currency exchange rates. Generally, when the U.S. dollar weakens against these currencies, the dollar value of foreign-currency denominated revenue and expense increases, and when the U.S. dollar strengthens against these currencies, the dollar value of foreign-currency denominated revenue and expense decreases. We are also exposed to foreign currency risk on outstanding foreign currency denominated receivables and payables. Accordingly, changes in foreign currency exchange rates may adversely affect our results of operations. Fluctuations in currency exchange rates are caused by a number of factors that are beyond our control, including a country’s political and economic policies, inflationary conditions, disruptions in the financial markets, and global economic conditions. During 2022, we recorded $5.8 million in foreign exchange losses due to the volatility of foreign exchange rates as a result of continued global macroeconomic challenges.</w:t>
      </w:r>
    </w:p>
    <w:p>
      <w:pPr>
        <w:spacing w:after="0" w:line="205"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We currently only partially hedge against our foreign currency exchange rate risks, related to certain forecasted foreign currency-denominated revenues and expenses for Smiths Medical. We, therefore, believe our exposure to these risks may be higher than if we entered into hedging transactions, including forward exchange contracts or similar instruments that covered the whole company. If we decide in the future to enter into additional forward foreign exchange contracts to attempt to reduce the risk related to foreign currency exchange rates, these contracts may not mitigate the potential adverse impact on our financial results due to the limitations and difficulty forecasting future activity. In addition, these types of contracts may themselves cause financial harm to us and have inherent levels of counter-party risk over which we would have no control. We attempt to mitigate a portion of foreign currency exchange rate risks through foreign currency hedging. Our hedging activities, however, may not sufficiently offset the adverse financial impact caused by unfavorable movement in foreign currency exchange rates applicable to our business, and such exchange rate impacts could materially adversely affect our financial condition or results of operations. See “Item 7A. Quantitative and Qualitative Disclosures About Market Risk.”</w:t>
      </w:r>
    </w:p>
    <w:p>
      <w:pPr>
        <w:spacing w:after="0" w:line="201"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7"/>
          <w:szCs w:val="17"/>
          <w:i w:val="1"/>
          <w:iCs w:val="1"/>
          <w:color w:val="auto"/>
        </w:rPr>
        <w:t>Any significant changes in U.S. trade, tax or other policies that restrict imports or increase import tariffs could have a material adverse effect on our results of operations.</w:t>
      </w:r>
    </w:p>
    <w:p>
      <w:pPr>
        <w:spacing w:after="0" w:line="173"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7"/>
          <w:szCs w:val="17"/>
          <w:color w:val="auto"/>
        </w:rPr>
        <w:t>A significant amount of our products are manufactured outside of the U.S. The U.S. government has recently initiated substantial changes in U.S. trade policy and U.S. trade agreements, including the initiation of tariffs on certain foreign goods. In response to these tariffs, certain foreign governments, including China, have instituted or are considering imposing tariffs on certain U.S. goods. For example, in 2018, the U.S. imposed tariffs on steel and aluminum as well as on goods imported from China and certain other countries, which has resulted in retaliatory tariffs by China and other countries. Additional tariffs imposed by the U.S. on a broader range of imports, or further retaliatory trade measures taken by other countries in response, could prevent or make it difficult for us to obtain the components needed for new products which would affect our sales. Increased tariffs would require us to increase our prices which likely would decrease customer and consumer demand for our products. Additionally, we are subject to income taxes in the U.S. and numerous foreign jurisdictions. Any significant changes in current U.S. trade, tax or other policies could have a material adverse effect on our results of operations.</w:t>
      </w:r>
    </w:p>
    <w:p>
      <w:pPr>
        <w:spacing w:after="0" w:line="197"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i w:val="1"/>
          <w:iCs w:val="1"/>
          <w:color w:val="auto"/>
        </w:rPr>
        <w:t>International sales pose additional risks related to competition with larger international companies and established local companies and our possibly higher cost structure.</w:t>
      </w:r>
    </w:p>
    <w:p>
      <w:pPr>
        <w:spacing w:after="0" w:line="173"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primarily from the U.S. and Mexico and to a lesser extent Costa Rica. Our principal competitors in international markets consist of much larger companies as well as smaller companies already established in the countries into which we sell our products. Our cost structure is often higher than</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8" w:name="page39"/>
    <w:bookmarkEnd w:id="38"/>
    <w:p>
      <w:pPr>
        <w:ind w:right="40"/>
        <w:spacing w:after="0" w:line="287" w:lineRule="auto"/>
        <w:rPr>
          <w:sz w:val="20"/>
          <w:szCs w:val="20"/>
          <w:color w:val="auto"/>
        </w:rPr>
      </w:pPr>
      <w:r>
        <w:rPr>
          <w:rFonts w:ascii="Times New Roman" w:cs="Times New Roman" w:eastAsia="Times New Roman" w:hAnsi="Times New Roman"/>
          <w:sz w:val="17"/>
          <w:szCs w:val="17"/>
          <w:color w:val="auto"/>
        </w:rPr>
        <w:t>that of our competitors because of the relatively high cost of transporting product to some local markets as well as our competitors’ lower local labor costs in some markets.</w:t>
      </w:r>
    </w:p>
    <w:p>
      <w:pPr>
        <w:spacing w:after="0" w:line="17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international sales are subject to higher credit risks than sales in the U.S. Many of our distributors are small and may not be well capitalized. Payment terms are relatively long. The European hospitals tend to be significantly slower in payment which has resulted in and may continue to result in an increase to our days sales outstanding from previous years. Our prices to our international distributors, outside of Europe, for product shipped to the customers from the U.S., Costa Rica or Mexico are generally denominated in U.S. dollars, but their resale prices are set in their local currency. A decline in the value of the local currency in relation to the U.S. dollar may adversely affect their ability to profitably sell in their market the products they buy from us, and may adversely affect their ability to make payment to us for the products they purchase. Legal recourse for non-payment of indebtedness may be uncertain. These factors all contribute to a potential for credit losses.</w:t>
      </w:r>
    </w:p>
    <w:p>
      <w:pPr>
        <w:spacing w:after="0" w:line="201"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7"/>
          <w:szCs w:val="17"/>
          <w:i w:val="1"/>
          <w:iCs w:val="1"/>
          <w:color w:val="auto"/>
        </w:rPr>
        <w:t>We are dependent on manufacturing in Mexico, and could be adversely affected by that region's increased labor costs and any economic, social or political disruptions.</w:t>
      </w:r>
    </w:p>
    <w:p>
      <w:pPr>
        <w:spacing w:after="0" w:line="173"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Most of the material we use in manufacturing is imported into Mexico, and substantially all of the products we manufacture in Mexico are exported. Business activity in the Ensenada area has expanded significantly, providing increased employment opportunities. This could have an adverse effect on our ability to hire or retain necessary personnel and result in higher labor costs. In addition, minimum wages in regions within which we operate have increased labor costs significantly. We continue to take steps to compete for labor through attractive employment conditions and benefits, but there is no assurance that these steps will continue to be successful or that we will not continue to face increasing labor costs in the future.</w:t>
      </w:r>
    </w:p>
    <w:p>
      <w:pPr>
        <w:spacing w:after="0" w:line="200"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7"/>
          <w:szCs w:val="17"/>
          <w:color w:val="auto"/>
        </w:rPr>
        <w:t>Any political or economic disruption in Mexico or a change in its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could be adversely affected by violations of the U.S. Foreign Corrupt Practices Act and other worldwide anti-bribery laws.</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We are subject to risks associated with doing business outside of the U.S.</w:t>
      </w:r>
    </w:p>
    <w:p>
      <w:pPr>
        <w:spacing w:after="0" w:line="247"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We operate in a global market and global operations are subject to a number of risks. Sales to customers outside of the U.S. made up approximately 36% of our revenues in 2022 and as our operations and sales located in Europe and other areas outside the U.S. increase, we may face new challenges and uncertainties, although we can give no assurance that such operations and sales will increase.</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risks associated with our operations outside the U.S. also include:</w:t>
      </w:r>
    </w:p>
    <w:p>
      <w:pPr>
        <w:spacing w:after="0" w:line="243"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political uncertainty;</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non-U.S. government programs;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non-U.S. regulatory requirements that are subject to change and that could restrict our ability to manufacture and sell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local medical practices, product preferences and product requirements;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failure to comply with trade protection and restriction measures and import or export licensing requirements;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establishing, staffing and managing non-U.S.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9" w:name="page40"/>
    <w:bookmarkEnd w:id="39"/>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labor regulations or work stoppages or strikes;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and actual or anticipated military or political conflicts (such as the conflict in Ukraine);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instability in other parts of the world and the impact on interest rates, inflation and the credit worthiness of our customers in foreign countries;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regarding judicial systems and procedures;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minimal or diminished protection of intellectual property in some countries;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or outbreak of diseases (including COVID-19);</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between countries, trade relationships and conflicts );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government controls.</w:t>
      </w:r>
    </w:p>
    <w:p>
      <w:pPr>
        <w:spacing w:after="0" w:line="226"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Strategic Transactions</w:t>
      </w:r>
    </w:p>
    <w:p>
      <w:pPr>
        <w:spacing w:after="0" w:line="24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i w:val="1"/>
          <w:iCs w:val="1"/>
          <w:color w:val="auto"/>
        </w:rPr>
        <w:t>The Smiths Medical acquisition completed in January 2022 has resulted in organizational changes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19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Smiths Medical acquisition has resulted in significant growth in our personnel and operations, adding approximately 6,700 employees to our headcount at the time of acquisition. Our total headcount as of December 31, 2022 is approximately 14,500 employees. We have incurred and will continue to incur significant expenditures and the allocation of management time to assimilate the Smiths Medical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Smiths Medical acquisition is a significant acquisition for us and the product offerings within Smiths Medical are not product offerings that we previously offered. The success of our business will depend, in part, on our ability to realize our anticipated benefits, opportunities and synergies from combining our legacy businesses and Smiths Medical. We can provide no assurance that the anticipated benefits of the Smiths Medical acquisition will be fully realized in the time frame anticipated or at all. Integrating the operations of Smiths Medical with that of our legacy business has been and will continue to be a complex, costly and time-consuming process.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spacing w:after="0" w:line="201"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preserving important strategic customer and other third-party relationships of both businesses;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management’s attention to integration matters;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maintaining employee morale and retaining or attracting key employees;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incompatibility of corporate cultures;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delays and other difficulties consolidating corporate and administrative infrastructures and information systems and implementing common systems and procedures including, in particular, our internal controls over financial reporting; and</w:t>
      </w:r>
    </w:p>
    <w:p>
      <w:pPr>
        <w:ind w:left="620" w:right="500" w:hanging="307"/>
        <w:spacing w:after="0" w:line="26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and integrating a geographically dispersed organization, including operations in jurisdictions we did not operate in prior to the Smiths Medical transaction.</w:t>
      </w:r>
    </w:p>
    <w:p>
      <w:pPr>
        <w:spacing w:after="0" w:line="194"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Any one or all of these factors may increase operating costs or lower anticipated financial performance. Achieving the anticipated benefits and the potential benefits underlying our reasons for the Smiths Medical business acquisition will depend on successful integration of the businesses. Because of the significance of the Smiths Medical business acquisition to us, our failure to successfully integrate the Smiths Medical business with that of our own could have a material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color w:val="auto"/>
        </w:rPr>
        <w:t>The actual impact of the Smiths Medical acquisition on our financial results may be worse than the assumptions we have used.</w:t>
      </w:r>
    </w:p>
    <w:p>
      <w:pPr>
        <w:spacing w:after="0" w:line="247" w:lineRule="exact"/>
        <w:rPr>
          <w:sz w:val="20"/>
          <w:szCs w:val="20"/>
          <w:color w:val="auto"/>
        </w:rPr>
      </w:pPr>
    </w:p>
    <w:p>
      <w:pPr>
        <w:ind w:firstLine="619"/>
        <w:spacing w:after="0" w:line="267" w:lineRule="auto"/>
        <w:rPr>
          <w:sz w:val="20"/>
          <w:szCs w:val="20"/>
          <w:color w:val="auto"/>
        </w:rPr>
      </w:pPr>
      <w:r>
        <w:rPr>
          <w:rFonts w:ascii="Times New Roman" w:cs="Times New Roman" w:eastAsia="Times New Roman" w:hAnsi="Times New Roman"/>
          <w:sz w:val="17"/>
          <w:szCs w:val="17"/>
          <w:color w:val="auto"/>
        </w:rPr>
        <w:t>We have made certain assumptions relating to the impact on our financial results of the Smiths Medical acquisition. These assumptions relate to numerous matters, including the acquisition costs, transaction and integration costs, and other financial and strategic risks of the acquisition. If one or more of these assumptions are incorrect, it could have an adverse effect on our business and operating results, and the perceived benefits from the acquisition may not be realized.</w:t>
      </w:r>
    </w:p>
    <w:p>
      <w:pPr>
        <w:spacing w:after="0" w:line="200" w:lineRule="exact"/>
        <w:rPr>
          <w:sz w:val="20"/>
          <w:szCs w:val="20"/>
          <w:color w:val="auto"/>
        </w:rPr>
      </w:pPr>
    </w:p>
    <w:p>
      <w:pPr>
        <w:spacing w:after="0" w:line="201"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7"/>
          <w:szCs w:val="17"/>
          <w:i w:val="1"/>
          <w:iCs w:val="1"/>
          <w:color w:val="auto"/>
        </w:rPr>
        <w:t>If we are unable to effectively manage our internal growth or growth through acquisitions of companies, assets or products, our financial performance may be adversely affected.</w:t>
      </w:r>
    </w:p>
    <w:p>
      <w:pPr>
        <w:spacing w:after="0" w:line="173"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We may expand our product offerings through acquisitions of companies or product lines. We can provide no assurance that we will be able to identify, acquire, develop or profitably manage additional companies or operations or successfully integrate such companies or operations into our existing operations without substantial costs, delays or other challenges. We recently acquired the Smiths Medical business, which includes syringe and ambulatory infusion devices, vascular access, and vital care products, but we have to make significant integration efforts to achieve the anticipated benefits. See “</w:t>
      </w:r>
      <w:r>
        <w:rPr>
          <w:rFonts w:ascii="Times New Roman" w:cs="Times New Roman" w:eastAsia="Times New Roman" w:hAnsi="Times New Roman"/>
          <w:sz w:val="17"/>
          <w:szCs w:val="17"/>
          <w:i w:val="1"/>
          <w:iCs w:val="1"/>
          <w:color w:val="auto"/>
        </w:rPr>
        <w:t>The Smiths Medical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acquisition completed in January 2022 has resulted in organizational changes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We have additional production facilities outside the U.S. to reduce labor costs. We intend to continue to expand our marketing and distribution capability, which may include external expansion through acquisitions both in the U.S. and foreign markets. The expansion of our marketing, distribution and product offerings both internally and through acquisitions or by contract may place substantial burdens on our management resources and financial controls. Decentralization of assembly and manufacturing could place further burdens on management to manage those operations and maintain efficiencies and quality control.</w:t>
      </w:r>
    </w:p>
    <w:p>
      <w:pPr>
        <w:spacing w:after="0" w:line="200" w:lineRule="exact"/>
        <w:rPr>
          <w:sz w:val="20"/>
          <w:szCs w:val="20"/>
          <w:color w:val="auto"/>
        </w:rPr>
      </w:pPr>
    </w:p>
    <w:p>
      <w:pPr>
        <w:ind w:right="260" w:firstLine="619"/>
        <w:spacing w:after="0" w:line="261" w:lineRule="auto"/>
        <w:rPr>
          <w:sz w:val="20"/>
          <w:szCs w:val="20"/>
          <w:color w:val="auto"/>
        </w:rPr>
      </w:pPr>
      <w:r>
        <w:rPr>
          <w:rFonts w:ascii="Times New Roman" w:cs="Times New Roman" w:eastAsia="Times New Roman" w:hAnsi="Times New Roman"/>
          <w:sz w:val="17"/>
          <w:szCs w:val="17"/>
          <w:color w:val="auto"/>
        </w:rPr>
        <w:t>The increasing burdens on our management resources and financial controls resulting from internal growth and acquisitions could adversely affect our operating results. In addition, acquisitions may involve a number of special risks in addition to the difficulty of integrating cultures and operations and the diversion of management’s attention, including adverse short-term effects on our reported operating results, dependence on retention, hiring and training of key personnel, risks associated with unanticipated problems or legal liabilities, and amortization of acquired intangible assets, some or all of which could materially and adversely affect our operations and financial performance.</w:t>
      </w:r>
    </w:p>
    <w:p>
      <w:pPr>
        <w:spacing w:after="0" w:line="19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As a result of the Smiths Medical acquisition, we have used a significant portion of our cash on hand and incurred a substantial amount of debt to finance the cash consideration portion and certain other amounts paid in connection with the Smiths Medical acquisition, which could adversely affect our business, including by restricting our ability to engage in additional transactions or incur additional indebtedness.</w:t>
      </w:r>
    </w:p>
    <w:p>
      <w:pPr>
        <w:spacing w:after="0" w:line="190" w:lineRule="exact"/>
        <w:rPr>
          <w:sz w:val="20"/>
          <w:szCs w:val="20"/>
          <w:color w:val="auto"/>
        </w:rPr>
      </w:pPr>
    </w:p>
    <w:p>
      <w:pPr>
        <w:ind w:right="20" w:firstLine="619"/>
        <w:spacing w:after="0" w:line="255" w:lineRule="auto"/>
        <w:rPr>
          <w:sz w:val="20"/>
          <w:szCs w:val="20"/>
          <w:color w:val="auto"/>
        </w:rPr>
      </w:pPr>
      <w:r>
        <w:rPr>
          <w:rFonts w:ascii="Times New Roman" w:cs="Times New Roman" w:eastAsia="Times New Roman" w:hAnsi="Times New Roman"/>
          <w:sz w:val="17"/>
          <w:szCs w:val="17"/>
          <w:color w:val="auto"/>
        </w:rPr>
        <w:t>At December 31, 2022, we had $213.5 million of cash, cash equivalents and investment securities on hand, which was significantly less than the approximately $571.9 million of cash, cash equivalents and investment securities we had as of December 31, 2021, primarily as a result of the use of existing cash to partially fund the Smiths Medical acquisition. Although our management believes that we continue to have sufficient access to cash to meet our business objectives and capital needs, we do have a decreased availability of cash, cash equivalents and investment securities and we expect to have such decreased availability of cash for the foreseeable future which could constrain our ability to grow our business. Furthermore, in connection with the Smiths Medical transaction and the payment of the cash consideration, we entered into Senior Secured Credit Facilities (the "Senior Secured Credit Facilities") of $2.2 billion consisting of a term loan A facility of $850.0 million, a term loan B facility of $850.0 million and a revolving credit facility of $500.0 million. As a result of entering into the Senior Secured Credit Facilities, we incurred additional borrowing costs. Our more leveraged financial position following the Smiths Medical transaction could make us more vulnerable to general economic downturns and industry conditions, and place us at a competitive disadvantage relative to our competitors. In the event that we do not have adequate capital to maintain or develop our business and need to seek additional financing, additional capital may not be available to us on a timely basis, on favorable terms, or at all. Moreover, our Senior Secured Credit Facilities have certain restrictions that may limit how we operate our business, including our ability to engage in certain transactions and incur additional indebtedness, and our business may be materially and adversely affected if these restrictions prevent us from implementing our business plan. See “Business and Operating Risks - The agreements governing our debt contain a number of restrictive covenants which limit our flexibility in operating our business, finance future operations or pursue our business strategies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1" w:name="page42"/>
    <w:bookmarkEnd w:id="41"/>
    <w:p>
      <w:pPr>
        <w:ind w:right="280"/>
        <w:spacing w:after="0" w:line="272" w:lineRule="auto"/>
        <w:rPr>
          <w:sz w:val="20"/>
          <w:szCs w:val="20"/>
          <w:color w:val="auto"/>
        </w:rPr>
      </w:pPr>
      <w:r>
        <w:rPr>
          <w:rFonts w:ascii="Times New Roman" w:cs="Times New Roman" w:eastAsia="Times New Roman" w:hAnsi="Times New Roman"/>
          <w:sz w:val="17"/>
          <w:szCs w:val="17"/>
          <w:i w:val="1"/>
          <w:iCs w:val="1"/>
          <w:color w:val="auto"/>
        </w:rPr>
        <w:t>We have and may continue to acquire businesses, form strategic alliances or make investments in businesses or technologies. Such transactions or investments could result in unforeseen operating difficulties or expenditures and require significant management resources, charges or write-downs that could adversely impact our business and operating results.</w:t>
      </w:r>
    </w:p>
    <w:p>
      <w:pPr>
        <w:spacing w:after="0" w:line="190"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We have and may continue to seek to supplement our internal growth through acquisitions of complementary businesses, technologies, services, or products, as well as investments and strategic alliances.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Such transactions are inherently risky, and the integration of any newly-acquired business requires significant effort and management attention that otherwise would be available for ongoing development of our other businesses.</w:t>
      </w:r>
    </w:p>
    <w:p>
      <w:pPr>
        <w:spacing w:after="0" w:line="199"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The success of any acquisition, investment or alliance may be affected by a number of factors, including our ability to properly assess and value the potential business opportunity or to successfully integrate any business we may acquire into our existing business. Integration of an acquired business also may disrupt our ongoing operations and require management resources that we would otherwise focus on developing our existing business. For example, we acquired the HIS business in February 2017, which includes IV pumps, solutions, and devices in order to create a leading pure-play infusion therapy company, and we acquired Smiths Medical in January 2022, which includes syringe and ambulatory infusion devices, vascular access, and vital care products. We invested significant time and resources into the HIS integration in order to achieve the anticipated benefits of the transaction, and we are doing the same with the Smiths Medical integration.</w:t>
      </w:r>
    </w:p>
    <w:p>
      <w:pPr>
        <w:spacing w:after="0" w:line="205" w:lineRule="exact"/>
        <w:rPr>
          <w:sz w:val="20"/>
          <w:szCs w:val="20"/>
          <w:color w:val="auto"/>
        </w:rPr>
      </w:pPr>
    </w:p>
    <w:p>
      <w:pPr>
        <w:ind w:right="100" w:firstLine="619"/>
        <w:spacing w:after="0" w:line="263" w:lineRule="auto"/>
        <w:rPr>
          <w:sz w:val="20"/>
          <w:szCs w:val="20"/>
          <w:color w:val="auto"/>
        </w:rPr>
      </w:pPr>
      <w:r>
        <w:rPr>
          <w:rFonts w:ascii="Times New Roman" w:cs="Times New Roman" w:eastAsia="Times New Roman" w:hAnsi="Times New Roman"/>
          <w:sz w:val="17"/>
          <w:szCs w:val="17"/>
          <w:color w:val="auto"/>
        </w:rPr>
        <w:t>In addition, any acquisition could result in the incurrence of debt, contingent liabilities or future write-offs of intangible assets or goodwill, any of which could have a material adverse effect on our financial condition, results of operations</w:t>
      </w:r>
    </w:p>
    <w:p>
      <w:pPr>
        <w:spacing w:after="0" w:line="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7"/>
          <w:szCs w:val="17"/>
          <w:color w:val="auto"/>
        </w:rPr>
        <w:t>and cash flows. We may also experience losses related to investments in other companies, which could have an adverse effect on our results of operations and financial condition. As such, there can be no assurance that any past or future transactions or investments will be successful.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material properties used by us in connection with our corporate administrative operations, manufacturing, distribution, research and development and service centers as of December 31, 2022, are as follows: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07"/>
        </w:trPr>
        <w:tc>
          <w:tcPr>
            <w:tcW w:w="32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2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5"/>
                <w:szCs w:val="15"/>
                <w:b w:val="1"/>
                <w:bCs w:val="1"/>
                <w:color w:val="auto"/>
              </w:rPr>
              <w:t>Approximate Square Footage</w:t>
            </w:r>
          </w:p>
        </w:tc>
        <w:tc>
          <w:tcPr>
            <w:tcW w:w="33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5"/>
                <w:szCs w:val="15"/>
                <w:b w:val="1"/>
                <w:bCs w:val="1"/>
                <w:color w:val="auto"/>
              </w:rPr>
              <w:t>Primary Use</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Owned/Leased</w:t>
            </w:r>
          </w:p>
        </w:tc>
      </w:tr>
      <w:tr>
        <w:trPr>
          <w:trHeight w:val="202"/>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San Clemente, California, U.S.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39,000</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Corporate Headquarters and R&amp;D</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San Clemente, California,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28,108</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Corporate Headquarters</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San Diego, California, U.S.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44,779</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Corporate Offices and R&amp;D</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Lake Forest, Illinois,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137,498</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Corporate Offices</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Dublin, Ohio, U.S.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13,021</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Corporate Offices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Houten, Netherlands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7,341</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Corporate Offices</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Montreal, Canada</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16,414</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Corporate Offices/Device service center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Rydalmere, NSW Australia</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14,735</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Corporate Offices/Device service center</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Chennai, India</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36,879</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R&amp;D</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Plymouth, Minnesota,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99,977</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Corporate Offices</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Kent, United Kingdom</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35,759</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Corporate Offices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Ontario, Canada</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25,020</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Corporate Offices</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61"/>
        </w:trPr>
        <w:tc>
          <w:tcPr>
            <w:tcW w:w="3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3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Austin, Texas,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594,602</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Ensenada, Baja California, Mexico</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265,021</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La Aurora, Costa Rica</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626,869</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Salt Lake City, Utah, U.S.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450,000</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Manufacturing/Device Service Center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Dublin, Ohio,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117,212</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Gary, Indiana, U.S.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40,316</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Southington, Connecticut,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132,000</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Tijuana, Mexico (multiple locations)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243,935</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Hranice, Czech Republic</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106,735</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Latina, Italy</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62,400</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Manufacturing</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Keene, New Hampshire,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141,195</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Warehouse/Manufacturing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Oakdale, Minnesota, U.S.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93,648</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Warehouse/Manufacturing/Device Service Center</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Round Rock, Texas,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71,960</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Warehouse/Manufacturing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48"/>
        </w:trPr>
        <w:tc>
          <w:tcPr>
            <w:tcW w:w="3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Dallas, Texas,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610,806</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Distribution Warehouse</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King of Prussia, Pennsylvania, U.S.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105,571</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Distribution Warehouse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Santa Fe Springs, California,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76,794</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Distribution Warehouse</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Owned</w:t>
            </w:r>
          </w:p>
        </w:tc>
      </w:tr>
      <w:tr>
        <w:trPr>
          <w:trHeight w:val="20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Wijchen, Netherlands</w:t>
            </w:r>
          </w:p>
        </w:tc>
        <w:tc>
          <w:tcPr>
            <w:tcW w:w="25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149,565</w:t>
            </w:r>
          </w:p>
        </w:tc>
        <w:tc>
          <w:tcPr>
            <w:tcW w:w="3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Distribution Warehouse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0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Olive Branch, Mississippi, U.S.</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239,863</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Distribution Warehouse</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r>
        <w:trPr>
          <w:trHeight w:val="248"/>
        </w:trPr>
        <w:tc>
          <w:tcPr>
            <w:tcW w:w="3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01"/>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Sligo, Ireland</w:t>
            </w:r>
          </w:p>
        </w:tc>
        <w:tc>
          <w:tcPr>
            <w:tcW w:w="25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26,000</w:t>
            </w:r>
          </w:p>
        </w:tc>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Device service center</w:t>
            </w:r>
          </w:p>
        </w:tc>
        <w:tc>
          <w:tcPr>
            <w:tcW w:w="1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Leased</w:t>
            </w:r>
          </w:p>
        </w:tc>
      </w:tr>
    </w:tbl>
    <w:p>
      <w:pPr>
        <w:spacing w:after="0" w:line="311"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47" w:lineRule="exact"/>
        <w:rPr>
          <w:sz w:val="20"/>
          <w:szCs w:val="20"/>
          <w:color w:val="auto"/>
        </w:rPr>
      </w:pPr>
    </w:p>
    <w:p>
      <w:pPr>
        <w:ind w:firstLine="619"/>
        <w:spacing w:after="0" w:line="302" w:lineRule="auto"/>
        <w:rPr>
          <w:sz w:val="20"/>
          <w:szCs w:val="20"/>
          <w:color w:val="auto"/>
        </w:rPr>
      </w:pPr>
      <w:r>
        <w:rPr>
          <w:rFonts w:ascii="Times New Roman" w:cs="Times New Roman" w:eastAsia="Times New Roman" w:hAnsi="Times New Roman"/>
          <w:sz w:val="17"/>
          <w:szCs w:val="17"/>
          <w:color w:val="auto"/>
        </w:rPr>
        <w:t>Certain legal proceedings in which we are involved are discussed in Part II, Item 8. "Financial Statements and Supplementary Data" of this Annual Report on Form 10-K in Note 15. Commitments and Contingencies to the Consolidated Financial Statements,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3"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Information for Common Stock</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trades on the Nasdaq Global Select Market under the symbol “ICUI.”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21" w:lineRule="exact"/>
        <w:rPr>
          <w:sz w:val="20"/>
          <w:szCs w:val="20"/>
          <w:color w:val="auto"/>
        </w:rPr>
      </w:pPr>
    </w:p>
    <w:p>
      <w:pPr>
        <w:jc w:val="both"/>
        <w:ind w:right="140" w:firstLine="619"/>
        <w:spacing w:after="0" w:line="270" w:lineRule="auto"/>
        <w:rPr>
          <w:sz w:val="20"/>
          <w:szCs w:val="20"/>
          <w:color w:val="auto"/>
        </w:rPr>
      </w:pPr>
      <w:r>
        <w:rPr>
          <w:rFonts w:ascii="Times New Roman" w:cs="Times New Roman" w:eastAsia="Times New Roman" w:hAnsi="Times New Roman"/>
          <w:sz w:val="17"/>
          <w:szCs w:val="17"/>
          <w:color w:val="auto"/>
        </w:rPr>
        <w:t>We have never paid dividends and do not anticipate paying dividends in the foreseeable future as the Board of Directors intends to retain future earnings for use in our business to pay down our long-term debt or to purchase our shares. Any future determination as to payment of dividends or purchase of our shares will depend upon our financial condition, results of operations and such other factors as the Board of Directors deems relevant.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Stockholders</w:t>
      </w:r>
    </w:p>
    <w:p>
      <w:pPr>
        <w:spacing w:after="0" w:line="22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As of January 31, 2023, we had 45 stockholders of record. This does not include persons whose shares are held in nominee or “street name” accounts through brokers.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Securities authorized for issuance under equity compensation plans are discussed in Part III, Item 12 of this Annual Report on Form 10-K.</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Issuer Repurchase of Equity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our stock repurchasing activity during the fourth quarter of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30"/>
        </w:trPr>
        <w:tc>
          <w:tcPr>
            <w:tcW w:w="5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231"/>
              <w:spacing w:after="0" w:line="131" w:lineRule="exact"/>
              <w:rPr>
                <w:sz w:val="20"/>
                <w:szCs w:val="20"/>
                <w:color w:val="auto"/>
              </w:rPr>
            </w:pPr>
            <w:r>
              <w:rPr>
                <w:rFonts w:ascii="Times New Roman" w:cs="Times New Roman" w:eastAsia="Times New Roman" w:hAnsi="Times New Roman"/>
                <w:sz w:val="14"/>
                <w:szCs w:val="14"/>
                <w:b w:val="1"/>
                <w:bCs w:val="1"/>
                <w:color w:val="auto"/>
                <w:w w:val="96"/>
              </w:rPr>
              <w:t>purchased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64"/>
              <w:spacing w:after="0" w:line="131" w:lineRule="exact"/>
              <w:rPr>
                <w:sz w:val="20"/>
                <w:szCs w:val="20"/>
                <w:color w:val="auto"/>
              </w:rPr>
            </w:pPr>
            <w:r>
              <w:rPr>
                <w:rFonts w:ascii="Times New Roman" w:cs="Times New Roman" w:eastAsia="Times New Roman" w:hAnsi="Times New Roman"/>
                <w:sz w:val="14"/>
                <w:szCs w:val="14"/>
                <w:b w:val="1"/>
                <w:bCs w:val="1"/>
                <w:color w:val="auto"/>
                <w:w w:val="97"/>
              </w:rPr>
              <w:t>dollar value that</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ind w:left="247"/>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2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as part of a</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64"/>
              <w:spacing w:after="0" w:line="142" w:lineRule="exact"/>
              <w:rPr>
                <w:sz w:val="20"/>
                <w:szCs w:val="20"/>
                <w:color w:val="auto"/>
              </w:rPr>
            </w:pPr>
            <w:r>
              <w:rPr>
                <w:rFonts w:ascii="Times New Roman" w:cs="Times New Roman" w:eastAsia="Times New Roman" w:hAnsi="Times New Roman"/>
                <w:sz w:val="14"/>
                <w:szCs w:val="14"/>
                <w:b w:val="1"/>
                <w:bCs w:val="1"/>
                <w:color w:val="auto"/>
                <w:w w:val="99"/>
              </w:rPr>
              <w:t>may yet be</w:t>
            </w:r>
          </w:p>
        </w:tc>
        <w:tc>
          <w:tcPr>
            <w:tcW w:w="0" w:type="dxa"/>
            <w:vAlign w:val="bottom"/>
          </w:tcPr>
          <w:p>
            <w:pPr>
              <w:spacing w:after="0"/>
              <w:rPr>
                <w:sz w:val="1"/>
                <w:szCs w:val="1"/>
                <w:color w:val="auto"/>
              </w:rPr>
            </w:pPr>
          </w:p>
        </w:tc>
      </w:tr>
      <w:tr>
        <w:trPr>
          <w:trHeight w:val="140"/>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231"/>
              <w:spacing w:after="0" w:line="141"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64"/>
              <w:spacing w:after="0" w:line="141" w:lineRule="exact"/>
              <w:rPr>
                <w:sz w:val="20"/>
                <w:szCs w:val="20"/>
                <w:color w:val="auto"/>
              </w:rPr>
            </w:pPr>
            <w:r>
              <w:rPr>
                <w:rFonts w:ascii="Times New Roman" w:cs="Times New Roman" w:eastAsia="Times New Roman" w:hAnsi="Times New Roman"/>
                <w:sz w:val="14"/>
                <w:szCs w:val="14"/>
                <w:b w:val="1"/>
                <w:bCs w:val="1"/>
                <w:color w:val="auto"/>
                <w:w w:val="96"/>
              </w:rPr>
              <w:t>purchased</w:t>
            </w:r>
          </w:p>
        </w:tc>
        <w:tc>
          <w:tcPr>
            <w:tcW w:w="0" w:type="dxa"/>
            <w:vAlign w:val="bottom"/>
          </w:tcPr>
          <w:p>
            <w:pPr>
              <w:spacing w:after="0"/>
              <w:rPr>
                <w:sz w:val="1"/>
                <w:szCs w:val="1"/>
                <w:color w:val="auto"/>
              </w:rPr>
            </w:pPr>
          </w:p>
        </w:tc>
      </w:tr>
      <w:tr>
        <w:trPr>
          <w:trHeight w:val="142"/>
        </w:trPr>
        <w:tc>
          <w:tcPr>
            <w:tcW w:w="5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247"/>
              <w:spacing w:after="0" w:line="142"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231"/>
              <w:spacing w:after="0" w:line="142" w:lineRule="exact"/>
              <w:rPr>
                <w:sz w:val="20"/>
                <w:szCs w:val="20"/>
                <w:color w:val="auto"/>
              </w:rPr>
            </w:pPr>
            <w:r>
              <w:rPr>
                <w:rFonts w:ascii="Times New Roman" w:cs="Times New Roman" w:eastAsia="Times New Roman" w:hAnsi="Times New Roman"/>
                <w:sz w:val="14"/>
                <w:szCs w:val="14"/>
                <w:b w:val="1"/>
                <w:bCs w:val="1"/>
                <w:color w:val="auto"/>
                <w:w w:val="97"/>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64"/>
              <w:spacing w:after="0" w:line="142" w:lineRule="exact"/>
              <w:rPr>
                <w:sz w:val="20"/>
                <w:szCs w:val="20"/>
                <w:color w:val="auto"/>
              </w:rPr>
            </w:pPr>
            <w:r>
              <w:rPr>
                <w:rFonts w:ascii="Times New Roman" w:cs="Times New Roman" w:eastAsia="Times New Roman" w:hAnsi="Times New Roman"/>
                <w:sz w:val="14"/>
                <w:szCs w:val="14"/>
                <w:b w:val="1"/>
                <w:bCs w:val="1"/>
                <w:color w:val="auto"/>
                <w:w w:val="96"/>
              </w:rPr>
              <w:t>under the</w:t>
            </w:r>
          </w:p>
        </w:tc>
        <w:tc>
          <w:tcPr>
            <w:tcW w:w="0" w:type="dxa"/>
            <w:vAlign w:val="bottom"/>
          </w:tcPr>
          <w:p>
            <w:pPr>
              <w:spacing w:after="0"/>
              <w:rPr>
                <w:sz w:val="1"/>
                <w:szCs w:val="1"/>
                <w:color w:val="auto"/>
              </w:rPr>
            </w:pPr>
          </w:p>
        </w:tc>
      </w:tr>
      <w:tr>
        <w:trPr>
          <w:trHeight w:val="193"/>
        </w:trPr>
        <w:tc>
          <w:tcPr>
            <w:tcW w:w="5460" w:type="dxa"/>
            <w:vAlign w:val="bottom"/>
            <w:gridSpan w:val="2"/>
            <w:vMerge w:val="continue"/>
          </w:tcPr>
          <w:p>
            <w:pPr>
              <w:spacing w:after="0"/>
              <w:rPr>
                <w:sz w:val="16"/>
                <w:szCs w:val="16"/>
                <w:color w:val="auto"/>
              </w:rPr>
            </w:pPr>
          </w:p>
        </w:tc>
        <w:tc>
          <w:tcPr>
            <w:tcW w:w="106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6"/>
              </w:rPr>
              <w:t>purchased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47"/>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8"/>
              </w:rPr>
              <w:t>program</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84"/>
              <w:spacing w:after="0" w:line="194" w:lineRule="exact"/>
              <w:rPr>
                <w:sz w:val="20"/>
                <w:szCs w:val="20"/>
                <w:color w:val="auto"/>
              </w:rPr>
            </w:pPr>
            <w:r>
              <w:rPr>
                <w:rFonts w:ascii="Times New Roman" w:cs="Times New Roman" w:eastAsia="Times New Roman" w:hAnsi="Times New Roman"/>
                <w:sz w:val="14"/>
                <w:szCs w:val="14"/>
                <w:b w:val="1"/>
                <w:bCs w:val="1"/>
                <w:color w:val="auto"/>
                <w:w w:val="93"/>
              </w:rPr>
              <w:t>program</w:t>
            </w:r>
            <w:r>
              <w:rPr>
                <w:rFonts w:ascii="Times New Roman" w:cs="Times New Roman" w:eastAsia="Times New Roman" w:hAnsi="Times New Roman"/>
                <w:sz w:val="17"/>
                <w:szCs w:val="17"/>
                <w:b w:val="1"/>
                <w:bCs w:val="1"/>
                <w:color w:val="auto"/>
                <w:w w:val="93"/>
                <w:vertAlign w:val="superscript"/>
              </w:rPr>
              <w:t>(1)</w:t>
            </w:r>
          </w:p>
        </w:tc>
        <w:tc>
          <w:tcPr>
            <w:tcW w:w="0" w:type="dxa"/>
            <w:vAlign w:val="bottom"/>
          </w:tcPr>
          <w:p>
            <w:pPr>
              <w:spacing w:after="0"/>
              <w:rPr>
                <w:sz w:val="1"/>
                <w:szCs w:val="1"/>
                <w:color w:val="auto"/>
              </w:rPr>
            </w:pPr>
          </w:p>
        </w:tc>
      </w:tr>
      <w:tr>
        <w:trPr>
          <w:trHeight w:val="212"/>
        </w:trPr>
        <w:tc>
          <w:tcPr>
            <w:tcW w:w="5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10/01/2022 - 10/31/2022</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11/01/2022 - 11/30/2022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887"/>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12/01/2022 - 12/31/2022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88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2"/>
        </w:trPr>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Fourth quarter 2022 total</w:t>
            </w:r>
          </w:p>
        </w:tc>
        <w:tc>
          <w:tcPr>
            <w:tcW w:w="106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887"/>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____________________________</w:t>
            </w: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right="100" w:hanging="317"/>
        <w:spacing w:after="0"/>
        <w:tabs>
          <w:tab w:leader="none" w:pos="23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depending on a variety of factors, including our financial position, earnings, share price, capital requirements, other investment opportunities (including mergers and acquisitions and related financings), market conditions and other factors. Purchases made under our stock purchase program can be discontinued at any time we determine additional purchases are not warranted.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 w:name="page45"/>
    <w:bookmarkEnd w:id="44"/>
    <w:p>
      <w:pPr>
        <w:jc w:val="center"/>
        <w:ind w:right="300"/>
        <w:spacing w:after="0" w:line="264" w:lineRule="auto"/>
        <w:rPr>
          <w:sz w:val="20"/>
          <w:szCs w:val="20"/>
          <w:color w:val="auto"/>
        </w:rPr>
      </w:pPr>
      <w:r>
        <w:rPr>
          <w:rFonts w:ascii="Times New Roman" w:cs="Times New Roman" w:eastAsia="Times New Roman" w:hAnsi="Times New Roman"/>
          <w:sz w:val="15"/>
          <w:szCs w:val="15"/>
          <w:color w:val="auto"/>
        </w:rPr>
        <w:t>COMPARISON OF CUMULATIVE TOTAL RETURN FROM DECEMBER 31, 2017 TO DECEMBER 31, 2022 OF ICU MEDICAL, INC., NASDAQ AND NASDAQ MEDICAL SUPPLIES INDEX</w:t>
      </w:r>
    </w:p>
    <w:p>
      <w:pPr>
        <w:spacing w:after="0" w:line="1" w:lineRule="exact"/>
        <w:rPr>
          <w:sz w:val="20"/>
          <w:szCs w:val="20"/>
          <w:color w:val="auto"/>
        </w:rPr>
      </w:pPr>
    </w:p>
    <w:p>
      <w:pPr>
        <w:ind w:right="200" w:firstLine="619"/>
        <w:spacing w:after="0" w:line="280" w:lineRule="auto"/>
        <w:rPr>
          <w:sz w:val="20"/>
          <w:szCs w:val="20"/>
          <w:color w:val="auto"/>
        </w:rPr>
      </w:pPr>
      <w:r>
        <w:rPr>
          <w:rFonts w:ascii="Times New Roman" w:cs="Times New Roman" w:eastAsia="Times New Roman" w:hAnsi="Times New Roman"/>
          <w:sz w:val="15"/>
          <w:szCs w:val="15"/>
          <w:color w:val="auto"/>
        </w:rPr>
        <w:t>The following graph shows the total stockholder return on our common stock based on the market price of the common stock from December 31, 2017 to December 31, 2022 and the total returns of the NASDAQ U.S. Index and NASDAQ Medical Supplies Index for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132715</wp:posOffset>
            </wp:positionV>
            <wp:extent cx="5001895" cy="2807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01895" cy="280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12/31/2017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12/31/2018</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12/31/2019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12/31/2020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12/31/2021</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12/31/2022</w:t>
            </w:r>
          </w:p>
        </w:tc>
      </w:tr>
      <w:tr>
        <w:trPr>
          <w:trHeight w:val="21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ICU Medical, Inc.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72.91</w:t>
            </w: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 U.S. Index</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94.56</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189.36</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152.00</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Nasdaq Medical Supplies Index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141.34</w:t>
            </w:r>
          </w:p>
        </w:tc>
      </w:tr>
    </w:tbl>
    <w:p>
      <w:pPr>
        <w:spacing w:after="0" w:line="306"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Assumes $100 invested on December 31, 2017 in ICU Medical Inc.’s common stock, the NASDAQ U.S. Index and the NASDAQ Medical Supplies Index and that all dividends, if any, were reinvested.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43" w:lineRule="exact"/>
        <w:rPr>
          <w:sz w:val="20"/>
          <w:szCs w:val="20"/>
          <w:color w:val="auto"/>
        </w:rPr>
      </w:pPr>
    </w:p>
    <w:p>
      <w:pPr>
        <w:ind w:right="12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notes thereto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 and Highlights</w:t>
      </w:r>
    </w:p>
    <w:p>
      <w:pPr>
        <w:spacing w:after="0" w:line="247" w:lineRule="exact"/>
        <w:rPr>
          <w:sz w:val="20"/>
          <w:szCs w:val="20"/>
          <w:color w:val="auto"/>
        </w:rPr>
      </w:pPr>
    </w:p>
    <w:p>
      <w:pPr>
        <w:jc w:val="both"/>
        <w:ind w:right="80" w:firstLine="619"/>
        <w:spacing w:after="0" w:line="264" w:lineRule="auto"/>
        <w:rPr>
          <w:sz w:val="20"/>
          <w:szCs w:val="20"/>
          <w:color w:val="auto"/>
        </w:rPr>
      </w:pPr>
      <w:r>
        <w:rPr>
          <w:rFonts w:ascii="Times New Roman" w:cs="Times New Roman" w:eastAsia="Times New Roman" w:hAnsi="Times New Roman"/>
          <w:sz w:val="17"/>
          <w:szCs w:val="17"/>
          <w:color w:val="auto"/>
        </w:rPr>
        <w:t>We develop, manufacture, and sell infusion systems, infusion consumables and high-value critical care products used in hospital, alternate site and home care settings. Our team is focused on providing quality, innovation and value to our clinical customers worldwide. Our product portfolio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5" w:name="page46"/>
    <w:bookmarkEnd w:id="45"/>
    <w:p>
      <w:pPr>
        <w:spacing w:after="0" w:line="270" w:lineRule="auto"/>
        <w:rPr>
          <w:sz w:val="20"/>
          <w:szCs w:val="20"/>
          <w:color w:val="auto"/>
        </w:rPr>
      </w:pPr>
      <w:r>
        <w:rPr>
          <w:rFonts w:ascii="Times New Roman" w:cs="Times New Roman" w:eastAsia="Times New Roman" w:hAnsi="Times New Roman"/>
          <w:sz w:val="17"/>
          <w:szCs w:val="17"/>
          <w:color w:val="auto"/>
        </w:rPr>
        <w:t>transfer devices for preparing and administering hazardous IV drugs and cardiac monitoring systems for critically ill patients. With the recent acquisition of Smiths Medical, our product portfolio expanded to include, among other products, syringe and ambulatory pumps, peripheral IV catheters, fluid warming and respiratory devices and silicone and PVC tracheotomy tubes.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Smiths Medical 2020 Limited</w:t>
      </w:r>
    </w:p>
    <w:p>
      <w:pPr>
        <w:spacing w:after="0" w:line="24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On January 6, 2022, we acquired Smiths Medical, the holding company of Smiths Group plc's global medical device business for a purchase price of $1.9 billion in cash, 2.5 million of fully paid and non-assessable shares of our common stock, par value $0.10 per share and a potential contingent earn-out payment of $100.0 million in cash, based on our common stock performance and other considerations. Results of operations of acquired companies are included in our consolidated financial results from the date of acquisition.</w:t>
      </w:r>
    </w:p>
    <w:p>
      <w:pPr>
        <w:spacing w:after="0" w:line="197"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To partially finance the acquisition, we entered into the Credit Agreement, dated as of January 6, 2022 (the "Credit Agreement") with Wells Fargo Bank and other financial institutions as lenders. The Credit Agreement provides for $2.2 billion of senior secured credit facilities, including a five-year term loan A facility of $850.0 million, a seven-year term loan B facility of $850.0 million and a five-year revolving credit facility of $500.0 million collectively (the "Senior Secured Credit Facilities"). See "Liquidity and Capital Resources" in the remainder of this item and Note 11 in our accompanying consolidated financial statements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COVID-19 Pandemic and other Global Geopolitical Events</w:t>
      </w:r>
    </w:p>
    <w:p>
      <w:pPr>
        <w:spacing w:after="0" w:line="24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Our business operations have been, and we expect will continue to be, impacted by the novel coronavirus and its variants ("COVID-19"), which has caused lower hospital admissions and medical procedure volumes and by the continuing conflict between Russia and Ukraine. These events have resulted in global economic challenges, and impacts to us and our business, such as rising inflation, especially with respect to freight costs driven by the higher fuel prices, increased cost of raw materials as well as shortages, and supply chain disruptions which have negatively impacted our gross profit margin during 2022. The rising interest rates and foreign currency impact due to the strengthening of the U.S. dollar have also impacted our results of operations during 2022.</w:t>
      </w:r>
    </w:p>
    <w:p>
      <w:pPr>
        <w:spacing w:after="0" w:line="200"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While we continually monitor the ongoing and evolving impact of the above events on our operations the overall impact remains uncertain and may not be fully reflected until future periods. The overall impact to our results of operations will depend on factors such as the duration and extent of the impact from the COVID-19 pandemic, the conflict in the Ukraine and the related global economic challenges, none of which can be fully predicted at this time. See “Part I. Item 1A. Risk Factors” for a discussion of risks and uncertainties.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47"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We present our consolidated statements of operations for each of the three years ended December 31, 2022, 2021 and 2020 in Item 8. Financial Statements and Supplementary Data. The following table shows, for each of the three most recent years, the respective percentages of items in our statements of operations in relation to total revenues: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6" w:name="page47"/>
    <w:bookmarkEnd w:id="46"/>
    <w:p>
      <w:pPr>
        <w:ind w:left="8140"/>
        <w:spacing w:after="0"/>
        <w:rPr>
          <w:sz w:val="20"/>
          <w:szCs w:val="20"/>
          <w:color w:val="auto"/>
        </w:rPr>
      </w:pPr>
      <w:r>
        <w:rPr>
          <w:rFonts w:ascii="Times New Roman" w:cs="Times New Roman" w:eastAsia="Times New Roman" w:hAnsi="Times New Roman"/>
          <w:sz w:val="15"/>
          <w:szCs w:val="15"/>
          <w:b w:val="1"/>
          <w:bCs w:val="1"/>
          <w:color w:val="auto"/>
        </w:rPr>
        <w:t>Percentage of Revenues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1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19"/>
        </w:trPr>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19"/>
        </w:trPr>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19"/>
        </w:trPr>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strategic transaction and integration expenses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19"/>
        </w:trPr>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9"/>
        </w:trPr>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 settlement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1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1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2"/>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0"/>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revenues were $2.3 billion, $1.3 billion and $1.3 billion for 2022, 2021 and 2020, respectively.</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for the periods indicated, total revenue by product line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Product line</w:t>
            </w:r>
          </w:p>
        </w:tc>
        <w:tc>
          <w:tcPr>
            <w:tcW w:w="3420" w:type="dxa"/>
            <w:vAlign w:val="bottom"/>
            <w:tcBorders>
              <w:bottom w:val="single" w:sz="8" w:color="auto"/>
            </w:tcBorders>
            <w:gridSpan w:val="5"/>
          </w:tcPr>
          <w:p>
            <w:pPr>
              <w:ind w:left="14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2"/>
            <w:vMerge w:val="continue"/>
          </w:tcPr>
          <w:p>
            <w:pPr>
              <w:spacing w:after="0"/>
              <w:rPr>
                <w:sz w:val="17"/>
                <w:szCs w:val="17"/>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212"/>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Infusion Consumables</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1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Infusion Systems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IV Solutions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1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Critical Care</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Infusion Systems-Smiths Medical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Vascular Access-Smiths Medical</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19"/>
                <w:szCs w:val="19"/>
                <w:color w:val="auto"/>
              </w:rPr>
            </w:pPr>
          </w:p>
        </w:tc>
        <w:tc>
          <w:tcPr>
            <w:tcW w:w="1860" w:type="dxa"/>
            <w:vAlign w:val="bottom"/>
            <w:gridSpan w:val="3"/>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Vital Care-Smiths Medical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We manage our product distribution through a network of owned and leased distribution facilities in combination with independent distributors and third-party fulfillment and logistics providers. Our end customers, which include healthcare providers and original equipment manufacturer suppliers, may order and receive our products directly from us or through an independent full-line distributor.</w:t>
      </w:r>
    </w:p>
    <w:p>
      <w:pPr>
        <w:spacing w:after="0" w:line="191"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In the U.S. 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Seasonality/Quarterly Results</w:t>
      </w:r>
    </w:p>
    <w:p>
      <w:pPr>
        <w:spacing w:after="0" w:line="210" w:lineRule="exact"/>
        <w:rPr>
          <w:sz w:val="20"/>
          <w:szCs w:val="20"/>
          <w:color w:val="auto"/>
        </w:rPr>
      </w:pPr>
    </w:p>
    <w:p>
      <w:pPr>
        <w:ind w:right="180" w:firstLine="619"/>
        <w:spacing w:after="0" w:line="243" w:lineRule="auto"/>
        <w:rPr>
          <w:sz w:val="20"/>
          <w:szCs w:val="20"/>
          <w:color w:val="auto"/>
        </w:rPr>
      </w:pPr>
      <w:r>
        <w:rPr>
          <w:rFonts w:ascii="Times New Roman" w:cs="Times New Roman" w:eastAsia="Times New Roman" w:hAnsi="Times New Roman"/>
          <w:sz w:val="17"/>
          <w:szCs w:val="17"/>
          <w:color w:val="auto"/>
        </w:rPr>
        <w:t>There are no significant seasonal aspects to our business. We can experience fluctuations in net sales as a result of variations in the ordering patterns of our largest customers, which may be driven more by COVID-19 pandemic surges and its impact on hospital admissions and procedure volumes along with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Measures</w:t>
      </w:r>
    </w:p>
    <w:p>
      <w:pPr>
        <w:spacing w:after="0" w:line="339"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In addition to comparing changes in revenue on a U.S. GAAP basis, we also compare the changes in revenue from one period to another using constant currency. The presentation of revenues on a constant currency basis is a non-GAAP financial</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47" w:name="page48"/>
    <w:bookmarkEnd w:id="47"/>
    <w:p>
      <w:pPr>
        <w:ind w:right="20"/>
        <w:spacing w:after="0" w:line="258" w:lineRule="auto"/>
        <w:rPr>
          <w:sz w:val="20"/>
          <w:szCs w:val="20"/>
          <w:color w:val="auto"/>
        </w:rPr>
      </w:pPr>
      <w:r>
        <w:rPr>
          <w:rFonts w:ascii="Times New Roman" w:cs="Times New Roman" w:eastAsia="Times New Roman" w:hAnsi="Times New Roman"/>
          <w:sz w:val="17"/>
          <w:szCs w:val="17"/>
          <w:color w:val="auto"/>
        </w:rPr>
        <w:t>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year local currency revenues at prior year's average exchange rates. We consistently apply this approach to revenues for all currencies where the functional currency is not the U.S. dollar. These results should be considered in addition to, not as a substitute for, results reported in accordance with GAAP. Revenues on a constant currency basis, as we present them, may not be comparable to similarly titled measures used by other companies and are not measures of performance presented in accordance with GAAP.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Consumables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total Infusion Consumables revenue (in millions, except percentages):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6"/>
          </w:tcPr>
          <w:p>
            <w:pPr>
              <w:jc w:val="center"/>
              <w:ind w:left="4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40" w:type="dxa"/>
            <w:vAlign w:val="bottom"/>
            <w:gridSpan w:val="3"/>
          </w:tcPr>
          <w:p>
            <w:pPr>
              <w:jc w:val="right"/>
              <w:ind w:right="47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80" w:type="dxa"/>
            <w:vAlign w:val="bottom"/>
          </w:tcPr>
          <w:p>
            <w:pPr>
              <w:jc w:val="right"/>
              <w:ind w:right="218"/>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7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Infusion Consumables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11.4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81.5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r>
    </w:tbl>
    <w:p>
      <w:pPr>
        <w:spacing w:after="0" w:line="293"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Infusion Consumables revenue increased in 2022, as compared to 2021, due to increased customer demand in our global core infusion, global oncology and renal products. On a constant currency basis, Infusion Consumables revenue would have been $582.1 million, an increase of $26.9 million or 4.9% as compared to 2021.</w:t>
      </w:r>
    </w:p>
    <w:p>
      <w:pPr>
        <w:spacing w:after="0" w:line="191"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Infusion Consumables revenue increased in 2021, as compared to 2020. The increase was due to lower hospital census in 2020 driven by the onset of the COVID-19 pandemic, growth in our global oncology, U.S. core infusion and renal products and the impact from foreign exchange. On a constant currency basis, Infusion Consumables revenue would have been $546.3 million, an increase of $72.6 million or 15.3%, as compared to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total Infusion Systems revenue (in millions, except percentages):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6"/>
          </w:tcPr>
          <w:p>
            <w:pPr>
              <w:jc w:val="center"/>
              <w:ind w:left="4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00" w:type="dxa"/>
            <w:vAlign w:val="bottom"/>
          </w:tcPr>
          <w:p>
            <w:pPr>
              <w:spacing w:after="0"/>
              <w:rPr>
                <w:sz w:val="17"/>
                <w:szCs w:val="17"/>
                <w:color w:val="auto"/>
              </w:rPr>
            </w:pPr>
          </w:p>
        </w:tc>
        <w:tc>
          <w:tcPr>
            <w:tcW w:w="1060" w:type="dxa"/>
            <w:vAlign w:val="bottom"/>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7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Infusion Systems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c>
          <w:tcPr>
            <w:tcW w:w="10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(7.4)</w:t>
            </w:r>
          </w:p>
        </w:tc>
        <w:tc>
          <w:tcPr>
            <w:tcW w:w="10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(2.1)%</w:t>
            </w:r>
          </w:p>
        </w:tc>
      </w:tr>
    </w:tbl>
    <w:p>
      <w:pPr>
        <w:spacing w:after="0" w:line="267"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Infusion Systems revenue decreased in 2022, as compared to 2021, due to the impact of foreign currency. On a constant currency basis, Infusion Systems revenue would have been $363.7 million, an increase of $11.4 million or 3.2%, as compared to 2021 driven by higher large volume pump ("LVP") dedicated set sales from the larger install base of LVPs and software sales.</w:t>
      </w:r>
    </w:p>
    <w:p>
      <w:pPr>
        <w:spacing w:after="0" w:line="21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Infusion Systems revenue decreased in 2021, as compared to 2020. The decrease was primarily due to large volume pump sales driven by higher COVID-19-related purchases during the second and third quarters of 2020 and a decline in sales of our non-large volume pump business, which has been partially offset by higher dedicated set sales in 2021 as a result of higher hospital census and larger install base of large volume pump from new customer installations. On a constant currency basis, Infusion Systems revenue in 2021 would have been $351.4 million, a decrease of $8.3 million or 2.3%, as compared to 2020.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IV Solutions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total IV Solutions revenue (in millions, except percentages):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6"/>
          </w:tcPr>
          <w:p>
            <w:pPr>
              <w:jc w:val="center"/>
              <w:ind w:left="4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8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8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IV Solutions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w:t>
            </w:r>
          </w:p>
        </w:tc>
        <w:tc>
          <w:tcPr>
            <w:tcW w:w="10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(29.5)</w:t>
            </w:r>
          </w:p>
        </w:tc>
        <w:tc>
          <w:tcPr>
            <w:tcW w:w="10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8" w:name="page49"/>
    <w:bookmarkEnd w:id="48"/>
    <w:p>
      <w:pPr>
        <w:ind w:left="620"/>
        <w:spacing w:after="0"/>
        <w:rPr>
          <w:sz w:val="20"/>
          <w:szCs w:val="20"/>
          <w:color w:val="auto"/>
        </w:rPr>
      </w:pPr>
      <w:r>
        <w:rPr>
          <w:rFonts w:ascii="Times New Roman" w:cs="Times New Roman" w:eastAsia="Times New Roman" w:hAnsi="Times New Roman"/>
          <w:sz w:val="17"/>
          <w:szCs w:val="17"/>
          <w:color w:val="auto"/>
        </w:rPr>
        <w:t>IV Solutions sales increased in 2022, as compared to 2021, primarily due to an increase in contract manufacturing sales to Pfizer.</w:t>
      </w:r>
    </w:p>
    <w:p>
      <w:pPr>
        <w:spacing w:after="0" w:line="243"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IV Solutions sales decreased in 2021, as compared to 2020, primarily due to lower contract manufacturing sales to Pfizer and lower production volumes due to supply constraints in the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Care</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total Critical Care revenue (in millions, except percentages):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gridSpan w:val="6"/>
          </w:tcPr>
          <w:p>
            <w:pPr>
              <w:jc w:val="center"/>
              <w:ind w:left="18"/>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40" w:type="dxa"/>
            <w:vAlign w:val="bottom"/>
            <w:gridSpan w:val="3"/>
          </w:tcPr>
          <w:p>
            <w:pPr>
              <w:jc w:val="right"/>
              <w:ind w:right="47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80" w:type="dxa"/>
            <w:vAlign w:val="bottom"/>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80" w:type="dxa"/>
            <w:vAlign w:val="bottom"/>
          </w:tcPr>
          <w:p>
            <w:pPr>
              <w:jc w:val="right"/>
              <w:ind w:right="218"/>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6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2"/>
          </w:tcPr>
          <w:p>
            <w:pPr>
              <w:jc w:val="right"/>
              <w:ind w:right="658"/>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Critical Care</w:t>
            </w: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Critical Care revenue decreased slightly in 2022, as compared to 2021.</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Critical Care revenue increased for 2021, as compared to 2020 due primarily to higher U.S. hospital census as a result of the COVID-19 pandemic.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Systems-Smiths Medical</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total Infusion Systems-Smiths Medical revenue (in millions, except percentages):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2020</w:t>
            </w: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00" w:type="dxa"/>
            <w:vAlign w:val="bottom"/>
          </w:tcPr>
          <w:p>
            <w:pPr>
              <w:spacing w:after="0"/>
              <w:rPr>
                <w:sz w:val="17"/>
                <w:szCs w:val="17"/>
                <w:color w:val="auto"/>
              </w:rPr>
            </w:pPr>
          </w:p>
        </w:tc>
        <w:tc>
          <w:tcPr>
            <w:tcW w:w="234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Infusion Systems-Smiths Medical</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340.1</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r>
    </w:tbl>
    <w:p>
      <w:pPr>
        <w:spacing w:after="0" w:line="151"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Infusion Systems-Smiths Medical revenue is a result of the acquisition of Smiths Medical. The year-to-date amount in the table above represents approximately twelve months of revenue from the closing date of the transaction to the end of the year ended December 31, 2022. Revenues in the current period is lower than historical results due to lower demand and operational challenges caused by supply chain and fulfillment constraints.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Vascular Access-Smiths Medical</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total Vascular Access-Smiths Medical revenue (in millions, except percentages):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2020</w:t>
            </w: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00" w:type="dxa"/>
            <w:vAlign w:val="bottom"/>
          </w:tcPr>
          <w:p>
            <w:pPr>
              <w:spacing w:after="0"/>
              <w:rPr>
                <w:sz w:val="17"/>
                <w:szCs w:val="17"/>
                <w:color w:val="auto"/>
              </w:rPr>
            </w:pPr>
          </w:p>
        </w:tc>
        <w:tc>
          <w:tcPr>
            <w:tcW w:w="234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Vascular Access-Smiths Medical</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326.8</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r>
    </w:tbl>
    <w:p>
      <w:pPr>
        <w:spacing w:after="0" w:line="306"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Vascular Access-Smiths Medical revenue is a result of the acquisition of Smiths Medical. The year-to-date amount in the table above represents approximately twelve months of revenue from the closing date of the transaction to the end of the year ended December 31, 2022. Revenues in the current period is lower than historical results due to lower demand and operational challenges caused by supply chain and fulfillment constraints.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Care-Smiths Medical</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total Vital Care-Smiths Medical revenue (in millions, except percentages):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2020</w:t>
            </w: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00" w:type="dxa"/>
            <w:vAlign w:val="bottom"/>
          </w:tcPr>
          <w:p>
            <w:pPr>
              <w:spacing w:after="0"/>
              <w:rPr>
                <w:sz w:val="17"/>
                <w:szCs w:val="17"/>
                <w:color w:val="auto"/>
              </w:rPr>
            </w:pPr>
          </w:p>
        </w:tc>
        <w:tc>
          <w:tcPr>
            <w:tcW w:w="234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Vital Care-Smiths Medical</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284.6</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nm</w:t>
            </w:r>
          </w:p>
        </w:tc>
      </w:tr>
    </w:tbl>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49" w:name="page50"/>
    <w:bookmarkEnd w:id="49"/>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The Vital Care-Smiths Medical revenue is a result of the acquisition of Smiths Medical. The year-to-date amount in the table above represents approximately twelve months of revenue from the closing date of the transaction to the end of the current year ended December 31, 2022. Revenues in the current period is lower than historical results due to lower demand and operational challenges caused by supply chain and fulfillment constraints.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Gross margins were 30.6%, 37.3% and 36.3% for 2022, 2021 and 2020, respectively.</w:t>
      </w:r>
    </w:p>
    <w:p>
      <w:pPr>
        <w:spacing w:after="0" w:line="243"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The decrease in gross margin in 2022, as compared to 2021 was primarily driven by the acquisition of Smiths Medical, inflationary cost increases in our supply chain, and lower manufacturing absorption due to supply chain disruptions. Smiths Medical gross margins are lower than historical ICU margins for the current year primarily due to spending on quality systems and product-related remediation, the cost recognition of the purchase accounting write-up of inventory and freight costs. The inflationary cost increases during 2022 caused by COVID-19 and the war in the Ukraine notably impacted our freight rates as well as, labor and materials costs. Partially offsetting the decrease to gross margin in the current period was the impact from increased sales of higher margin consumables products.</w:t>
      </w:r>
    </w:p>
    <w:p>
      <w:pPr>
        <w:spacing w:after="0" w:line="199"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increase in gross margin in 2021, as compared to 2020 was primarily due to product mix and increased plant volumes, partially offset by increased costs for raw materials, direct labor and freight.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SG&amp;A expenses (in millions, except percentages):</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6"/>
          </w:tcPr>
          <w:p>
            <w:pPr>
              <w:jc w:val="center"/>
              <w:ind w:left="4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60" w:type="dxa"/>
            <w:vAlign w:val="bottom"/>
            <w:gridSpan w:val="3"/>
          </w:tcPr>
          <w:p>
            <w:pPr>
              <w:jc w:val="right"/>
              <w:ind w:right="47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4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2"/>
          </w:tcPr>
          <w:p>
            <w:pPr>
              <w:jc w:val="right"/>
              <w:ind w:right="638"/>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305.7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18.6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r>
    </w:tbl>
    <w:p>
      <w:pPr>
        <w:spacing w:after="0" w:line="29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Consolidated SG&amp;A expenses increased in 2022, as compared to 2021. In 2022, SG&amp;A increased $296.6 million due to the impact of the Smiths Medical acquisition, which included $103.8 million of salaries and benefits, $116.8 million of depreciation and amortization expense and $19.7 million of IT and business support services. The remainder of the increase in SG&amp;A was attributable mostly due to higher selling expense due to revenue growth and the impact of inflation.</w:t>
      </w:r>
    </w:p>
    <w:p>
      <w:pPr>
        <w:spacing w:after="0" w:line="191"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Consolidated SG&amp;A expenses increased in 2021, as compared to 2020. Compensation expense increased $7.9 million, dealer fees increased $5.7 million, stock compensation increased $2.9 million, legal expenses increased $2.3 million and computer expenses increased $1.5 million. Offsetting these increases was a $2.3 million decrease in bad debt expense and $1.6 million decrease in commissions. Compensation expense increased primarily due to increased headcount and annual compensation merit increases. Dealer fees increased due to an increase in revenue from U.S. distributors in the current year. Stock compensation increased due to a change during the current year in the number of performance shares expected to vest. Legal fees increased due to additional services performed in the current year related to various legal matters. Computer expenses increased due to increased maintenance costs as well as increased hardware, software and software subscriptions based on operational needs. Bad debt expense is adjusted quarterly, if deemed necessary, based on an assessment of our accounts receivables and our expectations regarding the collectability of those accounts. Commissions decreased due to the commission plan structure in the prior year, which included certain guaranteed payments.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("R&amp;D") Expenses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total R&amp;D expenses (in millions, except percentages):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60" w:type="dxa"/>
            <w:vAlign w:val="bottom"/>
            <w:gridSpan w:val="3"/>
          </w:tcPr>
          <w:p>
            <w:pPr>
              <w:jc w:val="right"/>
              <w:ind w:right="494"/>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80" w:type="dxa"/>
            <w:vAlign w:val="bottom"/>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1"/>
        </w:trPr>
        <w:tc>
          <w:tcPr>
            <w:tcW w:w="27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2022 over 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2"/>
          </w:tcPr>
          <w:p>
            <w:pPr>
              <w:jc w:val="right"/>
              <w:ind w:right="638"/>
              <w:spacing w:after="0"/>
              <w:rPr>
                <w:sz w:val="20"/>
                <w:szCs w:val="20"/>
                <w:color w:val="auto"/>
              </w:rPr>
            </w:pPr>
            <w:r>
              <w:rPr>
                <w:rFonts w:ascii="Times New Roman" w:cs="Times New Roman" w:eastAsia="Times New Roman" w:hAnsi="Times New Roman"/>
                <w:sz w:val="15"/>
                <w:szCs w:val="15"/>
                <w:b w:val="1"/>
                <w:bCs w:val="1"/>
                <w:color w:val="auto"/>
              </w:rPr>
              <w:t>2021 over 2020</w:t>
            </w:r>
          </w:p>
        </w:tc>
      </w:tr>
      <w:tr>
        <w:trPr>
          <w:trHeight w:val="21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R&amp;D</w:t>
            </w: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93.0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45.5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r>
    </w:tbl>
    <w:p>
      <w:pPr>
        <w:spacing w:after="0" w:line="280"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R&amp;D expenses increased in 2022, as compared to 2021, due to the acquisition of Smiths Medical. R&amp;D expenses are primarily related to headcount and employment expenses in support of ongoing R&amp;D projects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50" w:name="page51"/>
    <w:bookmarkEnd w:id="50"/>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R&amp;D expenses increased in 2021, as compared to 2020. Fluctuations in our R&amp;D expenses are related to headcount and employment expenses due to the timing and nature of various R&amp;D projects.</w:t>
      </w:r>
    </w:p>
    <w:p>
      <w:pPr>
        <w:spacing w:after="0" w:line="177"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R&amp;D expenses generally include compensation and benefit expenses, consulting fees, production supplies, samples, travel costs, utilities and other miscellaneous administrative costs incurred on our ongoing R&amp;D projects.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Strategic Transaction and Integration Expenses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Restructuring, strategic transaction and integration expenses were $71.4 million, $18.0 million and $28.4 million in 2022, 2021 and 2020,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2022, we incurred restructuring charges of $9.7 million primarily related to severance costs.</w:t>
      </w:r>
    </w:p>
    <w:p>
      <w:pPr>
        <w:spacing w:after="0" w:line="243"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In 2021, we adjusted certain facility restructuring liabilities by $2.0 million to reflect actual amounts owed resulting in annual net restructuring credits of $(1.8) million.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2020, restructuring charges were $7.9 million. These charges were primarily related to severance and costs related to office and other facility closures.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47" w:lineRule="exact"/>
        <w:rPr>
          <w:sz w:val="20"/>
          <w:szCs w:val="20"/>
          <w:color w:val="auto"/>
        </w:rPr>
      </w:pPr>
    </w:p>
    <w:p>
      <w:pPr>
        <w:ind w:right="540" w:firstLine="619"/>
        <w:spacing w:after="0" w:line="287" w:lineRule="auto"/>
        <w:rPr>
          <w:sz w:val="20"/>
          <w:szCs w:val="20"/>
          <w:color w:val="auto"/>
        </w:rPr>
      </w:pPr>
      <w:r>
        <w:rPr>
          <w:rFonts w:ascii="Times New Roman" w:cs="Times New Roman" w:eastAsia="Times New Roman" w:hAnsi="Times New Roman"/>
          <w:sz w:val="17"/>
          <w:szCs w:val="17"/>
          <w:color w:val="auto"/>
        </w:rPr>
        <w:t>In 2022, we incurred $61.7 million in strategic transaction and integration expenses primarily related to our acquisition of Smiths Medical, which included legal expenses, bank fees and employee costs, and a United Kingdom stamp tax.</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2021, we incurred $19.8 million in strategic transaction and integration expenses primarily related to integration costs associated with acquisitions, the Hospira Infusion Systems ("HIS") earn-out dispute with Pfizer, one-time costs incurred to comply with regulatory initiatives and transaction expenses incurred in connection with entering into the definitive agreement to acquire Smiths Medical.</w:t>
      </w:r>
    </w:p>
    <w:p>
      <w:pPr>
        <w:spacing w:after="0" w:line="191" w:lineRule="exact"/>
        <w:rPr>
          <w:sz w:val="20"/>
          <w:szCs w:val="20"/>
          <w:color w:val="auto"/>
        </w:rPr>
      </w:pPr>
    </w:p>
    <w:p>
      <w:pPr>
        <w:ind w:right="480" w:firstLine="619"/>
        <w:spacing w:after="0" w:line="287" w:lineRule="auto"/>
        <w:rPr>
          <w:sz w:val="20"/>
          <w:szCs w:val="20"/>
          <w:color w:val="auto"/>
        </w:rPr>
      </w:pPr>
      <w:r>
        <w:rPr>
          <w:rFonts w:ascii="Times New Roman" w:cs="Times New Roman" w:eastAsia="Times New Roman" w:hAnsi="Times New Roman"/>
          <w:sz w:val="17"/>
          <w:szCs w:val="17"/>
          <w:color w:val="auto"/>
        </w:rPr>
        <w:t>In 2020, we incurred $20.5 million in strategic transaction and integration expenses primarily related to the integration of HIS, which included the migration of IT systems at our Austin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contingent earn-out</w:t>
      </w:r>
    </w:p>
    <w:p>
      <w:pPr>
        <w:spacing w:after="0" w:line="249"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In 2022, the fair value revaluation of our contingent earn-outs resulted in a decrease in value of $32.1 million. This decrease was primarily related to the fair value revaluation of our Smiths Medical contingent earn-out liability.</w:t>
      </w:r>
    </w:p>
    <w:p>
      <w:pPr>
        <w:spacing w:after="0" w:line="177" w:lineRule="exact"/>
        <w:rPr>
          <w:sz w:val="20"/>
          <w:szCs w:val="20"/>
          <w:color w:val="auto"/>
        </w:rPr>
      </w:pPr>
    </w:p>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At the end of the second quarter of 2021, the measurement period related to the Pursuit earn-out liability ended and in October 2021 the $26.3 million earn-out was finalized and paid to Pursuit's former shareholders. There were no changes in the fair value of our earn-outs during 2021.</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2020, the fair value revaluation of our Pursuit contingent earn-out liability resulted in an increase in value of $9.0 million.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Settlement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2022, we did not incur any contract settlement charges.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2021, we recorded $0.1 million in contract settlement expense.</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2020, we recorded $1.0 million in contract settlement income related to the resolution of a dispute with one of our suppliers.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(expense) income, net was $(66.4) million, $1.9 million and $1.9 million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51" w:name="page52"/>
    <w:bookmarkEnd w:id="51"/>
    <w:p>
      <w:pPr>
        <w:ind w:left="620"/>
        <w:spacing w:after="0"/>
        <w:rPr>
          <w:sz w:val="20"/>
          <w:szCs w:val="20"/>
          <w:color w:val="auto"/>
        </w:rPr>
      </w:pPr>
      <w:r>
        <w:rPr>
          <w:rFonts w:ascii="Times New Roman" w:cs="Times New Roman" w:eastAsia="Times New Roman" w:hAnsi="Times New Roman"/>
          <w:sz w:val="17"/>
          <w:szCs w:val="17"/>
          <w:color w:val="auto"/>
        </w:rPr>
        <w:t>Interest expense was $70.8 million, $0.9 million and $1.8 million in 2022, 2021 and 2020, respectively.</w:t>
      </w:r>
    </w:p>
    <w:p>
      <w:pPr>
        <w:spacing w:after="0" w:line="243"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In January 2022, we entered into senior secured credit facilities that refinanced our Prior Credit Facility in full, see "Liquidity and Capital Resources" in the remainder of this item for additional information and the estimated impact to future interest expense. In 2022, interest expense primarily includes the contractual interest incurred on borrowings under the Credit Agreement, the per annum commitment fee charged on the available amount of the revolving credit facility contained in the Credit Agreement and the amortization of debt issuance costs incurred in connection with entering into the Credit Agreement (see Note 11 Long-Term Debt in our accompanying consolidated financial statements for additional information).</w:t>
      </w:r>
    </w:p>
    <w:p>
      <w:pPr>
        <w:spacing w:after="0" w:line="200"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In 2021, interest expense primarily includes the per annum commitment fee charged on the unused portion of the revolver under our then five-year revolving credit facility and the amortization of financing costs that were incurred in 2017 in connection with entering into the then existing credit facility. The per annum commitment fee was based on the consolidated total leverage ratio in effect and ranged between 0.15% to 0.30% on the unused portion of the credit facility (see Note 11: Long-Term Obligations in our accompanying consolidated financial statements for additional information).</w:t>
      </w:r>
    </w:p>
    <w:p>
      <w:pPr>
        <w:spacing w:after="0" w:line="19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In 2020, interest expense was primarily related to borrowings under our then existing credit facility and the amortization of financing costs. Borrowing under the credit facility bore interest, at our option, based on the Base Rate (as defined in Note 11 in our accompanying consolidated financial statements) plus applicable margin or the London Interbank Offered Rate plus applicable margin (see Note 11: Long-Term Obligations in our accompanying consolidated financial statements for additional information).</w:t>
      </w:r>
    </w:p>
    <w:p>
      <w:pPr>
        <w:spacing w:after="0" w:line="197"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Interest income was $4.4 million, $2.8 million and $3.7 million in 2022, 2021 and 2020, respectively. Interest income is primarily related to interest earned on our investment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 net</w:t>
      </w:r>
    </w:p>
    <w:p>
      <w:pPr>
        <w:spacing w:after="0" w:line="249" w:lineRule="exact"/>
        <w:rPr>
          <w:sz w:val="20"/>
          <w:szCs w:val="20"/>
          <w:color w:val="auto"/>
        </w:rPr>
      </w:pPr>
    </w:p>
    <w:p>
      <w:pPr>
        <w:jc w:val="both"/>
        <w:ind w:right="80" w:firstLine="619"/>
        <w:spacing w:after="0" w:line="261" w:lineRule="auto"/>
        <w:rPr>
          <w:sz w:val="20"/>
          <w:szCs w:val="20"/>
          <w:color w:val="auto"/>
        </w:rPr>
      </w:pPr>
      <w:r>
        <w:rPr>
          <w:rFonts w:ascii="Times New Roman" w:cs="Times New Roman" w:eastAsia="Times New Roman" w:hAnsi="Times New Roman"/>
          <w:sz w:val="17"/>
          <w:szCs w:val="17"/>
          <w:color w:val="auto"/>
        </w:rPr>
        <w:t>Other (expense) income, net was $(5.1) million, $(2.0) million and $(2.6) million in 2022, 2021 and 2020, respectively. In 2022, other expense, net was related to $5.8 million of foreign exchange losses and $2.6 million of loss from disposed assets partially offset by $3.2 million of miscellaneous income. In 2021, other expense, net was primarily related to $1.7 million of loss from disposed assets and $1.0 million of foreign exchange losses partially offset by miscellaneous income of $0.6 million. In 2020, other expense, net was primarily related to $7.2 million of foreign exchange losses incurred as a result of the strengthening of the U.S. dollar during the first half of the year, partially offset by $2.8 million of miscellaneous income and $1.8 million of gain on disposition of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Income taxes were accrued at an estimated annual effective tax rate of 35%, 16% and 11% in 2022, 2021 and 2020, respectively.</w:t>
      </w:r>
    </w:p>
    <w:p>
      <w:pPr>
        <w:spacing w:after="0" w:line="24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effective tax rate in 2022 differs from the federal statutory rate of 21% principally because of the effect of the mix of U.S. and foreign incomes, state income taxes, section 162(m) excess compensation, foreign-derived intangible income ("FDII"), global intangible low-taxed income ("GILTI") and tax credits. The effective tax rate during 2022 included a tax benefit of $4.2 million related to the excess tax benefits recognized on stock option exercises and the vesting of restricted stock units during the period. The effective tax rate during 2022 also included a $0.0 million tax impact of the revaluation of contingent consideration of $6.8 million.</w:t>
      </w:r>
    </w:p>
    <w:p>
      <w:pPr>
        <w:spacing w:after="0" w:line="200"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effective tax rate in 2021 differs from the federal statutory rate of 21% principally because of the effect of the mix of U.S. and foreign incomes, state income taxes, global intangible low-taxed income (“GILTI”),FDII and tax credits. The effective tax rate in 2021 included a tax benefit of $4.9 million related to the excess tax benefits recognized on stock option exercises and the vesting of restricted stock units during the period. The effective tax rate for 2021 also included U.S. federal and state return-to-provision adjustments net of related reserve changes for the year ended December 31, 2020 of $0.9 million tax provision primarily due to changes in estimates for GILTI, FDII, subpart F, and related foreign tax credits along with other prior period adjustments.</w:t>
      </w:r>
    </w:p>
    <w:p>
      <w:pPr>
        <w:spacing w:after="0" w:line="200"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effective tax rate in 2020 differs from the federal statutory rate of 21% principally because of the effect of the mix of U.S. and foreign incomes, state income taxes, GILTI, FDII and tax credits. The effective tax rate in 2020 included a tax benefit of $5.3 million related to the excess tax benefits recognized on stock option exercises and the vesting of restricted stock units during the period. The effective tax rate for 2020 also included U.S. federal and state return-to-provision adjustments net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2" w:name="page53"/>
    <w:bookmarkEnd w:id="52"/>
    <w:p>
      <w:pPr>
        <w:ind w:right="340"/>
        <w:spacing w:after="0" w:line="287" w:lineRule="auto"/>
        <w:rPr>
          <w:sz w:val="20"/>
          <w:szCs w:val="20"/>
          <w:color w:val="auto"/>
        </w:rPr>
      </w:pPr>
      <w:r>
        <w:rPr>
          <w:rFonts w:ascii="Times New Roman" w:cs="Times New Roman" w:eastAsia="Times New Roman" w:hAnsi="Times New Roman"/>
          <w:sz w:val="17"/>
          <w:szCs w:val="17"/>
          <w:color w:val="auto"/>
        </w:rPr>
        <w:t>of related reserve changes for the year ended December 31, 2019 of $3.8 million tax benefit primarily due to changes in estimates for GILTI, FDII, and related foreign tax credits.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We regularly evaluate our liquidity and capital resources, including our access to external capital, to ensure we can adequately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49"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Our primary sources of liquidity are cash and cash equivalents, our short-term investment portfolio, cash flows from our operations and access to borrowing arrangements.</w:t>
      </w:r>
    </w:p>
    <w:p>
      <w:pPr>
        <w:spacing w:after="0" w:line="177"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Funds generated from operations are held in cash and cash equivalents and investment securities. During 2022, our cash and cash equivalents and short-term investment securities decreased by $354.2 million from $567.2 million at December 31, 2021 to $213.0 million at December 31, 2022. Our short-term investment portfolio consists of investment-grade corporate and government bonds and U.S treasury securities and is primarily intended to facilitate capital preservation.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Facilities and Access to Capital</w:t>
      </w:r>
    </w:p>
    <w:p>
      <w:pPr>
        <w:spacing w:after="0" w:line="24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$1.7 billion as of December 31, 2022,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December 31, 2022. As part of entering into the Senior Secured Credit Facilities, we were assigned issuer and Term Loan B credit ratings. At the date of issuance of this report, our issuer and Term Loan B credit ratings assigned and outlook were as follows:</w:t>
      </w: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2460" w:type="dxa"/>
            <w:vAlign w:val="bottom"/>
          </w:tcPr>
          <w:p>
            <w:pPr>
              <w:jc w:val="right"/>
              <w:ind w:right="594"/>
              <w:spacing w:after="0" w:line="182" w:lineRule="exact"/>
              <w:rPr>
                <w:sz w:val="20"/>
                <w:szCs w:val="20"/>
                <w:color w:val="auto"/>
              </w:rPr>
            </w:pPr>
            <w:r>
              <w:rPr>
                <w:rFonts w:ascii="Times New Roman" w:cs="Times New Roman" w:eastAsia="Times New Roman" w:hAnsi="Times New Roman"/>
                <w:sz w:val="17"/>
                <w:szCs w:val="17"/>
                <w:b w:val="1"/>
                <w:bCs w:val="1"/>
                <w:color w:val="auto"/>
              </w:rPr>
              <w:t>Issuer/Term Loan B</w:t>
            </w:r>
          </w:p>
        </w:tc>
        <w:tc>
          <w:tcPr>
            <w:tcW w:w="1720" w:type="dxa"/>
            <w:vAlign w:val="bottom"/>
            <w:vMerge w:val="restart"/>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Outlook</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Credit Ratings</w:t>
            </w:r>
          </w:p>
        </w:tc>
        <w:tc>
          <w:tcPr>
            <w:tcW w:w="1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24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Ba3/Ba3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Stable</w:t>
            </w: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Fitch</w:t>
            </w:r>
          </w:p>
        </w:tc>
        <w:tc>
          <w:tcPr>
            <w:tcW w:w="24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BB/BBB-</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Standard &amp; Poor's</w:t>
            </w:r>
          </w:p>
        </w:tc>
        <w:tc>
          <w:tcPr>
            <w:tcW w:w="24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BB-/BB-</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Stable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11: Long-Term Debt to our accompanying consolidated financial statements). We were in compliance with these financial covenants as of December 31,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2017 Credit Facility</w:t>
      </w:r>
    </w:p>
    <w:p>
      <w:pPr>
        <w:spacing w:after="0" w:line="24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November 2017, we entered into a five-year revolving credit facility with various lenders for $150.0 million (the "Prior Credit Facility"). The Prior Credit Facility, which was set to expire in November 2022, was terminated upon entering into the new Senior Secured Credit Facilities. There were no outstanding borrowings under the Prior Credit Facility at the time of its termination.</w:t>
      </w:r>
    </w:p>
    <w:p>
      <w:pPr>
        <w:spacing w:after="0" w:line="191"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We believe that our existing cash and cash equivalents along with cash flows expected to be generated from future operations, cash received from our uncommitted trade accounts receivable purchase facility (see Note 17: Subsequent Events in our accompanying consolidated financial statements for additional information) and the funds received and accessible under the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3" w:name="page54"/>
    <w:bookmarkEnd w:id="53"/>
    <w:p>
      <w:pPr>
        <w:spacing w:after="0" w:line="258" w:lineRule="auto"/>
        <w:rPr>
          <w:sz w:val="20"/>
          <w:szCs w:val="20"/>
          <w:color w:val="auto"/>
        </w:rPr>
      </w:pPr>
      <w:r>
        <w:rPr>
          <w:rFonts w:ascii="Times New Roman" w:cs="Times New Roman" w:eastAsia="Times New Roman" w:hAnsi="Times New Roman"/>
          <w:sz w:val="17"/>
          <w:szCs w:val="17"/>
          <w:color w:val="auto"/>
        </w:rPr>
        <w:t>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for discussion of the risks and uncertainties associated with our debt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Uses of Liquidity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47"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Our capital expenditures relate to the expansion and maintenance of our business. While we can provide no assurances, we estimate that our capital expenditures in 2023 will be in the range of $100 million to $120 million. We anticipate making additional investments in machinery and equipment in our manufacturing operations in Costa Rica, Europe, Mexico and the U.S. to support new and existing products and in infusion pumps that get placed with customers outside the U.S. We expect to use our cash and cash equivalents to fund our capital expenditures. Amounts of spending are estimates and actual spending may substantially differ from those amounts.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Acquisitions</w:t>
      </w:r>
    </w:p>
    <w:p>
      <w:pPr>
        <w:spacing w:after="0" w:line="247" w:lineRule="exact"/>
        <w:rPr>
          <w:sz w:val="20"/>
          <w:szCs w:val="20"/>
          <w:color w:val="auto"/>
        </w:rPr>
      </w:pPr>
    </w:p>
    <w:p>
      <w:pPr>
        <w:ind w:right="540" w:firstLine="619"/>
        <w:spacing w:after="0" w:line="270" w:lineRule="auto"/>
        <w:rPr>
          <w:sz w:val="20"/>
          <w:szCs w:val="20"/>
          <w:color w:val="auto"/>
        </w:rPr>
      </w:pPr>
      <w:r>
        <w:rPr>
          <w:rFonts w:ascii="Times New Roman" w:cs="Times New Roman" w:eastAsia="Times New Roman" w:hAnsi="Times New Roman"/>
          <w:sz w:val="17"/>
          <w:szCs w:val="17"/>
          <w:color w:val="auto"/>
        </w:rPr>
        <w:t>On January 6, 2022, we acquired Smiths Medical. We financed the $1.9 billion cash portion of the purchase price at closing with a combination of proceeds from the Senior Secured Credit Facilities and our cash and cash equivalents. See Note 2: Acquisitions and Note 11: Long-Term Debt in our accompanying consolidated financial statements for additional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principal commitments at December 31, 2022 include both short and long-term future obligations.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247"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for certain lease payment amounts. For more information regarding our operating lease obligations, (see Note 5: Leases in our accompanying consolidated financial statements).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 Obligations</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As discussed above, in January 2022, we incurred borrowings under Senior Secured Credit Facilities. The principal repayment obligations and estimated interest payments on the term loans and estimated commitment fee payments on the revolver are estimated in the below table. Interest payments on the term loans were estimated using an Adjusted Term SOFR rate and an applicable margin on of 2.00% for term loan A and 2.50% for term loan B and the revolver commitment fees were estimated using a rate of 0.30%. The applicable margin rate and commitment fee rate will change from time to time in accordance with a preset pricing grid based on the leverage ratio (see Note 11: Long-Term Debt in our accompanying consolidated financial statements for pricing grids related to the Senior Secured Credit Facilities). We expect to fund these obligations with our existing cash and cash equivalents and cash generated from our future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9"/>
        </w:trPr>
        <w:tc>
          <w:tcPr>
            <w:tcW w:w="3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30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Thereafter</w:t>
            </w:r>
          </w:p>
        </w:tc>
      </w:tr>
      <w:tr>
        <w:trPr>
          <w:trHeight w:val="21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 Principal Payments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664.1</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A Interest Payments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Principal Payments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801.1</w:t>
            </w: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Interest Payments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Revolver Commitment Fee</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040" w:type="dxa"/>
            <w:vAlign w:val="bottom"/>
          </w:tcPr>
          <w:p>
            <w:pPr>
              <w:spacing w:after="0"/>
              <w:rPr>
                <w:sz w:val="18"/>
                <w:szCs w:val="18"/>
                <w:color w:val="auto"/>
              </w:rPr>
            </w:pP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719.4</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847.7</w:t>
            </w: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Minimum Purchase Obligations</w:t>
      </w:r>
    </w:p>
    <w:p>
      <w:pPr>
        <w:spacing w:after="0" w:line="234" w:lineRule="exact"/>
        <w:rPr>
          <w:sz w:val="20"/>
          <w:szCs w:val="20"/>
          <w:color w:val="auto"/>
        </w:rPr>
      </w:pPr>
    </w:p>
    <w:p>
      <w:pPr>
        <w:jc w:val="both"/>
        <w:ind w:right="320" w:firstLine="619"/>
        <w:spacing w:after="0" w:line="254" w:lineRule="auto"/>
        <w:rPr>
          <w:sz w:val="20"/>
          <w:szCs w:val="20"/>
          <w:color w:val="auto"/>
        </w:rPr>
      </w:pPr>
      <w:r>
        <w:rPr>
          <w:rFonts w:ascii="Times New Roman" w:cs="Times New Roman" w:eastAsia="Times New Roman" w:hAnsi="Times New Roman"/>
          <w:sz w:val="17"/>
          <w:szCs w:val="17"/>
          <w:color w:val="auto"/>
        </w:rPr>
        <w:t>On February 1, 2022, effective as of January 1, 2022, upon our request, Pfizer executed a Product Addendum to our MSA agreement, see under Part I Item 1 Business Section above for further detail. The Product Addendum included a minimum purchase obligation of $29.6 million, which we satisfied during 2022. The Product Addendum expired on November 30, 2022.</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Future Capital Investments</w:t>
      </w:r>
    </w:p>
    <w:p>
      <w:pPr>
        <w:spacing w:after="0" w:line="247"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In connection with the January 2022 acquisition of Smiths Medical we estimate the investment needed in 2023 for restructuring and integration expenses along with spending to support quality systems and quality compliance objectives to be in the range of $75 million to $125 million, which includes acquired accrued field action liabilities. We expect to fund these obligations with our cash and cash equivalents and cash generated from our operations.</w:t>
      </w:r>
    </w:p>
    <w:p>
      <w:pPr>
        <w:spacing w:after="0"/>
        <w:rPr>
          <w:sz w:val="20"/>
          <w:szCs w:val="20"/>
          <w:color w:val="auto"/>
        </w:rPr>
      </w:pPr>
      <w:r>
        <w:rPr>
          <w:rFonts w:ascii="Times New Roman" w:cs="Times New Roman" w:eastAsia="Times New Roman" w:hAnsi="Times New Roman"/>
          <w:sz w:val="17"/>
          <w:szCs w:val="17"/>
          <w:b w:val="1"/>
          <w:bCs w:val="1"/>
          <w:color w:val="auto"/>
        </w:rPr>
        <w:t>Historical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49"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Our cash used in operations was $(62.1) million in 2022. Net income plus adjustments for non-cash net expenses contributed $241.6 million to cash provided by operations. Net cash used in operations as a result of changes in operating assets and liabilities was $303.7 million. The changes in operating assets and liabilities included a $201.1 million increase in inventories, a $21.3 million increase in other assets, a $55.8 million decrease in accrued liabilities, $66.7 million in net changes in income taxes, including excess tax benefits and deferred income taxes and a $19.2 million increase in accounts receivable. Offsetting these amounts was a $22.9 million decrease in prepaid expenses and other current assets and a $37.5 million increase in accounts payable. The increase in inventory was primarily to build inventory safety stock levels. The increase in other assets was due to the purchase of spare parts. The primary drivers for the net decrease in accrued liabilities was primarily due to the payout of annual bonuses and decrease in deferred revenue. The net changes in income taxes was a result of recording the current deferred provision and the timing of payments. The increase in accounts receivable was primarily due to the net impact of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w:t>
      </w:r>
    </w:p>
    <w:p>
      <w:pPr>
        <w:spacing w:after="0" w:line="201"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cash provided by operations was $267.5 million in 2021. Net income plus adjustments for non-cash net expenses contributed $252.5 million to cash provided by operations. Net cash used in operations as a result of changes in operating assets and liabilities was $15.0 million. The changes in operating assets and liabilities included a $20.8 million decrease in inventories, a $13.8 million decrease in accounts receivable, a $6.3 million increase in accrued liabilities, a $2.3 million increase in accounts payable, and $0.9 million in net changes in income taxes, including excess tax benefits and deferred income taxes. Offsetting these amounts was a $21.0 million increase in other assets and a $8.0 million increase in prepaid expenses and other current assets. The decrease in inventory was primarily due to the timing of production and customer purchases. The decrease in accounts receivable is primarily due to collection efforts. The increase in accrued liabilities was primarily due to the accrual of incentive bonuses, deferred revenue collected on certain arrangements and accruals related to the Smiths Medical transaction. The increase in accounts payable was primarily due to the timing of payments. The net changes in income taxes was a result of the timing of payments. The increase in other assets was primarily due to the purchase of spare parts. The net increase in prepaid expenses and other current assets was primarily due to an increase in deferred costs.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5" w:name="page56"/>
    <w:bookmarkEnd w:id="55"/>
    <w:p>
      <w:pPr>
        <w:ind w:firstLine="619"/>
        <w:spacing w:after="0" w:line="257" w:lineRule="auto"/>
        <w:rPr>
          <w:sz w:val="20"/>
          <w:szCs w:val="20"/>
          <w:color w:val="auto"/>
        </w:rPr>
      </w:pPr>
      <w:r>
        <w:rPr>
          <w:rFonts w:ascii="Times New Roman" w:cs="Times New Roman" w:eastAsia="Times New Roman" w:hAnsi="Times New Roman"/>
          <w:sz w:val="17"/>
          <w:szCs w:val="17"/>
          <w:color w:val="auto"/>
        </w:rPr>
        <w:t>Our cash provided by operations was $222.8 million in 2020. Net income plus adjustments for non-cash net expenses contributed $239.7 million to cash provided by operations. Net cash used in operations as a result of changes in operating assets and liabilities was $17.0 million. The changes in operating assets and liabilities included a $46.4 million decrease in accounts payable, a $29.4 million decrease in accrued liabilities, $18.0 million in net changes in income taxes, including excess tax benefits and deferred income taxes, a $16.1 million increase in other assets, and a $4.3 million increase in prepaid expenses and other current assets. Offsetting these amounts was a $78.0 million decrease in accounts receivable and a $19.2 million decrease in inventories. The decrease in accounts payable was due to the payment of integration-related expenses with extended payment terms and the timing of other payments. The decrease in accrued liabilities was due to the payment of one-time accrued supply chain reorganization costs. The increase in other assets was due to the purchase of spare parts. The net changes in income taxes was a result of the timing of payments. The increase in prepaid expenses and other current assets was primarily due to an increase in deferred costs. The decrease in accounts receivable is primarily due to collection efforts. The decrease in inventory was primarily due to improved inventory management and increased demand for certain products driven by the COVID-19 pandemic at the end of the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changes in our investing cash flows (in thousands):</w:t>
      </w:r>
    </w:p>
    <w:p>
      <w:pPr>
        <w:spacing w:after="0" w:line="140"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00" w:type="dxa"/>
            <w:vAlign w:val="bottom"/>
            <w:gridSpan w:val="8"/>
          </w:tcPr>
          <w:p>
            <w:pPr>
              <w:ind w:left="420"/>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260" w:type="dxa"/>
            <w:vAlign w:val="bottom"/>
          </w:tcPr>
          <w:p>
            <w:pPr>
              <w:spacing w:after="0"/>
              <w:rPr>
                <w:sz w:val="17"/>
                <w:szCs w:val="17"/>
                <w:color w:val="auto"/>
              </w:rPr>
            </w:pPr>
          </w:p>
        </w:tc>
        <w:tc>
          <w:tcPr>
            <w:tcW w:w="1380" w:type="dxa"/>
            <w:vAlign w:val="bottom"/>
            <w:gridSpan w:val="3"/>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Variance</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4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2021</w:t>
            </w:r>
          </w:p>
        </w:tc>
        <w:tc>
          <w:tcPr>
            <w:tcW w:w="380" w:type="dxa"/>
            <w:vAlign w:val="bottom"/>
            <w:tcBorders>
              <w:bottom w:val="single" w:sz="8" w:color="CCEEFF"/>
            </w:tcBorders>
          </w:tcPr>
          <w:p>
            <w:pPr>
              <w:spacing w:after="0"/>
              <w:rPr>
                <w:sz w:val="17"/>
                <w:szCs w:val="17"/>
                <w:color w:val="auto"/>
              </w:rPr>
            </w:pPr>
          </w:p>
        </w:tc>
      </w:tr>
      <w:tr>
        <w:trPr>
          <w:trHeight w:val="20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Cash Flows: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(90,311)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(68,542)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(21,769)</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23,463</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 additions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(4,242)</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Business acquisitions, net of cash acquired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(1,829,712)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(14,452)</w:t>
            </w:r>
          </w:p>
        </w:tc>
        <w:tc>
          <w:tcPr>
            <w:tcW w:w="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non-marketable equity securities</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investment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22,791</w:t>
            </w:r>
          </w:p>
        </w:tc>
        <w:tc>
          <w:tcPr>
            <w:tcW w:w="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Proceeds from sale of investment securities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(10,900)</w:t>
            </w:r>
          </w:p>
        </w:tc>
        <w:tc>
          <w:tcPr>
            <w:tcW w:w="38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rPr>
              <w:t>(7)</w:t>
            </w:r>
          </w:p>
        </w:tc>
      </w:tr>
      <w:tr>
        <w:trPr>
          <w:trHeight w:val="237"/>
        </w:trPr>
        <w:tc>
          <w:tcPr>
            <w:tcW w:w="4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(1,909,468)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(1,818,781)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64" w:lineRule="exact"/>
        <w:rPr>
          <w:sz w:val="20"/>
          <w:szCs w:val="20"/>
          <w:color w:val="auto"/>
        </w:rPr>
      </w:pPr>
    </w:p>
    <w:p>
      <w:pPr>
        <w:ind w:left="320" w:right="160" w:hanging="317"/>
        <w:spacing w:after="0" w:line="229" w:lineRule="auto"/>
        <w:tabs>
          <w:tab w:leader="none" w:pos="252"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purchases of property, plant and equipment will vary from period to period based on additional investments needed to support new and existing products and expansion of our manufacturing facilities.</w:t>
      </w:r>
    </w:p>
    <w:p>
      <w:pPr>
        <w:spacing w:after="0" w:line="6"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2020, we sold our Farmers Branch, Texas, U.S. distribution facility for $6.0 million.</w:t>
      </w:r>
    </w:p>
    <w:p>
      <w:pPr>
        <w:spacing w:after="0" w:line="52" w:lineRule="exact"/>
        <w:rPr>
          <w:rFonts w:ascii="Times New Roman" w:cs="Times New Roman" w:eastAsia="Times New Roman" w:hAnsi="Times New Roman"/>
          <w:sz w:val="22"/>
          <w:szCs w:val="22"/>
          <w:color w:val="auto"/>
          <w:vertAlign w:val="superscript"/>
        </w:rPr>
      </w:pPr>
    </w:p>
    <w:p>
      <w:pPr>
        <w:ind w:left="320" w:right="280" w:hanging="317"/>
        <w:spacing w:after="0" w:line="220" w:lineRule="auto"/>
        <w:tabs>
          <w:tab w:leader="none" w:pos="252"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2021, we recorded a $6.6 million intangible asset related to a three-year non-compete agreement with one of our international distributors, of which $2.6 million was non-cash offset with a contingent earn-out.</w:t>
      </w:r>
    </w:p>
    <w:p>
      <w:pPr>
        <w:spacing w:after="0" w:line="35" w:lineRule="exact"/>
        <w:rPr>
          <w:rFonts w:ascii="Times New Roman" w:cs="Times New Roman" w:eastAsia="Times New Roman" w:hAnsi="Times New Roman"/>
          <w:sz w:val="22"/>
          <w:szCs w:val="22"/>
          <w:color w:val="auto"/>
          <w:vertAlign w:val="superscript"/>
        </w:rPr>
      </w:pPr>
    </w:p>
    <w:p>
      <w:pPr>
        <w:ind w:left="320" w:right="100" w:hanging="317"/>
        <w:spacing w:after="0"/>
        <w:tabs>
          <w:tab w:leader="none" w:pos="252"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business acquisitions will vary from period to period based upon our current growth strategy and our ability to execute on desirable target companies. In 2022, we acquired Smiths Medical. The cash consideration for the transaction was $1.9 billion, which was financed with existing cash balances and borrowings under the Credit Agreement. Acquired cash was $78.8 million. In 2021, we acquired a small foreign infusion systems supplier for approximately $15.4 million.</w:t>
      </w:r>
    </w:p>
    <w:p>
      <w:pPr>
        <w:spacing w:after="0" w:line="7"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2021, we paid $3.3 million to acquire approximately a 20% non-marketable equity interest in a non-public company.</w:t>
      </w:r>
    </w:p>
    <w:p>
      <w:pPr>
        <w:spacing w:after="0" w:line="52" w:lineRule="exact"/>
        <w:rPr>
          <w:rFonts w:ascii="Times New Roman" w:cs="Times New Roman" w:eastAsia="Times New Roman" w:hAnsi="Times New Roman"/>
          <w:sz w:val="22"/>
          <w:szCs w:val="22"/>
          <w:color w:val="auto"/>
          <w:vertAlign w:val="superscript"/>
        </w:rPr>
      </w:pPr>
    </w:p>
    <w:p>
      <w:pPr>
        <w:ind w:left="320" w:right="20" w:hanging="317"/>
        <w:spacing w:after="0" w:line="235" w:lineRule="auto"/>
        <w:tabs>
          <w:tab w:leader="none" w:pos="252"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purchases of investment securities will vary from period to period based on current cash needs, planning for known future transactions and changes in our investment strategy. Our investment policy allows for the purchase of securities with final maturities in excess of one year. If cash is not needed for known future transactions our investment strategy takes advantage of the long-term securities with higher yields. Typically, our longer term securities have maturities up to three years.</w:t>
      </w:r>
    </w:p>
    <w:p>
      <w:pPr>
        <w:spacing w:after="0" w:line="36" w:lineRule="exact"/>
        <w:rPr>
          <w:rFonts w:ascii="Times New Roman" w:cs="Times New Roman" w:eastAsia="Times New Roman" w:hAnsi="Times New Roman"/>
          <w:sz w:val="22"/>
          <w:szCs w:val="22"/>
          <w:color w:val="auto"/>
          <w:vertAlign w:val="superscript"/>
        </w:rPr>
      </w:pPr>
    </w:p>
    <w:p>
      <w:pPr>
        <w:ind w:left="320" w:right="580" w:hanging="317"/>
        <w:spacing w:after="0" w:line="229" w:lineRule="auto"/>
        <w:tabs>
          <w:tab w:leader="none" w:pos="252"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sale of our investment securities will vary based on the maturity dates of the investments. In 2022, proceeds from sale of investment securities includes $19.0 million received from a promissory note related to an acquired investment as part of the Smiths Medical acquisition.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changes in our financing cash flows (in thousands):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56" w:name="page57"/>
    <w:bookmarkEnd w:id="56"/>
    <w:tbl>
      <w:tblPr>
        <w:tblLayout w:type="fixed"/>
        <w:tblInd w:w="2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gridSpan w:val="8"/>
          </w:tcPr>
          <w:p>
            <w:pPr>
              <w:ind w:left="380"/>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2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Variance</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9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2021</w:t>
            </w:r>
          </w:p>
        </w:tc>
        <w:tc>
          <w:tcPr>
            <w:tcW w:w="380" w:type="dxa"/>
            <w:vAlign w:val="bottom"/>
            <w:tcBorders>
              <w:bottom w:val="single" w:sz="8" w:color="CCEEFF"/>
            </w:tcBorders>
          </w:tcPr>
          <w:p>
            <w:pPr>
              <w:spacing w:after="0"/>
              <w:rPr>
                <w:sz w:val="17"/>
                <w:szCs w:val="17"/>
                <w:color w:val="auto"/>
              </w:rPr>
            </w:pPr>
          </w:p>
        </w:tc>
      </w:tr>
      <w:tr>
        <w:trPr>
          <w:trHeight w:val="20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Cash Flows: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168"/>
        </w:trPr>
        <w:tc>
          <w:tcPr>
            <w:tcW w:w="49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Proceeds from issuance of long-term debt, net of lender debt issuance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3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1,664,362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1,664,362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(1)</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(2)</w:t>
            </w:r>
          </w:p>
        </w:tc>
      </w:tr>
      <w:tr>
        <w:trPr>
          <w:trHeight w:val="21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of third-party debt issuance costs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short-term debt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w:t>
            </w:r>
          </w:p>
        </w:tc>
      </w:tr>
      <w:tr>
        <w:trPr>
          <w:trHeight w:val="21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short-term debt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3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w:t>
            </w:r>
          </w:p>
        </w:tc>
        <w:tc>
          <w:tcPr>
            <w:tcW w:w="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w:t>
            </w:r>
          </w:p>
        </w:tc>
      </w:tr>
      <w:tr>
        <w:trPr>
          <w:trHeight w:val="21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380" w:type="dxa"/>
            <w:vAlign w:val="bottom"/>
          </w:tcPr>
          <w:p>
            <w:pPr>
              <w:spacing w:after="0"/>
              <w:rPr>
                <w:sz w:val="19"/>
                <w:szCs w:val="19"/>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contingent earn-out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(17,300)</w:t>
            </w:r>
          </w:p>
        </w:tc>
        <w:tc>
          <w:tcPr>
            <w:tcW w:w="3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w:t>
            </w:r>
          </w:p>
        </w:tc>
      </w:tr>
      <w:tr>
        <w:trPr>
          <w:trHeight w:val="168"/>
        </w:trPr>
        <w:tc>
          <w:tcPr>
            <w:tcW w:w="49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Tax withholding payments related to net share settlement of equity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32"/>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awards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(12,876)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4,541</w:t>
            </w:r>
          </w:p>
        </w:tc>
        <w:tc>
          <w:tcPr>
            <w:tcW w:w="380" w:type="dxa"/>
            <w:vAlign w:val="bottom"/>
            <w:tcBorders>
              <w:bottom w:val="single" w:sz="8" w:color="CCEEFF"/>
            </w:tcBorders>
          </w:tcPr>
          <w:p>
            <w:pPr>
              <w:jc w:val="right"/>
              <w:ind w:right="103"/>
              <w:spacing w:after="0"/>
              <w:rPr>
                <w:sz w:val="20"/>
                <w:szCs w:val="20"/>
                <w:color w:val="auto"/>
              </w:rPr>
            </w:pPr>
            <w:r>
              <w:rPr>
                <w:rFonts w:ascii="Times New Roman" w:cs="Times New Roman" w:eastAsia="Times New Roman" w:hAnsi="Times New Roman"/>
                <w:sz w:val="15"/>
                <w:szCs w:val="15"/>
                <w:color w:val="auto"/>
              </w:rPr>
              <w:t>(6)</w:t>
            </w:r>
          </w:p>
        </w:tc>
      </w:tr>
      <w:tr>
        <w:trPr>
          <w:trHeight w:val="237"/>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1,653,902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(16,830)</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64" w:lineRule="exact"/>
        <w:rPr>
          <w:sz w:val="20"/>
          <w:szCs w:val="20"/>
          <w:color w:val="auto"/>
        </w:rPr>
      </w:pPr>
    </w:p>
    <w:p>
      <w:pPr>
        <w:ind w:left="320" w:hanging="317"/>
        <w:spacing w:after="0" w:line="236" w:lineRule="auto"/>
        <w:tabs>
          <w:tab w:leader="none" w:pos="295"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2022, we borrowed an aggregate of $1.7 billion under the Senior Secured Credit Facilities contained in the Credit Agreement to partially finance our acquisition of Smiths Medical (see Note 11: Long-Term Debt to our accompanying consolidated financial statements for additional information). The proceeds are net of $37.8 million in payments of lender debt issuance costs.</w:t>
      </w:r>
    </w:p>
    <w:p>
      <w:pPr>
        <w:spacing w:after="0" w:line="7"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Payment of $22.4 million of principal payments on the Senior Secured Credit Facilities and $2.2 million in third-party debt issuance costs.</w:t>
      </w:r>
    </w:p>
    <w:p>
      <w:pPr>
        <w:spacing w:after="0" w:line="52" w:lineRule="exact"/>
        <w:rPr>
          <w:rFonts w:ascii="Times New Roman" w:cs="Times New Roman" w:eastAsia="Times New Roman" w:hAnsi="Times New Roman"/>
          <w:sz w:val="22"/>
          <w:szCs w:val="22"/>
          <w:color w:val="auto"/>
          <w:vertAlign w:val="superscript"/>
        </w:rPr>
      </w:pPr>
    </w:p>
    <w:p>
      <w:pPr>
        <w:ind w:left="320" w:right="240" w:hanging="317"/>
        <w:spacing w:after="0" w:line="220" w:lineRule="auto"/>
        <w:tabs>
          <w:tab w:leader="none" w:pos="252"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2020, as a result of market uncertainty caused by COVID-19, we borrowed $150.0 million under our then revolving credit facility as a precautionary measure to increase liquidity. We had fully repaid all amounts borrowed as of December 31, 2020.</w:t>
      </w:r>
    </w:p>
    <w:p>
      <w:pPr>
        <w:spacing w:after="0" w:line="35" w:lineRule="exact"/>
        <w:rPr>
          <w:rFonts w:ascii="Times New Roman" w:cs="Times New Roman" w:eastAsia="Times New Roman" w:hAnsi="Times New Roman"/>
          <w:sz w:val="22"/>
          <w:szCs w:val="22"/>
          <w:color w:val="auto"/>
          <w:vertAlign w:val="superscript"/>
        </w:rPr>
      </w:pPr>
    </w:p>
    <w:p>
      <w:pPr>
        <w:ind w:left="320" w:right="380" w:hanging="317"/>
        <w:spacing w:after="0" w:line="229" w:lineRule="auto"/>
        <w:tabs>
          <w:tab w:leader="none" w:pos="252"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exercise of stock options will vary from period to period based on the volume of options exercised and the exercise price of the specific options exercised.</w:t>
      </w:r>
    </w:p>
    <w:p>
      <w:pPr>
        <w:spacing w:after="0" w:line="36" w:lineRule="exact"/>
        <w:rPr>
          <w:rFonts w:ascii="Times New Roman" w:cs="Times New Roman" w:eastAsia="Times New Roman" w:hAnsi="Times New Roman"/>
          <w:sz w:val="22"/>
          <w:szCs w:val="22"/>
          <w:color w:val="auto"/>
          <w:vertAlign w:val="superscript"/>
        </w:rPr>
      </w:pPr>
    </w:p>
    <w:p>
      <w:pPr>
        <w:ind w:left="320" w:right="540" w:hanging="317"/>
        <w:spacing w:after="0" w:line="229" w:lineRule="auto"/>
        <w:tabs>
          <w:tab w:leader="none" w:pos="252"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2021, we paid $26.3 million in cash related to the settlement of the Pursuit contingent earn-out. Of the $26.3 million, the amount recorded as the acquisition date fair value, which is considered financing cash flows, was $17.3 million (see Note 8: Fair Value Measurements).</w:t>
      </w:r>
    </w:p>
    <w:p>
      <w:pPr>
        <w:spacing w:after="0" w:line="36" w:lineRule="exact"/>
        <w:rPr>
          <w:rFonts w:ascii="Times New Roman" w:cs="Times New Roman" w:eastAsia="Times New Roman" w:hAnsi="Times New Roman"/>
          <w:sz w:val="22"/>
          <w:szCs w:val="22"/>
          <w:color w:val="auto"/>
          <w:vertAlign w:val="superscript"/>
        </w:rPr>
      </w:pPr>
    </w:p>
    <w:p>
      <w:pPr>
        <w:ind w:left="320" w:right="80" w:hanging="317"/>
        <w:spacing w:after="0" w:line="243" w:lineRule="auto"/>
        <w:tabs>
          <w:tab w:leader="none" w:pos="252"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2022, our employees surrendered 47,664 shares of our common stock from vested restricted stock awards as consideration for approximately $10.9 million in minimum statutory withholding obligations paid on their behalf. In 2021, our employees surrendered 40,350 shares of our common stock from vested restricted stock awards as consideration for approximately $8.3 million in minimum statutory withholding obligations paid on their behalf. In 2020, our employees surrendered 67,041 shares of our common stock from vested restricted stock awards as consideration for approximately $12.9 million in minimum statutory withholding obligations paid on their behalf.</w:t>
      </w:r>
    </w:p>
    <w:p>
      <w:pPr>
        <w:spacing w:after="0" w:line="216"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Our common stock purchase plan, which authorized the repurchase of up to $100.0 million of our common stock, was approved by our Board of Directors in August 2019. This plan has no expiration date. As of December 31, 2022, all of the $100.0 million available for purchase was remaining under the plan. We are limited on share purchases in accordance with the terms and conditions of our Credit Agreement (see Note 11: Long-Term Obligations in our accompanying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1"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See Note 1: Basis of Presentation and Summary of Significant Accounting Policies to the Consolidated Financial Statements in Part II, Item 8 of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7" w:name="page58"/>
    <w:bookmarkEnd w:id="57"/>
    <w:p>
      <w:pPr>
        <w:ind w:right="220"/>
        <w:spacing w:after="0" w:line="264" w:lineRule="auto"/>
        <w:rPr>
          <w:sz w:val="20"/>
          <w:szCs w:val="20"/>
          <w:color w:val="auto"/>
        </w:rPr>
      </w:pPr>
      <w:r>
        <w:rPr>
          <w:rFonts w:ascii="Times New Roman" w:cs="Times New Roman" w:eastAsia="Times New Roman" w:hAnsi="Times New Roman"/>
          <w:sz w:val="17"/>
          <w:szCs w:val="17"/>
          <w:color w:val="auto"/>
        </w:rPr>
        <w:t>other factors that we believe are reasonable. We evaluate our estimates, assumptions and judgments on a regular basis and apply our accounting policies on a consistent basis. We believe that the estimates, assumptions and judgments involved in the accounting for revenue recognition, accounts receivable and business combinations have the most potential impact on our consolidated financial statements. Historically, our estimates, assumptions and judgments relative to our critical accounting policies have not differed materially from actual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4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recognize revenues when we transfer control of promised goods to our customers in an amount that reflects the consideration to which we expect to be entitled in exchange for those goods. We offer certain volume-based rebates to our distribution customers, which we consider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prices we charge our distribution customers and contracted prices we have with the end customer which are processed as credits to our distribution customers. In estimating the expected value of chargeback amounts for use in determining the transaction price, we use information available at the time, including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200" w:lineRule="exact"/>
        <w:rPr>
          <w:sz w:val="20"/>
          <w:szCs w:val="20"/>
          <w:color w:val="auto"/>
        </w:rPr>
      </w:pPr>
    </w:p>
    <w:p>
      <w:pPr>
        <w:spacing w:after="0" w:line="211"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vast majority of our sales of Infusion Consumables, Infusion Systems, IV Solutions, Critical Care, Infusion Systems-Smiths Medical, Vascular Access-Smiths Medical and Vital Care-Smiths Medical products are sold on a standalone basis and revenue is recognized upon the transfer of control which we deem to be at point of shipment.</w:t>
      </w:r>
    </w:p>
    <w:p>
      <w:pPr>
        <w:spacing w:after="0" w:line="19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Our software license renewals are considered to be transferred to a customer at a point in time at the start of each renewal period, therefore revenue is recognized at that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Arrangements with Multiple Deliverables</w:t>
      </w:r>
    </w:p>
    <w:p>
      <w:pPr>
        <w:spacing w:after="0" w:line="247"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w:t>
      </w:r>
    </w:p>
    <w:p>
      <w:pPr>
        <w:spacing w:after="0" w:line="191"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is recognized upon implementation. The transaction price allocated to the extended service-type warranty is recognized as revenue over the period the warranty service is provided.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Accounts receivable are stated at net realizable value. An allowance is provided for estimated collection losses based on an analysis of the age of the receivable, on specific past due accounts for which we consider collection to be doubtful and based on current receivables where known economic conditions specific to individual significant customers may indicate collection is doubtful. We rely on prior payment trends, financial status and other factors to estimate the cash which ultimately will be received. Such amounts cannot be known with certainty at the financial statement date. We regularly review individual past due balances for collectability. We also have credit exposure with international customers for whom normal payment terms are long in comparison to those of our other customers and with domestic distributors. If actual collection losses exceed expectations, we could be required to accrue additional bad debt expense, which could have an adverse effect on our operating results in the period in which the accrual occurs.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Combinations</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application of the acquisition method of accounting for business combinations requires the use of significant estimates, assumptions and judgments in the determination of the estimated fair value of assets acquired and liabilities assumed in order to properly allocate the purchase price at the acquisition date.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8" w:name="page59"/>
    <w:bookmarkEnd w:id="58"/>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Although we believe the estimates, assumptions and judgments we have made are reasonable, they are based in part on historical experience, industry data, information obtained from the management of the acquired companies and assistance from independent third-party appraisal/valuation firms, and are inherently uncertain.</w:t>
      </w:r>
    </w:p>
    <w:p>
      <w:pPr>
        <w:spacing w:after="0" w:line="19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Examples of critical estimates in valuing certain of the tangible and intangible assets we have acquired, and certain liabilities assumed include but are not limited to:</w:t>
      </w:r>
    </w:p>
    <w:p>
      <w:pPr>
        <w:spacing w:after="0" w:line="173" w:lineRule="exact"/>
        <w:rPr>
          <w:sz w:val="20"/>
          <w:szCs w:val="20"/>
          <w:color w:val="auto"/>
        </w:rPr>
      </w:pPr>
    </w:p>
    <w:p>
      <w:pPr>
        <w:ind w:left="620" w:right="80" w:hanging="307"/>
        <w:spacing w:after="0" w:line="26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 we used the comparative sales method, which estimates the selling price of finished goods and work-in-progress inventory, reduced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costs expected to be incurred in selling the inventory and a profit on those costs. The fair value of inventory is recognized in our statements of operations as the inventory is sold. Based on internal forecasts and estimates of inventory turnover, acquisition date inventory is sold and recognized in cost of goods sold over an estimated period of six months after the acquisition date.</w:t>
      </w:r>
    </w:p>
    <w:p>
      <w:pPr>
        <w:spacing w:after="0" w:line="190" w:lineRule="exact"/>
        <w:rPr>
          <w:rFonts w:ascii="Times New Roman" w:cs="Times New Roman" w:eastAsia="Times New Roman" w:hAnsi="Times New Roman"/>
          <w:sz w:val="17"/>
          <w:szCs w:val="17"/>
          <w:color w:val="auto"/>
        </w:rPr>
      </w:pPr>
    </w:p>
    <w:p>
      <w:pPr>
        <w:ind w:left="620" w:right="20" w:hanging="307"/>
        <w:spacing w:after="0" w:line="258"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Property, Plant and Equipment - </w:t>
      </w:r>
      <w:r>
        <w:rPr>
          <w:rFonts w:ascii="Times New Roman" w:cs="Times New Roman" w:eastAsia="Times New Roman" w:hAnsi="Times New Roman"/>
          <w:sz w:val="17"/>
          <w:szCs w:val="17"/>
          <w:color w:val="auto"/>
        </w:rPr>
        <w:t>the fair value estimate of acquired property, plant and equipment is determined based upon the nature of the asset using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either the cost approach, the sales comparison approach or the income capitalization approach. The cost approach measures the value of an asset by estimating the cost to acquire or reproduce comparable assets. The sales comparison approach measures the value of an asset through an analysis of comparable property sales. The income approach values the asset based on its earnings potential. The fair value of land was estimated using a sales comparison approach. Land and building improvements were valued using the cost approach. Personal property assets, such as, leasehold improvements, tooling, laboratory equipment, furniture and fixtures, and equipment, computer hardware, computer software, dies and molds were all valued using the cost approach. Transportation equipment and major manufacturing and equipment were valued using the sales comparison method. Construction-in-progress assets were valued based on the cost approach less adjustments for the nature of the assets. The fair value of property, plant and equipment will be recognized in our statements of operations over the expected useful life of the individual depreciable assets.</w:t>
      </w:r>
    </w:p>
    <w:p>
      <w:pPr>
        <w:spacing w:after="0" w:line="197" w:lineRule="exact"/>
        <w:rPr>
          <w:rFonts w:ascii="Times New Roman" w:cs="Times New Roman" w:eastAsia="Times New Roman" w:hAnsi="Times New Roman"/>
          <w:sz w:val="17"/>
          <w:szCs w:val="17"/>
          <w:color w:val="auto"/>
        </w:rPr>
      </w:pPr>
    </w:p>
    <w:p>
      <w:pPr>
        <w:ind w:left="620" w:right="160" w:hanging="307"/>
        <w:spacing w:after="0" w:line="26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Identifiable Intangible Assets - </w:t>
      </w:r>
      <w:r>
        <w:rPr>
          <w:rFonts w:ascii="Times New Roman" w:cs="Times New Roman" w:eastAsia="Times New Roman" w:hAnsi="Times New Roman"/>
          <w:sz w:val="17"/>
          <w:szCs w:val="17"/>
          <w:color w:val="auto"/>
        </w:rPr>
        <w:t>The fair value of the significant acquired identifiable intangible assets generally is determined using varying methods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income approach. This method starts with a forecast of all of the expected future net cash flows associated with the asset and then adjusts the forecast to present value by applying an appropriate discount rate that reflects the risk factors associated with the cash flow streams. Other critical estimates used to estimate the fair value are derived from royalty rates, customer retention rates and/or estimated useful lives.</w:t>
      </w:r>
    </w:p>
    <w:p>
      <w:pPr>
        <w:spacing w:after="0" w:line="190" w:lineRule="exact"/>
        <w:rPr>
          <w:rFonts w:ascii="Times New Roman" w:cs="Times New Roman" w:eastAsia="Times New Roman" w:hAnsi="Times New Roman"/>
          <w:sz w:val="17"/>
          <w:szCs w:val="17"/>
          <w:color w:val="auto"/>
        </w:rPr>
      </w:pPr>
    </w:p>
    <w:p>
      <w:pPr>
        <w:ind w:left="620" w:right="60" w:hanging="307"/>
        <w:spacing w:after="0" w:line="272" w:lineRule="auto"/>
        <w:tabs>
          <w:tab w:leader="none" w:pos="616"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Earn-out Liability - </w:t>
      </w:r>
      <w:r>
        <w:rPr>
          <w:rFonts w:ascii="Times New Roman" w:cs="Times New Roman" w:eastAsia="Times New Roman" w:hAnsi="Times New Roman"/>
          <w:sz w:val="17"/>
          <w:szCs w:val="17"/>
          <w:color w:val="auto"/>
        </w:rPr>
        <w:t>The fair value of the earn-out liabilities were valued using a Monte Carlo simulation and a probability-weighted cash flow model,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appropriate (see Note 8: Fair Value Measurements to the consolidated financial statements in Part II, Item 8 of this Annual Report on Form 10-K for details).</w:t>
      </w:r>
    </w:p>
    <w:p>
      <w:pPr>
        <w:spacing w:after="0" w:line="190" w:lineRule="exact"/>
        <w:rPr>
          <w:rFonts w:ascii="Times New Roman" w:cs="Times New Roman" w:eastAsia="Times New Roman" w:hAnsi="Times New Roman"/>
          <w:sz w:val="17"/>
          <w:szCs w:val="17"/>
          <w:i w:val="1"/>
          <w:iCs w:val="1"/>
          <w:color w:val="auto"/>
        </w:rPr>
      </w:pPr>
    </w:p>
    <w:p>
      <w:pPr>
        <w:ind w:left="62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Unanticipated events and circumstances may occur which may affect the accuracy or validity of such assumptions, estimates or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7" w:lineRule="exact"/>
        <w:rPr>
          <w:sz w:val="20"/>
          <w:szCs w:val="20"/>
          <w:color w:val="auto"/>
        </w:rPr>
      </w:pPr>
    </w:p>
    <w:p>
      <w:pPr>
        <w:jc w:val="both"/>
        <w:ind w:right="20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191"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term loan A facility currently bears interest based on Adjusted Term SOFR plus an applicable margin currently 2.00% per year. The term loan B facility currently bears interest based on Adjusted Term SOFR subject to a 0.50% floor plus an initial applicable margin of 2.5%. We used a sensitivity analyses to measure our interest rate risk exposure. If the SOFR rate increases or decreases 1% from December 31, 2022, the additional annual interest expense or savings related to the term loans would be approximately $16.8 million.</w:t>
      </w:r>
    </w:p>
    <w:p>
      <w:pPr>
        <w:spacing w:after="0" w:line="197"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excluding its final maturity on March 30, 2027 and we will pay a fixed rate of 1.32% and will receive the greater of 3-month USD SOFR or (0.15)%. The term loan B swap has an initial notional amount of $750.0 million, reducing to $46.9 million evenly on a quarterly basis excluding its final maturity on March 30, 2026 and we will pay a fixed rate of 1.17% and will receive the greater of 3-month USD SOFR or 0.35%. (see Note 7: Derivatives and Hedging Activities to the Consolidated Financial Statements in Part II, Item 8 of this Annual Report on Form 10-K).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Risk</w:t>
      </w:r>
    </w:p>
    <w:p>
      <w:pPr>
        <w:spacing w:after="0" w:line="24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potentially significant earnings volatility due to foreign exchange risk.</w:t>
      </w:r>
    </w:p>
    <w:p>
      <w:pPr>
        <w:spacing w:after="0" w:line="205"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We use foreign exchange forward contracts to hedge a portion of our forecasted foreign currency-denominated revenues and expenses (principally Mexican Pesos, Euros, Czech Koruna, Japanese Yen, U.S. Dollar, Canadian Dollar, Australian Dollar and Chinese Renminbi) that differ from the functional currency of the operating unit. These derivative contracts are designated and qualify as cash flow hedges (see Note 7: Derivatives and Hedging Activities to the consolidated financial statements in Part II, Item 8 of this Annual Report on Form 10-K). We performed a sensitivity analysis to estimate changes in the fair value of our foreign exchange derivatives due to potential changes in near-term foreign exchange rates. At December 31, 2022, the effect of a hypothetical 10% weakening in the actual foreign exchange rates used for the applicable currencies would result in an estimated decrease in the fair value of these outstanding derivatives contracts by approximately $2.5 million. The sensitivity analysis recalculates the fair value of the exchange contracts outstanding at December 31, 2022 using the actual forward rates at December 31, 2022, which are then adjusted to be 10% weaker for each respective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4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 AND SCHEDULE</w:t>
      </w:r>
    </w:p>
    <w:p>
      <w:pPr>
        <w:spacing w:after="0" w:line="32"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9320" w:type="dxa"/>
            <w:vAlign w:val="bottom"/>
          </w:tcPr>
          <w:p>
            <w:pPr>
              <w:spacing w:after="0"/>
              <w:rPr>
                <w:sz w:val="19"/>
                <w:szCs w:val="19"/>
                <w:color w:val="auto"/>
              </w:rPr>
            </w:pPr>
          </w:p>
        </w:tc>
        <w:tc>
          <w:tcPr>
            <w:tcW w:w="17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Page No.</w:t>
            </w:r>
          </w:p>
        </w:tc>
      </w:tr>
      <w:tr>
        <w:trPr>
          <w:trHeight w:val="453"/>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2022 and 2021</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2022, 2021 and 2020</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9"/>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(Loss) Income for the Years Ended December 31, 2022, 2021 and 2020</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Stockholders’ Equity for the Years Ended December 31, 2022, 2021 and 2020</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9"/>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2022, 2021 and 2020</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Schedule II-Valuation and Qualifying Accounts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ICU Medical,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08" w:lineRule="exact"/>
        <w:rPr>
          <w:sz w:val="20"/>
          <w:szCs w:val="20"/>
          <w:color w:val="auto"/>
        </w:rPr>
      </w:pPr>
    </w:p>
    <w:p>
      <w:pPr>
        <w:ind w:right="260"/>
        <w:spacing w:after="0" w:line="22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ICU Medical, Inc. and subsidiaries (the "Company") as of December 31, 2022 and 2021, the related consolidated statements of operations, comprehensive (loss) income, stockholders' equity, and cash flows, for each of the three years in the period ended</w:t>
      </w:r>
    </w:p>
    <w:p>
      <w:pPr>
        <w:spacing w:after="0" w:line="1"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17"/>
          <w:szCs w:val="17"/>
          <w:color w:val="auto"/>
        </w:rPr>
        <w:t>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w:t>
      </w: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18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27, 2023, expressed an unqualified opinion on the Company's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280"/>
        <w:spacing w:after="0" w:line="21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7"/>
          <w:szCs w:val="17"/>
          <w:color w:val="auto"/>
        </w:rPr>
        <w:t>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Chargeback Reserve — Refer to Notes 1 and 4 to the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The Company recognizes revenue for product sales net of a reserve for estimated chargebacks. Chargebacks are the difference between prices the Company charges distribution customers and contracted prices the Company has with the end-customer which are processed as credits to the distribution customers.</w:t>
      </w:r>
    </w:p>
    <w:p>
      <w:pPr>
        <w:spacing w:after="0" w:line="17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Chargebacks are accounted for as variable consideration when determining the transaction price for purposes of recognizing revenue. The Company estimates and reserves for chargebacks as a reduction of revenue at the time of sale to its distribution customers using information available at that time, including historical experience. Accounts receivable as of December 31, 2022 of $222 million and total revenues for the year ended December 31, 2022 of $2,280 million are recorded net of estimated chargebacks.</w:t>
      </w:r>
    </w:p>
    <w:p>
      <w:pPr>
        <w:spacing w:after="0" w:line="19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Given the subjectivity and complexity of evaluating management’s assumptions used in the determination of the chargeback reserve, including the chargeback amount related to monthly sales to distribution customers and the time to settle chargeback obligations, auditing the chargeback reserve requires a high degree of auditor judgment and an increased extent of effort.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Our audit procedures related to the chargeback reserve included the following, among others:</w:t>
      </w:r>
    </w:p>
    <w:p>
      <w:pPr>
        <w:spacing w:after="0" w:line="243" w:lineRule="exact"/>
        <w:rPr>
          <w:sz w:val="20"/>
          <w:szCs w:val="20"/>
          <w:color w:val="auto"/>
        </w:rPr>
      </w:pPr>
    </w:p>
    <w:p>
      <w:pPr>
        <w:ind w:left="620" w:right="320" w:hanging="307"/>
        <w:spacing w:after="0" w:line="287"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certain controls related to management's assessment of assumptions related to estimating the provision for chargeback reserves, the provisioning, processing, and monitoring of chargeback transactions, and the reconciliation of chargeback reserves.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chargeback estimates for purposes of determining whether revenues recognized at the time of sale were recorded in the proper period.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methods and assumptions used by management to estimate the chargeback reserve by:</w:t>
      </w:r>
    </w:p>
    <w:p>
      <w:pPr>
        <w:spacing w:after="0" w:line="242"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Analyzing trends in the chargeback provision as a percent of revenues and the chargeback reserve as a percent of revenues.</w:t>
      </w:r>
    </w:p>
    <w:p>
      <w:pPr>
        <w:spacing w:after="0" w:line="242" w:lineRule="exact"/>
        <w:rPr>
          <w:rFonts w:ascii="Times New Roman" w:cs="Times New Roman" w:eastAsia="Times New Roman" w:hAnsi="Times New Roman"/>
          <w:sz w:val="17"/>
          <w:szCs w:val="17"/>
          <w:color w:val="auto"/>
        </w:rPr>
      </w:pPr>
    </w:p>
    <w:p>
      <w:pPr>
        <w:ind w:left="1240" w:right="400" w:hanging="30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Testing the underlying data, including historical sales to distribution customers, chargeback settlements with distribution customers, and inventory days on hand reported from distributors, that are utilized as the basis for the chargeback reserve, to test whether the inputs to the estimate were reasonable.</w:t>
      </w:r>
    </w:p>
    <w:p>
      <w:pPr>
        <w:spacing w:after="0" w:line="191" w:lineRule="exact"/>
        <w:rPr>
          <w:rFonts w:ascii="Times New Roman" w:cs="Times New Roman" w:eastAsia="Times New Roman" w:hAnsi="Times New Roman"/>
          <w:sz w:val="17"/>
          <w:szCs w:val="17"/>
          <w:color w:val="auto"/>
        </w:rPr>
      </w:pPr>
    </w:p>
    <w:p>
      <w:pPr>
        <w:ind w:left="1240" w:right="240"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Developing an expectation of the chargeback reserve based on monthly sales to distribution customers, historical experience, and the time to settle chargeback obligations, and comparing our expectation to the amount recorded by management.</w:t>
      </w:r>
    </w:p>
    <w:p>
      <w:pPr>
        <w:spacing w:after="0" w:line="177" w:lineRule="exact"/>
        <w:rPr>
          <w:rFonts w:ascii="Times New Roman" w:cs="Times New Roman" w:eastAsia="Times New Roman" w:hAnsi="Times New Roman"/>
          <w:sz w:val="17"/>
          <w:szCs w:val="17"/>
          <w:color w:val="auto"/>
        </w:rPr>
      </w:pPr>
    </w:p>
    <w:p>
      <w:pPr>
        <w:ind w:left="1240" w:right="20" w:hanging="30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Performing retrospective reviews comparing management's estimates of expected chargeback reserves to actual amounts incurred subsequent to the dates of estimation, to assess management's ability to reasonably estimate these obligations and to identify potential bias in management's assessment of the reserve.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 Refer to Note 2 of the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completed the acquisition of Smiths Medical for $2.552 billion on January 6, 2022. The Company accounted for the acquisition under the acquisition method of accounting for business combinations. Accordingly, the purchase price was allocated to the assets acquired and liabilities assumed based on their respective fair values, including identifiable intangible assets totaling $945 million. Of the identifiable intangible assets acquired, the most significant included Customer Relationships of $510 million and Developed Technology of $400 million. The estimated fair value of identifiable intangible assets were developed using the income approach and are based on critical estimates, judgments and assumptions derived from: analysis of market conditions; discount rate; discounted cash flows; royalty rates; and/or estimated useful lives.</w:t>
      </w:r>
    </w:p>
    <w:p>
      <w:pPr>
        <w:spacing w:after="0" w:line="19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identified the purchase price accounting allocation as a critical audit matter because of the significant estimates and assumptions management makes to determine the fair value of the identifiable intangible assets acquired. This required a high degree of auditor judgment and an increased extent of effort, including the need to involve our internal fair value specialists, when performing audit procedures to evaluate the reasonableness of management’s forecasts of future cash flows and the selection of the discount rates for the identifiable intangible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business combination included the following, among others:</w:t>
      </w:r>
    </w:p>
    <w:p>
      <w:pPr>
        <w:spacing w:after="0" w:line="243" w:lineRule="exact"/>
        <w:rPr>
          <w:sz w:val="20"/>
          <w:szCs w:val="20"/>
          <w:color w:val="auto"/>
        </w:rPr>
      </w:pPr>
    </w:p>
    <w:p>
      <w:pPr>
        <w:ind w:left="620" w:right="16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the valuation of the identifiable intangible assets, including management’s controls over forecasts of future cash flows and selection of the discount rates.</w:t>
      </w:r>
    </w:p>
    <w:p>
      <w:pPr>
        <w:spacing w:after="0" w:line="177" w:lineRule="exact"/>
        <w:rPr>
          <w:rFonts w:ascii="Times New Roman" w:cs="Times New Roman" w:eastAsia="Times New Roman" w:hAnsi="Times New Roman"/>
          <w:sz w:val="17"/>
          <w:szCs w:val="17"/>
          <w:color w:val="auto"/>
        </w:rPr>
      </w:pPr>
    </w:p>
    <w:p>
      <w:pPr>
        <w:ind w:left="620" w:right="46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reasonableness of management’s forecasts of future cash flows by comparing the projections to historical results and growth rates observed for similar businesses and/or peer companies, and evidence obtained in other areas of the audit.</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also performed the following:</w:t>
      </w:r>
    </w:p>
    <w:p>
      <w:pPr>
        <w:spacing w:after="0" w:line="242"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We evaluated the reasonableness of the valuation methodologies selected.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58" w:right="439" w:bottom="1440" w:gutter="0" w:footer="0" w:header="0"/>
        </w:sectPr>
      </w:pPr>
    </w:p>
    <w:bookmarkStart w:id="63" w:name="page64"/>
    <w:bookmarkEnd w:id="63"/>
    <w:p>
      <w:pPr>
        <w:ind w:left="940"/>
        <w:spacing w:after="0"/>
        <w:rPr>
          <w:sz w:val="20"/>
          <w:szCs w:val="20"/>
          <w:color w:val="auto"/>
        </w:rPr>
      </w:pPr>
      <w:r>
        <w:rPr>
          <w:rFonts w:ascii="Times New Roman" w:cs="Times New Roman" w:eastAsia="Times New Roman" w:hAnsi="Times New Roman"/>
          <w:sz w:val="17"/>
          <w:szCs w:val="17"/>
          <w:color w:val="auto"/>
        </w:rPr>
        <w:t>–   We tested the source information underlying the determination of the discount rates and tested the mathematical accuracy of the calculations.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858" w:right="6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ICU Medical,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0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ICU Medical, Inc. and subsidiaries (the “Company”)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20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2022, of the Company and our report dated February 27, 2023, expressed an unqualified opinion on those financial statements.</w:t>
      </w:r>
    </w:p>
    <w:p>
      <w:pPr>
        <w:spacing w:after="0" w:line="19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As described in ‘Management’s Annual Report on Internal Control over Financial Reporting’, management excluded from its assessment the internal control over financial reporting at Smiths Medical, which was acquired on January 6, 2022, and whose financial statements constitute 40% of total assets and 42% of total revenues of the consolidated financial statement amounts as of and for the year ended December 31, 2022. Accordingly, our audit did not include the internal control over financial reporting at Smiths Medical.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2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ICU MEDICAL,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BALANCE SHEETS</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(Amounts in thousands, except par value data and treasury shares)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552,827</w:t>
            </w:r>
          </w:p>
        </w:tc>
        <w:tc>
          <w:tcPr>
            <w:tcW w:w="0" w:type="dxa"/>
            <w:vAlign w:val="bottom"/>
          </w:tcPr>
          <w:p>
            <w:pPr>
              <w:spacing w:after="0"/>
              <w:rPr>
                <w:sz w:val="1"/>
                <w:szCs w:val="1"/>
                <w:color w:val="auto"/>
              </w:rPr>
            </w:pPr>
          </w:p>
        </w:tc>
      </w:tr>
      <w:tr>
        <w:trPr>
          <w:trHeight w:val="219"/>
        </w:trPr>
        <w:tc>
          <w:tcPr>
            <w:tcW w:w="8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Short-term investment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CASH, CASH EQUIVALENTS AND SHORT-TERM INVESTMENT SECURITIES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567,247</w:t>
            </w:r>
          </w:p>
        </w:tc>
        <w:tc>
          <w:tcPr>
            <w:tcW w:w="0" w:type="dxa"/>
            <w:vAlign w:val="bottom"/>
          </w:tcPr>
          <w:p>
            <w:pPr>
              <w:spacing w:after="0"/>
              <w:rPr>
                <w:sz w:val="1"/>
                <w:szCs w:val="1"/>
                <w:color w:val="auto"/>
              </w:rPr>
            </w:pPr>
          </w:p>
        </w:tc>
      </w:tr>
      <w:tr>
        <w:trPr>
          <w:trHeight w:val="168"/>
        </w:trPr>
        <w:tc>
          <w:tcPr>
            <w:tcW w:w="838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$8,530 and $7,038 at December 31, 2022 and 2021,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respectively</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221,719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105,894</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696,009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290,235</w:t>
            </w:r>
          </w:p>
        </w:tc>
        <w:tc>
          <w:tcPr>
            <w:tcW w:w="0" w:type="dxa"/>
            <w:vAlign w:val="bottom"/>
          </w:tcPr>
          <w:p>
            <w:pPr>
              <w:spacing w:after="0"/>
              <w:rPr>
                <w:sz w:val="1"/>
                <w:szCs w:val="1"/>
                <w:color w:val="auto"/>
              </w:rPr>
            </w:pPr>
          </w:p>
        </w:tc>
      </w:tr>
      <w:tr>
        <w:trPr>
          <w:trHeight w:val="219"/>
        </w:trPr>
        <w:tc>
          <w:tcPr>
            <w:tcW w:w="8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Prepaid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19,586</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46,847</w:t>
            </w:r>
          </w:p>
        </w:tc>
        <w:tc>
          <w:tcPr>
            <w:tcW w:w="0" w:type="dxa"/>
            <w:vAlign w:val="bottom"/>
          </w:tcPr>
          <w:p>
            <w:pPr>
              <w:spacing w:after="0"/>
              <w:rPr>
                <w:sz w:val="1"/>
                <w:szCs w:val="1"/>
                <w:color w:val="auto"/>
              </w:rPr>
            </w:pPr>
          </w:p>
        </w:tc>
      </w:tr>
      <w:tr>
        <w:trPr>
          <w:trHeight w:val="212"/>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1,235,196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1,029,809</w:t>
            </w:r>
          </w:p>
        </w:tc>
        <w:tc>
          <w:tcPr>
            <w:tcW w:w="0" w:type="dxa"/>
            <w:vAlign w:val="bottom"/>
          </w:tcPr>
          <w:p>
            <w:pPr>
              <w:spacing w:after="0"/>
              <w:rPr>
                <w:sz w:val="1"/>
                <w:szCs w:val="1"/>
                <w:color w:val="auto"/>
              </w:rPr>
            </w:pPr>
          </w:p>
        </w:tc>
      </w:tr>
      <w:tr>
        <w:trPr>
          <w:trHeight w:val="186"/>
        </w:trPr>
        <w:tc>
          <w:tcPr>
            <w:tcW w:w="8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636,113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468,365</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39,847</w:t>
            </w: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INVESTMENT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1,449,258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43,439</w:t>
            </w: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982,766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188,311</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42,604</w:t>
            </w:r>
          </w:p>
        </w:tc>
        <w:tc>
          <w:tcPr>
            <w:tcW w:w="0" w:type="dxa"/>
            <w:vAlign w:val="bottom"/>
          </w:tcPr>
          <w:p>
            <w:pPr>
              <w:spacing w:after="0"/>
              <w:rPr>
                <w:sz w:val="1"/>
                <w:szCs w:val="1"/>
                <w:color w:val="auto"/>
              </w:rPr>
            </w:pPr>
          </w:p>
        </w:tc>
      </w:tr>
      <w:tr>
        <w:trPr>
          <w:trHeight w:val="21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63,743</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4,515,641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1,880,738</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215,902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81,128</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118,195</w:t>
            </w:r>
          </w:p>
        </w:tc>
        <w:tc>
          <w:tcPr>
            <w:tcW w:w="0" w:type="dxa"/>
            <w:vAlign w:val="bottom"/>
          </w:tcPr>
          <w:p>
            <w:pPr>
              <w:spacing w:after="0"/>
              <w:rPr>
                <w:sz w:val="1"/>
                <w:szCs w:val="1"/>
                <w:color w:val="auto"/>
              </w:rPr>
            </w:pPr>
          </w:p>
        </w:tc>
      </w:tr>
      <w:tr>
        <w:trPr>
          <w:trHeight w:val="219"/>
        </w:trPr>
        <w:tc>
          <w:tcPr>
            <w:tcW w:w="8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payable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0" w:type="dxa"/>
            <w:vAlign w:val="bottom"/>
          </w:tcPr>
          <w:p>
            <w:pPr>
              <w:spacing w:after="0"/>
              <w:rPr>
                <w:sz w:val="1"/>
                <w:szCs w:val="1"/>
                <w:color w:val="auto"/>
              </w:rPr>
            </w:pPr>
          </w:p>
        </w:tc>
      </w:tr>
      <w:tr>
        <w:trPr>
          <w:trHeight w:val="212"/>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494,559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200,777</w:t>
            </w:r>
          </w:p>
        </w:tc>
        <w:tc>
          <w:tcPr>
            <w:tcW w:w="0" w:type="dxa"/>
            <w:vAlign w:val="bottom"/>
          </w:tcPr>
          <w:p>
            <w:pPr>
              <w:spacing w:after="0"/>
              <w:rPr>
                <w:sz w:val="1"/>
                <w:szCs w:val="1"/>
                <w:color w:val="auto"/>
              </w:rPr>
            </w:pPr>
          </w:p>
        </w:tc>
      </w:tr>
      <w:tr>
        <w:trPr>
          <w:trHeight w:val="186"/>
        </w:trPr>
        <w:tc>
          <w:tcPr>
            <w:tcW w:w="8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CONTINGENT EARN-OUT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1,623,675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41,830</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18,021</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Convertible preferred stock, $1.00 par value; Authorized—500 shares; Issued and outstanding— none</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838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Common stock, $0.10 par value; Authorized—80,000 shares; Issued—23,995 and 21,280 shares at December 31, 2022</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2021, respectively, and outstanding—23,993 and 21,280 shares at December 31, 2022 and 2021, respectively</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1,331,249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721,412</w:t>
            </w:r>
          </w:p>
        </w:tc>
        <w:tc>
          <w:tcPr>
            <w:tcW w:w="0" w:type="dxa"/>
            <w:vAlign w:val="bottom"/>
          </w:tcPr>
          <w:p>
            <w:pPr>
              <w:spacing w:after="0"/>
              <w:rPr>
                <w:sz w:val="1"/>
                <w:szCs w:val="1"/>
                <w:color w:val="auto"/>
              </w:rPr>
            </w:pPr>
          </w:p>
        </w:tc>
      </w:tr>
      <w:tr>
        <w:trPr>
          <w:trHeight w:val="219"/>
        </w:trPr>
        <w:tc>
          <w:tcPr>
            <w:tcW w:w="8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Treasury stock, at cost (1,633 and 119 shares, respectively)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911,787</w:t>
            </w:r>
          </w:p>
        </w:tc>
        <w:tc>
          <w:tcPr>
            <w:tcW w:w="0" w:type="dxa"/>
            <w:vAlign w:val="bottom"/>
          </w:tcPr>
          <w:p>
            <w:pPr>
              <w:spacing w:after="0"/>
              <w:rPr>
                <w:sz w:val="1"/>
                <w:szCs w:val="1"/>
                <w:color w:val="auto"/>
              </w:rPr>
            </w:pPr>
          </w:p>
        </w:tc>
      </w:tr>
      <w:tr>
        <w:trPr>
          <w:trHeight w:val="219"/>
        </w:trPr>
        <w:tc>
          <w:tcPr>
            <w:tcW w:w="8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(19,269)</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2,089,928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1,616,031</w:t>
            </w:r>
          </w:p>
        </w:tc>
        <w:tc>
          <w:tcPr>
            <w:tcW w:w="0" w:type="dxa"/>
            <w:vAlign w:val="bottom"/>
          </w:tcPr>
          <w:p>
            <w:pPr>
              <w:spacing w:after="0"/>
              <w:rPr>
                <w:sz w:val="1"/>
                <w:szCs w:val="1"/>
                <w:color w:val="auto"/>
              </w:rPr>
            </w:pPr>
          </w:p>
        </w:tc>
      </w:tr>
      <w:tr>
        <w:trPr>
          <w:trHeight w:val="212"/>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4,515,641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1,880,738</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4" w:right="33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ICU MEDICAL,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(Amounts in thousands, except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r>
      <w:tr>
        <w:trPr>
          <w:trHeight w:val="201"/>
        </w:trPr>
        <w:tc>
          <w:tcPr>
            <w:tcW w:w="69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2,279,997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1,271,004</w:t>
            </w:r>
          </w:p>
        </w:tc>
      </w:tr>
      <w:tr>
        <w:trPr>
          <w:trHeight w:val="21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1,582,236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824,818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809,507</w:t>
            </w:r>
          </w:p>
        </w:tc>
      </w:tr>
      <w:tr>
        <w:trPr>
          <w:trHeight w:val="212"/>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697,761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491,490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461,497</w:t>
            </w:r>
          </w:p>
        </w:tc>
      </w:tr>
      <w:tr>
        <w:trPr>
          <w:trHeight w:val="199"/>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283,953</w:t>
            </w:r>
          </w:p>
        </w:tc>
      </w:tr>
      <w:tr>
        <w:trPr>
          <w:trHeight w:val="219"/>
        </w:trPr>
        <w:tc>
          <w:tcPr>
            <w:tcW w:w="6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42,948</w:t>
            </w: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strategic transaction and integration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28,409</w:t>
            </w:r>
          </w:p>
        </w:tc>
      </w:tr>
      <w:tr>
        <w:trPr>
          <w:trHeight w:val="219"/>
        </w:trPr>
        <w:tc>
          <w:tcPr>
            <w:tcW w:w="6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r>
      <w:tr>
        <w:trPr>
          <w:trHeight w:val="21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 settlement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w:t>
            </w:r>
          </w:p>
        </w:tc>
      </w:tr>
      <w:tr>
        <w:trPr>
          <w:trHeight w:val="212"/>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740,659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368,245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363,335</w:t>
            </w: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98,162</w:t>
            </w:r>
          </w:p>
        </w:tc>
      </w:tr>
      <w:tr>
        <w:trPr>
          <w:trHeight w:val="219"/>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w:t>
            </w: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97,494</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(10,624)</w:t>
            </w: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103,135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86,870</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5"/>
        </w:trPr>
        <w:tc>
          <w:tcPr>
            <w:tcW w:w="69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NET (LOSS) INCOME PER SHARE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9"/>
        </w:trPr>
        <w:tc>
          <w:tcPr>
            <w:tcW w:w="6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19"/>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19"/>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20,907</w:t>
            </w:r>
          </w:p>
        </w:tc>
      </w:tr>
      <w:tr>
        <w:trPr>
          <w:trHeight w:val="223"/>
        </w:trPr>
        <w:tc>
          <w:tcPr>
            <w:tcW w:w="6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21,591</w:t>
            </w:r>
          </w:p>
        </w:tc>
      </w:tr>
    </w:tbl>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4" w:right="339" w:bottom="1440" w:gutter="0" w:footer="0" w:header="0"/>
        </w:sectPr>
      </w:pPr>
    </w:p>
    <w:bookmarkStart w:id="67" w:name="page68"/>
    <w:bookmarkEnd w:id="67"/>
    <w:p>
      <w:pPr>
        <w:jc w:val="center"/>
        <w:spacing w:after="0" w:line="272"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ICU MEDICAL, INC. AND SUBSIDIARIES CONSOLIDATED STATEMENTS OF COMPREHENSIVE (LOSS) INCOME </w:t>
      </w:r>
      <w:r>
        <w:rPr>
          <w:rFonts w:ascii="Times New Roman" w:cs="Times New Roman" w:eastAsia="Times New Roman" w:hAnsi="Times New Roman"/>
          <w:sz w:val="17"/>
          <w:szCs w:val="17"/>
          <w:color w:val="auto"/>
        </w:rPr>
        <w:t>(Amounts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01"/>
        </w:trPr>
        <w:tc>
          <w:tcPr>
            <w:tcW w:w="68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103,135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86,870</w:t>
            </w:r>
          </w:p>
        </w:tc>
      </w:tr>
      <w:tr>
        <w:trPr>
          <w:trHeight w:val="219"/>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8"/>
        </w:trPr>
        <w:tc>
          <w:tcPr>
            <w:tcW w:w="68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Cash flow hedge adjustments, net of tax of $12,941, $(954) and $285 for the years ended</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2"/>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December 31, 2022, 2021 and 2020, respectively</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41,016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19"/>
        </w:trPr>
        <w:tc>
          <w:tcPr>
            <w:tcW w:w="6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 adjustment, net of tax of $0 for all periods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12,929</w:t>
            </w:r>
          </w:p>
        </w:tc>
      </w:tr>
      <w:tr>
        <w:trPr>
          <w:trHeight w:val="21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adjustments, net of tax of $0 for all periods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2"/>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(61,709)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13,880</w:t>
            </w: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(135,995)</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85,388</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100,750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540" w:type="dxa"/>
            <w:vAlign w:val="bottom"/>
            <w:gridSpan w:val="4"/>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060" w:type="dxa"/>
            <w:vAlign w:val="bottom"/>
          </w:tcPr>
          <w:p>
            <w:pPr>
              <w:spacing w:after="0"/>
              <w:rPr>
                <w:sz w:val="12"/>
                <w:szCs w:val="12"/>
                <w:color w:val="auto"/>
              </w:rPr>
            </w:pPr>
          </w:p>
        </w:tc>
        <w:tc>
          <w:tcPr>
            <w:tcW w:w="15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00" w:type="dxa"/>
            <w:vAlign w:val="bottom"/>
          </w:tcPr>
          <w:p>
            <w:pPr>
              <w:spacing w:after="0"/>
              <w:rPr>
                <w:sz w:val="12"/>
                <w:szCs w:val="12"/>
                <w:color w:val="auto"/>
              </w:rPr>
            </w:pPr>
          </w:p>
        </w:tc>
        <w:tc>
          <w:tcPr>
            <w:tcW w:w="8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4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7"/>
                <w:szCs w:val="17"/>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(Loss) Income</w:t>
            </w:r>
          </w:p>
        </w:tc>
        <w:tc>
          <w:tcPr>
            <w:tcW w:w="78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0"/>
        </w:trPr>
        <w:tc>
          <w:tcPr>
            <w:tcW w:w="5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January 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20,742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2,074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668,947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721,782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(15,402)</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$1,377,244</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13,193</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withholding payments related to net share settlement of equity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(12,876)</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13,880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13,880</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86,870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86,870</w:t>
            </w:r>
          </w:p>
        </w:tc>
        <w:tc>
          <w:tcPr>
            <w:tcW w:w="0" w:type="dxa"/>
            <w:vAlign w:val="bottom"/>
          </w:tcPr>
          <w:p>
            <w:pPr>
              <w:spacing w:after="0"/>
              <w:rPr>
                <w:sz w:val="1"/>
                <w:szCs w:val="1"/>
                <w:color w:val="auto"/>
              </w:rPr>
            </w:pPr>
          </w:p>
        </w:tc>
      </w:tr>
      <w:tr>
        <w:trPr>
          <w:trHeight w:val="202"/>
        </w:trPr>
        <w:tc>
          <w:tcPr>
            <w:tcW w:w="5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21,058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693,068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808,652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(1,522)</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1,502,265</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9,372</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withholding payments related to net share settlement of equity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(8,335)</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27,341</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(17,747)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(17,747)</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103,135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103,135</w:t>
            </w:r>
          </w:p>
        </w:tc>
        <w:tc>
          <w:tcPr>
            <w:tcW w:w="0" w:type="dxa"/>
            <w:vAlign w:val="bottom"/>
          </w:tcPr>
          <w:p>
            <w:pPr>
              <w:spacing w:after="0"/>
              <w:rPr>
                <w:sz w:val="1"/>
                <w:szCs w:val="1"/>
                <w:color w:val="auto"/>
              </w:rPr>
            </w:pPr>
          </w:p>
        </w:tc>
      </w:tr>
      <w:tr>
        <w:trPr>
          <w:trHeight w:val="202"/>
        </w:trPr>
        <w:tc>
          <w:tcPr>
            <w:tcW w:w="5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21,280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2,128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721,412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911,787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(19,269)</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1,616,031</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8,785</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withholding payments related to net share settlement of equity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(10,883)</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575,725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575,975</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36,025</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(61,709)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(61,719)</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(74,286)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(74,286)</w:t>
            </w:r>
          </w:p>
        </w:tc>
        <w:tc>
          <w:tcPr>
            <w:tcW w:w="0" w:type="dxa"/>
            <w:vAlign w:val="bottom"/>
          </w:tcPr>
          <w:p>
            <w:pPr>
              <w:spacing w:after="0"/>
              <w:rPr>
                <w:sz w:val="1"/>
                <w:szCs w:val="1"/>
                <w:color w:val="auto"/>
              </w:rPr>
            </w:pPr>
          </w:p>
        </w:tc>
      </w:tr>
      <w:tr>
        <w:trPr>
          <w:trHeight w:val="202"/>
        </w:trPr>
        <w:tc>
          <w:tcPr>
            <w:tcW w:w="50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23,995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2,399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1,331,249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837,501</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(80,978)</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2,089,928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8" w:right="33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5"/>
          <w:szCs w:val="15"/>
          <w:b w:val="1"/>
          <w:bCs w:val="1"/>
          <w:u w:val="single" w:color="auto"/>
          <w:color w:val="auto"/>
        </w:rPr>
        <w:t>ICU MEDICAL, INC.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u w:val="single" w:color="auto"/>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(Amounts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9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2"/>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8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(74,286)</w:t>
            </w:r>
          </w:p>
        </w:tc>
        <w:tc>
          <w:tcPr>
            <w:tcW w:w="4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103,135</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86,870</w:t>
            </w:r>
          </w:p>
        </w:tc>
      </w:tr>
      <w:tr>
        <w:trPr>
          <w:trHeight w:val="20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85,631</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expense for inventory step-up</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9,216</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7,137</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warranty and returns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compensation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23,954</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(gain) on disposal or write-off of property, plant and equipment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r>
      <w:tr>
        <w:trPr>
          <w:trHeight w:val="227"/>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Bond premium amortization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issuance cost amortization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earn-out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Product-related charges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Usage of spare parts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11,191</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 net of amounts acquired:</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1"/>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78,049</w:t>
            </w:r>
          </w:p>
        </w:tc>
      </w:tr>
      <w:tr>
        <w:trPr>
          <w:trHeight w:val="186"/>
        </w:trPr>
        <w:tc>
          <w:tcPr>
            <w:tcW w:w="6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w:t>
            </w:r>
          </w:p>
        </w:tc>
      </w:tr>
      <w:tr>
        <w:trPr>
          <w:trHeight w:val="201"/>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w:t>
            </w:r>
          </w:p>
        </w:tc>
      </w:tr>
      <w:tr>
        <w:trPr>
          <w:trHeight w:val="186"/>
        </w:trPr>
        <w:tc>
          <w:tcPr>
            <w:tcW w:w="6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(16,069)</w:t>
            </w:r>
          </w:p>
        </w:tc>
      </w:tr>
      <w:tr>
        <w:trPr>
          <w:trHeight w:val="201"/>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(46,415)</w:t>
            </w:r>
          </w:p>
        </w:tc>
      </w:tr>
      <w:tr>
        <w:trPr>
          <w:trHeight w:val="186"/>
        </w:trPr>
        <w:tc>
          <w:tcPr>
            <w:tcW w:w="6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(29,379)</w:t>
            </w:r>
          </w:p>
        </w:tc>
      </w:tr>
      <w:tr>
        <w:trPr>
          <w:trHeight w:val="201"/>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taxes, including excess tax benefits and deferred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(18,037)</w:t>
            </w:r>
          </w:p>
        </w:tc>
      </w:tr>
      <w:tr>
        <w:trPr>
          <w:trHeight w:val="179"/>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(62,129)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267,538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222,752</w:t>
            </w:r>
          </w:p>
        </w:tc>
      </w:tr>
      <w:tr>
        <w:trPr>
          <w:trHeight w:val="17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(92,005)</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additions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(8,385)</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(1,844,164)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in non-marketable equity securities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(32,825)</w:t>
            </w:r>
          </w:p>
        </w:tc>
      </w:tr>
      <w:tr>
        <w:trPr>
          <w:trHeight w:val="186"/>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Proceeds from sale of investment securities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36,433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28,900</w:t>
            </w:r>
          </w:p>
        </w:tc>
      </w:tr>
      <w:tr>
        <w:trPr>
          <w:trHeight w:val="193"/>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(1,909,468)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(98,139)</w:t>
            </w:r>
          </w:p>
        </w:tc>
      </w:tr>
      <w:tr>
        <w:trPr>
          <w:trHeight w:val="164"/>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long-term debt, net of lender debt issuance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1,664,362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repayments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of third-party debt issuance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short-term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short-term debt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13,193</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6"/>
        </w:trPr>
        <w:tc>
          <w:tcPr>
            <w:tcW w:w="6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contingent earn-out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(12,876)</w:t>
            </w:r>
          </w:p>
        </w:tc>
      </w:tr>
      <w:tr>
        <w:trPr>
          <w:trHeight w:val="179"/>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1,637,032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w:t>
            </w:r>
          </w:p>
        </w:tc>
      </w:tr>
      <w:tr>
        <w:trPr>
          <w:trHeight w:val="179"/>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(344,043)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127,427</w:t>
            </w:r>
          </w:p>
        </w:tc>
      </w:tr>
      <w:tr>
        <w:trPr>
          <w:trHeight w:val="20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552,827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396,097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268,670</w:t>
            </w:r>
          </w:p>
        </w:tc>
      </w:tr>
      <w:tr>
        <w:trPr>
          <w:trHeight w:val="18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208,784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552,827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396,097</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742" w:right="33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ICU MEDICAL,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CASH FLOWS - 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03"/>
        </w:trPr>
        <w:tc>
          <w:tcPr>
            <w:tcW w:w="6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during the year for income taxes</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27,504</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19,562</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31,628</w:t>
            </w:r>
          </w:p>
        </w:tc>
      </w:tr>
      <w:tr>
        <w:trPr>
          <w:trHeight w:val="20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paid during the year for interest</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63,713</w:t>
            </w:r>
          </w:p>
        </w:tc>
        <w:tc>
          <w:tcPr>
            <w:tcW w:w="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1,753</w:t>
            </w:r>
          </w:p>
        </w:tc>
      </w:tr>
      <w:tr>
        <w:trPr>
          <w:trHeight w:val="258"/>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NON-CASH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6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 for property, plant and equipment</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4,854</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9,338</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2,211</w:t>
            </w:r>
          </w:p>
        </w:tc>
      </w:tr>
      <w:tr>
        <w:trPr>
          <w:trHeight w:val="209"/>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Non-compete agreement with associated contingent earn-out liability</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58"/>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6"/>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Detail of assets acquired and liabilities assumed in acquisitions: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69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Fair value of assets acquired</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1,606,300</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(1,844,164)</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3"/>
        </w:trPr>
        <w:tc>
          <w:tcPr>
            <w:tcW w:w="69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for acquisitions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(575,975)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(55,158)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3"/>
        </w:trPr>
        <w:tc>
          <w:tcPr>
            <w:tcW w:w="6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Goodwill, acquired/adjusted during period</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1,462,752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10,626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r>
      <w:tr>
        <w:trPr>
          <w:trHeight w:val="222"/>
        </w:trPr>
        <w:tc>
          <w:tcPr>
            <w:tcW w:w="6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Liabilities assumed/Adjustments to liabilities assumed</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593,755</w:t>
            </w:r>
          </w:p>
        </w:tc>
        <w:tc>
          <w:tcPr>
            <w:tcW w:w="9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738"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PRESENTATION AND SIGNIFICANT ACCOUNTING POLICIES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Nature of Operations</w:t>
      </w:r>
    </w:p>
    <w:p>
      <w:pPr>
        <w:spacing w:after="0" w:line="217"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17"/>
          <w:szCs w:val="17"/>
          <w:color w:val="auto"/>
        </w:rPr>
        <w:t>ICU Medical, Inc. ("ICU" or "we"), a Delaware corporation, develops, manufactures and sells infusion systems, infusion consumables and high-value critical care products used in hospital, alternate site and home care settings. Our wide-ranging product portfolio includes IV solutions, IV smart pumps with pain management and safety software technology, dedicated and non-dedicated IV sets and needlefree connectors designed to help meet clinical, safety and workflow goals. We also manufacture automated pharmacy IV compounding systems with workflow technology, closed systems transfer devices for preparing and administering hazardous IV drugs, and cardiac monitoring systems for critically ill patients. Our recent acquisition of Smiths Medical broadened our product portfolio to include, among other products, syringe and ambulatory pumps, peripheral IV catheters, fluid warming and respiratory devices, silicone and PVC tracheotomy tubes. ICU's business activities are interrelated and leverage shared manufacturing, supply chain, IT and other supporting infrastructure. All significant operating decisions are based on analysis of ICU as a single global business, accordingly we operate in one business segment.</w:t>
      </w:r>
    </w:p>
    <w:p>
      <w:pPr>
        <w:spacing w:after="0" w:line="201"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We sell the majority of our products globally through our direct sales force and through independent distributors. Additionally, we sell our products on an original equipment manufacturer basis to other medical device manufacturers.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Basis of Presentation</w:t>
      </w:r>
    </w:p>
    <w:p>
      <w:pPr>
        <w:spacing w:after="0" w:line="243"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All subsidiaries are wholly owned and are included in the consolidated financial statements. All intercompany accounts and transactions have been eliminated. Results of operations of companies purchased are included from the dates of acquisition.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consolidated financial statements reflect all adjustments, which are normal and recurring in nature, necessary for fair financial statement presentation.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consolidated financial statements were prepared in accordance with accounting principles generally accepted in the U.S. ("GAAP").</w:t>
      </w:r>
    </w:p>
    <w:p>
      <w:pPr>
        <w:spacing w:after="0" w:line="226"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Certain reclassifications have been made to the prior year financial statements and footnotes to conform to the presentation used in the current year. In the statements of operations we reclassified interest income to interest (expense) income, net from other income (expense), net and in Note 4: Revenues, certain reclassifications were made to revenues disaggregated by geography. These reclassifications had no impact on net (loss) income, shareholder's equity or cash flows as previously reported.</w:t>
      </w:r>
    </w:p>
    <w:p>
      <w:pPr>
        <w:spacing w:after="0" w:line="197"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On January 6, 2022, we acquired Smiths Medical 2020 Limited ("Smiths Medical"), see Note 2: Acquisitions. Our consolidated statement of operations includes the results of operations for Smiths Medical from January 7, 2022 through December 31,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Use of Estimates</w:t>
      </w:r>
    </w:p>
    <w:p>
      <w:pPr>
        <w:spacing w:after="0" w:line="243"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Cash and Cash Equivalents</w:t>
      </w:r>
    </w:p>
    <w:p>
      <w:pPr>
        <w:spacing w:after="0" w:line="217"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Cash equivalents are short-term, highly liquid investments that are readily convertible to known amounts of cash and have original maturities of three months or less from the date of purchase.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Accounts receivable are stated at net realizable value. An allowance is provided for estimated collection losses based on an assessment of various factors. We consider prior payment trends, the age of the accounts receivable balances, the financial status of our customers and other factors to estimate the cash which ultimately will be received. Such amounts cannot be known with certainty at the financial statement date. We regularly review individual past due balances for collectability.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Inventories</w:t>
      </w:r>
    </w:p>
    <w:p>
      <w:pPr>
        <w:spacing w:after="0" w:line="217" w:lineRule="exact"/>
        <w:rPr>
          <w:sz w:val="20"/>
          <w:szCs w:val="20"/>
          <w:color w:val="auto"/>
        </w:rPr>
      </w:pPr>
    </w:p>
    <w:p>
      <w:pPr>
        <w:ind w:right="620" w:firstLine="619"/>
        <w:spacing w:after="0" w:line="287"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715"/>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0" w:type="dxa"/>
            <w:vAlign w:val="bottom"/>
          </w:tcPr>
          <w:p>
            <w:pPr>
              <w:spacing w:after="0"/>
              <w:rPr>
                <w:sz w:val="1"/>
                <w:szCs w:val="1"/>
                <w:color w:val="auto"/>
              </w:rPr>
            </w:pPr>
          </w:p>
        </w:tc>
      </w:tr>
      <w:tr>
        <w:trPr>
          <w:trHeight w:val="201"/>
        </w:trPr>
        <w:tc>
          <w:tcPr>
            <w:tcW w:w="2120" w:type="dxa"/>
            <w:vAlign w:val="bottom"/>
            <w:tcBorders>
              <w:bottom w:val="single" w:sz="8" w:color="CCEEFF"/>
            </w:tcBorders>
          </w:tcPr>
          <w:p>
            <w:pPr>
              <w:spacing w:after="0"/>
              <w:rPr>
                <w:sz w:val="17"/>
                <w:szCs w:val="17"/>
                <w:color w:val="auto"/>
              </w:rPr>
            </w:pPr>
          </w:p>
        </w:tc>
        <w:tc>
          <w:tcPr>
            <w:tcW w:w="62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135,528</w:t>
            </w:r>
          </w:p>
        </w:tc>
        <w:tc>
          <w:tcPr>
            <w:tcW w:w="0" w:type="dxa"/>
            <w:vAlign w:val="bottom"/>
          </w:tcPr>
          <w:p>
            <w:pPr>
              <w:spacing w:after="0"/>
              <w:rPr>
                <w:sz w:val="1"/>
                <w:szCs w:val="1"/>
                <w:color w:val="auto"/>
              </w:rPr>
            </w:pPr>
          </w:p>
        </w:tc>
      </w:tr>
      <w:tr>
        <w:trPr>
          <w:trHeight w:val="21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36,490</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118,217</w:t>
            </w:r>
          </w:p>
        </w:tc>
        <w:tc>
          <w:tcPr>
            <w:tcW w:w="0" w:type="dxa"/>
            <w:vAlign w:val="bottom"/>
          </w:tcPr>
          <w:p>
            <w:pPr>
              <w:spacing w:after="0"/>
              <w:rPr>
                <w:sz w:val="1"/>
                <w:szCs w:val="1"/>
                <w:color w:val="auto"/>
              </w:rPr>
            </w:pPr>
          </w:p>
        </w:tc>
      </w:tr>
      <w:tr>
        <w:trPr>
          <w:trHeight w:val="212"/>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696,009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290,235</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2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120" w:type="dxa"/>
            <w:vAlign w:val="bottom"/>
            <w:tcBorders>
              <w:bottom w:val="single" w:sz="8" w:color="auto"/>
            </w:tcBorders>
            <w:vMerge w:val="continue"/>
          </w:tcPr>
          <w:p>
            <w:pPr>
              <w:spacing w:after="0"/>
              <w:rPr>
                <w:sz w:val="24"/>
                <w:szCs w:val="24"/>
                <w:color w:val="auto"/>
              </w:rPr>
            </w:pPr>
          </w:p>
        </w:tc>
        <w:tc>
          <w:tcPr>
            <w:tcW w:w="62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Property, plant and equipment consists of the following (in thousands):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1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695"/>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0" w:type="dxa"/>
            <w:vAlign w:val="bottom"/>
          </w:tcPr>
          <w:p>
            <w:pPr>
              <w:spacing w:after="0"/>
              <w:rPr>
                <w:sz w:val="1"/>
                <w:szCs w:val="1"/>
                <w:color w:val="auto"/>
              </w:rPr>
            </w:pPr>
          </w:p>
        </w:tc>
      </w:tr>
      <w:tr>
        <w:trPr>
          <w:trHeight w:val="201"/>
        </w:trPr>
        <w:tc>
          <w:tcPr>
            <w:tcW w:w="2120" w:type="dxa"/>
            <w:vAlign w:val="bottom"/>
            <w:tcBorders>
              <w:bottom w:val="single" w:sz="8" w:color="CCEEFF"/>
            </w:tcBorders>
          </w:tcPr>
          <w:p>
            <w:pPr>
              <w:spacing w:after="0"/>
              <w:rPr>
                <w:sz w:val="17"/>
                <w:szCs w:val="17"/>
                <w:color w:val="auto"/>
              </w:rPr>
            </w:pPr>
          </w:p>
        </w:tc>
        <w:tc>
          <w:tcPr>
            <w:tcW w:w="6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414,811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321,078</w:t>
            </w:r>
          </w:p>
        </w:tc>
        <w:tc>
          <w:tcPr>
            <w:tcW w:w="0" w:type="dxa"/>
            <w:vAlign w:val="bottom"/>
          </w:tcPr>
          <w:p>
            <w:pPr>
              <w:spacing w:after="0"/>
              <w:rPr>
                <w:sz w:val="1"/>
                <w:szCs w:val="1"/>
                <w:color w:val="auto"/>
              </w:rPr>
            </w:pPr>
          </w:p>
        </w:tc>
      </w:tr>
      <w:tr>
        <w:trPr>
          <w:trHeight w:val="21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Land, building and building improvements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274,063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243,377</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Molds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60,463</w:t>
            </w:r>
          </w:p>
        </w:tc>
        <w:tc>
          <w:tcPr>
            <w:tcW w:w="0" w:type="dxa"/>
            <w:vAlign w:val="bottom"/>
          </w:tcPr>
          <w:p>
            <w:pPr>
              <w:spacing w:after="0"/>
              <w:rPr>
                <w:sz w:val="1"/>
                <w:szCs w:val="1"/>
                <w:color w:val="auto"/>
              </w:rPr>
            </w:pPr>
          </w:p>
        </w:tc>
      </w:tr>
      <w:tr>
        <w:trPr>
          <w:trHeight w:val="21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102,979</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w:t>
            </w:r>
          </w:p>
        </w:tc>
        <w:tc>
          <w:tcPr>
            <w:tcW w:w="0" w:type="dxa"/>
            <w:vAlign w:val="bottom"/>
          </w:tcPr>
          <w:p>
            <w:pPr>
              <w:spacing w:after="0"/>
              <w:rPr>
                <w:sz w:val="1"/>
                <w:szCs w:val="1"/>
                <w:color w:val="auto"/>
              </w:rPr>
            </w:pPr>
          </w:p>
        </w:tc>
      </w:tr>
      <w:tr>
        <w:trPr>
          <w:trHeight w:val="219"/>
        </w:trPr>
        <w:tc>
          <w:tcPr>
            <w:tcW w:w="83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Instruments placed with customers</w:t>
            </w:r>
            <w:r>
              <w:rPr>
                <w:rFonts w:ascii="Times New Roman" w:cs="Times New Roman" w:eastAsia="Times New Roman" w:hAnsi="Times New Roman"/>
                <w:sz w:val="22"/>
                <w:szCs w:val="22"/>
                <w:color w:val="auto"/>
                <w:vertAlign w:val="superscript"/>
              </w:rPr>
              <w:t>(1)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97,384</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152,909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72,153</w:t>
            </w:r>
          </w:p>
        </w:tc>
        <w:tc>
          <w:tcPr>
            <w:tcW w:w="0" w:type="dxa"/>
            <w:vAlign w:val="bottom"/>
          </w:tcPr>
          <w:p>
            <w:pPr>
              <w:spacing w:after="0"/>
              <w:rPr>
                <w:sz w:val="1"/>
                <w:szCs w:val="1"/>
                <w:color w:val="auto"/>
              </w:rPr>
            </w:pPr>
          </w:p>
        </w:tc>
      </w:tr>
      <w:tr>
        <w:trPr>
          <w:trHeight w:val="212"/>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property, plant and equipment, cost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1,162,557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905,104</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(526,444)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(436,739)</w:t>
            </w:r>
          </w:p>
        </w:tc>
        <w:tc>
          <w:tcPr>
            <w:tcW w:w="0" w:type="dxa"/>
            <w:vAlign w:val="bottom"/>
          </w:tcPr>
          <w:p>
            <w:pPr>
              <w:spacing w:after="0"/>
              <w:rPr>
                <w:sz w:val="1"/>
                <w:szCs w:val="1"/>
                <w:color w:val="auto"/>
              </w:rPr>
            </w:pPr>
          </w:p>
        </w:tc>
      </w:tr>
      <w:tr>
        <w:trPr>
          <w:trHeight w:val="212"/>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636,113</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468,365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2" w:lineRule="exact"/>
        <w:rPr>
          <w:sz w:val="20"/>
          <w:szCs w:val="20"/>
          <w:color w:val="auto"/>
        </w:rPr>
      </w:pPr>
    </w:p>
    <w:p>
      <w:pPr>
        <w:ind w:left="240" w:hanging="237"/>
        <w:spacing w:after="0"/>
        <w:tabs>
          <w:tab w:leader="none" w:pos="24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Instruments placed with customers consist of drug-delivery and monitoring systems placed with customers under operating leases.</w:t>
      </w:r>
    </w:p>
    <w:p>
      <w:pPr>
        <w:spacing w:after="0" w:line="215"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All property, plant and equipment are stated at cost. We use the straight-line method for depreciating property, plant and equipment over their estimated useful lives. Estimated useful lives 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4900" w:type="dxa"/>
            <w:vAlign w:val="bottom"/>
            <w:gridSpan w:val="2"/>
            <w:shd w:val="clear" w:color="auto" w:fill="CCEEFF"/>
          </w:tcPr>
          <w:p>
            <w:pPr>
              <w:ind w:left="3540"/>
              <w:spacing w:after="0"/>
              <w:rPr>
                <w:sz w:val="20"/>
                <w:szCs w:val="20"/>
                <w:color w:val="auto"/>
              </w:rPr>
            </w:pPr>
            <w:r>
              <w:rPr>
                <w:rFonts w:ascii="Times New Roman" w:cs="Times New Roman" w:eastAsia="Times New Roman" w:hAnsi="Times New Roman"/>
                <w:sz w:val="17"/>
                <w:szCs w:val="17"/>
                <w:color w:val="auto"/>
              </w:rPr>
              <w:t>15 - 30 years</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improvements</w:t>
            </w:r>
          </w:p>
        </w:tc>
        <w:tc>
          <w:tcPr>
            <w:tcW w:w="4900" w:type="dxa"/>
            <w:vAlign w:val="bottom"/>
            <w:gridSpan w:val="2"/>
          </w:tcPr>
          <w:p>
            <w:pPr>
              <w:ind w:left="3540"/>
              <w:spacing w:after="0"/>
              <w:rPr>
                <w:sz w:val="20"/>
                <w:szCs w:val="20"/>
                <w:color w:val="auto"/>
              </w:rPr>
            </w:pPr>
            <w:r>
              <w:rPr>
                <w:rFonts w:ascii="Times New Roman" w:cs="Times New Roman" w:eastAsia="Times New Roman" w:hAnsi="Times New Roman"/>
                <w:sz w:val="17"/>
                <w:szCs w:val="17"/>
                <w:color w:val="auto"/>
              </w:rPr>
              <w:t>15 - 30 years</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 and molds</w:t>
            </w:r>
          </w:p>
        </w:tc>
        <w:tc>
          <w:tcPr>
            <w:tcW w:w="366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7"/>
                <w:szCs w:val="17"/>
                <w:color w:val="auto"/>
              </w:rPr>
              <w:t>2</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- 15 years</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office equipment</w:t>
            </w:r>
          </w:p>
        </w:tc>
        <w:tc>
          <w:tcPr>
            <w:tcW w:w="3660" w:type="dxa"/>
            <w:vAlign w:val="bottom"/>
          </w:tcPr>
          <w:p>
            <w:pPr>
              <w:ind w:left="3540"/>
              <w:spacing w:after="0"/>
              <w:rPr>
                <w:sz w:val="20"/>
                <w:szCs w:val="20"/>
                <w:color w:val="auto"/>
              </w:rPr>
            </w:pPr>
            <w:r>
              <w:rPr>
                <w:rFonts w:ascii="Times New Roman" w:cs="Times New Roman" w:eastAsia="Times New Roman" w:hAnsi="Times New Roman"/>
                <w:sz w:val="17"/>
                <w:szCs w:val="17"/>
                <w:color w:val="auto"/>
              </w:rPr>
              <w:t>2</w:t>
            </w:r>
          </w:p>
        </w:tc>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- 5 years</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366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7"/>
                <w:szCs w:val="17"/>
                <w:color w:val="auto"/>
              </w:rPr>
              <w:t>3</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 years</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Instruments placed with customers</w:t>
            </w:r>
          </w:p>
        </w:tc>
        <w:tc>
          <w:tcPr>
            <w:tcW w:w="3660" w:type="dxa"/>
            <w:vAlign w:val="bottom"/>
          </w:tcPr>
          <w:p>
            <w:pPr>
              <w:ind w:left="3540"/>
              <w:spacing w:after="0"/>
              <w:rPr>
                <w:sz w:val="20"/>
                <w:szCs w:val="20"/>
                <w:color w:val="auto"/>
              </w:rPr>
            </w:pPr>
            <w:r>
              <w:rPr>
                <w:rFonts w:ascii="Times New Roman" w:cs="Times New Roman" w:eastAsia="Times New Roman" w:hAnsi="Times New Roman"/>
                <w:sz w:val="17"/>
                <w:szCs w:val="17"/>
                <w:color w:val="auto"/>
              </w:rPr>
              <w:t>3</w:t>
            </w:r>
          </w:p>
        </w:tc>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- 10 years</w:t>
            </w:r>
          </w:p>
        </w:tc>
      </w:tr>
    </w:tbl>
    <w:p>
      <w:pPr>
        <w:spacing w:after="0" w:line="276"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We capitalize expenditures that materially increase the life of the related assets; maintenance and repairs are expensed as incurred. The costs and related accumulated depreciation applicable to property, plant and equipment sold or retired are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removed from the accounts and any gain or loss is reflected in the statements of operations at the time of disposal. Depreciation expense was $95.8 million, $65.9 million and $62.4 million in 2022, 2021 and 2020,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Goodwill</w:t>
      </w:r>
    </w:p>
    <w:p>
      <w:pPr>
        <w:spacing w:after="0" w:line="204"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17"/>
          <w:szCs w:val="17"/>
          <w:color w:val="auto"/>
        </w:rPr>
        <w:t>We test goodwill for impairment on an annual basis in the month of November, or more frequently if an event occurs or circumstances change that would indicate that impairment may exist. In 2022, we bypassed a qualitative assessment and performed a quantitative assessment to determine whether an impairment exists. We determine the fair value of our reporting unit using the income approach and market approach to valuation, as well as other generally accepted valuation methodologies. The income approach utilizes a discounted cash flow analysis using management's assumptions. The market approach compares our reporting unit to similar companies with the assumption that companies operating in the same industry will share similar characteristics and that company values will correlate to those characteristics. If the carrying amount of the reporting unit exceeds the reporting unit’s fair value, we recognize an impairment loss equal to the difference between the carrying amount and the estimated fair value of the reporting unit. We concluded that there was no impairment of goodwill during fiscal 2022, 2021, or 2020.</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changes in the carrying amount of our goodwill for 2022, 2021 and 2020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2020</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31,245</w:t>
            </w:r>
          </w:p>
        </w:tc>
      </w:tr>
      <w:tr>
        <w:trPr>
          <w:trHeight w:val="219"/>
        </w:trPr>
        <w:tc>
          <w:tcPr>
            <w:tcW w:w="902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1,756</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33,001</w:t>
            </w:r>
          </w:p>
        </w:tc>
      </w:tr>
      <w:tr>
        <w:trPr>
          <w:trHeight w:val="219"/>
        </w:trPr>
        <w:tc>
          <w:tcPr>
            <w:tcW w:w="902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Goodwill acquired</w:t>
            </w:r>
            <w:r>
              <w:rPr>
                <w:rFonts w:ascii="Times New Roman" w:cs="Times New Roman" w:eastAsia="Times New Roman" w:hAnsi="Times New Roman"/>
                <w:sz w:val="22"/>
                <w:szCs w:val="22"/>
                <w:color w:val="auto"/>
                <w:vertAlign w:val="superscript"/>
              </w:rPr>
              <w:t>(2)</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10,626</w:t>
            </w:r>
          </w:p>
        </w:tc>
      </w:tr>
      <w:tr>
        <w:trPr>
          <w:trHeight w:val="21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2"/>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43,439</w:t>
            </w:r>
          </w:p>
        </w:tc>
      </w:tr>
      <w:tr>
        <w:trPr>
          <w:trHeight w:val="219"/>
        </w:trPr>
        <w:tc>
          <w:tcPr>
            <w:tcW w:w="90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22"/>
                <w:szCs w:val="22"/>
                <w:color w:val="auto"/>
                <w:vertAlign w:val="superscript"/>
              </w:rPr>
              <w:t>(3)</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1,469,880</w:t>
            </w:r>
          </w:p>
        </w:tc>
      </w:tr>
      <w:tr>
        <w:trPr>
          <w:trHeight w:val="219"/>
        </w:trPr>
        <w:tc>
          <w:tcPr>
            <w:tcW w:w="902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(4)</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(7,128)</w:t>
            </w:r>
          </w:p>
        </w:tc>
      </w:tr>
      <w:tr>
        <w:trPr>
          <w:trHeight w:val="219"/>
        </w:trPr>
        <w:tc>
          <w:tcPr>
            <w:tcW w:w="90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Disposition</w:t>
            </w:r>
            <w:r>
              <w:rPr>
                <w:rFonts w:ascii="Times New Roman" w:cs="Times New Roman" w:eastAsia="Times New Roman" w:hAnsi="Times New Roman"/>
                <w:sz w:val="22"/>
                <w:szCs w:val="22"/>
                <w:color w:val="auto"/>
                <w:vertAlign w:val="superscript"/>
              </w:rPr>
              <w:t>(5)</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19"/>
        </w:trPr>
        <w:tc>
          <w:tcPr>
            <w:tcW w:w="9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(56,283)</w:t>
            </w:r>
          </w:p>
        </w:tc>
      </w:tr>
      <w:tr>
        <w:trPr>
          <w:trHeight w:val="23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1,449,258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240" w:hanging="317"/>
        <w:spacing w:after="0" w:line="229" w:lineRule="auto"/>
        <w:tabs>
          <w:tab w:leader="none" w:pos="252"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2020, "Other" primarily relates to a $1.3 million measurement period adjustment to deferred taxes related to the 2019 acquisition of Pursuit Vascular, Inc. and foreign currency translation.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2021, we acquired a small foreign infusion systems supplier, which resulted in $10.6 million of goodwill.</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Relates to Smiths Medical acquired on January 6, 2022 (see Note 2: Acquisitions).</w:t>
      </w:r>
    </w:p>
    <w:p>
      <w:pPr>
        <w:spacing w:after="0" w:line="1" w:lineRule="exact"/>
        <w:rPr>
          <w:rFonts w:ascii="Times New Roman" w:cs="Times New Roman" w:eastAsia="Times New Roman" w:hAnsi="Times New Roman"/>
          <w:sz w:val="22"/>
          <w:szCs w:val="22"/>
          <w:color w:val="auto"/>
          <w:vertAlign w:val="superscript"/>
        </w:rPr>
      </w:pPr>
    </w:p>
    <w:p>
      <w:pPr>
        <w:ind w:left="240" w:hanging="237"/>
        <w:spacing w:after="0" w:line="194" w:lineRule="auto"/>
        <w:tabs>
          <w:tab w:leader="none" w:pos="24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 measurement period adjustment related to the 2021 acquisition of a small foreign infusion systems supplier.</w:t>
      </w:r>
    </w:p>
    <w:p>
      <w:pPr>
        <w:spacing w:after="0" w:line="1" w:lineRule="exact"/>
        <w:rPr>
          <w:rFonts w:ascii="Times New Roman" w:cs="Times New Roman" w:eastAsia="Times New Roman" w:hAnsi="Times New Roman"/>
          <w:sz w:val="22"/>
          <w:szCs w:val="22"/>
          <w:color w:val="auto"/>
          <w:vertAlign w:val="superscript"/>
        </w:rPr>
      </w:pPr>
    </w:p>
    <w:p>
      <w:pPr>
        <w:ind w:left="340" w:hanging="337"/>
        <w:spacing w:after="0" w:line="194" w:lineRule="auto"/>
        <w:tabs>
          <w:tab w:leader="none" w:pos="34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Relates to the sale of a certain line of infusion products in China.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Intangible Assets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4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4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b w:val="1"/>
                <w:bCs w:val="1"/>
                <w:color w:val="auto"/>
              </w:rPr>
              <w:t>Amortization Life</w:t>
            </w:r>
          </w:p>
        </w:tc>
        <w:tc>
          <w:tcPr>
            <w:tcW w:w="3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rPr>
                <w:sz w:val="12"/>
                <w:szCs w:val="12"/>
                <w:color w:val="auto"/>
              </w:rPr>
            </w:pPr>
          </w:p>
        </w:tc>
        <w:tc>
          <w:tcPr>
            <w:tcW w:w="1040" w:type="dxa"/>
            <w:vAlign w:val="bottom"/>
            <w:vMerge w:val="restart"/>
          </w:tcPr>
          <w:p>
            <w:pPr>
              <w:jc w:val="right"/>
              <w:ind w:right="474"/>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11,388</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445,379</w:t>
            </w: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12,292</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474,468</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w:t>
            </w:r>
          </w:p>
        </w:tc>
        <w:tc>
          <w:tcPr>
            <w:tcW w:w="0" w:type="dxa"/>
            <w:vAlign w:val="bottom"/>
          </w:tcPr>
          <w:p>
            <w:pPr>
              <w:spacing w:after="0"/>
              <w:rPr>
                <w:sz w:val="1"/>
                <w:szCs w:val="1"/>
                <w:color w:val="auto"/>
              </w:rPr>
            </w:pPr>
          </w:p>
        </w:tc>
      </w:tr>
      <w:tr>
        <w:trPr>
          <w:trHeight w:val="212"/>
        </w:trPr>
        <w:tc>
          <w:tcPr>
            <w:tcW w:w="5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amortized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1,202,911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251,951</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950,960</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31,806</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1,234,717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251,951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982,766</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98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 Internally developed software will be amortized when the projects are complete and the assets are ready for their intended use.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544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4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b w:val="1"/>
                <w:bCs w:val="1"/>
                <w:color w:val="auto"/>
              </w:rPr>
              <w:t>Amortization Life</w:t>
            </w:r>
          </w:p>
        </w:tc>
        <w:tc>
          <w:tcPr>
            <w:tcW w:w="3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rPr>
                <w:sz w:val="12"/>
                <w:szCs w:val="12"/>
                <w:color w:val="auto"/>
              </w:rPr>
            </w:pPr>
          </w:p>
        </w:tc>
        <w:tc>
          <w:tcPr>
            <w:tcW w:w="1040" w:type="dxa"/>
            <w:vAlign w:val="bottom"/>
            <w:vMerge w:val="restart"/>
          </w:tcPr>
          <w:p>
            <w:pPr>
              <w:jc w:val="right"/>
              <w:ind w:right="474"/>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10,665</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24,312</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13,529</w:t>
            </w: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103,487</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6,744</w:t>
            </w:r>
          </w:p>
        </w:tc>
        <w:tc>
          <w:tcPr>
            <w:tcW w:w="0" w:type="dxa"/>
            <w:vAlign w:val="bottom"/>
          </w:tcPr>
          <w:p>
            <w:pPr>
              <w:spacing w:after="0"/>
              <w:rPr>
                <w:sz w:val="1"/>
                <w:szCs w:val="1"/>
                <w:color w:val="auto"/>
              </w:rPr>
            </w:pPr>
          </w:p>
        </w:tc>
      </w:tr>
      <w:tr>
        <w:trPr>
          <w:trHeight w:val="212"/>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amortized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275,835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112,882</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162,953</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25,358</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301,193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112,882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188,311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20" w:right="2400" w:hanging="617"/>
        <w:spacing w:after="0" w:line="522" w:lineRule="auto"/>
        <w:tabs>
          <w:tab w:leader="none" w:pos="13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Internally developed software will be amortized when the projects are complete and the assets are ready for their intended use. Amortization expense was $139.4 million, $23.8 million and $23.2 million in 2022, 2021 and 2020, respectively.</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2022, estimated annual amortization for our intangible assets for each of the next five years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206"/>
        </w:trPr>
        <w:tc>
          <w:tcPr>
            <w:tcW w:w="1820" w:type="dxa"/>
            <w:vAlign w:val="bottom"/>
          </w:tcPr>
          <w:p>
            <w:pPr>
              <w:spacing w:after="0"/>
              <w:rPr>
                <w:sz w:val="17"/>
                <w:szCs w:val="17"/>
                <w:color w:val="auto"/>
              </w:rPr>
            </w:pPr>
          </w:p>
        </w:tc>
        <w:tc>
          <w:tcPr>
            <w:tcW w:w="8040" w:type="dxa"/>
            <w:vAlign w:val="bottom"/>
            <w:gridSpan w:val="2"/>
          </w:tcPr>
          <w:p>
            <w:pPr>
              <w:jc w:val="right"/>
              <w:ind w:right="251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1360" w:type="dxa"/>
            <w:vAlign w:val="bottom"/>
          </w:tcPr>
          <w:p>
            <w:pPr>
              <w:spacing w:after="0"/>
              <w:rPr>
                <w:sz w:val="17"/>
                <w:szCs w:val="17"/>
                <w:color w:val="auto"/>
              </w:rPr>
            </w:pPr>
          </w:p>
        </w:tc>
      </w:tr>
      <w:tr>
        <w:trPr>
          <w:trHeight w:val="227"/>
        </w:trPr>
        <w:tc>
          <w:tcPr>
            <w:tcW w:w="1820" w:type="dxa"/>
            <w:vAlign w:val="bottom"/>
          </w:tcPr>
          <w:p>
            <w:pPr>
              <w:spacing w:after="0"/>
              <w:rPr>
                <w:sz w:val="19"/>
                <w:szCs w:val="19"/>
                <w:color w:val="auto"/>
              </w:rPr>
            </w:pPr>
          </w:p>
        </w:tc>
        <w:tc>
          <w:tcPr>
            <w:tcW w:w="8040" w:type="dxa"/>
            <w:vAlign w:val="bottom"/>
            <w:gridSpan w:val="2"/>
          </w:tcPr>
          <w:p>
            <w:pPr>
              <w:jc w:val="right"/>
              <w:ind w:right="1454"/>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tc>
        <w:tc>
          <w:tcPr>
            <w:tcW w:w="1360" w:type="dxa"/>
            <w:vAlign w:val="bottom"/>
          </w:tcPr>
          <w:p>
            <w:pPr>
              <w:spacing w:after="0"/>
              <w:rPr>
                <w:sz w:val="19"/>
                <w:szCs w:val="19"/>
                <w:color w:val="auto"/>
              </w:rPr>
            </w:pPr>
          </w:p>
        </w:tc>
      </w:tr>
      <w:tr>
        <w:trPr>
          <w:trHeight w:val="631"/>
        </w:trPr>
        <w:tc>
          <w:tcPr>
            <w:tcW w:w="18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040" w:type="dxa"/>
            <w:vAlign w:val="bottom"/>
            <w:gridSpan w:val="2"/>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130,972</w:t>
            </w:r>
          </w:p>
        </w:tc>
      </w:tr>
      <w:tr>
        <w:trPr>
          <w:trHeight w:val="219"/>
        </w:trPr>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7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130,882</w:t>
            </w: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123,223</w:t>
            </w:r>
          </w:p>
        </w:tc>
      </w:tr>
      <w:tr>
        <w:trPr>
          <w:trHeight w:val="219"/>
        </w:trPr>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122,654</w:t>
            </w: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114,622</w:t>
            </w:r>
          </w:p>
        </w:tc>
      </w:tr>
      <w:tr>
        <w:trPr>
          <w:trHeight w:val="219"/>
        </w:trPr>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328,607</w:t>
            </w:r>
          </w:p>
        </w:tc>
      </w:tr>
      <w:tr>
        <w:trPr>
          <w:trHeight w:val="237"/>
        </w:trPr>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7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950,960</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Our intangible assets that are not subject to amortization are reviewed annually for impairment or more often if there are indications of possible impairment. We perform our annual intangible assets impairment test in November of each year. We did not have any intangible asset impairments in 2022, 2021 or 2020.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Long-Lived Assets</w:t>
      </w:r>
    </w:p>
    <w:p>
      <w:pPr>
        <w:spacing w:after="0" w:line="217"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 We did not have any long-lived asset impairments in 2022, 2021 or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Investment Securities</w:t>
      </w:r>
    </w:p>
    <w:p>
      <w:pPr>
        <w:spacing w:after="0" w:line="243"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Short-term investments, exclusive of cash equivalents, are marketable securities intended to be sold within one year and may include trading securities, available-for-sale securities, and held-to-maturity securities (if maturing within one year at the time of acquisition). Long-term investments are marketable securities intended to be sold after one year and may include trading securities, available-for-sale securities, and held-to-maturity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Available-for-sale Securities</w:t>
      </w:r>
    </w:p>
    <w:p>
      <w:pPr>
        <w:spacing w:after="0" w:line="22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investment securities are considered available-for-sale and currently consist of short and long-term corporate bonds, short-term U.S. treasury securities and long-term government bonds. These securities are considered “investment grade” and are carried at fair value. We assess our investment in available-for-sale debt securities for impairment each reporting period. If an unrealized loss exists, we determine whether any portion of the decline in fair value below the carrying value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(loss) income. We did not have any investments in available-for-sale debt securities in unrealized loss positions as of December 31, 2022 or 2021.</w:t>
      </w:r>
    </w:p>
    <w:p>
      <w:pPr>
        <w:spacing w:after="0" w:line="201"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The amortized cost of the debt securities and U.S treasury securities is adjusted for the amortization of premiums computed under the effective interest method. Such amortization is included in interest (expense) income, net in the consolidated statements of operations. Realized gains and losses are accounted for on the specific identification method. There have been no realized gains or losses on the disposal of these investments. The scheduled maturities of the debt securities are between 2023 and 2024. All short-term investment securities are callable within one year.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short-term and long-term investments in available-for-sale securities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40" w:type="dxa"/>
            <w:vAlign w:val="bottom"/>
          </w:tcPr>
          <w:p>
            <w:pPr>
              <w:spacing w:after="0"/>
              <w:rPr>
                <w:sz w:val="13"/>
                <w:szCs w:val="13"/>
                <w:color w:val="auto"/>
              </w:rPr>
            </w:pPr>
          </w:p>
        </w:tc>
        <w:tc>
          <w:tcPr>
            <w:tcW w:w="1540" w:type="dxa"/>
            <w:vAlign w:val="bottom"/>
            <w:gridSpan w:val="4"/>
          </w:tcPr>
          <w:p>
            <w:pPr>
              <w:ind w:left="40"/>
              <w:spacing w:after="0" w:line="151" w:lineRule="exact"/>
              <w:rPr>
                <w:sz w:val="20"/>
                <w:szCs w:val="20"/>
                <w:color w:val="auto"/>
              </w:rPr>
            </w:pPr>
            <w:r>
              <w:rPr>
                <w:rFonts w:ascii="Times New Roman" w:cs="Times New Roman" w:eastAsia="Times New Roman" w:hAnsi="Times New Roman"/>
                <w:sz w:val="15"/>
                <w:szCs w:val="15"/>
                <w:b w:val="1"/>
                <w:bCs w:val="1"/>
                <w:color w:val="auto"/>
              </w:rPr>
              <w:t>Unrealized Holding</w:t>
            </w:r>
          </w:p>
        </w:tc>
        <w:tc>
          <w:tcPr>
            <w:tcW w:w="200" w:type="dxa"/>
            <w:vAlign w:val="bottom"/>
          </w:tcPr>
          <w:p>
            <w:pPr>
              <w:spacing w:after="0"/>
              <w:rPr>
                <w:sz w:val="13"/>
                <w:szCs w:val="13"/>
                <w:color w:val="auto"/>
              </w:rPr>
            </w:pPr>
          </w:p>
        </w:tc>
        <w:tc>
          <w:tcPr>
            <w:tcW w:w="1140" w:type="dxa"/>
            <w:vAlign w:val="bottom"/>
            <w:vMerge w:val="restart"/>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5"/>
        </w:trPr>
        <w:tc>
          <w:tcPr>
            <w:tcW w:w="6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Gains (Losses)</w:t>
            </w: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U.S. treasury securities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government bonds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0" w:type="dxa"/>
            <w:vAlign w:val="bottom"/>
          </w:tcPr>
          <w:p>
            <w:pPr>
              <w:spacing w:after="0"/>
              <w:rPr>
                <w:sz w:val="1"/>
                <w:szCs w:val="1"/>
                <w:color w:val="auto"/>
              </w:rPr>
            </w:pPr>
          </w:p>
        </w:tc>
      </w:tr>
      <w:tr>
        <w:trPr>
          <w:trHeight w:val="212"/>
        </w:trPr>
        <w:tc>
          <w:tcPr>
            <w:tcW w:w="6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short-term investment securities</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4,224</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4,224</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corporate bonds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0" w:type="dxa"/>
            <w:vAlign w:val="bottom"/>
          </w:tcPr>
          <w:p>
            <w:pPr>
              <w:spacing w:after="0"/>
              <w:rPr>
                <w:sz w:val="1"/>
                <w:szCs w:val="1"/>
                <w:color w:val="auto"/>
              </w:rPr>
            </w:pPr>
          </w:p>
        </w:tc>
      </w:tr>
      <w:tr>
        <w:trPr>
          <w:trHeight w:val="212"/>
        </w:trPr>
        <w:tc>
          <w:tcPr>
            <w:tcW w:w="6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investment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As of December 31, 2021</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40" w:type="dxa"/>
            <w:vAlign w:val="bottom"/>
          </w:tcPr>
          <w:p>
            <w:pPr>
              <w:spacing w:after="0"/>
              <w:rPr>
                <w:sz w:val="13"/>
                <w:szCs w:val="13"/>
                <w:color w:val="auto"/>
              </w:rPr>
            </w:pPr>
          </w:p>
        </w:tc>
        <w:tc>
          <w:tcPr>
            <w:tcW w:w="1540" w:type="dxa"/>
            <w:vAlign w:val="bottom"/>
            <w:gridSpan w:val="4"/>
          </w:tcPr>
          <w:p>
            <w:pPr>
              <w:ind w:left="40"/>
              <w:spacing w:after="0" w:line="151" w:lineRule="exact"/>
              <w:rPr>
                <w:sz w:val="20"/>
                <w:szCs w:val="20"/>
                <w:color w:val="auto"/>
              </w:rPr>
            </w:pPr>
            <w:r>
              <w:rPr>
                <w:rFonts w:ascii="Times New Roman" w:cs="Times New Roman" w:eastAsia="Times New Roman" w:hAnsi="Times New Roman"/>
                <w:sz w:val="15"/>
                <w:szCs w:val="15"/>
                <w:b w:val="1"/>
                <w:bCs w:val="1"/>
                <w:color w:val="auto"/>
              </w:rPr>
              <w:t>Unrealized Holding</w:t>
            </w:r>
          </w:p>
        </w:tc>
        <w:tc>
          <w:tcPr>
            <w:tcW w:w="200" w:type="dxa"/>
            <w:vAlign w:val="bottom"/>
          </w:tcPr>
          <w:p>
            <w:pPr>
              <w:spacing w:after="0"/>
              <w:rPr>
                <w:sz w:val="13"/>
                <w:szCs w:val="13"/>
                <w:color w:val="auto"/>
              </w:rPr>
            </w:pPr>
          </w:p>
        </w:tc>
        <w:tc>
          <w:tcPr>
            <w:tcW w:w="1140" w:type="dxa"/>
            <w:vAlign w:val="bottom"/>
            <w:vMerge w:val="restart"/>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5"/>
        </w:trPr>
        <w:tc>
          <w:tcPr>
            <w:tcW w:w="6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Gains (Losses)</w:t>
            </w: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corporate bonds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0" w:type="dxa"/>
            <w:vAlign w:val="bottom"/>
          </w:tcPr>
          <w:p>
            <w:pPr>
              <w:spacing w:after="0"/>
              <w:rPr>
                <w:sz w:val="1"/>
                <w:szCs w:val="1"/>
                <w:color w:val="auto"/>
              </w:rPr>
            </w:pPr>
          </w:p>
        </w:tc>
      </w:tr>
      <w:tr>
        <w:trPr>
          <w:trHeight w:val="237"/>
        </w:trPr>
        <w:tc>
          <w:tcPr>
            <w:tcW w:w="6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investment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Non-Marketable Equity Securities</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During the third quarter of 2021, we acquired approximately a 20.0%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197"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record our share of the investee's income or (loss) on a one quarter lag. We report our proportionate share of the investee's income or (loss) resulting from this investment in other expense, net in our consolidated statements of operations. The carrying value of our equity method investment is reported in other assets on the consolidated balance sheets. We assess our equity method investments for impairment on an annual basis or whenever events or circumstances indicate that the carrying value of the investment may not be recoverable. During 2022 and 2021, there were no indications that our non-marketable equity method investment was impaired. Our recorded share of the investee's loss was not material for the year ended December 31, 2022 and 2021. We did not receive any dividend distributions from this investment during 2022 and 2021.</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non-marketable equity method investment consists of the following (in thousands):</w:t>
      </w:r>
    </w:p>
    <w:p>
      <w:pPr>
        <w:spacing w:after="0" w:line="282"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5"/>
          <w:szCs w:val="15"/>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23495</wp:posOffset>
            </wp:positionV>
            <wp:extent cx="1833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27" w:lineRule="exact"/>
        <w:rPr>
          <w:sz w:val="20"/>
          <w:szCs w:val="20"/>
          <w:color w:val="auto"/>
        </w:rPr>
      </w:pPr>
    </w:p>
    <w:p>
      <w:pPr>
        <w:ind w:left="8860"/>
        <w:spacing w:after="0"/>
        <w:tabs>
          <w:tab w:leader="none" w:pos="10360" w:val="left"/>
        </w:tabs>
        <w:rPr>
          <w:sz w:val="20"/>
          <w:szCs w:val="20"/>
          <w:color w:val="auto"/>
        </w:rPr>
      </w:pPr>
      <w:r>
        <w:rPr>
          <w:rFonts w:ascii="Times New Roman" w:cs="Times New Roman" w:eastAsia="Times New Roman" w:hAnsi="Times New Roman"/>
          <w:sz w:val="15"/>
          <w:szCs w:val="15"/>
          <w:b w:val="1"/>
          <w:bCs w:val="1"/>
          <w:color w:val="auto"/>
        </w:rPr>
        <w:t>2022</w:t>
      </w:r>
      <w:r>
        <w:rPr>
          <w:sz w:val="20"/>
          <w:szCs w:val="20"/>
          <w:color w:val="auto"/>
        </w:rPr>
        <w:tab/>
      </w:r>
      <w:r>
        <w:rPr>
          <w:rFonts w:ascii="Times New Roman" w:cs="Times New Roman" w:eastAsia="Times New Roman" w:hAnsi="Times New Roman"/>
          <w:sz w:val="15"/>
          <w:szCs w:val="15"/>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122160" cy="147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8320" w:val="left"/>
          <w:tab w:leader="none" w:pos="9220" w:val="left"/>
          <w:tab w:leader="none" w:pos="9840" w:val="left"/>
          <w:tab w:leader="none" w:pos="10740" w:val="left"/>
        </w:tabs>
        <w:rPr>
          <w:sz w:val="20"/>
          <w:szCs w:val="20"/>
          <w:color w:val="auto"/>
        </w:rPr>
      </w:pPr>
      <w:r>
        <w:rPr>
          <w:rFonts w:ascii="Times New Roman" w:cs="Times New Roman" w:eastAsia="Times New Roman" w:hAnsi="Times New Roman"/>
          <w:sz w:val="17"/>
          <w:szCs w:val="17"/>
          <w:color w:val="auto"/>
        </w:rPr>
        <w:t>Equity method investment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3,178</w:t>
        <w:tab/>
        <w:t>$</w:t>
      </w:r>
      <w:r>
        <w:rPr>
          <w:sz w:val="20"/>
          <w:szCs w:val="20"/>
          <w:color w:val="auto"/>
        </w:rPr>
        <w:tab/>
      </w:r>
      <w:r>
        <w:rPr>
          <w:rFonts w:ascii="Times New Roman" w:cs="Times New Roman" w:eastAsia="Times New Roman" w:hAnsi="Times New Roman"/>
          <w:sz w:val="17"/>
          <w:szCs w:val="17"/>
          <w:color w:val="auto"/>
        </w:rPr>
        <w:t>3,238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non-marketable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During the second quarter 2022, we received $19.0 million in proceeds from a promissory note related to an acquired investment as part of the Smiths Medical acquisition.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Taxes</w:t>
      </w:r>
    </w:p>
    <w:p>
      <w:pPr>
        <w:spacing w:after="0" w:line="21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spacing w:after="0" w:line="177"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We recognize interest and penalties related to unrecognized tax benefits in the tax provision.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not recorded any material interest or penalties during any of the years presented.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Foreign Currency</w:t>
      </w:r>
    </w:p>
    <w:p>
      <w:pPr>
        <w:spacing w:after="0" w:line="24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as a component of accumulated other comprehensive loss,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 currency of the entity are included in our consolidated statements of operations in other expense, net, see below other expense, net table. Foreign currency transaction losses (gains), net were $5.8 million, $1.0 million and $7.2 million in 2022, 2021 and 2020,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24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recognize revenues when we transfer control of promised goods to our customers in an amount that reflects the consideration to which we expect to be entitled in exchange for those goods. We offer certain volume-based rebates to our distribution customers, which we consider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prices we charge our distribution customers and contracted prices we have with the end customer which are processed as credits to our distribution customers. In estimating the expected value of chargeback amounts for use in determining the transaction price, we use information available at the time, including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200" w:lineRule="exact"/>
        <w:rPr>
          <w:sz w:val="20"/>
          <w:szCs w:val="20"/>
          <w:color w:val="auto"/>
        </w:rPr>
      </w:pPr>
    </w:p>
    <w:p>
      <w:pPr>
        <w:spacing w:after="0" w:line="211"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vast majority of our sales of Infusion Consumables, Infusion Systems, IV Solutions, Critical Care, Vascular Access and Vital Care products are sold on a standalone basis and control of these products transfers to the customer upon shipment.</w:t>
      </w:r>
    </w:p>
    <w:p>
      <w:pPr>
        <w:spacing w:after="0" w:line="177"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Our software license renewals are considered to be transferred to a customer at a point in time at the start of each renewal period, therefore revenue is recognized at that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Arrangements with Multiple Deliverables</w:t>
      </w:r>
    </w:p>
    <w:p>
      <w:pPr>
        <w:spacing w:after="0" w:line="247"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In certain circumstances, we enter into arrangements in which we provide multiple deliverables to our customers. These bundled arrangements typically consist of the sale of infusion systems equipment, along with annual software licenses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and related software implementation services, as well as infusion consumables, IV solutions and extended warranties. 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are typically combined into a single performance obligation and recognized upon implementation. As annual software licenses are renewed, we recognize revenue for the license at a point in time, at the start of each annual renewal period. The transaction price allocated to the extended service-type warranty is recognized as revenue over the period the warranty service is provided. Consumables and solutions are separate performance obligations, recognized at a point in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Shipping Costs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Costs to ship finished goods to our customers are included in cost of goods sold on the consolidated statements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Post-retirement and Post-employment Benefits</w:t>
      </w:r>
    </w:p>
    <w:p>
      <w:pPr>
        <w:spacing w:after="0" w:line="217" w:lineRule="exact"/>
        <w:rPr>
          <w:sz w:val="20"/>
          <w:szCs w:val="20"/>
          <w:color w:val="auto"/>
        </w:rPr>
      </w:pPr>
    </w:p>
    <w:p>
      <w:pPr>
        <w:ind w:right="300" w:firstLine="619"/>
        <w:spacing w:after="0" w:line="270" w:lineRule="auto"/>
        <w:rPr>
          <w:sz w:val="20"/>
          <w:szCs w:val="20"/>
          <w:color w:val="auto"/>
        </w:rPr>
      </w:pPr>
      <w:r>
        <w:rPr>
          <w:rFonts w:ascii="Times New Roman" w:cs="Times New Roman" w:eastAsia="Times New Roman" w:hAnsi="Times New Roman"/>
          <w:sz w:val="17"/>
          <w:szCs w:val="17"/>
          <w:color w:val="auto"/>
        </w:rPr>
        <w:t>We sponsor a Section 401(k) retirement plan ("plan") for employees. Our contributions to our 401(k) plan were approximately $14.6 million, $11.0 million and $10.7 million in 2022, 2021 and 2020, respectively. We also have post-retirement and post-employment obligations related to employees located in certain international countries. These obligations are immaterial to our financial statements taken as a whole.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Research and Development</w:t>
      </w:r>
    </w:p>
    <w:p>
      <w:pPr>
        <w:spacing w:after="0" w:line="217"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majority of our research and development costs are expensed as incurred. In certain circumstances when an asset will have an alternative future use we capitalize the costs related to those assets. Research and development costs include salaries and related benefits, consulting fees, production supplies, samples, travel costs, utilities and other miscellaneous administrative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Interest (expense) income, net</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interest (expense) income, net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80" w:type="dxa"/>
            <w:vAlign w:val="bottom"/>
            <w:tcBorders>
              <w:bottom w:val="single" w:sz="8" w:color="CCEEFF"/>
            </w:tcBorders>
          </w:tcPr>
          <w:p>
            <w:pPr>
              <w:spacing w:after="0"/>
              <w:rPr>
                <w:sz w:val="17"/>
                <w:szCs w:val="17"/>
                <w:color w:val="auto"/>
              </w:rPr>
            </w:pPr>
          </w:p>
        </w:tc>
        <w:tc>
          <w:tcPr>
            <w:tcW w:w="56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rPr>
              <w:t>(1,753)</w:t>
            </w:r>
          </w:p>
        </w:tc>
        <w:tc>
          <w:tcPr>
            <w:tcW w:w="0" w:type="dxa"/>
            <w:vAlign w:val="bottom"/>
          </w:tcPr>
          <w:p>
            <w:pPr>
              <w:spacing w:after="0"/>
              <w:rPr>
                <w:sz w:val="1"/>
                <w:szCs w:val="1"/>
                <w:color w:val="auto"/>
              </w:rPr>
            </w:pPr>
          </w:p>
        </w:tc>
      </w:tr>
      <w:tr>
        <w:trPr>
          <w:trHeight w:val="219"/>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7"/>
                <w:szCs w:val="17"/>
                <w:color w:val="auto"/>
              </w:rPr>
              <w:t>3,677</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(66,375)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7"/>
                <w:szCs w:val="17"/>
                <w:color w:val="auto"/>
              </w:rPr>
              <w:t>1,924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9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9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other income (expense), net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80" w:type="dxa"/>
            <w:vAlign w:val="bottom"/>
            <w:tcBorders>
              <w:bottom w:val="single" w:sz="8" w:color="CCEEFF"/>
            </w:tcBorders>
          </w:tcPr>
          <w:p>
            <w:pPr>
              <w:spacing w:after="0"/>
              <w:rPr>
                <w:sz w:val="17"/>
                <w:szCs w:val="17"/>
                <w:color w:val="auto"/>
              </w:rPr>
            </w:pPr>
          </w:p>
        </w:tc>
        <w:tc>
          <w:tcPr>
            <w:tcW w:w="56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213"/>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losses, net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7"/>
                <w:szCs w:val="17"/>
                <w:color w:val="auto"/>
              </w:rPr>
              <w:t>(7,177)</w:t>
            </w:r>
          </w:p>
        </w:tc>
        <w:tc>
          <w:tcPr>
            <w:tcW w:w="0" w:type="dxa"/>
            <w:vAlign w:val="bottom"/>
          </w:tcPr>
          <w:p>
            <w:pPr>
              <w:spacing w:after="0"/>
              <w:rPr>
                <w:sz w:val="1"/>
                <w:szCs w:val="1"/>
                <w:color w:val="auto"/>
              </w:rPr>
            </w:pPr>
          </w:p>
        </w:tc>
      </w:tr>
      <w:tr>
        <w:trPr>
          <w:trHeight w:val="21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gain on disposition of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436"/>
              <w:spacing w:after="0"/>
              <w:rPr>
                <w:sz w:val="20"/>
                <w:szCs w:val="20"/>
                <w:color w:val="auto"/>
              </w:rPr>
            </w:pPr>
            <w:r>
              <w:rPr>
                <w:rFonts w:ascii="Times New Roman" w:cs="Times New Roman" w:eastAsia="Times New Roman" w:hAnsi="Times New Roman"/>
                <w:sz w:val="17"/>
                <w:szCs w:val="17"/>
                <w:color w:val="auto"/>
              </w:rPr>
              <w:t>1,773</w:t>
            </w:r>
          </w:p>
        </w:tc>
        <w:tc>
          <w:tcPr>
            <w:tcW w:w="0" w:type="dxa"/>
            <w:vAlign w:val="bottom"/>
          </w:tcPr>
          <w:p>
            <w:pPr>
              <w:spacing w:after="0"/>
              <w:rPr>
                <w:sz w:val="1"/>
                <w:szCs w:val="1"/>
                <w:color w:val="auto"/>
              </w:rPr>
            </w:pP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miscellaneous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7"/>
                <w:szCs w:val="17"/>
                <w:color w:val="auto"/>
              </w:rPr>
              <w:t>2,812</w:t>
            </w:r>
          </w:p>
        </w:tc>
        <w:tc>
          <w:tcPr>
            <w:tcW w:w="0" w:type="dxa"/>
            <w:vAlign w:val="bottom"/>
          </w:tcPr>
          <w:p>
            <w:pPr>
              <w:spacing w:after="0"/>
              <w:rPr>
                <w:sz w:val="1"/>
                <w:szCs w:val="1"/>
                <w:color w:val="auto"/>
              </w:rPr>
            </w:pPr>
          </w:p>
        </w:tc>
      </w:tr>
      <w:tr>
        <w:trPr>
          <w:trHeight w:val="212"/>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7"/>
                <w:szCs w:val="17"/>
                <w:color w:val="auto"/>
              </w:rPr>
              <w:t>(2,592)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(Loss) Income Per Share</w:t>
      </w:r>
    </w:p>
    <w:p>
      <w:pPr>
        <w:spacing w:after="0" w:line="243" w:lineRule="exact"/>
        <w:rPr>
          <w:sz w:val="20"/>
          <w:szCs w:val="20"/>
          <w:color w:val="auto"/>
        </w:rPr>
      </w:pPr>
    </w:p>
    <w:p>
      <w:pPr>
        <w:jc w:val="both"/>
        <w:ind w:right="300" w:firstLine="619"/>
        <w:spacing w:after="0" w:line="270" w:lineRule="auto"/>
        <w:rPr>
          <w:sz w:val="20"/>
          <w:szCs w:val="20"/>
          <w:color w:val="auto"/>
        </w:rPr>
      </w:pPr>
      <w:r>
        <w:rPr>
          <w:rFonts w:ascii="Times New Roman" w:cs="Times New Roman" w:eastAsia="Times New Roman" w:hAnsi="Times New Roman"/>
          <w:sz w:val="17"/>
          <w:szCs w:val="17"/>
          <w:color w:val="auto"/>
        </w:rPr>
        <w:t>Basic net (loss) earnings per share is computed by dividing net (loss) income by the weighted-average number of common shares outstanding for the period. Diluted net (loss) income per share is computed by dividing net (loss) income by the weighted-average number of common shares outstanding plus any dilutive potential securities. Dilutive potential securities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Restricted stock units that are anti-dilutive are not included in the treasury stock method. Due to the net loss for the year ended December 31, 2022 the inclusion of any potential securities is antidilutive, accordingly, basic and diluted net loss per share is the same for this period. There were 12,354 and 12,083 anti-dilutive shares in 2021 and 2020, respectively.</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following table presents the calculation of net earnings per common share (“EPS”) — basic and diluted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86,870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23,868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21,206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20,907</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212"/>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and common equivalent shares outstanding (diluted)</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23,868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21,781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21,591</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EPS — basic</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EPS — diluted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New Accounting Pronouncements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247"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In March 2020, the Financial Accounting Standards Board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were effective for all entities as of March 12, 2020 through December 31, 2022. ASU No. 2022-06, Reference Rate Reform: Deferral of the Sunset Date of Topic 848 deferred the sunset date of Topic 848 from December 31, 2022 to December 31, 2024. In November 2021, we entered into two forward-starting swaps whereby the variable leg of the swap references LIBOR, these swaps were amended in early 2022 to transition to an alternative reference rate (see Note 7: Derivatives and Hedging Activities). The amendments in this ASU allow for certain expedients that allowed us to assume that our hedged interest payments are probable of occurring regardless of any expected modification in their terms related to reference rate reform and allowed us to continue hedge accounting for a cash flow hedge for which the hedged interest rate risk changes if the hedge is highly effective under ASC 815, Derivatives and Hedging or the optional expedient under this ASU is elected. The impact of these ASU's on our contracts has not been and is not expected to be material.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ACQUISITIONS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Acquisitions</w:t>
      </w:r>
    </w:p>
    <w:p>
      <w:pPr>
        <w:spacing w:after="0" w:line="247"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On January 6, 2022, we acquired 100% of the equity interests in Smiths Medical, the holding company of Smiths Group plc's global medical device business, from Smiths Group International Holdings Limited (“Smiths”). The acquisition of</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Smiths Medical aligns with our strategic growth plans, enabling us to broaden our product offerings to include syringe and ambulatory infusion devices, vascular access, and vital care products and to strengthen and expand our global market reach.</w:t>
      </w:r>
    </w:p>
    <w:p>
      <w:pPr>
        <w:spacing w:after="0" w:line="177"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Total cash consideration for the acquisition was $1.9 billion, which was financed with existing cash balances and proceeds from the credit agreement entered into on January 6, 2022 (see Note 11: Long-Term Debt). We also issued share consideration to Smiths of 2.5 million shares of our common stock. The fair value of the common shares issued to Smiths was determined based on the opening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w:t>
      </w:r>
    </w:p>
    <w:p>
      <w:pPr>
        <w:spacing w:after="0" w:line="205"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Smiths became a related party to us when we issued 2.5 million shares of our common stock as partial consideration for the acquisition of Smiths Medical. Additionally, we entered in to a transition services agreement ("TSA") with certain members of Smiths Group, plc. The TSA includes certain information technology, human resource and tax support services for an initial term of twelve months with the option to extend up to 24 months. During 2022, we expensed $37.6 million for services provided under the TSA. As of December 31, 2022, we have $5.1 million in open payables related to the services received under the TSA.</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Final Price Allocation</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final purchase price and the final allocation of the purchase price related to the assets acquired and liabilities assumed (in thousands):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sectPr>
      </w:pPr>
    </w:p>
    <w:bookmarkStart w:id="81" w:name="page82"/>
    <w:bookmarkEnd w:id="81"/>
    <w:p>
      <w:pPr>
        <w:jc w:val="center"/>
        <w:ind w:left="29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left="29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consideration for acquired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22160" cy="139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Fair value of contingent consideration payable to Smiths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63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Issuance of ICU Medical, Inc.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139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Number of shares issued to Smiths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Price per share (ICU's opening market price on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47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Fair value of ICU shares issued to Smiths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163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22160" cy="147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2160" cy="14732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Inventories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Intangible assets</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22160" cy="139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Accounts payable</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Accrued liabilities</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22160" cy="139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Income tax payable</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22160"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1,922,955</w:t>
            </w:r>
          </w:p>
        </w:tc>
      </w:tr>
      <w:tr>
        <w:trPr>
          <w:trHeight w:val="223"/>
        </w:trPr>
        <w:tc>
          <w:tcPr>
            <w:tcW w:w="7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53,520</w:t>
            </w:r>
          </w:p>
        </w:tc>
      </w:tr>
      <w:tr>
        <w:trPr>
          <w:trHeight w:val="692"/>
        </w:trPr>
        <w:tc>
          <w:tcPr>
            <w:tcW w:w="7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23"/>
        </w:trPr>
        <w:tc>
          <w:tcPr>
            <w:tcW w:w="7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230.39</w:t>
            </w:r>
          </w:p>
        </w:tc>
      </w:tr>
      <w:tr>
        <w:trPr>
          <w:trHeight w:val="212"/>
        </w:trPr>
        <w:tc>
          <w:tcPr>
            <w:tcW w:w="7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575,975</w:t>
            </w:r>
          </w:p>
        </w:tc>
      </w:tr>
      <w:tr>
        <w:trPr>
          <w:trHeight w:val="212"/>
        </w:trPr>
        <w:tc>
          <w:tcPr>
            <w:tcW w:w="7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2,552,450</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75"/>
        </w:trPr>
        <w:tc>
          <w:tcPr>
            <w:tcW w:w="7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78,791</w:t>
            </w:r>
          </w:p>
        </w:tc>
      </w:tr>
    </w:tbl>
    <w:p>
      <w:pPr>
        <w:jc w:val="right"/>
        <w:ind w:right="60"/>
        <w:spacing w:after="0"/>
        <w:rPr>
          <w:sz w:val="20"/>
          <w:szCs w:val="20"/>
          <w:color w:val="auto"/>
        </w:rPr>
      </w:pPr>
      <w:r>
        <w:rPr>
          <w:rFonts w:ascii="Times New Roman" w:cs="Times New Roman" w:eastAsia="Times New Roman" w:hAnsi="Times New Roman"/>
          <w:sz w:val="17"/>
          <w:szCs w:val="17"/>
          <w:color w:val="auto"/>
        </w:rPr>
        <w:t>106,132</w:t>
      </w:r>
    </w:p>
    <w:p>
      <w:pPr>
        <w:spacing w:after="0" w:line="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228,919</w:t>
      </w:r>
    </w:p>
    <w:p>
      <w:pPr>
        <w:spacing w:after="0" w:line="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53,554</w:t>
      </w:r>
    </w:p>
    <w:p>
      <w:pPr>
        <w:spacing w:after="0" w:line="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206,333</w:t>
      </w:r>
    </w:p>
    <w:p>
      <w:pPr>
        <w:spacing w:after="0" w:line="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55,161</w:t>
      </w:r>
    </w:p>
    <w:p>
      <w:pPr>
        <w:spacing w:after="0" w:line="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945,000</w:t>
      </w:r>
    </w:p>
    <w:p>
      <w:pPr>
        <w:spacing w:after="0" w:line="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379</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(105,291)</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(173,151)</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(40,312)</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(85,490)</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(187,455)</w:t>
      </w:r>
    </w:p>
    <w:p>
      <w:pPr>
        <w:spacing w:after="0" w:line="23" w:lineRule="exact"/>
        <w:rPr>
          <w:sz w:val="20"/>
          <w:szCs w:val="20"/>
          <w:color w:val="auto"/>
        </w:rPr>
      </w:pPr>
    </w:p>
    <w:p>
      <w:pPr>
        <w:sectPr>
          <w:pgSz w:w="11900" w:h="16838" w:orient="portrait"/>
          <w:cols w:equalWidth="0" w:num="2">
            <w:col w:w="8340" w:space="700"/>
            <w:col w:w="2180"/>
          </w:cols>
          <w:pgMar w:left="320" w:top="583" w:right="359" w:bottom="1440" w:gutter="0" w:footer="0" w:header="0"/>
        </w:sectPr>
      </w:pPr>
    </w:p>
    <w:tbl>
      <w:tblPr>
        <w:tblLayout w:type="fixed"/>
        <w:tblInd w:w="0" w:type="dxa"/>
        <w:tblCellMar>
          <w:top w:w="0" w:type="dxa"/>
          <w:left w:w="0" w:type="dxa"/>
          <w:bottom w:w="0" w:type="dxa"/>
          <w:right w:w="0" w:type="dxa"/>
        </w:tblCellMar>
      </w:tblPr>
      <w:tr>
        <w:trPr>
          <w:trHeight w:val="212"/>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1,082,570</w:t>
            </w: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 not tax deductible</w:t>
            </w:r>
          </w:p>
        </w:tc>
        <w:tc>
          <w:tcPr>
            <w:tcW w:w="7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1,469,880</w:t>
            </w:r>
          </w:p>
        </w:tc>
      </w:tr>
      <w:tr>
        <w:trPr>
          <w:trHeight w:val="212"/>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Consideration</w:t>
            </w:r>
          </w:p>
        </w:tc>
        <w:tc>
          <w:tcPr>
            <w:tcW w:w="7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2,552,450</w:t>
            </w:r>
          </w:p>
        </w:tc>
      </w:tr>
      <w:tr>
        <w:trPr>
          <w:trHeight w:val="20"/>
        </w:trPr>
        <w:tc>
          <w:tcPr>
            <w:tcW w:w="9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w:t>
      </w:r>
    </w:p>
    <w:p>
      <w:pPr>
        <w:spacing w:after="0" w:line="59" w:lineRule="exact"/>
        <w:rPr>
          <w:sz w:val="20"/>
          <w:szCs w:val="20"/>
          <w:color w:val="auto"/>
        </w:rPr>
      </w:pPr>
    </w:p>
    <w:p>
      <w:pPr>
        <w:ind w:left="320" w:right="40" w:hanging="317"/>
        <w:spacing w:after="0"/>
        <w:tabs>
          <w:tab w:leader="none" w:pos="252"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Identifiable intangible assets included $510.0 million of customer relationships, $400.0 million of developed technology, $30.0 million of internally developed software, and $5.0 million of trade mark. The estimated weighted-average amortization period for the total identifiable intangible assets is approximately nine years, and, for each identifiable intangible asset is estimated as follows: eight years for customer relationships, ten years for developed technology, five years for internally developed software, and six months for the trade mark.</w:t>
      </w:r>
    </w:p>
    <w:p>
      <w:pPr>
        <w:spacing w:after="0" w:line="320" w:lineRule="exact"/>
        <w:rPr>
          <w:rFonts w:ascii="Times New Roman" w:cs="Times New Roman" w:eastAsia="Times New Roman" w:hAnsi="Times New Roman"/>
          <w:sz w:val="22"/>
          <w:szCs w:val="22"/>
          <w:color w:val="auto"/>
          <w:vertAlign w:val="superscript"/>
        </w:rPr>
      </w:pPr>
    </w:p>
    <w:p>
      <w:pPr>
        <w:ind w:left="320" w:right="320" w:hanging="317"/>
        <w:spacing w:after="0" w:line="229" w:lineRule="auto"/>
        <w:tabs>
          <w:tab w:leader="none" w:pos="252"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Accrued liabilities includes, among other things, accrued warranty reserves, accrued restructuring initiatives, accrued salaries and related benefits, deferred revenue and accrued sales and use taxes.</w:t>
      </w:r>
    </w:p>
    <w:p>
      <w:pPr>
        <w:spacing w:after="0" w:line="217"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The identifiable intangible assets and other long-lived assets acquired have been valued utilizing Level 3 inputs as defined in Note 8: Fair Value Measurements. The fair value of identifiable intangible assets were generally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inventory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Unaudited Pro Forma Information</w:t>
      </w:r>
    </w:p>
    <w:p>
      <w:pPr>
        <w:spacing w:after="0" w:line="247"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Smiths Medical is included in our consolidated results beginning on January 7, 2022. Total revenues and net loss attributable to Smiths Medical for the period from January 7, 2022 to December 31, 2022 were $950.7 million and $(74.3) million, respectively. The net loss figure is an estimate as the results by company are less identifiable due to integration. The following unaudited pro forma financial information presents the combined results of operations of ICU and Smiths Medical as if the acquisition had occurred on January 1, 2021. The pro forma financial information is presented for informational purposes only and is not indicative of the results of operations that would have been achieved if the acquisition had taken place on the date indicated or of results that may occur in the future.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80" w:type="dxa"/>
            <w:vAlign w:val="bottom"/>
            <w:gridSpan w:val="4"/>
          </w:tcPr>
          <w:p>
            <w:pPr>
              <w:jc w:val="right"/>
              <w:ind w:right="637"/>
              <w:spacing w:after="0"/>
              <w:rPr>
                <w:sz w:val="20"/>
                <w:szCs w:val="20"/>
                <w:color w:val="auto"/>
              </w:rPr>
            </w:pPr>
            <w:r>
              <w:rPr>
                <w:rFonts w:ascii="Times New Roman" w:cs="Times New Roman" w:eastAsia="Times New Roman" w:hAnsi="Times New Roman"/>
                <w:sz w:val="15"/>
                <w:szCs w:val="15"/>
                <w:b w:val="1"/>
                <w:bCs w:val="1"/>
                <w:color w:val="auto"/>
              </w:rPr>
              <w:t>Twelve months ended December 31,</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2,300,371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2,509,830</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(70,286)</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37,454</w:t>
            </w:r>
          </w:p>
        </w:tc>
      </w:tr>
    </w:tbl>
    <w:p>
      <w:pPr>
        <w:spacing w:after="0" w:line="302"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unaudited pro forma results presented above include the impact of the following adjustments: incremental amortization expense on intangible assets acquired of $1.9 million and $24.7 million for the twelve months ended December 31, 2022, and 2021, respectively, incremental interest expense, including amortization of debt discount and debt issuance costs, on the Credit Facilities of $1.2 million and $73.5 million for the twelve months ended December 31, 2022, and 2021, respectively and a $27.4 million expense related to the increase in fair value of inventory for the twelve months ended December 31, 2021. The unaudited pro forma results include IFRS to U.S. GAAP adjustments for Smiths Medical historical results and adjustments for accounting policy alignment, which were materially similar to the Company. Any differences in accounting policies were adjusted to reflect the accounting policies of the Company in the unaudited pro forma results presented.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2021 Acquisitions</w:t>
      </w:r>
    </w:p>
    <w:p>
      <w:pPr>
        <w:spacing w:after="0" w:line="247"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During November 2021, we acquired a small foreign infusion systems supplier and paid an initial gross cash payment of approximately $15.4 million. In addition to the initial cash consideration, total consideration for the acquisition includes an additional holdback of $0.5 million, to be paid two years from the completion date of the acquisition, and also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The contingent earn-out based on the achievement of certain revenue targets obtained for the annual period ending December 31, 2022 was forfeited at December 31, 2022 as the minimum threshold for earning the earn-out was not met.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RESTRUCTURING, STRATEGIC TRANSACTION AND INTEGRATION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Restructuring, strategic transaction and integration expenses were $71.4 million, $18.0 million and $28.4 million in 2022, 2021 and 2020,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Restructuring charges were $9.7 million, $(1.8) million and $7.9 million in 2022, 2021 and 2020, respectively, and are included in the above restructuring, strategic transaction and integration expenses in our consolidated statement of operations.</w:t>
      </w:r>
    </w:p>
    <w:p>
      <w:pPr>
        <w:spacing w:after="0" w:line="17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In 2022, we incurred restructuring charges primarily related to severance in connection with the January 6, 2022 acquisition of Smiths Medical, see Note 2: Acquisitions.</w:t>
      </w:r>
    </w:p>
    <w:p>
      <w:pPr>
        <w:spacing w:after="0" w:line="177" w:lineRule="exact"/>
        <w:rPr>
          <w:sz w:val="20"/>
          <w:szCs w:val="20"/>
          <w:color w:val="auto"/>
        </w:rPr>
      </w:pPr>
    </w:p>
    <w:p>
      <w:pPr>
        <w:ind w:right="620" w:firstLine="619"/>
        <w:spacing w:after="0" w:line="287" w:lineRule="auto"/>
        <w:rPr>
          <w:sz w:val="20"/>
          <w:szCs w:val="20"/>
          <w:color w:val="auto"/>
        </w:rPr>
      </w:pPr>
      <w:r>
        <w:rPr>
          <w:rFonts w:ascii="Times New Roman" w:cs="Times New Roman" w:eastAsia="Times New Roman" w:hAnsi="Times New Roman"/>
          <w:sz w:val="17"/>
          <w:szCs w:val="17"/>
          <w:color w:val="auto"/>
        </w:rPr>
        <w:t>In 2021, we adjusted certain facility restructuring liabilities by $2.0 million, shown in the table below under "Other adjustments," to reflect actual amounts owed which resulted in net restructuring credits of $(1.8) million.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2020, restructuring charges were primarily related to severance and costs related to office and other facility closures.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in our restructuring-related accrual by major type of cost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0" w:type="dxa"/>
            <w:vAlign w:val="bottom"/>
          </w:tcPr>
          <w:p>
            <w:pPr>
              <w:spacing w:after="0"/>
              <w:rPr>
                <w:sz w:val="15"/>
                <w:szCs w:val="15"/>
                <w:color w:val="auto"/>
              </w:rPr>
            </w:pP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Severance Pay and</w:t>
            </w: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Retention and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0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Facility Closure</w:t>
            </w:r>
          </w:p>
        </w:tc>
        <w:tc>
          <w:tcPr>
            <w:tcW w:w="300" w:type="dxa"/>
            <w:vAlign w:val="bottom"/>
          </w:tcPr>
          <w:p>
            <w:pPr>
              <w:spacing w:after="0"/>
              <w:rPr>
                <w:sz w:val="13"/>
                <w:szCs w:val="13"/>
                <w:color w:val="auto"/>
              </w:rPr>
            </w:pPr>
          </w:p>
        </w:tc>
        <w:tc>
          <w:tcPr>
            <w:tcW w:w="1060" w:type="dxa"/>
            <w:vAlign w:val="bottom"/>
            <w:vMerge w:val="restart"/>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Benefits</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Costs</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2021</w:t>
            </w: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w:t>
            </w:r>
          </w:p>
        </w:tc>
        <w:tc>
          <w:tcPr>
            <w:tcW w:w="0" w:type="dxa"/>
            <w:vAlign w:val="bottom"/>
          </w:tcPr>
          <w:p>
            <w:pPr>
              <w:spacing w:after="0"/>
              <w:rPr>
                <w:sz w:val="1"/>
                <w:szCs w:val="1"/>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 adjustments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0" w:type="dxa"/>
            <w:vAlign w:val="bottom"/>
          </w:tcPr>
          <w:p>
            <w:pPr>
              <w:spacing w:after="0"/>
              <w:rPr>
                <w:sz w:val="1"/>
                <w:szCs w:val="1"/>
                <w:color w:val="auto"/>
              </w:rPr>
            </w:pPr>
          </w:p>
        </w:tc>
      </w:tr>
      <w:tr>
        <w:trPr>
          <w:trHeight w:val="212"/>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December 31, 2021</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restructuring charges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7,536</w:t>
            </w:r>
          </w:p>
        </w:tc>
        <w:tc>
          <w:tcPr>
            <w:tcW w:w="0" w:type="dxa"/>
            <w:vAlign w:val="bottom"/>
          </w:tcPr>
          <w:p>
            <w:pPr>
              <w:spacing w:after="0"/>
              <w:rPr>
                <w:sz w:val="1"/>
                <w:szCs w:val="1"/>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(11,351)</w:t>
            </w:r>
          </w:p>
        </w:tc>
        <w:tc>
          <w:tcPr>
            <w:tcW w:w="0" w:type="dxa"/>
            <w:vAlign w:val="bottom"/>
          </w:tcPr>
          <w:p>
            <w:pPr>
              <w:spacing w:after="0"/>
              <w:rPr>
                <w:sz w:val="1"/>
                <w:szCs w:val="1"/>
                <w:color w:val="auto"/>
              </w:rPr>
            </w:pP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December 31, 2022</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w:t>
      </w:r>
    </w:p>
    <w:p>
      <w:pPr>
        <w:spacing w:after="0" w:line="29" w:lineRule="exact"/>
        <w:rPr>
          <w:sz w:val="20"/>
          <w:szCs w:val="20"/>
          <w:color w:val="auto"/>
        </w:rPr>
      </w:pPr>
    </w:p>
    <w:p>
      <w:pPr>
        <w:ind w:left="240" w:hanging="237"/>
        <w:spacing w:after="0"/>
        <w:tabs>
          <w:tab w:leader="none" w:pos="24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estimated liabilities related to a prior year's facility closure restructuring were adjusted to actual amounts owed.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47"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We incurred $61.7 million, $19.8 million and $20.5 million in strategic transaction and integration expenses in 2022, 2021 and 2020, respectively, which are included in restructuring, strategic transaction and integration expenses in our consolidated statement of operations. The strategic transaction and integration expenses during 2022 were primarily related to transaction and integration expenses associated with our acquisition of Smiths Medical on January 6, 2022 (see Note 2: Acquisitions) which primarily included legal expenses, bank fees, employee costs and a United Kingdom stamp tax. The strategic transaction and integration expenses during 2021 were related to integration costs associated with acquisitions, the Hospira Infusion Systems ("HIS") earn-out dispute with Pfizer, one-time costs incurred to comply with regulatory initiatives and transaction expenses incurred in connection with entering into a definitive agreement to acquire Smiths Medical. The integration expenses during 2020 were related to the integration of HIS and included expenses for the migration of IT systems at our Austin facility.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REVENUE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47"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Following the acquisition of Smiths Medical our primary product lines are Infusion Consumables, Infusion Systems, IV Solutions, Critical Care, Infusion Systems-Smiths Medical, Vascular Access-Smiths Medical and Vital Care-Smiths Medical. The vast majority of our sales of these products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200"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both our distribution and end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the prices we charge our distribution customers and the contracted prices we have with the end customer which are processed as credits to our distribution customers. In estimating the expected value of chargeback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in order to determine the transaction price, we use information available at the time, including our historical experience.</w:t>
      </w:r>
    </w:p>
    <w:p>
      <w:pPr>
        <w:spacing w:after="0" w:line="243"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Arrangements with Multiple Performance Obligations</w:t>
      </w:r>
    </w:p>
    <w:p>
      <w:pPr>
        <w:spacing w:after="0" w:line="247"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We also enter into arrangements which include multiple performance obligations, (see Note 1: Basis of Presentation and Summary of Significant Accounting Policies).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most significant judgments related to these arrangements include:</w:t>
      </w:r>
    </w:p>
    <w:p>
      <w:pPr>
        <w:spacing w:after="0" w:line="243" w:lineRule="exact"/>
        <w:rPr>
          <w:sz w:val="20"/>
          <w:szCs w:val="20"/>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the various performance obligations of these arrangements.</w:t>
      </w:r>
    </w:p>
    <w:p>
      <w:pPr>
        <w:spacing w:after="0" w:line="27" w:lineRule="exact"/>
        <w:rPr>
          <w:rFonts w:ascii="Times New Roman" w:cs="Times New Roman" w:eastAsia="Times New Roman" w:hAnsi="Times New Roman"/>
          <w:sz w:val="17"/>
          <w:szCs w:val="17"/>
          <w:color w:val="auto"/>
        </w:rPr>
      </w:pPr>
    </w:p>
    <w:p>
      <w:pPr>
        <w:ind w:left="620" w:right="160" w:hanging="307"/>
        <w:spacing w:after="0" w:line="266"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the relative standalone selling price of each performance obligation, typically using a directly observable method or calculated on a cost plus margin basis method.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disaggregated</w:t>
      </w:r>
    </w:p>
    <w:p>
      <w:pPr>
        <w:spacing w:after="0" w:line="247"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represents our revenues disaggregated by product line (in thousands) and our disaggregated product line revenue as a percentage of total 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Product line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136"/>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136"/>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0" w:type="dxa"/>
            <w:vAlign w:val="bottom"/>
          </w:tcPr>
          <w:p>
            <w:pPr>
              <w:spacing w:after="0"/>
              <w:rPr>
                <w:sz w:val="1"/>
                <w:szCs w:val="1"/>
                <w:color w:val="auto"/>
              </w:rPr>
            </w:pPr>
          </w:p>
        </w:tc>
      </w:tr>
      <w:tr>
        <w:trPr>
          <w:trHeight w:val="199"/>
        </w:trPr>
        <w:tc>
          <w:tcPr>
            <w:tcW w:w="2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 of Revenue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 Revenue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 of Revenue</w:t>
            </w:r>
          </w:p>
        </w:tc>
        <w:tc>
          <w:tcPr>
            <w:tcW w:w="0" w:type="dxa"/>
            <w:vAlign w:val="bottom"/>
          </w:tcPr>
          <w:p>
            <w:pPr>
              <w:spacing w:after="0"/>
              <w:rPr>
                <w:sz w:val="1"/>
                <w:szCs w:val="1"/>
                <w:color w:val="auto"/>
              </w:rPr>
            </w:pPr>
          </w:p>
        </w:tc>
      </w:tr>
      <w:tr>
        <w:trPr>
          <w:trHeight w:val="212"/>
        </w:trPr>
        <w:tc>
          <w:tcPr>
            <w:tcW w:w="27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Infusion Consumables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555,189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473,740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19"/>
        </w:trPr>
        <w:tc>
          <w:tcPr>
            <w:tcW w:w="2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Infusion Systems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352,321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359,691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IV Solutions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359,477</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388,971</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19"/>
        </w:trPr>
        <w:tc>
          <w:tcPr>
            <w:tcW w:w="2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Critical Care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49,321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48,602</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Infusion Systems-Smiths Medical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9"/>
        </w:trPr>
        <w:tc>
          <w:tcPr>
            <w:tcW w:w="2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Vascular Access-Smiths Medical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Vital Care-Smiths Medical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nm</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2"/>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2,279,997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1,316,308</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1,271,004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We report revenue on a "where sold" basis, which reflects the revenue within the country or region in which the ultimate sale is made to our external customer.</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geography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r>
      <w:tr>
        <w:trPr>
          <w:trHeight w:val="212"/>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Geography</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2"/>
        </w:trPr>
        <w:tc>
          <w:tcPr>
            <w:tcW w:w="6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1,460,069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941,809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910,627</w:t>
            </w:r>
          </w:p>
        </w:tc>
      </w:tr>
      <w:tr>
        <w:trPr>
          <w:trHeight w:val="219"/>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 the Middle East and Africa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132,763</w:t>
            </w:r>
          </w:p>
        </w:tc>
      </w:tr>
      <w:tr>
        <w:trPr>
          <w:trHeight w:val="21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APAC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79,610</w:t>
            </w:r>
          </w:p>
        </w:tc>
      </w:tr>
      <w:tr>
        <w:trPr>
          <w:trHeight w:val="219"/>
        </w:trPr>
        <w:tc>
          <w:tcPr>
            <w:tcW w:w="6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Other Foreign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148,004</w:t>
            </w:r>
          </w:p>
        </w:tc>
      </w:tr>
      <w:tr>
        <w:trPr>
          <w:trHeight w:val="237"/>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2,279,997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1,316,308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1,271,004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Domestic sales accounted for 64%, 72% and 72% of total revenue in 2022, 2021 and 2020, respectively. International sales accounted for 36%, 28% and 28% of total revenue in 2022, 2021 and 2020,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4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Our contract balances (deferred revenue) are recorded in accrued liabilities and other long-term liabilities in our consolidated balance sheet (see Note 10: Accrued Liabilities and Other Long-term Liabilities). The following table presents the changes in our contract balances for the years ended December 31, 2022 and 2021, (in thousands):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Contract Liabilities</w:t>
            </w: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2021</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(6,430)</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10,048</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(13,725)</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7,261</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w:t>
            </w:r>
          </w:p>
        </w:tc>
      </w:tr>
      <w:tr>
        <w:trPr>
          <w:trHeight w:val="212"/>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December 31, 2021</w:t>
            </w: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(7,461)</w:t>
            </w:r>
          </w:p>
        </w:tc>
      </w:tr>
      <w:tr>
        <w:trPr>
          <w:trHeight w:val="21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Fair value of acquired deferred revenue</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(51,245)</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32,252</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(20,332)</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16,277</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(17,557)</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deferred revenue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grant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5,915</w:t>
            </w:r>
          </w:p>
        </w:tc>
      </w:tr>
      <w:tr>
        <w:trPr>
          <w:trHeight w:val="212"/>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December 31, 2022</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(45,866)</w:t>
            </w:r>
          </w:p>
        </w:tc>
      </w:tr>
      <w:tr>
        <w:trPr>
          <w:trHeight w:val="20"/>
        </w:trPr>
        <w:tc>
          <w:tcPr>
            <w:tcW w:w="9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2022, we recognized $7.5 million in revenue that was included in the opening contract balances as of December 31, 2021.</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2022, revenue from remaining performance obligations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900" w:type="dxa"/>
            <w:vAlign w:val="bottom"/>
            <w:tcBorders>
              <w:bottom w:val="single" w:sz="8" w:color="auto"/>
            </w:tcBorders>
            <w:gridSpan w:val="4"/>
            <w:shd w:val="clear" w:color="auto" w:fill="CCEEFF"/>
          </w:tcPr>
          <w:p>
            <w:pPr>
              <w:jc w:val="right"/>
              <w:ind w:right="1314"/>
              <w:spacing w:after="0"/>
              <w:rPr>
                <w:sz w:val="20"/>
                <w:szCs w:val="20"/>
                <w:color w:val="auto"/>
              </w:rPr>
            </w:pPr>
            <w:r>
              <w:rPr>
                <w:rFonts w:ascii="Times New Roman" w:cs="Times New Roman" w:eastAsia="Times New Roman" w:hAnsi="Times New Roman"/>
                <w:sz w:val="17"/>
                <w:szCs w:val="17"/>
                <w:b w:val="1"/>
                <w:bCs w:val="1"/>
                <w:color w:val="auto"/>
              </w:rPr>
              <w:t>Recognition Timing</w:t>
            </w:r>
          </w:p>
        </w:tc>
      </w:tr>
      <w:tr>
        <w:trPr>
          <w:trHeight w:val="212"/>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60" w:type="dxa"/>
            <w:vAlign w:val="bottom"/>
          </w:tcPr>
          <w:p>
            <w:pPr>
              <w:spacing w:after="0"/>
              <w:rPr>
                <w:sz w:val="18"/>
                <w:szCs w:val="18"/>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&lt;12 Months</w:t>
            </w:r>
          </w:p>
        </w:tc>
        <w:tc>
          <w:tcPr>
            <w:tcW w:w="340" w:type="dxa"/>
            <w:vAlign w:val="bottom"/>
          </w:tcPr>
          <w:p>
            <w:pPr>
              <w:spacing w:after="0"/>
              <w:rPr>
                <w:sz w:val="18"/>
                <w:szCs w:val="18"/>
                <w:color w:val="auto"/>
              </w:rPr>
            </w:pPr>
          </w:p>
        </w:tc>
        <w:tc>
          <w:tcPr>
            <w:tcW w:w="17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&gt; 12 Months</w:t>
            </w:r>
          </w:p>
        </w:tc>
      </w:tr>
      <w:tr>
        <w:trPr>
          <w:trHeight w:val="212"/>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revenue</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revenue</w:t>
            </w: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grant revenue</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(12,797)</w:t>
            </w:r>
          </w:p>
        </w:tc>
      </w:tr>
      <w:tr>
        <w:trPr>
          <w:trHeight w:val="21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deferred revenue*</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w:t>
            </w: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____________________________</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deferred revenue includes pump development programs, purchased training and extended warranty.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Costs to Obtain a Contract with a Customer</w:t>
      </w:r>
    </w:p>
    <w:p>
      <w:pPr>
        <w:spacing w:after="0" w:line="247" w:lineRule="exact"/>
        <w:rPr>
          <w:sz w:val="20"/>
          <w:szCs w:val="20"/>
          <w:color w:val="auto"/>
        </w:rPr>
      </w:pPr>
    </w:p>
    <w:p>
      <w:pPr>
        <w:ind w:right="240" w:firstLine="619"/>
        <w:spacing w:after="0" w:line="263" w:lineRule="auto"/>
        <w:rPr>
          <w:sz w:val="20"/>
          <w:szCs w:val="20"/>
          <w:color w:val="auto"/>
        </w:rPr>
      </w:pPr>
      <w:r>
        <w:rPr>
          <w:rFonts w:ascii="Times New Roman" w:cs="Times New Roman" w:eastAsia="Times New Roman" w:hAnsi="Times New Roman"/>
          <w:sz w:val="17"/>
          <w:szCs w:val="17"/>
          <w:color w:val="auto"/>
        </w:rPr>
        <w:t>As part of the cost to obtain a contract, we may pay incremental commissions to sales employees upon entering into a sales contract. Under ASC Topic 606, we have elected to expense these costs as incurred as the period of benefit is less than one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Practical expedients and exemptions</w:t>
      </w:r>
    </w:p>
    <w:p>
      <w:pPr>
        <w:spacing w:after="0" w:line="226"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LEASES</w:t>
      </w:r>
    </w:p>
    <w:p>
      <w:pPr>
        <w:spacing w:after="0" w:line="247" w:lineRule="exact"/>
        <w:rPr>
          <w:sz w:val="20"/>
          <w:szCs w:val="20"/>
          <w:color w:val="auto"/>
        </w:rPr>
      </w:pPr>
    </w:p>
    <w:p>
      <w:pPr>
        <w:ind w:right="80" w:firstLine="619"/>
        <w:spacing w:after="0" w:line="267" w:lineRule="auto"/>
        <w:rPr>
          <w:sz w:val="20"/>
          <w:szCs w:val="20"/>
          <w:color w:val="auto"/>
        </w:rPr>
      </w:pPr>
      <w:r>
        <w:rPr>
          <w:rFonts w:ascii="Times New Roman" w:cs="Times New Roman" w:eastAsia="Times New Roman" w:hAnsi="Times New Roman"/>
          <w:sz w:val="17"/>
          <w:szCs w:val="17"/>
          <w:color w:val="auto"/>
        </w:rPr>
        <w:t>We determine if an arrangement is a lease at inception. Our operating lease assets are separately stated in operating lease right-of-use ("ROU") assets and our financing lease assets are included in other assets on our consolidated balance sheets. Our lease liabilities are included in accrued liabilities, and other long-term liabilities on our consolidated balance sheets. We have elected not to recognize an ROU asset and lease liability for leases with terms of twelve months or less.</w:t>
      </w:r>
    </w:p>
    <w:p>
      <w:pPr>
        <w:spacing w:after="0" w:line="200" w:lineRule="exact"/>
        <w:rPr>
          <w:sz w:val="20"/>
          <w:szCs w:val="20"/>
          <w:color w:val="auto"/>
        </w:rPr>
      </w:pPr>
    </w:p>
    <w:p>
      <w:pPr>
        <w:spacing w:after="0" w:line="205"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leases are for corporate, research and development and sales and support offices,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our lease cost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01"/>
        </w:trPr>
        <w:tc>
          <w:tcPr>
            <w:tcW w:w="7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11,284</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 — interest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cost — reduction of ROU asset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Interest expense on our finance leases is included in interest expense, net in our consolidated statements of operations. The reduction of the operating and finance ROU assets is included as noncash lease expense in selling, general and administrative expenses in our consolidated statements of operations.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cash flow information related to our leases (in thousands):</w:t>
      </w:r>
    </w:p>
    <w:p>
      <w:pPr>
        <w:spacing w:after="0" w:line="140"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65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0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656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Operating cash flows from operating leases</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10,185</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58"/>
        </w:trPr>
        <w:tc>
          <w:tcPr>
            <w:tcW w:w="6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20,847</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32" w:lineRule="exact"/>
        <w:rPr>
          <w:sz w:val="20"/>
          <w:szCs w:val="20"/>
          <w:color w:val="auto"/>
        </w:rPr>
      </w:pPr>
    </w:p>
    <w:p>
      <w:pPr>
        <w:ind w:left="180" w:hanging="177"/>
        <w:spacing w:after="0"/>
        <w:tabs>
          <w:tab w:leader="none" w:pos="1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acquired $55.2 million of operating right-of-use assets as part of the Smiths Medical acquisition, see Note 2: Acquisitions.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operating leases (in thousands, except lease term and discount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960" w:type="dxa"/>
            <w:vAlign w:val="bottom"/>
            <w:tcBorders>
              <w:bottom w:val="single" w:sz="8" w:color="auto"/>
            </w:tcBorders>
          </w:tcPr>
          <w:p>
            <w:pPr>
              <w:spacing w:after="0"/>
              <w:rPr>
                <w:sz w:val="17"/>
                <w:szCs w:val="17"/>
                <w:color w:val="auto"/>
              </w:rPr>
            </w:pPr>
          </w:p>
        </w:tc>
      </w:tr>
      <w:tr>
        <w:trPr>
          <w:trHeight w:val="201"/>
        </w:trPr>
        <w:tc>
          <w:tcPr>
            <w:tcW w:w="80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0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74,864</w:t>
            </w:r>
          </w:p>
        </w:tc>
        <w:tc>
          <w:tcPr>
            <w:tcW w:w="12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39,847</w:t>
            </w:r>
          </w:p>
        </w:tc>
      </w:tr>
      <w:tr>
        <w:trPr>
          <w:trHeight w:val="258"/>
        </w:trPr>
        <w:tc>
          <w:tcPr>
            <w:tcW w:w="8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9"/>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18,169</w:t>
            </w:r>
          </w:p>
        </w:tc>
        <w:tc>
          <w:tcPr>
            <w:tcW w:w="12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9,009</w:t>
            </w: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60,916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33,971</w:t>
            </w:r>
          </w:p>
        </w:tc>
      </w:tr>
      <w:tr>
        <w:trPr>
          <w:trHeight w:val="212"/>
        </w:trPr>
        <w:tc>
          <w:tcPr>
            <w:tcW w:w="8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79,085</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42,980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8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 years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years</w:t>
            </w:r>
          </w:p>
        </w:tc>
      </w:tr>
      <w:tr>
        <w:trPr>
          <w:trHeight w:val="258"/>
        </w:trPr>
        <w:tc>
          <w:tcPr>
            <w:tcW w:w="8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4.98 %</w:t>
            </w: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finance leases (in thousands, except lease term and discount rate):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940" w:type="dxa"/>
            <w:vAlign w:val="bottom"/>
            <w:tcBorders>
              <w:bottom w:val="single" w:sz="8" w:color="auto"/>
            </w:tcBorders>
          </w:tcPr>
          <w:p>
            <w:pPr>
              <w:spacing w:after="0"/>
              <w:rPr>
                <w:sz w:val="17"/>
                <w:szCs w:val="17"/>
                <w:color w:val="auto"/>
              </w:rPr>
            </w:pPr>
          </w:p>
        </w:tc>
      </w:tr>
      <w:tr>
        <w:trPr>
          <w:trHeight w:val="201"/>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20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2,598</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2,673</w:t>
            </w:r>
          </w:p>
        </w:tc>
      </w:tr>
      <w:tr>
        <w:trPr>
          <w:trHeight w:val="258"/>
        </w:trPr>
        <w:tc>
          <w:tcPr>
            <w:tcW w:w="8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643</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2,067</w:t>
            </w: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2,671</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2,710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8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4.8 years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years</w:t>
            </w:r>
          </w:p>
        </w:tc>
      </w:tr>
      <w:tr>
        <w:trPr>
          <w:trHeight w:val="258"/>
        </w:trPr>
        <w:tc>
          <w:tcPr>
            <w:tcW w:w="8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4.28 %</w:t>
            </w:r>
          </w:p>
        </w:tc>
      </w:tr>
    </w:tbl>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2022, the maturities of our operating and finance lease liabilities for each of the next five years are approximately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60" w:type="dxa"/>
            <w:vAlign w:val="bottom"/>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4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2"/>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SHARE-BASED AWARDS</w:t>
      </w:r>
    </w:p>
    <w:p>
      <w:pPr>
        <w:spacing w:after="0" w:line="22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We have a stock incentive plan for employees and directors and an employee stock purchase plan. Shares to be issued under these plans will be issued either from authorized but unissued shares or from treasury shares.</w:t>
      </w:r>
    </w:p>
    <w:p>
      <w:pPr>
        <w:spacing w:after="0" w:line="17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incur stock compensation expense for stock options, restricted stock units ("RSU"), performance restricted stock units ("PRSU") and in years prior to 2018 stock purchased under our employee stock purchase plan ("ESPP"), which was suspended in 2017. We receive a tax benefit on stock compensation expense and direct tax benefits from the exercise of stock options and vesting of restricted stock units. We also have indirect tax benefits upon exercise of stock options and vesting of restricted stock units related to research and development tax credits which are recorded as a reduction of income tax expense.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compensation costs and related tax benefits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r>
      <w:tr>
        <w:trPr>
          <w:trHeight w:val="201"/>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000" w:type="dxa"/>
            <w:vAlign w:val="bottom"/>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23,954</w:t>
            </w:r>
          </w:p>
        </w:tc>
      </w:tr>
      <w:tr>
        <w:trPr>
          <w:trHeight w:val="21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benefit from stock-based compensation cost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4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6,391</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5,564</w:t>
            </w:r>
          </w:p>
        </w:tc>
      </w:tr>
      <w:tr>
        <w:trPr>
          <w:trHeight w:val="21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Indirect tax benefit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48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r>
    </w:tbl>
    <w:p>
      <w:pPr>
        <w:spacing w:after="0" w:line="293" w:lineRule="exact"/>
        <w:rPr>
          <w:sz w:val="20"/>
          <w:szCs w:val="20"/>
          <w:color w:val="auto"/>
        </w:rPr>
      </w:pPr>
    </w:p>
    <w:p>
      <w:pPr>
        <w:jc w:val="both"/>
        <w:ind w:right="40" w:firstLine="619"/>
        <w:spacing w:after="0" w:line="263" w:lineRule="auto"/>
        <w:rPr>
          <w:sz w:val="20"/>
          <w:szCs w:val="20"/>
          <w:color w:val="auto"/>
        </w:rPr>
      </w:pPr>
      <w:r>
        <w:rPr>
          <w:rFonts w:ascii="Times New Roman" w:cs="Times New Roman" w:eastAsia="Times New Roman" w:hAnsi="Times New Roman"/>
          <w:sz w:val="17"/>
          <w:szCs w:val="17"/>
          <w:color w:val="auto"/>
        </w:rPr>
        <w:t>As of December 31, 2022, we had $43.0 million of unamortized stock compensation cost which we will recognize as an expense over a weighted-average period of approximately 0.8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 Plans</w:t>
      </w:r>
    </w:p>
    <w:p>
      <w:pPr>
        <w:spacing w:after="0" w:line="226"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2011 Stock Incentive Plan ("2011 Plan") replaced our 2003 Stock Option Plan ("2003 Plan"). Our 2011 Plan initially had 650,000 shares available for issuance, plus the remaining available shares for grant from the 2003 Plan and any shares that were forfeited, terminated or expired that would have otherwise returned to the 2003 Plan. In 2012, 2014 and 2017, our stockholders approved amendments to the 2011 plan that increased the shares available for issuance by 3,275,000, bringing the initial shares available for issuance to 3,925,000, plus the remaining 248,700 shares that remained available for grant from the 2003 Plan. As of December 31, 2022, the 2011 Plan has 4,188,300 shares of common stock reserved for issuance to employees, which includes 263,300 shares that transferred from the 2003 Plan. Shares issued as options or stock appreciation rights ("SARs") are charged against the 2011 Plan's share reserve as one share for one share issued. Shares subject to awards other than options and SARs are charged against the 2011 Plan's share reserve as 2.09 shares for 1 share issued. Options may be granted with exercise prices at no less than fair market value at date of grant. Options granted under the 2011 Plan may be "non-statutory stock options" which expire no more than ten years from date of grant or "incentive stock options" as defined in Section 422 of the Internal Revenue Code of 1986, as amended.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Time-based Stock Options</w:t>
      </w:r>
    </w:p>
    <w:p>
      <w:pPr>
        <w:spacing w:after="0" w:line="24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To date, all options granted under 2011 Plan and 2003 Plan have been non-statutory stock options. The majority of the time-based outstanding employee option grants vested 25% after one year from the grant date and the balance vested ratably on a monthly basis over 36 months. The outstanding employee option grants are all fully vested. The majority of the outstanding options granted to non-employee directors vest one year from the grant date. The options generally expire 10 years from the grant date.</w:t>
      </w:r>
    </w:p>
    <w:p>
      <w:pPr>
        <w:spacing w:after="0" w:line="197"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time-based option grants is calculated using the Black-Scholes option valuation model. The expected term for the option grants was based on historical experience and expected future employee behavior. We estimate the volatility of our common stock at the date of grant based on the historical volatility of our common stock, based on the average expected exercise term.</w:t>
      </w:r>
    </w:p>
    <w:p>
      <w:pPr>
        <w:spacing w:after="0" w:line="191"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The table below summarizes the total time-based stock options granted, total valuation and the weighted-average assumptions (dollars in thousands, except per option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4000" w:type="dxa"/>
            <w:vAlign w:val="bottom"/>
            <w:tcBorders>
              <w:bottom w:val="single" w:sz="8" w:color="CCEEFF"/>
            </w:tcBorders>
          </w:tcPr>
          <w:p>
            <w:pPr>
              <w:spacing w:after="0"/>
              <w:rPr>
                <w:sz w:val="17"/>
                <w:szCs w:val="17"/>
                <w:color w:val="auto"/>
              </w:rPr>
            </w:pPr>
          </w:p>
        </w:tc>
        <w:tc>
          <w:tcPr>
            <w:tcW w:w="26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time-based options granted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7,620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7,190</w:t>
            </w:r>
          </w:p>
        </w:tc>
      </w:tr>
      <w:tr>
        <w:trPr>
          <w:trHeight w:val="219"/>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Grant-date fair value of options granted (in thousands)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540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425</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Weighted-average assumptions for stock option valuation:</w:t>
            </w:r>
          </w:p>
        </w:tc>
        <w:tc>
          <w:tcPr>
            <w:tcW w:w="2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9"/>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r>
      <w:tr>
        <w:trPr>
          <w:trHeight w:val="219"/>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19"/>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Weighted-average grant-price per option</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185.79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200.07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181.99</w:t>
            </w:r>
          </w:p>
        </w:tc>
      </w:tr>
      <w:tr>
        <w:trPr>
          <w:trHeight w:val="219"/>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grant-date fair value per option</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70.86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59.09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our stock option activity as of and for the year ended December 31, 2022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Aggregate Intrinsic</w:t>
            </w:r>
          </w:p>
        </w:tc>
        <w:tc>
          <w:tcPr>
            <w:tcW w:w="0" w:type="dxa"/>
            <w:vAlign w:val="bottom"/>
          </w:tcPr>
          <w:p>
            <w:pPr>
              <w:spacing w:after="0"/>
              <w:rPr>
                <w:sz w:val="1"/>
                <w:szCs w:val="1"/>
                <w:color w:val="auto"/>
              </w:rPr>
            </w:pPr>
          </w:p>
        </w:tc>
      </w:tr>
      <w:tr>
        <w:trPr>
          <w:trHeight w:val="155"/>
        </w:trPr>
        <w:tc>
          <w:tcPr>
            <w:tcW w:w="5460" w:type="dxa"/>
            <w:vAlign w:val="bottom"/>
          </w:tcPr>
          <w:p>
            <w:pPr>
              <w:spacing w:after="0"/>
              <w:rPr>
                <w:sz w:val="13"/>
                <w:szCs w:val="13"/>
                <w:color w:val="auto"/>
              </w:rPr>
            </w:pPr>
          </w:p>
        </w:tc>
        <w:tc>
          <w:tcPr>
            <w:tcW w:w="1380" w:type="dxa"/>
            <w:vAlign w:val="bottom"/>
            <w:vMerge w:val="restart"/>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3"/>
                <w:szCs w:val="13"/>
                <w:color w:val="auto"/>
              </w:rPr>
            </w:pPr>
          </w:p>
        </w:tc>
        <w:tc>
          <w:tcPr>
            <w:tcW w:w="14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Exercise Price Per</w:t>
            </w:r>
          </w:p>
        </w:tc>
        <w:tc>
          <w:tcPr>
            <w:tcW w:w="14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Contractual Life</w:t>
            </w:r>
          </w:p>
        </w:tc>
        <w:tc>
          <w:tcPr>
            <w:tcW w:w="220" w:type="dxa"/>
            <w:vAlign w:val="bottom"/>
          </w:tcPr>
          <w:p>
            <w:pPr>
              <w:spacing w:after="0"/>
              <w:rPr>
                <w:sz w:val="13"/>
                <w:szCs w:val="13"/>
                <w:color w:val="auto"/>
              </w:rPr>
            </w:pPr>
          </w:p>
        </w:tc>
        <w:tc>
          <w:tcPr>
            <w:tcW w:w="1140" w:type="dxa"/>
            <w:vAlign w:val="bottom"/>
          </w:tcPr>
          <w:p>
            <w:pPr>
              <w:jc w:val="center"/>
              <w:ind w:right="138"/>
              <w:spacing w:after="0" w:line="155" w:lineRule="exact"/>
              <w:rPr>
                <w:sz w:val="20"/>
                <w:szCs w:val="20"/>
                <w:color w:val="auto"/>
              </w:rPr>
            </w:pPr>
            <w:r>
              <w:rPr>
                <w:rFonts w:ascii="Times New Roman" w:cs="Times New Roman" w:eastAsia="Times New Roman" w:hAnsi="Times New Roman"/>
                <w:sz w:val="15"/>
                <w:szCs w:val="15"/>
                <w:b w:val="1"/>
                <w:bCs w:val="1"/>
                <w:color w:val="auto"/>
              </w:rPr>
              <w:t>Value (in</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(Years)</w:t>
            </w:r>
          </w:p>
        </w:tc>
        <w:tc>
          <w:tcPr>
            <w:tcW w:w="220" w:type="dxa"/>
            <w:vAlign w:val="bottom"/>
          </w:tcPr>
          <w:p>
            <w:pPr>
              <w:spacing w:after="0"/>
              <w:rPr>
                <w:sz w:val="17"/>
                <w:szCs w:val="17"/>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0" w:type="dxa"/>
            <w:vAlign w:val="bottom"/>
          </w:tcPr>
          <w:p>
            <w:pPr>
              <w:spacing w:after="0"/>
              <w:rPr>
                <w:sz w:val="1"/>
                <w:szCs w:val="1"/>
                <w:color w:val="auto"/>
              </w:rPr>
            </w:pPr>
          </w:p>
        </w:tc>
      </w:tr>
      <w:tr>
        <w:trPr>
          <w:trHeight w:val="213"/>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663,098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(142,772)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 or expired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4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60.01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527,461</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2022</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78.39</w:t>
            </w: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42,708</w:t>
            </w:r>
          </w:p>
        </w:tc>
        <w:tc>
          <w:tcPr>
            <w:tcW w:w="0" w:type="dxa"/>
            <w:vAlign w:val="bottom"/>
          </w:tcPr>
          <w:p>
            <w:pPr>
              <w:spacing w:after="0" w:line="20" w:lineRule="exact"/>
              <w:rPr>
                <w:sz w:val="1"/>
                <w:szCs w:val="1"/>
                <w:color w:val="auto"/>
              </w:rPr>
            </w:pPr>
          </w:p>
        </w:tc>
      </w:tr>
      <w:tr>
        <w:trPr>
          <w:trHeight w:val="191"/>
        </w:trPr>
        <w:tc>
          <w:tcPr>
            <w:tcW w:w="5460" w:type="dxa"/>
            <w:vAlign w:val="bottom"/>
            <w:vMerge w:val="continue"/>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519,841</w:t>
            </w:r>
          </w:p>
        </w:tc>
        <w:tc>
          <w:tcPr>
            <w:tcW w:w="4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527,461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The intrinsic values for options exercisable, outstanding and vested or expected to vest at December 31, 2022 are based on our closing stock price of $157.48 at December 31, 2022 and are before applicable taxes.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regarding stock option activity: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r>
      <w:tr>
        <w:trPr>
          <w:trHeight w:val="204"/>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00" w:type="dxa"/>
            <w:vAlign w:val="bottom"/>
          </w:tcPr>
          <w:p>
            <w:pPr>
              <w:spacing w:after="0"/>
              <w:rPr>
                <w:sz w:val="17"/>
                <w:szCs w:val="17"/>
                <w:color w:val="auto"/>
              </w:rPr>
            </w:pPr>
          </w:p>
        </w:tc>
        <w:tc>
          <w:tcPr>
            <w:tcW w:w="1000" w:type="dxa"/>
            <w:vAlign w:val="bottom"/>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 of options exercised</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32,915</w:t>
            </w:r>
          </w:p>
        </w:tc>
      </w:tr>
      <w:tr>
        <w:trPr>
          <w:trHeight w:val="21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received from exercise of stock options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8,785</w:t>
            </w:r>
          </w:p>
        </w:tc>
        <w:tc>
          <w:tcPr>
            <w:tcW w:w="4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9,372</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13,193</w:t>
            </w:r>
          </w:p>
        </w:tc>
      </w:tr>
      <w:tr>
        <w:trPr>
          <w:trHeight w:val="21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from stock option exercises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3,637</w:t>
            </w:r>
          </w:p>
        </w:tc>
        <w:tc>
          <w:tcPr>
            <w:tcW w:w="48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Awards</w:t>
      </w:r>
    </w:p>
    <w:p>
      <w:pPr>
        <w:spacing w:after="0" w:line="247"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In 2022, we granted our annual PRSUs to our executive officers and certain other non-executive employees. These PRSUs will cliff-vest on March 7, 2024 subject to the achievement of net synergy savings targets related to the Smiths Medical acquisition achieved during the performance period commencing on January 1, 2022 and ending on December 31, 2023, which when reviewed against predetermined targets could result in 0% to 200% of the awarded units that could vest. We also granted certain other one-off PRSU awards to non-executive employees with various performance requirements, whereby the performance shares will be earned if the minimum requirements are met within a specified time period.</w:t>
      </w:r>
    </w:p>
    <w:p>
      <w:pPr>
        <w:spacing w:after="0" w:line="200"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In 2021, we granted PRSUs to our executive officers. For the executive officers other than the Chief Executive Officer ("CEO"), Chief Operations Officer ("COO") and the Chief Financial Officer ("CFO"), the PRSUs will vest subject to a three-year time vesting and further subject to a determination by the Compensation Committee that the officers have met their individual performance goals for the applicable years. For the CEO, COO and the CFO, the performance shares will cliff-vest ending on March 6, 2024 and further be subject to the achievement of minimum three-year cumulative revenue and EPS targets, commencing on January 1, 2021 and ending on December 31, 2023, which when reviewed against a predetermined vesting matrix could result in 0% to 250% of the awarded units that could vest.</w:t>
      </w:r>
    </w:p>
    <w:p>
      <w:pPr>
        <w:spacing w:after="0" w:line="199"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2020, we granted PRSUs to our executive officers. For the executive officers other than the CEO, COO and the CFO, the PRSUs will vest subject to a three-year time vesting and further subject to a determination by the Compensation Committee that the officers have met their individual performance goals for the applicable years. For the CEO, COO and the CFO, the performance shares will cliff-vest ending on March 6, 2023 and further be subject to the achievement of minimum three-year cumulative revenue and EPS targets, which when reviewed against a predetermined vesting matrix could result in 0% to 250% of the awarded units that could vest. On February 15, 2021, the Compensation Committee made the determination that the executive officers other than the CEO, COO and CFO met their individual performance goals for 2021, therefore one-third of their 2020 PRSU shares awarded vested during 2021. Additionally, during February 2021, the Compensation Committee, modified the potential vesting percentages related to the 2020 PRSU awards for the CEO, COO and CFO, as the original potential percentages were established immediately before the onset of the COVID-19 pandemic. The Compensation Committee determined to adjust the CEO, COO and CFO's potential to earn from between 0% and 250% of the award granted,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to an increased potential to earn between 50% and 300% of the award granted, subject to the same minimum threshold revenue and EPS targets to be achieved by the Company. The additional compensation expense as a result of modifying the 2020 PRSUs granted to our CEO, COO and CFO totaled $2.1 million recognized over the remaining amortization period from the date of modification. In February 2023, the Compensation Committee made the determination that the executive officers other than the CEO, CFO and COO met their individual performance goals for 2022, therefore a third of their 2020 PRSU shares awarded vested during 2023. The performance period related to the 2020 CEO and COO PRSUs ended on December 31, 2022 and is subject to the Compensation Committee review and determination of shares earned based on the Cumulative revenue and EPS results achieved during the performance period.</w:t>
      </w:r>
    </w:p>
    <w:p>
      <w:pPr>
        <w:spacing w:after="0" w:line="199"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In 2019, we granted PRSUs to our executive officers. For the executive officers other than the CEO and the COO, the PRSUs vested subject to a three-year time vesting and further subject to a determination by the Compensation Committee that the officers had met their individual performance goals for the applicable years. For the CEO and the COO, the performance shares were to cliff-vest on March 6, 2022, subject to the achievement of a minimum Cumulative Adjusted EBITDA and continuous service through that date. If for the three year period ending on December 31, 2021 the Cumulative Adjusted EBITDA had a growth of at least 6% to 8%, 50% of the awarded units would have vested. If on the vesting date the Cumulative Adjusted EBITDA had a growth of between 8% to 10%, 100% of the awarded units would have vested. If on the vesting date the Cumulative Adjusted EBITDA has a growth of over 10%, 200% of the awarded units would have vested. In 2019, we also granted PRSUs to one of our non-executive employees. These PRSUs vested at the end of a three-year period ending on March 31, 2022, based on meeting certain minimum performance goals. In February 2022, the Compensation Committee made the determination that the executive officers other than the CEO and COO met their individual performance goals for 2022, therefore, the final third of their 2019 PRSU shares awarded vested during 2022. The performance period related to the 2019 CEO and COO PRSUs ended on December 31, 2021 and in February 2022 the Compensation Committee determined that zero PRSUs were earned based on the actual Cumulative Adjusted EBITDA achieved during the performance period.</w:t>
      </w:r>
    </w:p>
    <w:p>
      <w:pPr>
        <w:spacing w:after="0" w:line="20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2018, we granted PRSUs to our executive officers. For the executive officers other than the CEO and the COO, the PRSUs were vested subject to a three-year time vesting and further subject to a determination by the Compensation Committee that the officers have met their individual performance goals for the applicable year. For the CEO and the COO, the performance shares were to cliff-vest ending on February 15, 2021 subject to the achievement of a minimum Cumulative Adjusted EBITDA. If for the three year period ending on December 31, 2020 the Cumulative Adjusted EBITDA had a growth of at least 6% to 8%, 50% of the awarded units would vest. If on the vesting date the Cumulative Adjusted EBITDA had a growth of between 8% to 10%, 100% of the awarded units would vest. If on the vesting date the Cumulative Adjusted EBITDA had a growth of over 10%, 200% of the awarded units would vest. On February 15, 2021, the Compensation Committee made the determination that the executive officers other than the CEO and COO met their individual performance goals for 2021, therefore, one-third of their 2018 PRSU shares awarded vested during 2021. Also on February 15, 2021, the Compensation Committee determined that based on the actual Cumulative Adjusted EBITDA achieved during the performance period the CEO and COO's 2018 PRSUs were earned at 100% of the awards granted.</w:t>
      </w:r>
    </w:p>
    <w:p>
      <w:pPr>
        <w:spacing w:after="0" w:line="20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2017, we granted PRSUs to our executive officers. The PRSUs were scheduled to vest, if at all, upon the achievement of a minimum Cumulative Adjusted EBITDA, subject to a three-year cliff vesting ending on December 31, 2019. If at that date, our Cumulative Adjusted EBITDA was at least $600 million but less than $650 million, 100% of the awarded units would vest. If our Cumulative Adjusted EBITDA was at least $650 million but less than $700 million, 200% of the awarded units would vest. If our Cumulative Adjusted EBITDA is at least $700 million, 300% of the awarded units would vest. On January 17, 2020, the Compensation Committee determined that based on the actual Cumulative Adjusted EBITDA achieved during the performance period that the 2017 PRSU shares were earned by our executive officers at the 300% achievement level.</w:t>
      </w:r>
    </w:p>
    <w:p>
      <w:pPr>
        <w:spacing w:after="0" w:line="199"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Restricted stock units are granted annually to our non-employee directors and vest on the first anniversary of the grant date, or the date of our annual meeting, whichever occurs first.</w:t>
      </w:r>
    </w:p>
    <w:p>
      <w:pPr>
        <w:spacing w:after="0" w:line="177"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In 2022, 2021 and 2020, we granted RSUs to certain employees that vest ratably on the anniversary of the grant over three years. We recognize forfeitures as they occur.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grant-date fair market value of our PRSUs and RSUs is determined by our stock price on the grant date.</w:t>
      </w:r>
    </w:p>
    <w:p>
      <w:pPr>
        <w:spacing w:after="0" w:line="2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our restricted stock award activity (dollars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r>
      <w:tr>
        <w:trPr>
          <w:trHeight w:val="201"/>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amounts)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granted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38,633</w:t>
            </w:r>
          </w:p>
        </w:tc>
      </w:tr>
      <w:tr>
        <w:trPr>
          <w:trHeight w:val="219"/>
        </w:trPr>
        <w:tc>
          <w:tcPr>
            <w:tcW w:w="68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Shares earned </w:t>
            </w:r>
            <w:r>
              <w:rPr>
                <w:rFonts w:ascii="Times New Roman" w:cs="Times New Roman" w:eastAsia="Times New Roman" w:hAnsi="Times New Roman"/>
                <w:sz w:val="22"/>
                <w:szCs w:val="22"/>
                <w:color w:val="auto"/>
                <w:vertAlign w:val="superscript"/>
              </w:rPr>
              <w:t>(a)</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80,654</w:t>
            </w: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Grant-date fair value per share</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230.31</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188.34</w:t>
            </w: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Grant-date fair value</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13,907</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7,276</w:t>
            </w: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Intrinsic value vested</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10,487</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6,777</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15,627</w:t>
            </w:r>
          </w:p>
        </w:tc>
      </w:tr>
      <w:tr>
        <w:trPr>
          <w:trHeight w:val="245"/>
        </w:trPr>
        <w:tc>
          <w:tcPr>
            <w:tcW w:w="6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19"/>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RSU</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1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granted</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87,830</w:t>
            </w: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Grant-date fair value per share</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221.65</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188.13</w:t>
            </w: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Grant-date fair value</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25,905</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16,523</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Intrinsic value vested</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16,438</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12,314</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7" w:lineRule="exact"/>
        <w:rPr>
          <w:sz w:val="20"/>
          <w:szCs w:val="20"/>
          <w:color w:val="auto"/>
        </w:rPr>
      </w:pPr>
    </w:p>
    <w:p>
      <w:pPr>
        <w:ind w:left="320" w:right="40" w:hanging="317"/>
        <w:spacing w:after="0" w:line="239" w:lineRule="auto"/>
        <w:tabs>
          <w:tab w:leader="none" w:pos="222" w:val="left"/>
        </w:tabs>
        <w:numPr>
          <w:ilvl w:val="0"/>
          <w:numId w:val="4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PRSU shares earned in 2020 were related to performance awards granted to executives in 2017, 2018 and 2019. PRSU shares earned in 2021 were related to performance awards granted to executives in 2018, 2019 and 2020. PRSU shares earned in 2022 were related to performance awards granted to executives in 2019, 2020 and 2021 and performance awards granted to a non-executive employee in 2019, 2020 and 2021.</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provides a summary of our PRSU and RSU activity as of and for the year ended December 31,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Grant-Date Fair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Aggregate Intrinsic</w:t>
            </w:r>
          </w:p>
        </w:tc>
        <w:tc>
          <w:tcPr>
            <w:tcW w:w="0" w:type="dxa"/>
            <w:vAlign w:val="bottom"/>
          </w:tcPr>
          <w:p>
            <w:pPr>
              <w:spacing w:after="0"/>
              <w:rPr>
                <w:sz w:val="1"/>
                <w:szCs w:val="1"/>
                <w:color w:val="auto"/>
              </w:rPr>
            </w:pPr>
          </w:p>
        </w:tc>
      </w:tr>
      <w:tr>
        <w:trPr>
          <w:trHeight w:val="155"/>
        </w:trPr>
        <w:tc>
          <w:tcPr>
            <w:tcW w:w="5460" w:type="dxa"/>
            <w:vAlign w:val="bottom"/>
          </w:tcPr>
          <w:p>
            <w:pPr>
              <w:spacing w:after="0"/>
              <w:rPr>
                <w:sz w:val="13"/>
                <w:szCs w:val="13"/>
                <w:color w:val="auto"/>
              </w:rPr>
            </w:pPr>
          </w:p>
        </w:tc>
        <w:tc>
          <w:tcPr>
            <w:tcW w:w="1380" w:type="dxa"/>
            <w:vAlign w:val="bottom"/>
            <w:vMerge w:val="restart"/>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rPr>
              <w:t>Number of Units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Contractual Life</w:t>
            </w:r>
          </w:p>
        </w:tc>
        <w:tc>
          <w:tcPr>
            <w:tcW w:w="220" w:type="dxa"/>
            <w:vAlign w:val="bottom"/>
          </w:tcPr>
          <w:p>
            <w:pPr>
              <w:spacing w:after="0"/>
              <w:rPr>
                <w:sz w:val="13"/>
                <w:szCs w:val="13"/>
                <w:color w:val="auto"/>
              </w:rPr>
            </w:pPr>
          </w:p>
        </w:tc>
        <w:tc>
          <w:tcPr>
            <w:tcW w:w="1140" w:type="dxa"/>
            <w:vAlign w:val="bottom"/>
          </w:tcPr>
          <w:p>
            <w:pPr>
              <w:jc w:val="center"/>
              <w:ind w:right="140"/>
              <w:spacing w:after="0" w:line="155" w:lineRule="exact"/>
              <w:rPr>
                <w:sz w:val="20"/>
                <w:szCs w:val="20"/>
                <w:color w:val="auto"/>
              </w:rPr>
            </w:pPr>
            <w:r>
              <w:rPr>
                <w:rFonts w:ascii="Times New Roman" w:cs="Times New Roman" w:eastAsia="Times New Roman" w:hAnsi="Times New Roman"/>
                <w:sz w:val="15"/>
                <w:szCs w:val="15"/>
                <w:b w:val="1"/>
                <w:bCs w:val="1"/>
                <w:color w:val="auto"/>
              </w:rPr>
              <w:t>Value (in</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Value Per 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(Years)</w:t>
            </w:r>
          </w:p>
        </w:tc>
        <w:tc>
          <w:tcPr>
            <w:tcW w:w="220" w:type="dxa"/>
            <w:vAlign w:val="bottom"/>
          </w:tcPr>
          <w:p>
            <w:pPr>
              <w:spacing w:after="0"/>
              <w:rPr>
                <w:sz w:val="17"/>
                <w:szCs w:val="17"/>
                <w:color w:val="auto"/>
              </w:rPr>
            </w:pPr>
          </w:p>
        </w:tc>
        <w:tc>
          <w:tcPr>
            <w:tcW w:w="1140" w:type="dxa"/>
            <w:vAlign w:val="bottom"/>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0" w:type="dxa"/>
            <w:vAlign w:val="bottom"/>
          </w:tcPr>
          <w:p>
            <w:pPr>
              <w:spacing w:after="0"/>
              <w:rPr>
                <w:sz w:val="1"/>
                <w:szCs w:val="1"/>
                <w:color w:val="auto"/>
              </w:rPr>
            </w:pPr>
          </w:p>
        </w:tc>
      </w:tr>
      <w:tr>
        <w:trPr>
          <w:trHeight w:val="213"/>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Change in units due to performance expectations </w:t>
            </w:r>
            <w:r>
              <w:rPr>
                <w:rFonts w:ascii="Times New Roman" w:cs="Times New Roman" w:eastAsia="Times New Roman" w:hAnsi="Times New Roman"/>
                <w:sz w:val="22"/>
                <w:szCs w:val="22"/>
                <w:color w:val="auto"/>
                <w:vertAlign w:val="superscript"/>
              </w:rPr>
              <w:t>(a)</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and expected to vest at December 31, 2022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354,004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213.95</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55,749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7" w:lineRule="exact"/>
        <w:rPr>
          <w:sz w:val="20"/>
          <w:szCs w:val="20"/>
          <w:color w:val="auto"/>
        </w:rPr>
      </w:pPr>
    </w:p>
    <w:p>
      <w:pPr>
        <w:ind w:left="320" w:right="80" w:hanging="317"/>
        <w:spacing w:after="0" w:line="226" w:lineRule="auto"/>
        <w:tabs>
          <w:tab w:leader="none" w:pos="222" w:val="left"/>
        </w:tabs>
        <w:numPr>
          <w:ilvl w:val="0"/>
          <w:numId w:val="4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Relates to net adjustments to 2019, 2020, 2021 and 2022 PRSUs granted to executives and certain non-executive employees. PRSUs granted assumes attainment of an increased payout rate based on performance expectations.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ESPP</w:t>
      </w:r>
    </w:p>
    <w:p>
      <w:pPr>
        <w:spacing w:after="0" w:line="217"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We have an ESPP under which U.S. employees may purchase up to $25,000 annually of common stock at 85% of its fair market value at the beginning or the end of a six-month offering period, whichever is lower. There are 750,000 shares of common stock reserved for issuance under the ESPP, which is subject to an annual increase of the least of 300,000 shares, two percent of the shares outstanding or such a number as determined by the Board. To date, there have been no increases. As of December 31, 2022, there were no shares available for future issuance, all shares unissued under the plan expired during 2022. The ESPP is intended to constitute an “employee stock purchase plan” within the meaning of Section 423 of the Internal Revenue Code. We suspended our ESPP in 2017.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DERIVATIVES AND HEDGING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Hedge Accounting and Hedging Program</w:t>
      </w:r>
    </w:p>
    <w:p>
      <w:pPr>
        <w:spacing w:after="0" w:line="247"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purposes of our cash flow hedging programs are to manage the foreign currency exchange rate risk on forecasted expenses denominated in currencies other than the functional currency of the operating unit, and to manage floating interest rate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associated with future interest payments on variable-rate term loans issued in January 2022. We do not issue derivatives for trading or speculative purposes.</w:t>
      </w:r>
    </w:p>
    <w:p>
      <w:pPr>
        <w:spacing w:after="0" w:line="243"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To receive hedge accounting treatment, all hedging relationships are formally documented at the inception of the hedge, and the hedges must be highly effective in offsetting changes to future cash flows on hedged transactions. The par forward contract and forward-starting interest rate swaps are designated and qualify as cash flow hedges. Our derivative instruments are recorded at fair value on the consolidated balance sheets and are classified based on the instrument's maturity date. We record changes in the fair value of the effective portion of the gain or loss on the derivative instrument as a component of other comprehensive (loss) income and we reclassify that gain or loss into earnings in the same line item associated with the forecasted transaction and in the same period during which the hedged transaction affects earnings.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Forward Exchange Forward Contracts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enter into foreign exchange forward contracts to hedge a portion of our forecasted foreign currency-denominated revenues and expenses to minimize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foreign exchange rate movements on the related cash flows. These contracts are agreements to buy or sell a quantity of a currency at a predetermined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date and at a predetermined exchange rate. Our foreign exchange forward contracts hedge exposures principally denominated in Mexican Pesos ("MXN"),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Euros, Czech Koruna ("CZK"), Japanese Yen ("JPY"), U.S. Dollar ("USD"), Chinese Renminbi ("CNH"), Canadian Dollar ("CAD") and Australian Dollar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 and have varying maturities with an average term of approximately twelve months. The total notional amount of these outstanding derivative contracts 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December 31, 2022 was $206.0 million, which included the notional equivalent of $61.3 million in MXN, $31.7 million in Euros, $13.9 million in CZK,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$15.3 million in JPY, $11.5 million in CNH, $43.2 million in USD, $11.6 million in CAD, $11.9 million in AUD and $5.6 million in other foreign currencies, with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terms currently through February 2024. Certain contracts were acquired as part of the Smiths Medical acquisition. We did not have such derivative contracts as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Cross-currency Par Forward Contracts</w:t>
      </w:r>
    </w:p>
    <w:p>
      <w:pPr>
        <w:spacing w:after="0" w:line="247" w:lineRule="exact"/>
        <w:rPr>
          <w:sz w:val="20"/>
          <w:szCs w:val="20"/>
          <w:color w:val="auto"/>
        </w:rPr>
      </w:pPr>
    </w:p>
    <w:p>
      <w:pPr>
        <w:ind w:right="280" w:firstLine="619"/>
        <w:spacing w:after="0" w:line="260" w:lineRule="auto"/>
        <w:rPr>
          <w:sz w:val="20"/>
          <w:szCs w:val="20"/>
          <w:color w:val="auto"/>
        </w:rPr>
      </w:pPr>
      <w:r>
        <w:rPr>
          <w:rFonts w:ascii="Times New Roman" w:cs="Times New Roman" w:eastAsia="Times New Roman" w:hAnsi="Times New Roman"/>
          <w:sz w:val="17"/>
          <w:szCs w:val="17"/>
          <w:color w:val="auto"/>
        </w:rPr>
        <w:t>We entered into cross-currency par forward contracts to hedge a portion of our Mexico forecasted expenses denominated in MXN. These contracts are agreements to exchange cash flows from one currency to another at specified intervals over the contract term with all exchanges occurring at the same predetermined rate.</w:t>
      </w:r>
    </w:p>
    <w:p>
      <w:pPr>
        <w:jc w:val="both"/>
        <w:ind w:right="140" w:firstLine="619"/>
        <w:spacing w:after="0" w:line="259" w:lineRule="auto"/>
        <w:rPr>
          <w:sz w:val="20"/>
          <w:szCs w:val="20"/>
          <w:color w:val="auto"/>
        </w:rPr>
      </w:pPr>
      <w:r>
        <w:rPr>
          <w:rFonts w:ascii="Times New Roman" w:cs="Times New Roman" w:eastAsia="Times New Roman" w:hAnsi="Times New Roman"/>
          <w:sz w:val="17"/>
          <w:szCs w:val="17"/>
          <w:color w:val="auto"/>
        </w:rPr>
        <w:t>In November 2018, we hedged a portion of our Mexico forecasted expenses denominated in Pesos ("MXN") by entering into a one-year cross-currency par forward contract. The term of the one-year hedge was November 1, 2019 to November 3, 2020. The derivative instrument matured in equal monthly amounts at a fixed forward rate of 22.11 MXN/USD.</w:t>
      </w:r>
    </w:p>
    <w:p>
      <w:pPr>
        <w:spacing w:after="0" w:line="201"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In March 2020, we entered into a one-year cross-currency par forward contract. The total notional amount of this outstanding derivative as of December 31, 2020 was approximately 436.8 million MXN. The term of this one-year contract was November 3, 2020 to December 1, 2021. The derivative instrument matured in equal monthly amounts at a fixed forward rate of 24.26 MXN/USD.</w:t>
      </w:r>
    </w:p>
    <w:p>
      <w:pPr>
        <w:spacing w:after="0" w:line="191" w:lineRule="exact"/>
        <w:rPr>
          <w:sz w:val="20"/>
          <w:szCs w:val="20"/>
          <w:color w:val="auto"/>
        </w:rPr>
      </w:pPr>
    </w:p>
    <w:p>
      <w:pPr>
        <w:jc w:val="both"/>
        <w:ind w:right="620" w:firstLine="619"/>
        <w:spacing w:after="0" w:line="270" w:lineRule="auto"/>
        <w:rPr>
          <w:sz w:val="20"/>
          <w:szCs w:val="20"/>
          <w:color w:val="auto"/>
        </w:rPr>
      </w:pPr>
      <w:r>
        <w:rPr>
          <w:rFonts w:ascii="Times New Roman" w:cs="Times New Roman" w:eastAsia="Times New Roman" w:hAnsi="Times New Roman"/>
          <w:sz w:val="17"/>
          <w:szCs w:val="17"/>
          <w:color w:val="auto"/>
        </w:rPr>
        <w:t>In November 2021, we entered into a one-year cross-currency par forward contract. The total notional amount of this outstanding derivative as of December 31, 2021 was approximately 413.1 million MXN. The term of this one-year contract is December 1, 2021 to December 1, 2022. The derivative instrument matured in equal monthly amounts at a fixed forward rate of 21.60 MXN/USD.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Floating Interest Rate Risk</w:t>
      </w:r>
    </w:p>
    <w:p>
      <w:pPr>
        <w:spacing w:after="0" w:line="24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November 2021, in anticipation of entering into the new senior secured credit facilities in January 2022, which included a variable-rate term loan A and a variable-rate term loan B (see Note 11: Long-term Debt), we entered into two forward-starting interest rate swaps. In February 2022, certain terms under the agreements were amended to reflect the transition from LIBOR to the Secured Overnight Financing Rate ("SOFR"), an alternative reference rate. Under the interest rate swap agreements we exchange, at specified intervals, the difference between fixed and floating interest amounts calculated by reference to an agreed-upon notional amount. The term loan A swap, as amended, has an initial notional amount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7"/>
          <w:szCs w:val="17"/>
          <w:color w:val="auto"/>
        </w:rPr>
        <w:t>$300.0 million, reducing to $150.0 million evenly on a quarterly basis through its final maturity on March 30, 2027. We will pay a fixed rate of 1.32% and will receive the greater of 3-month USD SOFR or (0.15)%. The term loan B swap, as amended, has an initial notional amount of $750.0 million, reducing to</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$46.9 million evenly on a quarterly basis excluding its final maturity on March 30, 2026. We will pay a fixed rate of 1.17% and will receive the greater of 3-month USD SOFR or 0.35%. These forward-starting swaps will effectively convert the relevant portion of the floating-rate term loans to fixed rates.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fair values of our derivative instruments included within the consolidated balance sheets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gridSpan w:val="5"/>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Hedging</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center"/>
              <w:ind w:left="1163"/>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Balance Sheet Location</w:t>
            </w:r>
          </w:p>
        </w:tc>
        <w:tc>
          <w:tcPr>
            <w:tcW w:w="1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Foreign Exchange</w:t>
            </w: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558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740" w:type="dxa"/>
            <w:vAlign w:val="bottom"/>
            <w:gridSpan w:val="2"/>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Forward Contracts</w:t>
            </w:r>
          </w:p>
        </w:tc>
        <w:tc>
          <w:tcPr>
            <w:tcW w:w="192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Interest Rate Swaps</w:t>
            </w:r>
          </w:p>
        </w:tc>
        <w:tc>
          <w:tcPr>
            <w:tcW w:w="220" w:type="dxa"/>
            <w:vAlign w:val="bottom"/>
            <w:shd w:val="clear" w:color="auto" w:fill="CCEEFF"/>
          </w:tcPr>
          <w:p>
            <w:pPr>
              <w:spacing w:after="0"/>
              <w:rPr>
                <w:sz w:val="9"/>
                <w:szCs w:val="9"/>
                <w:color w:val="auto"/>
              </w:rPr>
            </w:pPr>
          </w:p>
        </w:tc>
        <w:tc>
          <w:tcPr>
            <w:tcW w:w="1600" w:type="dxa"/>
            <w:vAlign w:val="bottom"/>
            <w:vMerge w:val="restart"/>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Gross Derivatives</w:t>
            </w:r>
          </w:p>
        </w:tc>
        <w:tc>
          <w:tcPr>
            <w:tcW w:w="0" w:type="dxa"/>
            <w:vAlign w:val="bottom"/>
          </w:tcPr>
          <w:p>
            <w:pPr>
              <w:spacing w:after="0"/>
              <w:rPr>
                <w:sz w:val="1"/>
                <w:szCs w:val="1"/>
                <w:color w:val="auto"/>
              </w:rPr>
            </w:pPr>
          </w:p>
        </w:tc>
      </w:tr>
      <w:tr>
        <w:trPr>
          <w:trHeight w:val="96"/>
        </w:trPr>
        <w:tc>
          <w:tcPr>
            <w:tcW w:w="5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40" w:type="dxa"/>
            <w:vAlign w:val="bottom"/>
            <w:gridSpan w:val="2"/>
            <w:vMerge w:val="continue"/>
            <w:shd w:val="clear" w:color="auto" w:fill="CCEEFF"/>
          </w:tcPr>
          <w:p>
            <w:pPr>
              <w:spacing w:after="0"/>
              <w:rPr>
                <w:sz w:val="8"/>
                <w:szCs w:val="8"/>
                <w:color w:val="auto"/>
              </w:rPr>
            </w:pPr>
          </w:p>
        </w:tc>
        <w:tc>
          <w:tcPr>
            <w:tcW w:w="1920" w:type="dxa"/>
            <w:vAlign w:val="bottom"/>
            <w:gridSpan w:val="3"/>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4,860</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28,431</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33,291</w:t>
            </w:r>
          </w:p>
        </w:tc>
        <w:tc>
          <w:tcPr>
            <w:tcW w:w="0" w:type="dxa"/>
            <w:vAlign w:val="bottom"/>
          </w:tcPr>
          <w:p>
            <w:pPr>
              <w:spacing w:after="0"/>
              <w:rPr>
                <w:sz w:val="1"/>
                <w:szCs w:val="1"/>
                <w:color w:val="auto"/>
              </w:rPr>
            </w:pPr>
          </w:p>
        </w:tc>
      </w:tr>
      <w:tr>
        <w:trPr>
          <w:trHeight w:val="20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26,753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26,847</w:t>
            </w:r>
          </w:p>
        </w:tc>
        <w:tc>
          <w:tcPr>
            <w:tcW w:w="0" w:type="dxa"/>
            <w:vAlign w:val="bottom"/>
          </w:tcPr>
          <w:p>
            <w:pPr>
              <w:spacing w:after="0"/>
              <w:rPr>
                <w:sz w:val="1"/>
                <w:szCs w:val="1"/>
                <w:color w:val="auto"/>
              </w:rPr>
            </w:pPr>
          </w:p>
        </w:tc>
      </w:tr>
      <w:tr>
        <w:trPr>
          <w:trHeight w:val="202"/>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55,184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60,138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0" w:type="dxa"/>
            <w:vAlign w:val="bottom"/>
          </w:tcPr>
          <w:p>
            <w:pPr>
              <w:spacing w:after="0"/>
              <w:rPr>
                <w:sz w:val="1"/>
                <w:szCs w:val="1"/>
                <w:color w:val="auto"/>
              </w:rPr>
            </w:pPr>
          </w:p>
        </w:tc>
      </w:tr>
      <w:tr>
        <w:trPr>
          <w:trHeight w:val="20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0" w:type="dxa"/>
            <w:vAlign w:val="bottom"/>
          </w:tcPr>
          <w:p>
            <w:pPr>
              <w:spacing w:after="0"/>
              <w:rPr>
                <w:sz w:val="1"/>
                <w:szCs w:val="1"/>
                <w:color w:val="auto"/>
              </w:rPr>
            </w:pPr>
          </w:p>
        </w:tc>
      </w:tr>
      <w:tr>
        <w:trPr>
          <w:trHeight w:val="202"/>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2,014</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60" w:type="dxa"/>
            <w:vAlign w:val="bottom"/>
            <w:gridSpan w:val="5"/>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Derivatives Designated as Cash Flow Hedging</w:t>
            </w: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center"/>
              <w:ind w:left="1163"/>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2021</w:t>
            </w:r>
          </w:p>
        </w:tc>
        <w:tc>
          <w:tcPr>
            <w:tcW w:w="10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Foreign Exchange</w:t>
            </w:r>
          </w:p>
        </w:tc>
        <w:tc>
          <w:tcPr>
            <w:tcW w:w="1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Forward-Starting Interest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Gross Derivatives</w:t>
            </w:r>
          </w:p>
        </w:tc>
        <w:tc>
          <w:tcPr>
            <w:tcW w:w="0" w:type="dxa"/>
            <w:vAlign w:val="bottom"/>
          </w:tcPr>
          <w:p>
            <w:pPr>
              <w:spacing w:after="0"/>
              <w:rPr>
                <w:sz w:val="1"/>
                <w:szCs w:val="1"/>
                <w:color w:val="auto"/>
              </w:rPr>
            </w:pPr>
          </w:p>
        </w:tc>
      </w:tr>
      <w:tr>
        <w:trPr>
          <w:trHeight w:val="205"/>
        </w:trPr>
        <w:tc>
          <w:tcPr>
            <w:tcW w:w="5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Forward Contracts</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center"/>
              <w:ind w:right="323"/>
              <w:spacing w:after="0"/>
              <w:rPr>
                <w:sz w:val="20"/>
                <w:szCs w:val="20"/>
                <w:color w:val="auto"/>
              </w:rPr>
            </w:pPr>
            <w:r>
              <w:rPr>
                <w:rFonts w:ascii="Times New Roman" w:cs="Times New Roman" w:eastAsia="Times New Roman" w:hAnsi="Times New Roman"/>
                <w:sz w:val="15"/>
                <w:szCs w:val="15"/>
                <w:b w:val="1"/>
                <w:bCs w:val="1"/>
                <w:color w:val="auto"/>
              </w:rPr>
              <w:t>Rate Swaps</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0" w:type="dxa"/>
            <w:vAlign w:val="bottom"/>
          </w:tcPr>
          <w:p>
            <w:pPr>
              <w:spacing w:after="0"/>
              <w:rPr>
                <w:sz w:val="1"/>
                <w:szCs w:val="1"/>
                <w:color w:val="auto"/>
              </w:rPr>
            </w:pPr>
          </w:p>
        </w:tc>
      </w:tr>
      <w:tr>
        <w:trPr>
          <w:trHeight w:val="20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0" w:type="dxa"/>
            <w:vAlign w:val="bottom"/>
          </w:tcPr>
          <w:p>
            <w:pPr>
              <w:spacing w:after="0"/>
              <w:rPr>
                <w:sz w:val="1"/>
                <w:szCs w:val="1"/>
                <w:color w:val="auto"/>
              </w:rPr>
            </w:pPr>
          </w:p>
        </w:tc>
      </w:tr>
      <w:tr>
        <w:trPr>
          <w:trHeight w:val="202"/>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700" w:firstLine="16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effects of our derivative instruments designated as cash flow hedges on the Consolidated Statements of Operations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7460" w:type="dxa"/>
            <w:vAlign w:val="bottom"/>
            <w:tcBorders>
              <w:bottom w:val="single" w:sz="8" w:color="auto"/>
            </w:tcBorders>
            <w:gridSpan w:val="10"/>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Gain Reclassified From Accumulated Other Comprehensive (Loss) Income into Net (Loss) Income</w:t>
            </w:r>
          </w:p>
        </w:tc>
        <w:tc>
          <w:tcPr>
            <w:tcW w:w="0" w:type="dxa"/>
            <w:vAlign w:val="bottom"/>
          </w:tcPr>
          <w:p>
            <w:pPr>
              <w:spacing w:after="0"/>
              <w:rPr>
                <w:sz w:val="1"/>
                <w:szCs w:val="1"/>
                <w:color w:val="auto"/>
              </w:rPr>
            </w:pPr>
          </w:p>
        </w:tc>
      </w:tr>
      <w:tr>
        <w:trPr>
          <w:trHeight w:val="289"/>
        </w:trPr>
        <w:tc>
          <w:tcPr>
            <w:tcW w:w="3780" w:type="dxa"/>
            <w:vAlign w:val="bottom"/>
          </w:tcPr>
          <w:p>
            <w:pPr>
              <w:spacing w:after="0"/>
              <w:rPr>
                <w:sz w:val="24"/>
                <w:szCs w:val="24"/>
                <w:color w:val="auto"/>
              </w:rPr>
            </w:pPr>
          </w:p>
        </w:tc>
        <w:tc>
          <w:tcPr>
            <w:tcW w:w="3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Location of Gain in the Consolidated</w:t>
            </w: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780" w:type="dxa"/>
            <w:vAlign w:val="bottom"/>
          </w:tcPr>
          <w:p>
            <w:pPr>
              <w:spacing w:after="0"/>
              <w:rPr>
                <w:sz w:val="2"/>
                <w:szCs w:val="2"/>
                <w:color w:val="auto"/>
              </w:rPr>
            </w:pPr>
          </w:p>
        </w:tc>
        <w:tc>
          <w:tcPr>
            <w:tcW w:w="32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vMerge w:val="restart"/>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line="20" w:lineRule="exact"/>
              <w:rPr>
                <w:sz w:val="1"/>
                <w:szCs w:val="1"/>
                <w:color w:val="auto"/>
              </w:rPr>
            </w:pPr>
          </w:p>
        </w:tc>
      </w:tr>
      <w:tr>
        <w:trPr>
          <w:trHeight w:val="205"/>
        </w:trPr>
        <w:tc>
          <w:tcPr>
            <w:tcW w:w="3780" w:type="dxa"/>
            <w:vAlign w:val="bottom"/>
          </w:tcPr>
          <w:p>
            <w:pPr>
              <w:spacing w:after="0"/>
              <w:rPr>
                <w:sz w:val="17"/>
                <w:szCs w:val="17"/>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Statements of Operations</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3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3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Total revenues</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3,829</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3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Cost of goods sold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w:t>
            </w:r>
          </w:p>
        </w:tc>
        <w:tc>
          <w:tcPr>
            <w:tcW w:w="0" w:type="dxa"/>
            <w:vAlign w:val="bottom"/>
          </w:tcPr>
          <w:p>
            <w:pPr>
              <w:spacing w:after="0"/>
              <w:rPr>
                <w:sz w:val="1"/>
                <w:szCs w:val="1"/>
                <w:color w:val="auto"/>
              </w:rPr>
            </w:pPr>
          </w:p>
        </w:tc>
      </w:tr>
      <w:tr>
        <w:trPr>
          <w:trHeight w:val="206"/>
        </w:trPr>
        <w:tc>
          <w:tcPr>
            <w:tcW w:w="3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3280" w:type="dxa"/>
            <w:vAlign w:val="bottom"/>
            <w:gridSpan w:val="2"/>
          </w:tcPr>
          <w:p>
            <w:pPr>
              <w:jc w:val="right"/>
              <w:ind w:right="120"/>
              <w:spacing w:after="0" w:line="207" w:lineRule="exact"/>
              <w:rPr>
                <w:sz w:val="20"/>
                <w:szCs w:val="20"/>
                <w:color w:val="auto"/>
              </w:rPr>
            </w:pPr>
            <w:r>
              <w:rPr>
                <w:rFonts w:ascii="Times New Roman" w:cs="Times New Roman" w:eastAsia="Times New Roman" w:hAnsi="Times New Roman"/>
                <w:sz w:val="15"/>
                <w:szCs w:val="15"/>
                <w:color w:val="auto"/>
              </w:rPr>
              <w:t>Interest expense</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3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Interest expense</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6"/>
        </w:trPr>
        <w:tc>
          <w:tcPr>
            <w:tcW w:w="3780" w:type="dxa"/>
            <w:vAlign w:val="bottom"/>
          </w:tcPr>
          <w:p>
            <w:pPr>
              <w:ind w:left="140"/>
              <w:spacing w:after="0" w:line="136" w:lineRule="exact"/>
              <w:rPr>
                <w:sz w:val="20"/>
                <w:szCs w:val="20"/>
                <w:color w:val="auto"/>
              </w:rPr>
            </w:pPr>
            <w:r>
              <w:rPr>
                <w:rFonts w:ascii="Times New Roman" w:cs="Times New Roman" w:eastAsia="Times New Roman" w:hAnsi="Times New Roman"/>
                <w:sz w:val="15"/>
                <w:szCs w:val="15"/>
                <w:color w:val="auto"/>
              </w:rPr>
              <w:t>Total derivatives designated as cash flow hedging</w:t>
            </w: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18,419</w:t>
            </w: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3,444</w:t>
            </w: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790</w:t>
            </w:r>
          </w:p>
        </w:tc>
        <w:tc>
          <w:tcPr>
            <w:tcW w:w="0" w:type="dxa"/>
            <w:vAlign w:val="bottom"/>
          </w:tcPr>
          <w:p>
            <w:pPr>
              <w:spacing w:after="0"/>
              <w:rPr>
                <w:sz w:val="1"/>
                <w:szCs w:val="1"/>
                <w:color w:val="auto"/>
              </w:rPr>
            </w:pPr>
          </w:p>
        </w:tc>
      </w:tr>
      <w:tr>
        <w:trPr>
          <w:trHeight w:val="185"/>
        </w:trPr>
        <w:tc>
          <w:tcPr>
            <w:tcW w:w="3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instruments</w:t>
            </w: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right="20" w:firstLine="3"/>
        <w:spacing w:after="0" w:line="293" w:lineRule="auto"/>
        <w:tabs>
          <w:tab w:leader="none" w:pos="158"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location of gain reclassified from accumulated other comprehensive (loss) income to net (loss) income as a result of a forecasted transaction being no longer probable of occurring.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We recognized the following gains (losses) on our derivative instruments designated as cash flow hedges in other comprehensive (loss) income before reclassifications to net (loss) income (in thousands):</w:t>
      </w:r>
    </w:p>
    <w:p>
      <w:pPr>
        <w:spacing w:after="0" w:line="74"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5"/>
          <w:szCs w:val="15"/>
          <w:b w:val="1"/>
          <w:bCs w:val="1"/>
          <w:color w:val="auto"/>
        </w:rPr>
        <w:t>Amount of Gain (Loss) Recognized in Other</w:t>
      </w:r>
    </w:p>
    <w:p>
      <w:pPr>
        <w:spacing w:after="0" w:line="2"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5"/>
          <w:szCs w:val="15"/>
          <w:b w:val="1"/>
          <w:bCs w:val="1"/>
          <w:color w:val="auto"/>
        </w:rPr>
        <w:t>Comprehensive (Loss) Income</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7380" w:type="dxa"/>
            <w:vAlign w:val="bottom"/>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6"/>
          </w:tcPr>
          <w:p>
            <w:pPr>
              <w:jc w:val="right"/>
              <w:ind w:right="71"/>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80" w:type="dxa"/>
            <w:vAlign w:val="bottom"/>
            <w:tcBorders>
              <w:top w:val="single" w:sz="8" w:color="auto"/>
              <w:bottom w:val="single" w:sz="8" w:color="auto"/>
            </w:tcBorders>
          </w:tcPr>
          <w:p>
            <w:pPr>
              <w:spacing w:after="0"/>
              <w:rPr>
                <w:sz w:val="17"/>
                <w:szCs w:val="17"/>
                <w:color w:val="auto"/>
              </w:rPr>
            </w:pPr>
          </w:p>
        </w:tc>
      </w:tr>
      <w:tr>
        <w:trPr>
          <w:trHeight w:val="198"/>
        </w:trPr>
        <w:tc>
          <w:tcPr>
            <w:tcW w:w="73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18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3"/>
        </w:trPr>
        <w:tc>
          <w:tcPr>
            <w:tcW w:w="73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120" w:type="dxa"/>
            <w:vAlign w:val="bottom"/>
          </w:tcPr>
          <w:p>
            <w:pPr>
              <w:spacing w:after="0"/>
              <w:rPr>
                <w:sz w:val="17"/>
                <w:szCs w:val="17"/>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7"/>
                <w:szCs w:val="17"/>
                <w:color w:val="auto"/>
              </w:rPr>
            </w:pP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r>
      <w:tr>
        <w:trPr>
          <w:trHeight w:val="206"/>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rate swaps</w:t>
            </w:r>
          </w:p>
        </w:tc>
        <w:tc>
          <w:tcPr>
            <w:tcW w:w="7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62,786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5"/>
                <w:szCs w:val="15"/>
                <w:color w:val="auto"/>
              </w:rPr>
              <w:t>Total derivatives designated as cash flow hedging instruments</w:t>
            </w:r>
          </w:p>
        </w:tc>
        <w:tc>
          <w:tcPr>
            <w:tcW w:w="7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72,374</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w:t>
            </w:r>
          </w:p>
        </w:tc>
      </w:tr>
      <w:tr>
        <w:trPr>
          <w:trHeight w:val="20"/>
        </w:trPr>
        <w:tc>
          <w:tcPr>
            <w:tcW w:w="7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2022, we expect an estimated $3.0 million in deferred gains on the outstanding foreign exchange forward contract and an estimated $29.3 million in deferred gains on the forward-starting interest rate swaps will be reclassified from accumulated other comprehensive loss to net income during the next 12 months concurrent with the underlying hedged transactions also being reported in net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FAIR VALUE MEASUREMENTS</w:t>
      </w:r>
    </w:p>
    <w:p>
      <w:pPr>
        <w:spacing w:after="0" w:line="247"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1" w:lineRule="exact"/>
        <w:rPr>
          <w:sz w:val="20"/>
          <w:szCs w:val="20"/>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7" w:lineRule="exact"/>
        <w:rPr>
          <w:rFonts w:ascii="Times New Roman" w:cs="Times New Roman" w:eastAsia="Times New Roman" w:hAnsi="Times New Roman"/>
          <w:sz w:val="17"/>
          <w:szCs w:val="17"/>
          <w:color w:val="auto"/>
        </w:rPr>
      </w:pPr>
    </w:p>
    <w:p>
      <w:pPr>
        <w:ind w:left="620" w:right="100" w:hanging="307"/>
        <w:spacing w:after="0" w:line="253"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liabilities</w:t>
      </w:r>
    </w:p>
    <w:p>
      <w:pPr>
        <w:spacing w:after="0" w:line="24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the fourth quarter of 2019, we recognized an earn-out liability related to the acquisition of Pursuit (see Note 2: Acquisitions). Pursuit's former equity holders were entitled up to $50.0 million in additional cash consideration contingent upon the achievement of certain sales and gross profit targets for specific customers. The earn-out was calculated as a percentage of gross profit achieved during the earn-out period against a pre-determined target gross profit, not to exceed $50.0 million. During the earn-out period, we used a Monte Carlo simulation model to determine the fair value of the earn-out liability. The Monte Carlo simulation model utilized multiple input variables to determine the value of the earn-out liability including historical volatility, a risk-free interest rate, counter party credit risk and projected future gross profit (see the simulation input table below related to Pursuit). The historical volatility was based on the median of ICU and a certain peer group. The risk-free interest rate was equal to the yield, as of the valuation date, of the zero-coupon U.S. Treasury bill that was commensurate with the term of the earn-out. The counter party credit risk was based on a synthetic credit rating of B1. As of June 30, 2021, the earn-out measurement period ended. Based on the actual sales and gross profit achieved during the measurement period, we calculated the actual earn-out amount to be $26.3 million. The $26.3 million earn-out calculation was finalized and accepted by Pursuit's former equity holders and was paid out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583" w:right="37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2022, the fair value of the contingent earn-out was estimated at $2.6 million. The estimated fair value of the contingent earn-out is calculated using a probability-weighted cash flow model based on historical revenue streams and the likelihood that the revenue targets will be met.</w:t>
      </w:r>
    </w:p>
    <w:p>
      <w:pPr>
        <w:spacing w:after="0" w:line="20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2022, the estimated fair value for the contingent consideration related to certain product-related regulatory certifications was estimated to be $1.5 million. As of December 31, 2022, the measurement period related to the contingent earn-out based on certain revenue targets ended and based on the actual revenue achieved during the measurement period we determined the fair value of the contingent earn-out was zero as the minimum threshold for earning the earn-out was not met.</w:t>
      </w:r>
    </w:p>
    <w:p>
      <w:pPr>
        <w:spacing w:after="0" w:line="205"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On January 6,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(see Note 2: Acquisitions) and provided Smiths beneficially owns at least 50.0% of the shares of common stock issued at closing at the time the Price Target is achieved. The initial estimated fair value of the earn-out was determined to be $53.5 million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 As of December 31, 2022, the estimated fair value of the contingent earn-out is $21.0 million.</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contingent earn-out liabilities are separately stated on our consolidated balance sheets.</w:t>
      </w:r>
    </w:p>
    <w:p>
      <w:pPr>
        <w:spacing w:after="0" w:line="294"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provides a reconciliation of our Level 3 earn-out liabilities measured at estimated fair value based on an initial valuation and updated quarterly for the years ended December 31, 2022, 2021 and 2020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Earn-out Liability</w:t>
            </w:r>
          </w:p>
        </w:tc>
      </w:tr>
      <w:tr>
        <w:trPr>
          <w:trHeight w:val="20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Contingent earn-out liability, January 1, 2020</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17,300</w:t>
            </w:r>
          </w:p>
        </w:tc>
      </w:tr>
      <w:tr>
        <w:trPr>
          <w:trHeight w:val="206"/>
        </w:trPr>
        <w:tc>
          <w:tcPr>
            <w:tcW w:w="9040" w:type="dxa"/>
            <w:vAlign w:val="bottom"/>
            <w:tcBorders>
              <w:bottom w:val="single" w:sz="8" w:color="CCEEFF"/>
            </w:tcBorders>
          </w:tcPr>
          <w:p>
            <w:pPr>
              <w:ind w:left="120"/>
              <w:spacing w:after="0" w:line="207" w:lineRule="exact"/>
              <w:rPr>
                <w:sz w:val="20"/>
                <w:szCs w:val="20"/>
                <w:color w:val="auto"/>
              </w:rPr>
            </w:pPr>
            <w:r>
              <w:rPr>
                <w:rFonts w:ascii="Times New Roman" w:cs="Times New Roman" w:eastAsia="Times New Roman" w:hAnsi="Times New Roman"/>
                <w:sz w:val="15"/>
                <w:szCs w:val="15"/>
                <w:color w:val="auto"/>
              </w:rPr>
              <w:t>Change in fair value of contingent earn-out (included in income from operations as a separate line item)</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9,000</w:t>
            </w:r>
          </w:p>
        </w:tc>
      </w:tr>
      <w:tr>
        <w:trPr>
          <w:trHeight w:val="19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Contingent earn-out liability, December 31, 2020</w:t>
            </w: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26,300</w:t>
            </w:r>
          </w:p>
        </w:tc>
      </w:tr>
      <w:tr>
        <w:trPr>
          <w:trHeight w:val="203"/>
        </w:trPr>
        <w:tc>
          <w:tcPr>
            <w:tcW w:w="90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Contingent earn-out con-compete arrangement</w:t>
            </w:r>
          </w:p>
        </w:tc>
        <w:tc>
          <w:tcPr>
            <w:tcW w:w="28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2,589</w:t>
            </w:r>
          </w:p>
        </w:tc>
      </w:tr>
      <w:tr>
        <w:trPr>
          <w:trHeight w:val="209"/>
        </w:trPr>
        <w:tc>
          <w:tcPr>
            <w:tcW w:w="904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Transfer of Pursuit earn-out liability into Level 2</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(26,300)</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Contingent earn-out liability, December 31, 2021</w:t>
            </w:r>
          </w:p>
        </w:tc>
        <w:tc>
          <w:tcPr>
            <w:tcW w:w="28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2,589</w:t>
            </w:r>
          </w:p>
        </w:tc>
      </w:tr>
      <w:tr>
        <w:trPr>
          <w:trHeight w:val="209"/>
        </w:trPr>
        <w:tc>
          <w:tcPr>
            <w:tcW w:w="904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Acquisition date fair value estimate of earn-out</w:t>
            </w:r>
            <w:r>
              <w:rPr>
                <w:rFonts w:ascii="Times New Roman" w:cs="Times New Roman" w:eastAsia="Times New Roman" w:hAnsi="Times New Roman"/>
                <w:sz w:val="20"/>
                <w:szCs w:val="20"/>
                <w:color w:val="auto"/>
                <w:vertAlign w:val="superscript"/>
              </w:rPr>
              <w:t>(3)</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55,158</w:t>
            </w:r>
          </w:p>
        </w:tc>
      </w:tr>
      <w:tr>
        <w:trPr>
          <w:trHeight w:val="206"/>
        </w:trPr>
        <w:tc>
          <w:tcPr>
            <w:tcW w:w="904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Change in fair value of contingent earn-out (included in income from operations as a separate line item)</w:t>
            </w:r>
            <w:r>
              <w:rPr>
                <w:rFonts w:ascii="Times New Roman" w:cs="Times New Roman" w:eastAsia="Times New Roman" w:hAnsi="Times New Roman"/>
                <w:sz w:val="20"/>
                <w:szCs w:val="20"/>
                <w:color w:val="auto"/>
                <w:vertAlign w:val="superscript"/>
              </w:rPr>
              <w:t>(4)</w:t>
            </w:r>
          </w:p>
        </w:tc>
        <w:tc>
          <w:tcPr>
            <w:tcW w:w="2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(32,091)</w:t>
            </w:r>
          </w:p>
        </w:tc>
      </w:tr>
      <w:tr>
        <w:trPr>
          <w:trHeight w:val="203"/>
        </w:trPr>
        <w:tc>
          <w:tcPr>
            <w:tcW w:w="9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Currency translation</w:t>
            </w:r>
          </w:p>
        </w:tc>
        <w:tc>
          <w:tcPr>
            <w:tcW w:w="28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202"/>
        </w:trPr>
        <w:tc>
          <w:tcPr>
            <w:tcW w:w="9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Contingent earn-out liability, December 31, 2022</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25,572</w:t>
            </w: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2" w:lineRule="exact"/>
        <w:rPr>
          <w:sz w:val="20"/>
          <w:szCs w:val="20"/>
          <w:color w:val="auto"/>
        </w:rPr>
      </w:pPr>
    </w:p>
    <w:p>
      <w:pPr>
        <w:ind w:left="240" w:hanging="237"/>
        <w:spacing w:after="0"/>
        <w:tabs>
          <w:tab w:leader="none" w:pos="24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fair value of the Pursuit earn-out increased during 2020 primarily due to changes in the probabilities within the valuation model.</w:t>
      </w:r>
    </w:p>
    <w:p>
      <w:pPr>
        <w:spacing w:after="0" w:line="52" w:lineRule="exact"/>
        <w:rPr>
          <w:rFonts w:ascii="Times New Roman" w:cs="Times New Roman" w:eastAsia="Times New Roman" w:hAnsi="Times New Roman"/>
          <w:sz w:val="22"/>
          <w:szCs w:val="22"/>
          <w:color w:val="auto"/>
          <w:vertAlign w:val="superscript"/>
        </w:rPr>
      </w:pPr>
    </w:p>
    <w:p>
      <w:pPr>
        <w:ind w:left="320" w:right="500" w:hanging="317"/>
        <w:spacing w:after="0" w:line="220" w:lineRule="auto"/>
        <w:tabs>
          <w:tab w:leader="none" w:pos="252"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Pursuit earn-out was transferred out of Level 3 and into Level 2 in the third quarter of 2021 when the amount of the actual payment was known, and subsequently settled during the fourth quarter of 2021.</w:t>
      </w:r>
    </w:p>
    <w:p>
      <w:pPr>
        <w:ind w:left="320" w:right="20" w:hanging="317"/>
        <w:spacing w:after="0" w:line="220" w:lineRule="auto"/>
        <w:tabs>
          <w:tab w:leader="none" w:pos="34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$53.5 million relates to our acquisition of Smiths Medical and $1.6 million relates to our acquisition of a small foreign infusions systems supplier in the fourth quarter of 2021 (see Note 2: Acquisitions).</w:t>
      </w:r>
    </w:p>
    <w:p>
      <w:pPr>
        <w:spacing w:after="0" w:line="1" w:lineRule="exact"/>
        <w:rPr>
          <w:rFonts w:ascii="Times New Roman" w:cs="Times New Roman" w:eastAsia="Times New Roman" w:hAnsi="Times New Roman"/>
          <w:sz w:val="22"/>
          <w:szCs w:val="22"/>
          <w:color w:val="auto"/>
          <w:vertAlign w:val="superscript"/>
        </w:rPr>
      </w:pPr>
    </w:p>
    <w:p>
      <w:pPr>
        <w:ind w:left="320" w:right="640" w:hanging="317"/>
        <w:spacing w:after="0" w:line="220" w:lineRule="auto"/>
        <w:tabs>
          <w:tab w:leader="none" w:pos="34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an adjustment to reduce to zero a contingent earn-out issued as part of the 2021 acquisition of a small foreign infusion systems supplier. The contingent earn-out was not earned based on our determination that the threshold target was not met.</w:t>
      </w:r>
    </w:p>
    <w:p>
      <w:pPr>
        <w:spacing w:after="0" w:line="19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provide quantitative information about Level 3 inputs for fair value measurement of our earn-out liabilities related to Smiths Medical and Pursuit: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Smiths Medical Earn-out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Simulation Input</w:t>
            </w:r>
          </w:p>
        </w:tc>
        <w:tc>
          <w:tcPr>
            <w:tcW w:w="4940" w:type="dxa"/>
            <w:vAlign w:val="bottom"/>
            <w:gridSpan w:val="2"/>
          </w:tcPr>
          <w:p>
            <w:pPr>
              <w:jc w:val="center"/>
              <w:ind w:left="2843"/>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86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At Acquisition</w:t>
            </w:r>
          </w:p>
        </w:tc>
        <w:tc>
          <w:tcPr>
            <w:tcW w:w="0" w:type="dxa"/>
            <w:vAlign w:val="bottom"/>
          </w:tcPr>
          <w:p>
            <w:pPr>
              <w:spacing w:after="0"/>
              <w:rPr>
                <w:sz w:val="1"/>
                <w:szCs w:val="1"/>
                <w:color w:val="auto"/>
              </w:rPr>
            </w:pPr>
          </w:p>
        </w:tc>
      </w:tr>
      <w:tr>
        <w:trPr>
          <w:trHeight w:val="205"/>
        </w:trPr>
        <w:tc>
          <w:tcPr>
            <w:tcW w:w="4440" w:type="dxa"/>
            <w:vAlign w:val="bottom"/>
            <w:vMerge w:val="continue"/>
          </w:tcPr>
          <w:p>
            <w:pPr>
              <w:spacing w:after="0"/>
              <w:rPr>
                <w:sz w:val="17"/>
                <w:szCs w:val="17"/>
                <w:color w:val="auto"/>
              </w:rPr>
            </w:pPr>
          </w:p>
        </w:tc>
        <w:tc>
          <w:tcPr>
            <w:tcW w:w="4940" w:type="dxa"/>
            <w:vAlign w:val="bottom"/>
            <w:gridSpan w:val="2"/>
          </w:tcPr>
          <w:p>
            <w:pPr>
              <w:jc w:val="center"/>
              <w:ind w:left="2843"/>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86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January 6, 2022</w:t>
            </w:r>
          </w:p>
        </w:tc>
        <w:tc>
          <w:tcPr>
            <w:tcW w:w="0" w:type="dxa"/>
            <w:vAlign w:val="bottom"/>
          </w:tcPr>
          <w:p>
            <w:pPr>
              <w:spacing w:after="0"/>
              <w:rPr>
                <w:sz w:val="1"/>
                <w:szCs w:val="1"/>
                <w:color w:val="auto"/>
              </w:rPr>
            </w:pPr>
          </w:p>
        </w:tc>
      </w:tr>
      <w:tr>
        <w:trPr>
          <w:trHeight w:val="200"/>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Volatility</w:t>
            </w:r>
          </w:p>
        </w:tc>
        <w:tc>
          <w:tcPr>
            <w:tcW w:w="4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38.00 %</w:t>
            </w:r>
          </w:p>
        </w:tc>
        <w:tc>
          <w:tcPr>
            <w:tcW w:w="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37.00 %</w:t>
            </w:r>
          </w:p>
        </w:tc>
        <w:tc>
          <w:tcPr>
            <w:tcW w:w="0" w:type="dxa"/>
            <w:vAlign w:val="bottom"/>
          </w:tcPr>
          <w:p>
            <w:pPr>
              <w:spacing w:after="0"/>
              <w:rPr>
                <w:sz w:val="1"/>
                <w:szCs w:val="1"/>
                <w:color w:val="auto"/>
              </w:rPr>
            </w:pPr>
          </w:p>
        </w:tc>
      </w:tr>
      <w:tr>
        <w:trPr>
          <w:trHeight w:val="201"/>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Risk-Free Rate</w:t>
            </w:r>
          </w:p>
        </w:tc>
        <w:tc>
          <w:tcPr>
            <w:tcW w:w="4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1.31 %</w:t>
            </w: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Pursuit Earn-out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Simulation Input</w:t>
            </w:r>
          </w:p>
        </w:tc>
        <w:tc>
          <w:tcPr>
            <w:tcW w:w="4520" w:type="dxa"/>
            <w:vAlign w:val="bottom"/>
            <w:gridSpan w:val="2"/>
          </w:tcPr>
          <w:p>
            <w:pPr>
              <w:jc w:val="center"/>
              <w:ind w:left="2423"/>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86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At Acquisition</w:t>
            </w:r>
          </w:p>
        </w:tc>
        <w:tc>
          <w:tcPr>
            <w:tcW w:w="0" w:type="dxa"/>
            <w:vAlign w:val="bottom"/>
          </w:tcPr>
          <w:p>
            <w:pPr>
              <w:spacing w:after="0"/>
              <w:rPr>
                <w:sz w:val="1"/>
                <w:szCs w:val="1"/>
                <w:color w:val="auto"/>
              </w:rPr>
            </w:pPr>
          </w:p>
        </w:tc>
      </w:tr>
      <w:tr>
        <w:trPr>
          <w:trHeight w:val="205"/>
        </w:trPr>
        <w:tc>
          <w:tcPr>
            <w:tcW w:w="4860" w:type="dxa"/>
            <w:vAlign w:val="bottom"/>
            <w:vMerge w:val="continue"/>
          </w:tcPr>
          <w:p>
            <w:pPr>
              <w:spacing w:after="0"/>
              <w:rPr>
                <w:sz w:val="17"/>
                <w:szCs w:val="17"/>
                <w:color w:val="auto"/>
              </w:rPr>
            </w:pPr>
          </w:p>
        </w:tc>
        <w:tc>
          <w:tcPr>
            <w:tcW w:w="4520" w:type="dxa"/>
            <w:vAlign w:val="bottom"/>
            <w:gridSpan w:val="2"/>
          </w:tcPr>
          <w:p>
            <w:pPr>
              <w:jc w:val="center"/>
              <w:ind w:left="2423"/>
              <w:spacing w:after="0"/>
              <w:rPr>
                <w:sz w:val="20"/>
                <w:szCs w:val="20"/>
                <w:color w:val="auto"/>
              </w:rPr>
            </w:pPr>
            <w:r>
              <w:rPr>
                <w:rFonts w:ascii="Times New Roman" w:cs="Times New Roman" w:eastAsia="Times New Roman" w:hAnsi="Times New Roman"/>
                <w:sz w:val="15"/>
                <w:szCs w:val="15"/>
                <w:b w:val="1"/>
                <w:bCs w:val="1"/>
                <w:color w:val="auto"/>
              </w:rPr>
              <w:t>December 31, 2020</w:t>
            </w:r>
          </w:p>
        </w:tc>
        <w:tc>
          <w:tcPr>
            <w:tcW w:w="186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November 2, 2019</w:t>
            </w:r>
          </w:p>
        </w:tc>
        <w:tc>
          <w:tcPr>
            <w:tcW w:w="0" w:type="dxa"/>
            <w:vAlign w:val="bottom"/>
          </w:tcPr>
          <w:p>
            <w:pPr>
              <w:spacing w:after="0"/>
              <w:rPr>
                <w:sz w:val="1"/>
                <w:szCs w:val="1"/>
                <w:color w:val="auto"/>
              </w:rPr>
            </w:pPr>
          </w:p>
        </w:tc>
      </w:tr>
      <w:tr>
        <w:trPr>
          <w:trHeight w:val="200"/>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Revenue/Gross Profit Volatility</w:t>
            </w:r>
          </w:p>
        </w:tc>
        <w:tc>
          <w:tcPr>
            <w:tcW w:w="4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25.00 %</w:t>
            </w:r>
          </w:p>
        </w:tc>
        <w:tc>
          <w:tcPr>
            <w:tcW w:w="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20.00 %</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Discount Rate</w:t>
            </w:r>
          </w:p>
        </w:tc>
        <w:tc>
          <w:tcPr>
            <w:tcW w:w="4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15.00 %</w:t>
            </w: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Risk-free rate</w:t>
            </w: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1.55 %</w:t>
            </w:r>
          </w:p>
        </w:tc>
        <w:tc>
          <w:tcPr>
            <w:tcW w:w="0" w:type="dxa"/>
            <w:vAlign w:val="bottom"/>
          </w:tcPr>
          <w:p>
            <w:pPr>
              <w:spacing w:after="0"/>
              <w:rPr>
                <w:sz w:val="1"/>
                <w:szCs w:val="1"/>
                <w:color w:val="auto"/>
              </w:rPr>
            </w:pPr>
          </w:p>
        </w:tc>
      </w:tr>
      <w:tr>
        <w:trPr>
          <w:trHeight w:val="201"/>
        </w:trPr>
        <w:tc>
          <w:tcPr>
            <w:tcW w:w="4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Counter Party Risk</w:t>
            </w:r>
          </w:p>
        </w:tc>
        <w:tc>
          <w:tcPr>
            <w:tcW w:w="4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6.00 %</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Foreign Currency Contracts and Interest Rate Contracts</w:t>
      </w:r>
    </w:p>
    <w:p>
      <w:pPr>
        <w:spacing w:after="0" w:line="247" w:lineRule="exact"/>
        <w:rPr>
          <w:sz w:val="20"/>
          <w:szCs w:val="20"/>
          <w:color w:val="auto"/>
        </w:rPr>
      </w:pPr>
    </w:p>
    <w:p>
      <w:pPr>
        <w:ind w:right="540" w:firstLine="619"/>
        <w:spacing w:after="0" w:line="270" w:lineRule="auto"/>
        <w:rPr>
          <w:sz w:val="20"/>
          <w:szCs w:val="20"/>
          <w:color w:val="auto"/>
        </w:rPr>
      </w:pPr>
      <w:r>
        <w:rPr>
          <w:rFonts w:ascii="Times New Roman" w:cs="Times New Roman" w:eastAsia="Times New Roman" w:hAnsi="Times New Roman"/>
          <w:sz w:val="17"/>
          <w:szCs w:val="17"/>
          <w:color w:val="auto"/>
        </w:rPr>
        <w:t>Our investments consist of corporate and government bonds and U.S treasury securities. The fair value of our corporate and government bonds are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spacing w:after="0" w:line="19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our Level 2 forward currency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77"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than the Pursuit earn-out liability described above, there were no transfers between levels in 2022 or 2021.</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assets and liabilities measured at fair value on a recurring basis consisted of the following (Level 1, 2 and 3 inputs as defined above)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Fair value measurements as of December 31, 2022</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5"/>
                <w:szCs w:val="15"/>
                <w:b w:val="1"/>
                <w:bCs w:val="1"/>
                <w:color w:val="auto"/>
              </w:rPr>
              <w:t>Quoted prices</w:t>
            </w:r>
          </w:p>
        </w:tc>
        <w:tc>
          <w:tcPr>
            <w:tcW w:w="260" w:type="dxa"/>
            <w:vAlign w:val="bottom"/>
          </w:tcPr>
          <w:p>
            <w:pPr>
              <w:spacing w:after="0"/>
              <w:rPr>
                <w:sz w:val="13"/>
                <w:szCs w:val="13"/>
                <w:color w:val="auto"/>
              </w:rPr>
            </w:pPr>
          </w:p>
        </w:tc>
        <w:tc>
          <w:tcPr>
            <w:tcW w:w="16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2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vMerge w:val="restart"/>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Total carrying</w:t>
            </w:r>
          </w:p>
        </w:tc>
        <w:tc>
          <w:tcPr>
            <w:tcW w:w="140" w:type="dxa"/>
            <w:vAlign w:val="bottom"/>
          </w:tcPr>
          <w:p>
            <w:pPr>
              <w:spacing w:after="0"/>
              <w:rPr>
                <w:sz w:val="13"/>
                <w:szCs w:val="13"/>
                <w:color w:val="auto"/>
              </w:rPr>
            </w:pPr>
          </w:p>
        </w:tc>
        <w:tc>
          <w:tcPr>
            <w:tcW w:w="17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260" w:type="dxa"/>
            <w:vAlign w:val="bottom"/>
          </w:tcPr>
          <w:p>
            <w:pPr>
              <w:spacing w:after="0"/>
              <w:rPr>
                <w:sz w:val="13"/>
                <w:szCs w:val="13"/>
                <w:color w:val="auto"/>
              </w:rPr>
            </w:pPr>
          </w:p>
        </w:tc>
        <w:tc>
          <w:tcPr>
            <w:tcW w:w="160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2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identical</w:t>
            </w:r>
          </w:p>
        </w:tc>
        <w:tc>
          <w:tcPr>
            <w:tcW w:w="260" w:type="dxa"/>
            <w:vAlign w:val="bottom"/>
          </w:tcPr>
          <w:p>
            <w:pPr>
              <w:spacing w:after="0"/>
              <w:rPr>
                <w:sz w:val="13"/>
                <w:szCs w:val="13"/>
                <w:color w:val="auto"/>
              </w:rPr>
            </w:pPr>
          </w:p>
        </w:tc>
        <w:tc>
          <w:tcPr>
            <w:tcW w:w="160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240" w:type="dxa"/>
            <w:vAlign w:val="bottom"/>
          </w:tcPr>
          <w:p>
            <w:pPr>
              <w:spacing w:after="0"/>
              <w:rPr>
                <w:sz w:val="13"/>
                <w:szCs w:val="13"/>
                <w:color w:val="auto"/>
              </w:rPr>
            </w:pPr>
          </w:p>
        </w:tc>
        <w:tc>
          <w:tcPr>
            <w:tcW w:w="1500" w:type="dxa"/>
            <w:vAlign w:val="bottom"/>
          </w:tcPr>
          <w:p>
            <w:pPr>
              <w:jc w:val="center"/>
              <w:ind w:right="156"/>
              <w:spacing w:after="0" w:line="155"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0" w:type="dxa"/>
            <w:vAlign w:val="bottom"/>
          </w:tcPr>
          <w:p>
            <w:pPr>
              <w:spacing w:after="0"/>
              <w:rPr>
                <w:sz w:val="1"/>
                <w:szCs w:val="1"/>
                <w:color w:val="auto"/>
              </w:rPr>
            </w:pPr>
          </w:p>
        </w:tc>
      </w:tr>
      <w:tr>
        <w:trPr>
          <w:trHeight w:val="205"/>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4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assets (level 1)</w:t>
            </w:r>
          </w:p>
        </w:tc>
        <w:tc>
          <w:tcPr>
            <w:tcW w:w="26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inputs (level 2)</w:t>
            </w:r>
          </w:p>
        </w:tc>
        <w:tc>
          <w:tcPr>
            <w:tcW w:w="240" w:type="dxa"/>
            <w:vAlign w:val="bottom"/>
          </w:tcPr>
          <w:p>
            <w:pPr>
              <w:spacing w:after="0"/>
              <w:rPr>
                <w:sz w:val="17"/>
                <w:szCs w:val="17"/>
                <w:color w:val="auto"/>
              </w:rPr>
            </w:pPr>
          </w:p>
        </w:tc>
        <w:tc>
          <w:tcPr>
            <w:tcW w:w="1500" w:type="dxa"/>
            <w:vAlign w:val="bottom"/>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rPr>
              <w:t>inputs (level 3)</w:t>
            </w:r>
          </w:p>
        </w:tc>
        <w:tc>
          <w:tcPr>
            <w:tcW w:w="0" w:type="dxa"/>
            <w:vAlign w:val="bottom"/>
          </w:tcPr>
          <w:p>
            <w:pPr>
              <w:spacing w:after="0"/>
              <w:rPr>
                <w:sz w:val="1"/>
                <w:szCs w:val="1"/>
                <w:color w:val="auto"/>
              </w:rPr>
            </w:pPr>
          </w:p>
        </w:tc>
      </w:tr>
      <w:tr>
        <w:trPr>
          <w:trHeight w:val="20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Available-for-sale debt securities: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corporate bonds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U.S. treasury securities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government bonds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corporate bonds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forwards: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9"/>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28,431</w:t>
            </w:r>
          </w:p>
        </w:tc>
        <w:tc>
          <w:tcPr>
            <w:tcW w:w="0" w:type="dxa"/>
            <w:vAlign w:val="bottom"/>
          </w:tcPr>
          <w:p>
            <w:pPr>
              <w:spacing w:after="0"/>
              <w:rPr>
                <w:sz w:val="1"/>
                <w:szCs w:val="1"/>
                <w:color w:val="auto"/>
              </w:rPr>
            </w:pPr>
          </w:p>
        </w:tc>
      </w:tr>
      <w:tr>
        <w:trPr>
          <w:trHeight w:val="21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26,753</w:t>
            </w:r>
          </w:p>
        </w:tc>
        <w:tc>
          <w:tcPr>
            <w:tcW w:w="0" w:type="dxa"/>
            <w:vAlign w:val="bottom"/>
          </w:tcPr>
          <w:p>
            <w:pPr>
              <w:spacing w:after="0"/>
              <w:rPr>
                <w:sz w:val="1"/>
                <w:szCs w:val="1"/>
                <w:color w:val="auto"/>
              </w:rPr>
            </w:pPr>
          </w:p>
        </w:tc>
      </w:tr>
      <w:tr>
        <w:trPr>
          <w:trHeight w:val="237"/>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60,138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LT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27,586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27,586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Fair value measurements as of December 31, 2021</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left="239"/>
              <w:spacing w:after="0" w:line="151" w:lineRule="exact"/>
              <w:rPr>
                <w:sz w:val="20"/>
                <w:szCs w:val="20"/>
                <w:color w:val="auto"/>
              </w:rPr>
            </w:pPr>
            <w:r>
              <w:rPr>
                <w:rFonts w:ascii="Times New Roman" w:cs="Times New Roman" w:eastAsia="Times New Roman" w:hAnsi="Times New Roman"/>
                <w:sz w:val="15"/>
                <w:szCs w:val="15"/>
                <w:b w:val="1"/>
                <w:bCs w:val="1"/>
                <w:color w:val="auto"/>
              </w:rPr>
              <w:t>Quoted prices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left="239"/>
              <w:spacing w:after="0" w:line="155"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18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Total carrying</w:t>
            </w:r>
          </w:p>
        </w:tc>
        <w:tc>
          <w:tcPr>
            <w:tcW w:w="1420" w:type="dxa"/>
            <w:vAlign w:val="bottom"/>
          </w:tcPr>
          <w:p>
            <w:pPr>
              <w:jc w:val="center"/>
              <w:ind w:left="239"/>
              <w:spacing w:after="0" w:line="155"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1420" w:type="dxa"/>
            <w:vAlign w:val="bottom"/>
          </w:tcPr>
          <w:p>
            <w:pPr>
              <w:jc w:val="center"/>
              <w:ind w:left="239"/>
              <w:spacing w:after="0" w:line="155" w:lineRule="exact"/>
              <w:rPr>
                <w:sz w:val="20"/>
                <w:szCs w:val="20"/>
                <w:color w:val="auto"/>
              </w:rPr>
            </w:pPr>
            <w:r>
              <w:rPr>
                <w:rFonts w:ascii="Times New Roman" w:cs="Times New Roman" w:eastAsia="Times New Roman" w:hAnsi="Times New Roman"/>
                <w:sz w:val="15"/>
                <w:szCs w:val="15"/>
                <w:b w:val="1"/>
                <w:bCs w:val="1"/>
                <w:color w:val="auto"/>
              </w:rPr>
              <w:t>identical</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240" w:type="dxa"/>
            <w:vAlign w:val="bottom"/>
          </w:tcPr>
          <w:p>
            <w:pPr>
              <w:spacing w:after="0"/>
              <w:rPr>
                <w:sz w:val="13"/>
                <w:szCs w:val="13"/>
                <w:color w:val="auto"/>
              </w:rPr>
            </w:pPr>
          </w:p>
        </w:tc>
        <w:tc>
          <w:tcPr>
            <w:tcW w:w="1500" w:type="dxa"/>
            <w:vAlign w:val="bottom"/>
          </w:tcPr>
          <w:p>
            <w:pPr>
              <w:jc w:val="center"/>
              <w:ind w:right="157"/>
              <w:spacing w:after="0" w:line="155"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0" w:type="dxa"/>
            <w:vAlign w:val="bottom"/>
          </w:tcPr>
          <w:p>
            <w:pPr>
              <w:spacing w:after="0"/>
              <w:rPr>
                <w:sz w:val="1"/>
                <w:szCs w:val="1"/>
                <w:color w:val="auto"/>
              </w:rPr>
            </w:pPr>
          </w:p>
        </w:tc>
      </w:tr>
      <w:tr>
        <w:trPr>
          <w:trHeight w:val="205"/>
        </w:trPr>
        <w:tc>
          <w:tcPr>
            <w:tcW w:w="39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value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left="239"/>
              <w:spacing w:after="0"/>
              <w:rPr>
                <w:sz w:val="20"/>
                <w:szCs w:val="20"/>
                <w:color w:val="auto"/>
              </w:rPr>
            </w:pPr>
            <w:r>
              <w:rPr>
                <w:rFonts w:ascii="Times New Roman" w:cs="Times New Roman" w:eastAsia="Times New Roman" w:hAnsi="Times New Roman"/>
                <w:sz w:val="15"/>
                <w:szCs w:val="15"/>
                <w:b w:val="1"/>
                <w:bCs w:val="1"/>
                <w:color w:val="auto"/>
              </w:rPr>
              <w:t>assets (level 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inputs (level 2)</w:t>
            </w:r>
          </w:p>
        </w:tc>
        <w:tc>
          <w:tcPr>
            <w:tcW w:w="240" w:type="dxa"/>
            <w:vAlign w:val="bottom"/>
          </w:tcPr>
          <w:p>
            <w:pPr>
              <w:spacing w:after="0"/>
              <w:rPr>
                <w:sz w:val="17"/>
                <w:szCs w:val="17"/>
                <w:color w:val="auto"/>
              </w:rPr>
            </w:pPr>
          </w:p>
        </w:tc>
        <w:tc>
          <w:tcPr>
            <w:tcW w:w="1500" w:type="dxa"/>
            <w:vAlign w:val="bottom"/>
          </w:tcPr>
          <w:p>
            <w:pPr>
              <w:jc w:val="center"/>
              <w:ind w:right="157"/>
              <w:spacing w:after="0"/>
              <w:rPr>
                <w:sz w:val="20"/>
                <w:szCs w:val="20"/>
                <w:color w:val="auto"/>
              </w:rPr>
            </w:pPr>
            <w:r>
              <w:rPr>
                <w:rFonts w:ascii="Times New Roman" w:cs="Times New Roman" w:eastAsia="Times New Roman" w:hAnsi="Times New Roman"/>
                <w:sz w:val="15"/>
                <w:szCs w:val="15"/>
                <w:b w:val="1"/>
                <w:bCs w:val="1"/>
                <w:color w:val="auto"/>
              </w:rPr>
              <w:t>inputs (level 3)</w:t>
            </w:r>
          </w:p>
        </w:tc>
        <w:tc>
          <w:tcPr>
            <w:tcW w:w="0" w:type="dxa"/>
            <w:vAlign w:val="bottom"/>
          </w:tcPr>
          <w:p>
            <w:pPr>
              <w:spacing w:after="0"/>
              <w:rPr>
                <w:sz w:val="1"/>
                <w:szCs w:val="1"/>
                <w:color w:val="auto"/>
              </w:rPr>
            </w:pPr>
          </w:p>
        </w:tc>
      </w:tr>
      <w:tr>
        <w:trPr>
          <w:trHeight w:val="20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Available-for-sale debt securities: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forwards: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12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earn-out liability - LT</w:t>
            </w:r>
          </w:p>
        </w:tc>
        <w:tc>
          <w:tcPr>
            <w:tcW w:w="1120" w:type="dxa"/>
            <w:vAlign w:val="bottom"/>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100" w:type="dxa"/>
            <w:vAlign w:val="bottom"/>
          </w:tcPr>
          <w:p>
            <w:pPr>
              <w:spacing w:after="0"/>
              <w:rPr>
                <w:sz w:val="19"/>
                <w:szCs w:val="19"/>
                <w:color w:val="auto"/>
              </w:rPr>
            </w:pP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Forward-starting interest rate swaps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12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4440"/>
        <w:spacing w:after="0"/>
        <w:rPr>
          <w:sz w:val="20"/>
          <w:szCs w:val="20"/>
          <w:color w:val="auto"/>
        </w:rPr>
      </w:pPr>
      <w:r>
        <w:rPr>
          <w:rFonts w:ascii="Times New Roman" w:cs="Times New Roman" w:eastAsia="Times New Roman" w:hAnsi="Times New Roman"/>
          <w:sz w:val="17"/>
          <w:szCs w:val="17"/>
          <w:b w:val="1"/>
          <w:bCs w:val="1"/>
          <w:color w:val="auto"/>
        </w:rPr>
        <w:t>NOTE 9. PREPAID EXPENSES AND OTHER CURRENT ASSETS AND OTHER ASSETS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080" w:type="dxa"/>
            <w:vAlign w:val="bottom"/>
            <w:tcBorders>
              <w:bottom w:val="single" w:sz="8" w:color="auto"/>
            </w:tcBorders>
          </w:tcPr>
          <w:p>
            <w:pPr>
              <w:spacing w:after="0"/>
              <w:rPr>
                <w:sz w:val="17"/>
                <w:szCs w:val="17"/>
                <w:color w:val="auto"/>
              </w:rPr>
            </w:pPr>
          </w:p>
        </w:tc>
      </w:tr>
      <w:tr>
        <w:trPr>
          <w:trHeight w:val="201"/>
        </w:trPr>
        <w:tc>
          <w:tcPr>
            <w:tcW w:w="76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prepaid expenses and receivables</w:t>
            </w:r>
          </w:p>
        </w:tc>
        <w:tc>
          <w:tcPr>
            <w:tcW w:w="110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14,763</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vendor expenses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costs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12,746</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insurance and property taxes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6,310</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VAT/GST receivable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charge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4,241</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forward contract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28,431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r>
      <w:tr>
        <w:trPr>
          <w:trHeight w:val="21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w:t>
            </w:r>
          </w:p>
        </w:tc>
      </w:tr>
      <w:tr>
        <w:trPr>
          <w:trHeight w:val="237"/>
        </w:trPr>
        <w:tc>
          <w:tcPr>
            <w:tcW w:w="76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88,932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46,847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assets consist of the following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Pump lease receivables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25,941</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Spare parts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28,538</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2,673</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105,462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63,743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10. ACCRUED LIABILITIES AND OTHER LONG-TERM LIABILITIES</w:t>
            </w: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76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76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Accrued liabilities consist of the following (in thousands):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 and benefits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27,304</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Incentive compensation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33,107</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liability-ST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9,009</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Legal accrual</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sales taxes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Warranties and returns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12,646</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other taxes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4,337</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fees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5,645</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freight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9,194</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accrual</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audit fees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Defined benefit plan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research and development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8,099</w:t>
            </w:r>
          </w:p>
        </w:tc>
        <w:tc>
          <w:tcPr>
            <w:tcW w:w="0" w:type="dxa"/>
            <w:vAlign w:val="bottom"/>
          </w:tcPr>
          <w:p>
            <w:pPr>
              <w:spacing w:after="0"/>
              <w:rPr>
                <w:sz w:val="1"/>
                <w:szCs w:val="1"/>
                <w:color w:val="auto"/>
              </w:rPr>
            </w:pPr>
          </w:p>
        </w:tc>
      </w:tr>
      <w:tr>
        <w:trPr>
          <w:trHeight w:val="212"/>
        </w:trPr>
        <w:tc>
          <w:tcPr>
            <w:tcW w:w="76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242,769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118,195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62" w:lineRule="exact"/>
        <w:rPr>
          <w:sz w:val="20"/>
          <w:szCs w:val="20"/>
          <w:color w:val="auto"/>
        </w:rPr>
      </w:pPr>
    </w:p>
    <w:p>
      <w:pPr>
        <w:ind w:right="20" w:firstLine="3"/>
        <w:spacing w:after="0" w:line="245" w:lineRule="auto"/>
        <w:tabs>
          <w:tab w:leader="none" w:pos="173"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field corrective actions associated with certain products in connection with a 2021 Warning Letter received by Smiths Medical from the FDA following an inspection of Smiths Medical's Oakdale, Minnesota Facility, see Note 15: Commitments and Contingencies for further detail.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long-term liabilities consist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080" w:type="dxa"/>
            <w:vAlign w:val="bottom"/>
            <w:tcBorders>
              <w:bottom w:val="single" w:sz="8" w:color="auto"/>
            </w:tcBorders>
          </w:tcPr>
          <w:p>
            <w:pPr>
              <w:spacing w:after="0"/>
              <w:rPr>
                <w:sz w:val="17"/>
                <w:szCs w:val="17"/>
                <w:color w:val="auto"/>
              </w:rPr>
            </w:pPr>
          </w:p>
        </w:tc>
      </w:tr>
      <w:tr>
        <w:trPr>
          <w:trHeight w:val="201"/>
        </w:trPr>
        <w:tc>
          <w:tcPr>
            <w:tcW w:w="76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liability-LT</w:t>
            </w:r>
          </w:p>
        </w:tc>
        <w:tc>
          <w:tcPr>
            <w:tcW w:w="110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60,916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33,971</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liability-LT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Forward-starting interest rate swaps</w:t>
            </w:r>
          </w:p>
        </w:tc>
        <w:tc>
          <w:tcPr>
            <w:tcW w:w="1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219"/>
        </w:trPr>
        <w:tc>
          <w:tcPr>
            <w:tcW w:w="76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25,294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1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w:t>
            </w:r>
          </w:p>
        </w:tc>
      </w:tr>
      <w:tr>
        <w:trPr>
          <w:trHeight w:val="237"/>
        </w:trPr>
        <w:tc>
          <w:tcPr>
            <w:tcW w:w="76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114,104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560" w:hanging="317"/>
        <w:spacing w:after="0" w:line="229" w:lineRule="auto"/>
        <w:tabs>
          <w:tab w:leader="none" w:pos="355"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field corrective actions associated with certain products in connection with a 2021 Warning Letter received by Smiths Medical from the FDA following an inspection of Smiths Medical's Oakdale, Minnesota Facility, see Note 15: Commitments and Contingencies for further detail.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LONG-TERM OBLIGATIONS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24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On January 6,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spacing w:after="0" w:line="205"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entering into the Credit Agreement, during the period ended March 31,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and are reflected as a direct deduction from the face amount of the corresponding term loans on the consolidated balance sheet.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consolidated balance sheets. These costs are being amortized to interest expense over the term of the Revolving Credit Facility using the straight-line method.</w:t>
      </w:r>
    </w:p>
    <w:p>
      <w:pPr>
        <w:spacing w:after="0" w:line="205" w:lineRule="exact"/>
        <w:rPr>
          <w:sz w:val="20"/>
          <w:szCs w:val="20"/>
          <w:color w:val="auto"/>
        </w:rPr>
      </w:pPr>
    </w:p>
    <w:p>
      <w:pPr>
        <w:ind w:right="620" w:firstLine="619"/>
        <w:spacing w:after="0" w:line="287" w:lineRule="auto"/>
        <w:rPr>
          <w:sz w:val="20"/>
          <w:szCs w:val="20"/>
          <w:color w:val="auto"/>
        </w:rPr>
      </w:pPr>
      <w:r>
        <w:rPr>
          <w:rFonts w:ascii="Times New Roman" w:cs="Times New Roman" w:eastAsia="Times New Roman" w:hAnsi="Times New Roman"/>
          <w:sz w:val="17"/>
          <w:szCs w:val="17"/>
          <w:color w:val="auto"/>
        </w:rPr>
        <w:t>The net funds received from the Term Loan A and the Term Loan B, after deducting debt issuance costs, were $834.2 million and $836.6 million, respectively.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Maturity Dates</w:t>
      </w:r>
    </w:p>
    <w:p>
      <w:pPr>
        <w:spacing w:after="0" w:line="24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02" w:name="page103"/>
    <w:bookmarkEnd w:id="10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Rate Terms</w:t>
      </w:r>
    </w:p>
    <w:p>
      <w:pPr>
        <w:spacing w:after="0" w:line="247"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191"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 Base Rate is defined as the highest of (a) the Prime Rate, (b) the Federal Funds Rate plus 0.50% and (c) Adjusted Term SOFR (as defined below) for a one-month period plus, in each case, 1.00%.</w:t>
      </w:r>
    </w:p>
    <w:p>
      <w:pPr>
        <w:spacing w:after="0" w:line="177"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Revolving Credit Facility Commitment Fee</w:t>
      </w:r>
    </w:p>
    <w:p>
      <w:pPr>
        <w:spacing w:after="0" w:line="247" w:lineRule="exact"/>
        <w:rPr>
          <w:sz w:val="20"/>
          <w:szCs w:val="20"/>
          <w:color w:val="auto"/>
        </w:rPr>
      </w:pPr>
    </w:p>
    <w:p>
      <w:pPr>
        <w:ind w:right="520" w:firstLine="619"/>
        <w:spacing w:after="0" w:line="270" w:lineRule="auto"/>
        <w:rPr>
          <w:sz w:val="20"/>
          <w:szCs w:val="20"/>
          <w:color w:val="auto"/>
        </w:rPr>
      </w:pPr>
      <w:r>
        <w:rPr>
          <w:rFonts w:ascii="Times New Roman" w:cs="Times New Roman" w:eastAsia="Times New Roman" w:hAnsi="Times New Roman"/>
          <w:sz w:val="17"/>
          <w:szCs w:val="17"/>
          <w:color w:val="auto"/>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ended June 30, 2022, the commitment fee will be determined by reference to the leverage ratio in effect from time to time as set forth in the table below.</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Applicable Interest Margins</w:t>
      </w:r>
    </w:p>
    <w:p>
      <w:pPr>
        <w:spacing w:after="0" w:line="247"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The Term Loan A and borrowings under the Revolving Credit Facility have an initial applicable margin of 0.75% per annum for Base Rate Loans and 1.75% per annum for Term SOFR Loans.</w:t>
      </w:r>
    </w:p>
    <w:p>
      <w:pPr>
        <w:spacing w:after="0" w:line="17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A and borrowings under the Revolving Credit Facility will be determined by reference to the leverage ratio in effect from time to time as set forth in the following table:</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00" w:type="dxa"/>
            <w:vAlign w:val="bottom"/>
            <w:vMerge w:val="restart"/>
          </w:tcPr>
          <w:p>
            <w:pPr>
              <w:ind w:left="17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Applicable Margin for Term</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Commitment Fee R</w:t>
            </w:r>
          </w:p>
        </w:tc>
        <w:tc>
          <w:tcPr>
            <w:tcW w:w="0" w:type="dxa"/>
            <w:vAlign w:val="bottom"/>
          </w:tcPr>
          <w:p>
            <w:pPr>
              <w:spacing w:after="0"/>
              <w:rPr>
                <w:sz w:val="1"/>
                <w:szCs w:val="1"/>
                <w:color w:val="auto"/>
              </w:rPr>
            </w:pPr>
          </w:p>
        </w:tc>
      </w:tr>
      <w:tr>
        <w:trPr>
          <w:trHeight w:val="232"/>
        </w:trPr>
        <w:tc>
          <w:tcPr>
            <w:tcW w:w="440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SOFR Loans</w:t>
            </w:r>
          </w:p>
        </w:tc>
        <w:tc>
          <w:tcPr>
            <w:tcW w:w="23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Loans</w:t>
            </w: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4.00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2.25%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4.00 to 1.0 but greater than 3.00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2.00%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1.00%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3.00 to 1.0 but greater than 2.50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1.75%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0.75%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2.50 to 1.0 but greater than 2.00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1.50%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2.00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B will be determined by reference to the leverage ratio in effect from time to time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583" w:right="2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vMerge w:val="restart"/>
          </w:tcPr>
          <w:p>
            <w:pPr>
              <w:ind w:left="28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3620" w:type="dxa"/>
            <w:vAlign w:val="bottom"/>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rPr>
              <w:t>Applicable Margin for Term</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0" w:type="dxa"/>
            <w:vAlign w:val="bottom"/>
          </w:tcPr>
          <w:p>
            <w:pPr>
              <w:spacing w:after="0"/>
              <w:rPr>
                <w:sz w:val="1"/>
                <w:szCs w:val="1"/>
                <w:color w:val="auto"/>
              </w:rPr>
            </w:pPr>
          </w:p>
        </w:tc>
      </w:tr>
      <w:tr>
        <w:trPr>
          <w:trHeight w:val="232"/>
        </w:trPr>
        <w:tc>
          <w:tcPr>
            <w:tcW w:w="5400" w:type="dxa"/>
            <w:vAlign w:val="bottom"/>
            <w:tcBorders>
              <w:bottom w:val="single" w:sz="8" w:color="auto"/>
            </w:tcBorders>
            <w:vMerge w:val="continue"/>
          </w:tcPr>
          <w:p>
            <w:pPr>
              <w:spacing w:after="0"/>
              <w:rPr>
                <w:sz w:val="20"/>
                <w:szCs w:val="20"/>
                <w:color w:val="auto"/>
              </w:rPr>
            </w:pPr>
          </w:p>
        </w:tc>
        <w:tc>
          <w:tcPr>
            <w:tcW w:w="362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w w:val="99"/>
              </w:rPr>
              <w:t>SOFR Loans</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 Loans</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Times New Roman" w:cs="Times New Roman" w:eastAsia="Times New Roman" w:hAnsi="Times New Roman"/>
                <w:sz w:val="17"/>
                <w:szCs w:val="17"/>
                <w:color w:val="auto"/>
              </w:rPr>
              <w:t>2.50%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2.75 to 1.0</w:t>
            </w:r>
          </w:p>
        </w:tc>
        <w:tc>
          <w:tcPr>
            <w:tcW w:w="3620" w:type="dxa"/>
            <w:vAlign w:val="bottom"/>
          </w:tcPr>
          <w:p>
            <w:pPr>
              <w:jc w:val="center"/>
              <w:ind w:left="1294"/>
              <w:spacing w:after="0"/>
              <w:rPr>
                <w:sz w:val="20"/>
                <w:szCs w:val="20"/>
                <w:color w:val="auto"/>
              </w:rPr>
            </w:pPr>
            <w:r>
              <w:rPr>
                <w:rFonts w:ascii="Times New Roman" w:cs="Times New Roman" w:eastAsia="Times New Roman" w:hAnsi="Times New Roman"/>
                <w:sz w:val="17"/>
                <w:szCs w:val="17"/>
                <w:color w:val="auto"/>
              </w:rPr>
              <w:t>2.25%</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Principal Payments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Term Loan A will amortize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191"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177" w:lineRule="exact"/>
        <w:rPr>
          <w:sz w:val="20"/>
          <w:szCs w:val="20"/>
          <w:color w:val="auto"/>
        </w:rPr>
      </w:pPr>
    </w:p>
    <w:p>
      <w:pPr>
        <w:ind w:right="800" w:firstLine="619"/>
        <w:spacing w:after="0" w:line="287" w:lineRule="auto"/>
        <w:rPr>
          <w:sz w:val="20"/>
          <w:szCs w:val="20"/>
          <w:color w:val="auto"/>
        </w:rPr>
      </w:pPr>
      <w:r>
        <w:rPr>
          <w:rFonts w:ascii="Times New Roman" w:cs="Times New Roman" w:eastAsia="Times New Roman" w:hAnsi="Times New Roman"/>
          <w:sz w:val="17"/>
          <w:szCs w:val="17"/>
          <w:color w:val="auto"/>
        </w:rPr>
        <w:t>We may borrow, prepay and re-borrow amounts under the Revolving Credit Facility, in accordance with the terms and conditions of the Credit Agreement, with all outstanding amounts due at maturity.</w:t>
      </w:r>
    </w:p>
    <w:p>
      <w:pPr>
        <w:spacing w:after="0" w:line="177"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During March 2022, we prepaid $16.0 million in principal payments on the Term Loan A principal balance. For the year ended December 31, 2022, including the prepayment, we paid a total of $22.4 million in principal payments on both Term Loans.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Payments</w:t>
      </w:r>
    </w:p>
    <w:p>
      <w:pPr>
        <w:spacing w:after="0" w:line="24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Interest payments on Base Rate Loans are payable quarterly in arrears on the last business day of each calendar quarter and the applicable maturity date. Interest periods on Term SOFR Loans will be determined, at our option, as either one, three or six months and will be payable on the last day of each interest period and the applicable maturity date. In the case of any interest periods of more than three months' duration, the interest payment will be payable on each day prior to the last day of such interest period that occurs at three-month intervals.</w:t>
      </w:r>
    </w:p>
    <w:p>
      <w:pPr>
        <w:spacing w:after="0" w:line="197" w:lineRule="exact"/>
        <w:rPr>
          <w:sz w:val="20"/>
          <w:szCs w:val="20"/>
          <w:color w:val="auto"/>
        </w:rPr>
      </w:pPr>
    </w:p>
    <w:p>
      <w:pPr>
        <w:ind w:right="360" w:firstLine="619"/>
        <w:spacing w:after="0" w:line="263" w:lineRule="auto"/>
        <w:rPr>
          <w:sz w:val="20"/>
          <w:szCs w:val="20"/>
          <w:color w:val="auto"/>
        </w:rPr>
      </w:pPr>
      <w:r>
        <w:rPr>
          <w:rFonts w:ascii="Times New Roman" w:cs="Times New Roman" w:eastAsia="Times New Roman" w:hAnsi="Times New Roman"/>
          <w:sz w:val="17"/>
          <w:szCs w:val="17"/>
          <w:color w:val="auto"/>
        </w:rPr>
        <w:t>The commitment fee on the Revolving Credit Facility is payable quarterly in arrears on the third business day following the last day of each calendar quarter and at the maturity date. The commitment fee is included in interest expense in our consolidated statements of operations.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Guarantors and Collateral</w:t>
      </w:r>
    </w:p>
    <w:p>
      <w:pPr>
        <w:spacing w:after="0" w:line="226"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Our obligations under the Credit Agreement are unconditionally guaranteed, on a joint and several basis, by ICU Medical, Inc. and certain of our existing subsidiaries.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Covenants</w:t>
      </w:r>
    </w:p>
    <w:p>
      <w:pPr>
        <w:spacing w:after="0" w:line="247" w:lineRule="exact"/>
        <w:rPr>
          <w:sz w:val="20"/>
          <w:szCs w:val="20"/>
          <w:color w:val="auto"/>
        </w:rPr>
      </w:pPr>
    </w:p>
    <w:p>
      <w:pPr>
        <w:ind w:right="28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19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financial covenants include the Senior Secured Leverage Ratio and the Interest Coverage Ratio, both defined below, and pertain to the Term Loan A and the Revolving Credit Facility.</w:t>
      </w:r>
    </w:p>
    <w:p>
      <w:pPr>
        <w:spacing w:after="0" w:line="177"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 Senior Secured Leverage Ratio is defined, at any measurement date, as the ratio of: (a) all Funded Debt, as defined in the Credit Agreement, that is secured by a lien on any asset or property minus the lesser of (i) all unrestricted cash and cash</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sectPr>
      </w:pPr>
    </w:p>
    <w:bookmarkStart w:id="104" w:name="page105"/>
    <w:bookmarkEnd w:id="104"/>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310" w:lineRule="exact"/>
        <w:rPr>
          <w:sz w:val="20"/>
          <w:szCs w:val="20"/>
          <w:color w:val="auto"/>
        </w:rPr>
      </w:pPr>
    </w:p>
    <w:p>
      <w:pPr>
        <w:ind w:right="620"/>
        <w:spacing w:after="0" w:line="270" w:lineRule="auto"/>
        <w:rPr>
          <w:sz w:val="20"/>
          <w:szCs w:val="20"/>
          <w:color w:val="auto"/>
        </w:rPr>
      </w:pPr>
      <w:r>
        <w:rPr>
          <w:rFonts w:ascii="Times New Roman" w:cs="Times New Roman" w:eastAsia="Times New Roman" w:hAnsi="Times New Roman"/>
          <w:sz w:val="17"/>
          <w:szCs w:val="17"/>
          <w:color w:val="auto"/>
        </w:rPr>
        <w:t>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91"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 compliance with all financial covenants as of December 31, 2022.</w:t>
      </w:r>
    </w:p>
    <w:p>
      <w:pPr>
        <w:spacing w:after="0" w:line="243" w:lineRule="exact"/>
        <w:rPr>
          <w:sz w:val="20"/>
          <w:szCs w:val="20"/>
          <w:color w:val="auto"/>
        </w:rPr>
      </w:pPr>
    </w:p>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2017 Credit Facility</w:t>
      </w:r>
    </w:p>
    <w:p>
      <w:pPr>
        <w:spacing w:after="0" w:line="247" w:lineRule="exact"/>
        <w:rPr>
          <w:sz w:val="20"/>
          <w:szCs w:val="20"/>
          <w:color w:val="auto"/>
        </w:rPr>
      </w:pPr>
    </w:p>
    <w:p>
      <w:pPr>
        <w:ind w:right="320" w:firstLine="172"/>
        <w:spacing w:after="0" w:line="261" w:lineRule="auto"/>
        <w:rPr>
          <w:sz w:val="20"/>
          <w:szCs w:val="20"/>
          <w:color w:val="auto"/>
        </w:rPr>
      </w:pPr>
      <w:r>
        <w:rPr>
          <w:rFonts w:ascii="Times New Roman" w:cs="Times New Roman" w:eastAsia="Times New Roman" w:hAnsi="Times New Roman"/>
          <w:sz w:val="17"/>
          <w:szCs w:val="17"/>
          <w:color w:val="auto"/>
        </w:rPr>
        <w:t>On November 8, 2017, we entered into a five-year senior secured revolving credit facility with various lenders for $150.0 million, with Wells Fargo Bank, National Association as the administrative agent, swingline lender and issuing lender (the "Credit Facility"). The Credit Facility, which was set to mature on November 8, 2022, was terminated in connection with entering into the Credit Agreement on January 6, 2022. There were no borrowings outstanding under the Credit Facility at that date or at December 31, 2021. The remaining unamortized deferred debt issuance costs related to the Credit Facility were not material and were expensed in connection with its termination.</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values of our long-term debt consist of the following (in thousands):</w:t>
      </w:r>
    </w:p>
    <w:p>
      <w:pPr>
        <w:spacing w:after="0" w:line="396"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7440" w:type="dxa"/>
            <w:vAlign w:val="bottom"/>
          </w:tcPr>
          <w:p>
            <w:pPr>
              <w:spacing w:after="0"/>
              <w:rPr>
                <w:sz w:val="15"/>
                <w:szCs w:val="15"/>
                <w:color w:val="auto"/>
              </w:rPr>
            </w:pPr>
          </w:p>
        </w:tc>
        <w:tc>
          <w:tcPr>
            <w:tcW w:w="220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7440" w:type="dxa"/>
            <w:vAlign w:val="bottom"/>
          </w:tcPr>
          <w:p>
            <w:pPr>
              <w:spacing w:after="0"/>
              <w:rPr>
                <w:sz w:val="17"/>
                <w:szCs w:val="17"/>
                <w:color w:val="auto"/>
              </w:rPr>
            </w:pPr>
          </w:p>
        </w:tc>
        <w:tc>
          <w:tcPr>
            <w:tcW w:w="2200" w:type="dxa"/>
            <w:vAlign w:val="bottom"/>
            <w:gridSpan w:val="3"/>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w:t>
            </w:r>
          </w:p>
        </w:tc>
        <w:tc>
          <w:tcPr>
            <w:tcW w:w="0" w:type="dxa"/>
            <w:vAlign w:val="bottom"/>
          </w:tcPr>
          <w:p>
            <w:pPr>
              <w:spacing w:after="0"/>
              <w:rPr>
                <w:sz w:val="1"/>
                <w:szCs w:val="1"/>
                <w:color w:val="auto"/>
              </w:rPr>
            </w:pPr>
          </w:p>
        </w:tc>
      </w:tr>
      <w:tr>
        <w:trPr>
          <w:trHeight w:val="20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Senior Secured Credit Facilities:</w:t>
            </w: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Loan A — principal</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3.99 %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Loan B — principal</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Revolving Credit Facility — principal</w:t>
            </w:r>
          </w:p>
        </w:tc>
        <w:tc>
          <w:tcPr>
            <w:tcW w:w="220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Less unamortized debt issuance costs</w:t>
            </w:r>
            <w:r>
              <w:rPr>
                <w:rFonts w:ascii="Times New Roman" w:cs="Times New Roman" w:eastAsia="Times New Roman" w:hAnsi="Times New Roman"/>
                <w:sz w:val="22"/>
                <w:szCs w:val="22"/>
                <w:color w:val="auto"/>
                <w:vertAlign w:val="superscript"/>
              </w:rPr>
              <w:t>(1)</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carrying value of long-term debt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55" w:lineRule="exact"/>
        <w:rPr>
          <w:sz w:val="20"/>
          <w:szCs w:val="20"/>
          <w:color w:val="auto"/>
        </w:rPr>
      </w:pPr>
    </w:p>
    <w:p>
      <w:pPr>
        <w:ind w:left="220" w:hanging="217"/>
        <w:spacing w:after="0"/>
        <w:tabs>
          <w:tab w:leader="none" w:pos="220"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Comprised of $12.6 million and $11.7 million relating to the Term Loan A and the Term Loan B, respectively.</w:t>
      </w:r>
    </w:p>
    <w:p>
      <w:pPr>
        <w:spacing w:after="0" w:line="215"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2022, the aggregate amount of principal repayments of our long-term debt (including any current portion) for each of the next five years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583" w:right="239" w:bottom="1440" w:gutter="0" w:footer="0" w:header="0"/>
        </w:sectPr>
      </w:pPr>
    </w:p>
    <w:bookmarkStart w:id="105" w:name="page106"/>
    <w:bookmarkEnd w:id="105"/>
    <w:tbl>
      <w:tblPr>
        <w:tblLayout w:type="fixed"/>
        <w:tblInd w:w="620" w:type="dxa"/>
        <w:tblCellMar>
          <w:top w:w="0" w:type="dxa"/>
          <w:left w:w="0" w:type="dxa"/>
          <w:bottom w:w="0" w:type="dxa"/>
          <w:right w:w="0" w:type="dxa"/>
        </w:tblCellMar>
      </w:tblPr>
      <w:tr>
        <w:trPr>
          <w:trHeight w:val="206"/>
        </w:trPr>
        <w:tc>
          <w:tcPr>
            <w:tcW w:w="1740" w:type="dxa"/>
            <w:vAlign w:val="bottom"/>
          </w:tcPr>
          <w:p>
            <w:pPr>
              <w:spacing w:after="0"/>
              <w:rPr>
                <w:sz w:val="17"/>
                <w:szCs w:val="17"/>
                <w:color w:val="auto"/>
              </w:rPr>
            </w:pPr>
          </w:p>
        </w:tc>
        <w:tc>
          <w:tcPr>
            <w:tcW w:w="8280" w:type="dxa"/>
            <w:vAlign w:val="bottom"/>
            <w:gridSpan w:val="2"/>
          </w:tcPr>
          <w:p>
            <w:pPr>
              <w:jc w:val="right"/>
              <w:ind w:right="327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700" w:type="dxa"/>
            <w:vAlign w:val="bottom"/>
          </w:tcPr>
          <w:p>
            <w:pPr>
              <w:spacing w:after="0"/>
              <w:rPr>
                <w:sz w:val="17"/>
                <w:szCs w:val="17"/>
                <w:color w:val="auto"/>
              </w:rPr>
            </w:pPr>
          </w:p>
        </w:tc>
      </w:tr>
      <w:tr>
        <w:trPr>
          <w:trHeight w:val="227"/>
        </w:trPr>
        <w:tc>
          <w:tcPr>
            <w:tcW w:w="1740" w:type="dxa"/>
            <w:vAlign w:val="bottom"/>
          </w:tcPr>
          <w:p>
            <w:pPr>
              <w:spacing w:after="0"/>
              <w:rPr>
                <w:sz w:val="19"/>
                <w:szCs w:val="19"/>
                <w:color w:val="auto"/>
              </w:rPr>
            </w:pPr>
          </w:p>
        </w:tc>
        <w:tc>
          <w:tcPr>
            <w:tcW w:w="8280" w:type="dxa"/>
            <w:vAlign w:val="bottom"/>
            <w:gridSpan w:val="2"/>
          </w:tcPr>
          <w:p>
            <w:pPr>
              <w:jc w:val="right"/>
              <w:ind w:right="2674"/>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700" w:type="dxa"/>
            <w:vAlign w:val="bottom"/>
          </w:tcPr>
          <w:p>
            <w:pPr>
              <w:spacing w:after="0"/>
              <w:rPr>
                <w:sz w:val="19"/>
                <w:szCs w:val="19"/>
                <w:color w:val="auto"/>
              </w:rPr>
            </w:pPr>
          </w:p>
        </w:tc>
      </w:tr>
      <w:tr>
        <w:trPr>
          <w:trHeight w:val="541"/>
        </w:trPr>
        <w:tc>
          <w:tcPr>
            <w:tcW w:w="17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28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19"/>
                <w:szCs w:val="19"/>
                <w:color w:val="auto"/>
              </w:rPr>
            </w:pPr>
          </w:p>
        </w:tc>
      </w:tr>
      <w:tr>
        <w:trPr>
          <w:trHeight w:val="219"/>
        </w:trPr>
        <w:tc>
          <w:tcPr>
            <w:tcW w:w="1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7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1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7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7"/>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7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total interest expense related to our long-term debt (in thousands):</w:t>
      </w:r>
    </w:p>
    <w:p>
      <w:pPr>
        <w:spacing w:after="0" w:line="278"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1"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56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w:t>
            </w:r>
          </w:p>
        </w:tc>
        <w:tc>
          <w:tcPr>
            <w:tcW w:w="11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66,770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6,972</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fee — Revolving Credit Facility</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r>
      <w:tr>
        <w:trPr>
          <w:trHeight w:val="212"/>
        </w:trPr>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long-term debt-related interest expense</w:t>
            </w:r>
          </w:p>
        </w:tc>
        <w:tc>
          <w:tcPr>
            <w:tcW w:w="11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75,032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11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5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INCOME TAXES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Income from continuing operations before taxes consisted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left="65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41,194</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56,300</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97,494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The provision (benefit) for income taxes consisted of the following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left="65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2020</w:t>
            </w:r>
          </w:p>
        </w:tc>
        <w:tc>
          <w:tcPr>
            <w:tcW w:w="0" w:type="dxa"/>
            <w:vAlign w:val="bottom"/>
          </w:tcPr>
          <w:p>
            <w:pPr>
              <w:spacing w:after="0"/>
              <w:rPr>
                <w:sz w:val="1"/>
                <w:szCs w:val="1"/>
                <w:color w:val="auto"/>
              </w:rPr>
            </w:pPr>
          </w:p>
        </w:tc>
      </w:tr>
      <w:tr>
        <w:trPr>
          <w:trHeight w:val="20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Federal</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4,128</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20,646</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6,032</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State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15,744</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Federal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w:t>
            </w:r>
          </w:p>
        </w:tc>
        <w:tc>
          <w:tcPr>
            <w:tcW w:w="0" w:type="dxa"/>
            <w:vAlign w:val="bottom"/>
          </w:tcPr>
          <w:p>
            <w:pPr>
              <w:spacing w:after="0"/>
              <w:rPr>
                <w:sz w:val="1"/>
                <w:szCs w:val="1"/>
                <w:color w:val="auto"/>
              </w:rPr>
            </w:pPr>
          </w:p>
        </w:tc>
      </w:tr>
      <w:tr>
        <w:trPr>
          <w:trHeight w:val="219"/>
        </w:trPr>
        <w:tc>
          <w:tcPr>
            <w:tcW w:w="69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State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0" w:type="dxa"/>
            <w:vAlign w:val="bottom"/>
          </w:tcPr>
          <w:p>
            <w:pPr>
              <w:spacing w:after="0"/>
              <w:rPr>
                <w:sz w:val="1"/>
                <w:szCs w:val="1"/>
                <w:color w:val="auto"/>
              </w:rPr>
            </w:pPr>
          </w:p>
        </w:tc>
      </w:tr>
      <w:tr>
        <w:trPr>
          <w:trHeight w:val="212"/>
        </w:trPr>
        <w:tc>
          <w:tcPr>
            <w:tcW w:w="6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(11,275)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(5,120)</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We have accrued for tax contingencies for potential tax assessments, and in 2022 we recognized a $2.0 million net increase, most of which related to various federal, state and foreign tax reserves.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provision for income taxes at the statutory rate to our effective tax rate is as follows (dollars in thousands):</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583" w:right="2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2022</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2021</w:t>
            </w: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80" w:type="dxa"/>
            <w:vAlign w:val="bottom"/>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Percent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0" w:type="dxa"/>
            <w:vAlign w:val="bottom"/>
            <w:gridSpan w:val="2"/>
          </w:tcPr>
          <w:p>
            <w:pPr>
              <w:jc w:val="right"/>
              <w:ind w:right="154"/>
              <w:spacing w:after="0"/>
              <w:rPr>
                <w:sz w:val="20"/>
                <w:szCs w:val="20"/>
                <w:color w:val="auto"/>
              </w:rPr>
            </w:pPr>
            <w:r>
              <w:rPr>
                <w:rFonts w:ascii="Times New Roman" w:cs="Times New Roman" w:eastAsia="Times New Roman" w:hAnsi="Times New Roman"/>
                <w:sz w:val="15"/>
                <w:szCs w:val="15"/>
                <w:b w:val="1"/>
                <w:bCs w:val="1"/>
                <w:color w:val="auto"/>
              </w:rPr>
              <w:t>Percent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Percent</w:t>
            </w:r>
          </w:p>
        </w:tc>
        <w:tc>
          <w:tcPr>
            <w:tcW w:w="40" w:type="dxa"/>
            <w:vAlign w:val="bottom"/>
          </w:tcPr>
          <w:p>
            <w:pPr>
              <w:spacing w:after="0"/>
              <w:rPr>
                <w:sz w:val="17"/>
                <w:szCs w:val="17"/>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tax at the expected statutory rate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20,474</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State income tax, net of federal effect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credits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Global intangible low-taxed income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income tax differential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(4,263)</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(4,686)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Foreign-derived intangible income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Transaction cost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consideration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Section 162(m)</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(40,123)</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20,051</w:t>
            </w:r>
          </w:p>
        </w:tc>
        <w:tc>
          <w:tcPr>
            <w:tcW w:w="10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16.3 %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10,624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2"/>
        </w:trPr>
        <w:tc>
          <w:tcPr>
            <w:tcW w:w="20" w:type="dxa"/>
            <w:vAlign w:val="bottom"/>
          </w:tcPr>
          <w:p>
            <w:pPr>
              <w:spacing w:after="0"/>
              <w:rPr>
                <w:sz w:val="24"/>
                <w:szCs w:val="24"/>
                <w:color w:val="auto"/>
              </w:rPr>
            </w:pPr>
          </w:p>
        </w:tc>
        <w:tc>
          <w:tcPr>
            <w:tcW w:w="7660" w:type="dxa"/>
            <w:vAlign w:val="bottom"/>
            <w:gridSpan w:val="9"/>
          </w:tcPr>
          <w:p>
            <w:pPr>
              <w:ind w:left="600"/>
              <w:spacing w:after="0"/>
              <w:rPr>
                <w:sz w:val="20"/>
                <w:szCs w:val="20"/>
                <w:color w:val="auto"/>
              </w:rPr>
            </w:pPr>
            <w:r>
              <w:rPr>
                <w:rFonts w:ascii="Times New Roman" w:cs="Times New Roman" w:eastAsia="Times New Roman" w:hAnsi="Times New Roman"/>
                <w:sz w:val="17"/>
                <w:szCs w:val="17"/>
                <w:color w:val="auto"/>
              </w:rPr>
              <w:t>Tax credits in 2022, 2021 and 2020 consist principally of research and developmental tax credits.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0"/>
        </w:trPr>
        <w:tc>
          <w:tcPr>
            <w:tcW w:w="20" w:type="dxa"/>
            <w:vAlign w:val="bottom"/>
          </w:tcPr>
          <w:p>
            <w:pPr>
              <w:spacing w:after="0"/>
              <w:rPr>
                <w:sz w:val="24"/>
                <w:szCs w:val="24"/>
                <w:color w:val="auto"/>
              </w:rPr>
            </w:pPr>
          </w:p>
        </w:tc>
        <w:tc>
          <w:tcPr>
            <w:tcW w:w="7660" w:type="dxa"/>
            <w:vAlign w:val="bottom"/>
            <w:gridSpan w:val="9"/>
          </w:tcPr>
          <w:p>
            <w:pPr>
              <w:ind w:left="600"/>
              <w:spacing w:after="0"/>
              <w:rPr>
                <w:sz w:val="20"/>
                <w:szCs w:val="20"/>
                <w:color w:val="auto"/>
              </w:rPr>
            </w:pPr>
            <w:r>
              <w:rPr>
                <w:rFonts w:ascii="Times New Roman" w:cs="Times New Roman" w:eastAsia="Times New Roman" w:hAnsi="Times New Roman"/>
                <w:sz w:val="17"/>
                <w:szCs w:val="17"/>
                <w:color w:val="auto"/>
              </w:rPr>
              <w:t>The components of our deferred income tax assets (liabilities) are as follows (in thousands):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01"/>
        </w:trPr>
        <w:tc>
          <w:tcPr>
            <w:tcW w:w="20" w:type="dxa"/>
            <w:vAlign w:val="bottom"/>
          </w:tcPr>
          <w:p>
            <w:pPr>
              <w:spacing w:after="0"/>
              <w:rPr>
                <w:sz w:val="17"/>
                <w:szCs w:val="17"/>
                <w:color w:val="auto"/>
              </w:rPr>
            </w:pPr>
          </w:p>
        </w:tc>
        <w:tc>
          <w:tcPr>
            <w:tcW w:w="37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2021</w:t>
            </w:r>
          </w:p>
        </w:tc>
        <w:tc>
          <w:tcPr>
            <w:tcW w:w="4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Accruals/other</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17,351</w:t>
            </w:r>
          </w:p>
        </w:tc>
        <w:tc>
          <w:tcPr>
            <w:tcW w:w="34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7,796</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Acquired future tax deductions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w:t>
            </w:r>
          </w:p>
        </w:tc>
        <w:tc>
          <w:tcPr>
            <w:tcW w:w="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7,283</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w:t>
            </w:r>
          </w:p>
        </w:tc>
        <w:tc>
          <w:tcPr>
            <w:tcW w:w="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Tax credits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11,953</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Inventory reserves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8,199</w:t>
            </w:r>
          </w:p>
        </w:tc>
        <w:tc>
          <w:tcPr>
            <w:tcW w:w="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Warranty reserve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Section 163(j)</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3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Chargebacks, discounts, customer concessions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27,970</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Valuation allowance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6"/>
              </w:rPr>
              <w:t>(11,166)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(2,934)</w:t>
            </w: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126,532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69,194</w:t>
            </w:r>
          </w:p>
        </w:tc>
        <w:tc>
          <w:tcPr>
            <w:tcW w:w="4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Deferred tax liability:</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7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State income taxes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34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2,724</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20,483</w:t>
            </w:r>
          </w:p>
        </w:tc>
        <w:tc>
          <w:tcPr>
            <w:tcW w:w="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180" w:type="dxa"/>
            <w:vAlign w:val="bottom"/>
            <w:gridSpan w:val="4"/>
          </w:tcPr>
          <w:p>
            <w:pPr>
              <w:ind w:left="520"/>
              <w:spacing w:after="0"/>
              <w:rPr>
                <w:sz w:val="20"/>
                <w:szCs w:val="20"/>
                <w:color w:val="auto"/>
              </w:rPr>
            </w:pPr>
            <w:r>
              <w:rPr>
                <w:rFonts w:ascii="Times New Roman" w:cs="Times New Roman" w:eastAsia="Times New Roman" w:hAnsi="Times New Roman"/>
                <w:sz w:val="17"/>
                <w:szCs w:val="17"/>
                <w:color w:val="auto"/>
              </w:rPr>
              <w:t>Section 481(a) adjustment - change in accounting method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4,873</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221,084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28,080</w:t>
            </w:r>
          </w:p>
        </w:tc>
        <w:tc>
          <w:tcPr>
            <w:tcW w:w="40" w:type="dxa"/>
            <w:vAlign w:val="bottom"/>
            <w:tcBorders>
              <w:bottom w:val="single" w:sz="8" w:color="auto"/>
            </w:tcBorders>
          </w:tcPr>
          <w:p>
            <w:pPr>
              <w:spacing w:after="0"/>
              <w:rPr>
                <w:sz w:val="18"/>
                <w:szCs w:val="18"/>
                <w:color w:val="auto"/>
              </w:rPr>
            </w:pPr>
          </w:p>
        </w:tc>
      </w:tr>
      <w:tr>
        <w:trPr>
          <w:trHeight w:val="70"/>
        </w:trPr>
        <w:tc>
          <w:tcPr>
            <w:tcW w:w="20" w:type="dxa"/>
            <w:vAlign w:val="bottom"/>
          </w:tcPr>
          <w:p>
            <w:pPr>
              <w:spacing w:after="0"/>
              <w:rPr>
                <w:sz w:val="6"/>
                <w:szCs w:val="6"/>
                <w:color w:val="auto"/>
              </w:rPr>
            </w:pPr>
          </w:p>
        </w:tc>
        <w:tc>
          <w:tcPr>
            <w:tcW w:w="3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r>
      <w:tr>
        <w:trPr>
          <w:trHeight w:val="212"/>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(liability) asset, net</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w w:val="99"/>
              </w:rPr>
              <w:t>(94,552)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41,114</w:t>
            </w:r>
          </w:p>
        </w:tc>
        <w:tc>
          <w:tcPr>
            <w:tcW w:w="4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Holidays and Carryforwards</w:t>
      </w:r>
    </w:p>
    <w:p>
      <w:pPr>
        <w:spacing w:after="0" w:line="247" w:lineRule="exact"/>
        <w:rPr>
          <w:sz w:val="20"/>
          <w:szCs w:val="20"/>
          <w:color w:val="auto"/>
        </w:rPr>
      </w:pPr>
    </w:p>
    <w:p>
      <w:pPr>
        <w:ind w:right="200" w:firstLine="619"/>
        <w:spacing w:after="0" w:line="263" w:lineRule="auto"/>
        <w:rPr>
          <w:sz w:val="20"/>
          <w:szCs w:val="20"/>
          <w:color w:val="auto"/>
        </w:rPr>
      </w:pPr>
      <w:r>
        <w:rPr>
          <w:rFonts w:ascii="Times New Roman" w:cs="Times New Roman" w:eastAsia="Times New Roman" w:hAnsi="Times New Roman"/>
          <w:sz w:val="17"/>
          <w:szCs w:val="17"/>
          <w:color w:val="auto"/>
        </w:rPr>
        <w:t>Net operating loss ("NOL") carryforwards consist of: (a) federal NOL carryforwards of $1.9 million which will expire at various dates from 2023 to indefinite carryforward periods, (b) state NOL carryforwards of $4.3 million which will expire at various dates from 2026 to indefinite carryforward periods and</w:t>
      </w:r>
    </w:p>
    <w:p>
      <w:pPr>
        <w:spacing w:after="0" w:line="1" w:lineRule="exact"/>
        <w:rPr>
          <w:sz w:val="20"/>
          <w:szCs w:val="20"/>
          <w:color w:val="auto"/>
        </w:rPr>
      </w:pPr>
    </w:p>
    <w:p>
      <w:pPr>
        <w:ind w:right="180" w:firstLine="3"/>
        <w:spacing w:after="0" w:line="266" w:lineRule="auto"/>
        <w:tabs>
          <w:tab w:leader="none" w:pos="23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NOL carryforwards of $46.3 million which will expire at various dates from 2023 to indefinite carryforward periods. We believe that it is more likely than not that the benefit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certain foreign NOL carryforwards will not be realized. In recognition of this risk, we have provided a valuation allowance of $11.5 million on the</w:t>
      </w:r>
    </w:p>
    <w:p>
      <w:pPr>
        <w:spacing w:after="0" w:line="2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$12.7 million DTAs related to these foreign NOL carryforwards. Under Section 382 of the Internal Revenue Code, certain ownership changes limit the utilization of the NOL carryforwards, and the amount of federal NOL carryforwards recorded is the net federal benefit available.</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carryforwards include state research and development (“R&amp;D”) tax credit carryforwards of $18.5 million, which have an indefinite carryforward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w:t>
      </w:r>
    </w:p>
    <w:p>
      <w:pPr>
        <w:spacing w:after="0" w:line="226" w:lineRule="exact"/>
        <w:rPr>
          <w:sz w:val="20"/>
          <w:szCs w:val="20"/>
          <w:color w:val="auto"/>
        </w:rPr>
      </w:pPr>
    </w:p>
    <w:p>
      <w:pPr>
        <w:jc w:val="both"/>
        <w:ind w:right="60" w:firstLine="619"/>
        <w:spacing w:after="0" w:line="270" w:lineRule="auto"/>
        <w:rPr>
          <w:sz w:val="20"/>
          <w:szCs w:val="20"/>
          <w:color w:val="auto"/>
        </w:rPr>
      </w:pPr>
      <w:r>
        <w:rPr>
          <w:rFonts w:ascii="Times New Roman" w:cs="Times New Roman" w:eastAsia="Times New Roman" w:hAnsi="Times New Roman"/>
          <w:sz w:val="17"/>
          <w:szCs w:val="17"/>
          <w:color w:val="auto"/>
        </w:rPr>
        <w:t>A substantial portion of our manufacturing operations in Costa Rica operate under various tax holiday and tax incentive programs due to expire in whole or in part in 2029. Certain of the holidays may be extended if specific conditions are met. The net impact of these tax holiday and tax incentives was an increase to our net earnings by $8.1 million or $0.34 per diluted share in 2022 and by $9.8 million or $0.45 per diluted share in 2021.</w:t>
      </w:r>
    </w:p>
    <w:p>
      <w:pPr>
        <w:spacing w:after="0" w:line="19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Foreign currency translation adjustments, and related tax effects, are an element of “other comprehensive income” and are not included in net income other than the revaluation of the associated deferred tax asset due to the Tax Act.</w:t>
      </w:r>
    </w:p>
    <w:p>
      <w:pPr>
        <w:spacing w:after="0" w:line="15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2022, we have estimated $209.2 million of undistributed foreign earnings and profits. Such earnings were previously subject to U.S. tax as a result of the Tax Act and much of any future remittances would generally be subject to no U.S. tax as a result of dividends received deductions and/or foreign tax credit relief. We intend to invest substantially all of our foreign subsidiary earnings, as well as our capital in our foreign subsidiaries, indefinitely outside of the U.S. in those jurisdictions in which we incur significant additional costs upon repatriation of such amounts.</w:t>
      </w:r>
    </w:p>
    <w:p>
      <w:pPr>
        <w:spacing w:after="0" w:line="19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are subject to taxation in the U.S. and various states and foreign jurisdictions. Our U.S. federal income tax returns for tax years 2019 and forward are subject to examination by the Internal Revenue Service. Our principal state income tax returns for tax years 2012 and forward are subject to examination by the state tax authorities. The total gross amount of unrecognized tax benefits as of December 31, 2022 was $54.1 million which, if recognized, would impact the effective tax rate. We believe that adequate provision has been made for any adjustments that may result from tax examinations. However, the outcome of tax examinations cannot be predicted with certainty. As of December 31, 2022, it is reasonably possible that the expiration of the U.S. federal statute of limitations will cause the gross amount of unrecognized tax benefits to decrease by $7.8 million. It is not possible to estimate any other amount of change, if any, in the unrecognized tax benefits that is reasonably possible within the next twelve months. We recognize accrued interest and penalties related to unrecognized tax benefits as a component of income tax expense. We have accrued for penalties and interest of $2.3 million and $2.2 million, respectively as of December 31, 2022.</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cumulative gross unrecognized tax benefits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r>
      <w:tr>
        <w:trPr>
          <w:trHeight w:val="201"/>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15,027</w:t>
            </w: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to prior year tax positions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Increases due to acquisitions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to current year tax positions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Decreases to prior year tax positions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related to lapse of statute of limitations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related to settlements with tax authorities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54,053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21,537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18,443</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GEOGRAPHIC INFORMATION AND SIGNIFICANT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Customers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We sell products worldwide, on credit terms on an unsecured basis, as an OEM supplier, to independent medical supply distributors and directly to the end customer. The manufacturers and distributors, in turn, sell our products to healthcare providers. In 2022, we had worldwide net sales to Medline of 15% of consolidated net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Geographic Information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our gross long-lived assets, consisting of property, plant and equipment, by country or region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01"/>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Costa Rica</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115,187</w:t>
            </w: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Mexico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79,567</w:t>
            </w: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LATAM</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36,907</w:t>
            </w: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4,716</w:t>
            </w: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Italy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12,435</w:t>
            </w: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13,295</w:t>
            </w: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Czech Republic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Europe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4,171</w:t>
            </w: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APAC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20,452</w:t>
            </w:r>
          </w:p>
        </w:tc>
      </w:tr>
      <w:tr>
        <w:trPr>
          <w:trHeight w:val="212"/>
        </w:trPr>
        <w:tc>
          <w:tcPr>
            <w:tcW w:w="8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Foreign</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358,980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286,730</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803,577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618,374</w:t>
            </w:r>
          </w:p>
        </w:tc>
      </w:tr>
      <w:tr>
        <w:trPr>
          <w:trHeight w:val="212"/>
        </w:trPr>
        <w:tc>
          <w:tcPr>
            <w:tcW w:w="8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Worldwide Total</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1,162,557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905,104</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In August 2019, our Board of Directors approved a common stock purchase plan to purchase up to $100.0 million of our common stock. This plan has no expiration date. We have $100.0 million remaining on this purchase plan. We did not purchase any of our common stock under our common stock purchase plan in 2022, 2021 or 2020. We are limited on share purchases in accordance with the terms and conditions of our Senior Secured Credit Facilities (see Note 11: Long-Term Obligations).</w:t>
      </w:r>
    </w:p>
    <w:p>
      <w:pPr>
        <w:spacing w:after="0" w:line="197"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In 2022, we withheld 47,664 shares of our common stock from employee vested restricted stock units in consideration for $10.9 million in payments for the employees' share award income tax withholding obligations. We had 1,633 shares remaining in treasury at December 31, 2022.</w:t>
      </w:r>
    </w:p>
    <w:p>
      <w:pPr>
        <w:spacing w:after="0" w:line="177" w:lineRule="exact"/>
        <w:rPr>
          <w:sz w:val="20"/>
          <w:szCs w:val="20"/>
          <w:color w:val="auto"/>
        </w:rPr>
      </w:pPr>
    </w:p>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In 2021, we withheld 40,350 shares of our common stock from employee vested restricted stock units in consideration for $8.3 million in payments for the employees' share award income tax withholding obligations. We had 119 shares remaining in treasury at December 31, 2021.</w:t>
      </w:r>
    </w:p>
    <w:p>
      <w:pPr>
        <w:spacing w:after="0" w:line="177"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In 2020, we withheld 67,041 shares of our common stock from employee vested restricted stock units in consideration for $12.9 million in payments for the employees' share award income tax withholding obligations. We had 209 shares remaining in treasury at December 31, 2020.</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use treasury stock to issue shares for stock option exercises and restricted stock grants.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Accumulated Other Comprehensive (Loss) Income ("AOCI")</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AOCI, net of tax,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Foreign Currency</w:t>
            </w:r>
          </w:p>
        </w:tc>
        <w:tc>
          <w:tcPr>
            <w:tcW w:w="16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Unrealized Gains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68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(Losses) on Cash Flow</w:t>
            </w:r>
          </w:p>
        </w:tc>
        <w:tc>
          <w:tcPr>
            <w:tcW w:w="12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Other Adjustments</w:t>
            </w:r>
          </w:p>
        </w:tc>
        <w:tc>
          <w:tcPr>
            <w:tcW w:w="360" w:type="dxa"/>
            <w:vAlign w:val="bottom"/>
          </w:tcPr>
          <w:p>
            <w:pPr>
              <w:spacing w:after="0"/>
              <w:rPr>
                <w:sz w:val="13"/>
                <w:szCs w:val="13"/>
                <w:color w:val="auto"/>
              </w:rPr>
            </w:pPr>
          </w:p>
        </w:tc>
        <w:tc>
          <w:tcPr>
            <w:tcW w:w="1240" w:type="dxa"/>
            <w:vAlign w:val="bottom"/>
            <w:vMerge w:val="restart"/>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6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Hedges</w:t>
            </w:r>
          </w:p>
        </w:tc>
        <w:tc>
          <w:tcPr>
            <w:tcW w:w="1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(15,402)</w:t>
            </w: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13,880</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w:t>
            </w: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before reclassifications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(17,747)</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(19,269)</w:t>
            </w: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before reclassifications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(13,946)</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(103,928)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41,016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(61,709)</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4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 Balance Sheet Arrangements</w:t>
      </w:r>
    </w:p>
    <w:p>
      <w:pPr>
        <w:spacing w:after="0" w:line="247" w:lineRule="exact"/>
        <w:rPr>
          <w:sz w:val="20"/>
          <w:szCs w:val="20"/>
          <w:color w:val="auto"/>
        </w:rPr>
      </w:pPr>
    </w:p>
    <w:p>
      <w:pPr>
        <w:jc w:val="both"/>
        <w:ind w:right="320" w:firstLine="619"/>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24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During November 2019, we acquired Pursuit (see Note 2: Acquisitions). Total consideration for the acquisition included a potential contractual earn-out of up to $50.0 million to be paid to former Pursuit equity holders, calculated based upon the achievement of certain performance targets during the earn-out period. As of June 30, 2021, the earn-out measurement period had ended and based on the actual sales and gross profit achieved during the measurement period we calculated the actual earn-out to be $26.3 million. In October 2021, the $26.3 million earn-out was finalized and paid to the former Pursuit equity holders (see Note 8: Fair Value Measurements).</w:t>
      </w:r>
    </w:p>
    <w:p>
      <w:pPr>
        <w:spacing w:after="0" w:line="200"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2022, the fair value of the contingent earn-out was estimated at $2.6 million (see Note 8: Fair Value Measurements).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2022, the estimated fair value for the contingent consideration related to certain product-related regulatory certifications was estimated to be $1.5 million. As of December 31, 2022, the measurement period related to the contingent earn-out based on certain revenue targets ended and based on the actual revenue achieved during the measurement period we determined the fair value of the contingent earn-out was zero as the minimum threshold for earning the earn-out was not met.</w:t>
      </w:r>
    </w:p>
    <w:p>
      <w:pPr>
        <w:spacing w:after="0" w:line="205"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On January 6, 2022, we acquired Smiths Medical. Total consideration for the acquisition includes a potential earn-out payment of $100.0 million in cash contingent on our common stock achieving a certain volume-weighted average price from the closing date to either the third or fourth anniversary of closing. As of December 31, 2022, the estimated fair value of the contingent earn-out is $21.0 million (see Note 8: Fair Value Measurements).</w:t>
      </w:r>
    </w:p>
    <w:p>
      <w:pPr>
        <w:spacing w:after="0" w:line="191" w:lineRule="exact"/>
        <w:rPr>
          <w:sz w:val="20"/>
          <w:szCs w:val="20"/>
          <w:color w:val="auto"/>
        </w:rPr>
      </w:pPr>
    </w:p>
    <w:p>
      <w:pPr>
        <w:jc w:val="both"/>
        <w:ind w:right="200" w:firstLine="619"/>
        <w:spacing w:after="0" w:line="260" w:lineRule="auto"/>
        <w:rPr>
          <w:sz w:val="20"/>
          <w:szCs w:val="20"/>
          <w:color w:val="auto"/>
        </w:rPr>
      </w:pPr>
      <w:r>
        <w:rPr>
          <w:rFonts w:ascii="Times New Roman" w:cs="Times New Roman" w:eastAsia="Times New Roman" w:hAnsi="Times New Roman"/>
          <w:sz w:val="17"/>
          <w:szCs w:val="17"/>
          <w:color w:val="auto"/>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 was recorded on the opening acquired balance sheet of Smiths Medical. The initial estimate recorded was based on a probability-weighted estimate of the costs required to settle the obligation. The actual costs to be incurred are dependent upon the scope of the work necessary to achieve regulatory clearance and could differ from the original estimate. The estimated field service corrective action recorded at December 31, 2022 is $49.8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to pay certain lease payment amounts (see Note 5: Leases).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COLLABORATIVE AND OTHER ARRANGEMENTS</w:t>
      </w:r>
    </w:p>
    <w:p>
      <w:pPr>
        <w:spacing w:after="0" w:line="221"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agreement, whereby Pfizer manufactures and supplies to us certain agreed upon products. The Product Addendum includes the supply of additional product to us subject to certain time and pricing terms and conditions. The Product Addendum included a minimum purchase obligation of $29.6 million. The minimum purchase obligation under the addendum was satisfied during 2022. The Product Addendum expired on November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SUBSEQUENT EVENTS</w:t>
      </w:r>
    </w:p>
    <w:p>
      <w:pPr>
        <w:spacing w:after="0" w:line="24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On January 19, 2023, we entered into a revolving $150 million uncommitted receivables purchase agreement with Bank of The West ("BOW") which provides for a less expensive form of capital. The discount rate applied to the sold receivables equals, a rate per annum equal to the sum of (i) an applicable margin of 1.75%, plus (ii) Term SOFR for a period equal to the discount period which is calculated with respect to the payment terms of the specific receivable. The accounts receivable to be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will not retain effective control over the sold receivables and BOW will have the right upon purchase to pledge and/or exchange the transferred assets without restrictions. The Company will act as collection agent for BOW, collection services will be undertaken by our accounts receivable personnel in their normal course of business and collected funds will be remitted to BOW. The discount rate has been negotiated net of consideration for the collection services, the cost of collection is expected to be immaterial to the Company.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83"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Limitations on Effectiveness of Controls and Procedures</w:t>
      </w:r>
    </w:p>
    <w:p>
      <w:pPr>
        <w:spacing w:after="0" w:line="243" w:lineRule="exact"/>
        <w:rPr>
          <w:sz w:val="20"/>
          <w:szCs w:val="20"/>
          <w:color w:val="auto"/>
        </w:rPr>
      </w:pPr>
    </w:p>
    <w:p>
      <w:pPr>
        <w:jc w:val="both"/>
        <w:ind w:right="540" w:firstLine="619"/>
        <w:spacing w:after="0" w:line="26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Evaluation of Disclosure Controls and Procedures</w:t>
      </w:r>
    </w:p>
    <w:p>
      <w:pPr>
        <w:spacing w:after="0" w:line="21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of the end of the period covered by this Report. Disclosure controls and procedures are designed to ensure that the information required to be disclosed in the reports that we file or submit under the Exchange Act is recorded, processed, summarized and reported within the time periods specified in the rules and forms of the Securities Exchange Commission, and that such information is accumulated and communicated to our management, including our principal executive officer and principal financial officer, as appropriate to allow timely decisions regarding required disclosure. Based upon that evaluation, our principal executive officer and our principal financial officer concluded that, as of December 31, 2022, our disclosure controls and procedures were effective at the reasonable assurance level.</w:t>
      </w:r>
    </w:p>
    <w:p>
      <w:pPr>
        <w:spacing w:after="0" w:line="205"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As permitted by related SEC staff interpretive guidance for newly acquired businesses, the internal control over financial reporting of Smiths Medical was excluded from the evaluation of the effectiveness of our disclosure controls and procedures as of December 31, 2022. Smiths Medical, which we acquired in January 2022, constituted approximately 40% of our total assets and 42% of our total revenues as of and for the year ended December 31,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Changes in Internal Control Over Financial Reporting</w:t>
      </w:r>
    </w:p>
    <w:p>
      <w:pPr>
        <w:spacing w:after="0" w:line="243"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our most recent fiscal quarter that has materially affected or is reasonably likely to materially affect our internal control over financial reporting, other than changes resulting from the acquisition and integration of Smiths Medical.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Management’s Annual Report on Internal Control over Financial Reporting</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 of the Company is responsible for establishing and maintaining adequate internal control over financial reporting.</w:t>
      </w:r>
    </w:p>
    <w:p>
      <w:pPr>
        <w:spacing w:after="0" w:line="213" w:lineRule="exact"/>
        <w:rPr>
          <w:sz w:val="20"/>
          <w:szCs w:val="20"/>
          <w:color w:val="auto"/>
        </w:rPr>
      </w:pPr>
    </w:p>
    <w:p>
      <w:pPr>
        <w:ind w:right="460" w:firstLine="619"/>
        <w:spacing w:after="0" w:line="292" w:lineRule="auto"/>
        <w:rPr>
          <w:sz w:val="20"/>
          <w:szCs w:val="20"/>
          <w:color w:val="auto"/>
        </w:rPr>
      </w:pPr>
      <w:r>
        <w:rPr>
          <w:rFonts w:ascii="Times New Roman" w:cs="Times New Roman" w:eastAsia="Times New Roman" w:hAnsi="Times New Roman"/>
          <w:sz w:val="17"/>
          <w:szCs w:val="17"/>
          <w:color w:val="auto"/>
        </w:rPr>
        <w:t xml:space="preserve">Management has used the criteria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to evaluate the effectiveness of its internal control over financial reporting.</w:t>
      </w:r>
    </w:p>
    <w:p>
      <w:pPr>
        <w:spacing w:after="0" w:line="147"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Based on this criteria, management of the Company has concluded that the Company has maintained effective internal control over its financial reporting as of December 31, 2022.</w:t>
      </w:r>
    </w:p>
    <w:p>
      <w:pPr>
        <w:spacing w:after="0" w:line="17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As permitted by related SEC staff interpretive guidance, we have excluded from the scope of our assessment of internal control over financial reporting the operations and related assets of Smiths Medical. Smiths Medical constituted approximately 40% of our total assets and 42% of our total revenues as of and for the year ended December 31, 2022.</w:t>
      </w:r>
    </w:p>
    <w:p>
      <w:pPr>
        <w:spacing w:after="0" w:line="191" w:lineRule="exact"/>
        <w:rPr>
          <w:sz w:val="20"/>
          <w:szCs w:val="20"/>
          <w:color w:val="auto"/>
        </w:rPr>
      </w:pPr>
    </w:p>
    <w:p>
      <w:pPr>
        <w:ind w:right="220" w:firstLine="172"/>
        <w:spacing w:after="0" w:line="287" w:lineRule="auto"/>
        <w:rPr>
          <w:sz w:val="20"/>
          <w:szCs w:val="20"/>
          <w:color w:val="auto"/>
        </w:rPr>
      </w:pPr>
      <w:r>
        <w:rPr>
          <w:rFonts w:ascii="Times New Roman" w:cs="Times New Roman" w:eastAsia="Times New Roman" w:hAnsi="Times New Roman"/>
          <w:sz w:val="17"/>
          <w:szCs w:val="17"/>
          <w:color w:val="auto"/>
        </w:rPr>
        <w:t>Our independent registered public accounting firm that audited the December 31, 2022 financial statements included in this Annual Report on Form 10-K has independently assessed the effectiveness of our internal control over financial reporting and its report is below.</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lists the names, ages, certain positions and offices held by our executive officers and directors as of January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3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6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rPr>
              <w:t>Age</w:t>
            </w:r>
          </w:p>
        </w:tc>
        <w:tc>
          <w:tcPr>
            <w:tcW w:w="7680" w:type="dxa"/>
            <w:vAlign w:val="bottom"/>
            <w:tcBorders>
              <w:bottom w:val="single" w:sz="8" w:color="auto"/>
            </w:tcBorders>
            <w:shd w:val="clear" w:color="auto" w:fill="CCEEFF"/>
          </w:tcPr>
          <w:p>
            <w:pPr>
              <w:ind w:left="3580"/>
              <w:spacing w:after="0"/>
              <w:rPr>
                <w:sz w:val="20"/>
                <w:szCs w:val="20"/>
                <w:color w:val="auto"/>
              </w:rPr>
            </w:pPr>
            <w:r>
              <w:rPr>
                <w:rFonts w:ascii="Times New Roman" w:cs="Times New Roman" w:eastAsia="Times New Roman" w:hAnsi="Times New Roman"/>
                <w:sz w:val="17"/>
                <w:szCs w:val="17"/>
                <w:b w:val="1"/>
                <w:bCs w:val="1"/>
                <w:color w:val="auto"/>
              </w:rPr>
              <w:t>Office Held</w:t>
            </w:r>
          </w:p>
        </w:tc>
      </w:tr>
      <w:tr>
        <w:trPr>
          <w:trHeight w:val="21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12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50</w:t>
            </w:r>
          </w:p>
        </w:tc>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Chief Executive Officer ("CEO") and Chairman of the Board</w:t>
            </w: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126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rPr>
              <w:t>49</w:t>
            </w: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Chief Financial Officer ("CFO") and Treasurer</w:t>
            </w:r>
          </w:p>
        </w:tc>
      </w:tr>
      <w:tr>
        <w:trPr>
          <w:trHeight w:val="219"/>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12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55</w:t>
            </w:r>
          </w:p>
        </w:tc>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Chief Operating Officer ("COO")</w:t>
            </w: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126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rPr>
              <w:t>46</w:t>
            </w: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Corporate Vice President, General Manager - Infusion Systems</w:t>
            </w:r>
          </w:p>
        </w:tc>
      </w:tr>
      <w:tr>
        <w:trPr>
          <w:trHeight w:val="219"/>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12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48</w:t>
            </w:r>
          </w:p>
        </w:tc>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Corporate Vice President, General Counsel</w:t>
            </w: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George A. Lopez, M.D.</w:t>
            </w:r>
          </w:p>
        </w:tc>
        <w:tc>
          <w:tcPr>
            <w:tcW w:w="126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rPr>
              <w:t>75</w:t>
            </w: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C. Greenberg</w:t>
            </w:r>
          </w:p>
        </w:tc>
        <w:tc>
          <w:tcPr>
            <w:tcW w:w="12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56</w:t>
            </w:r>
          </w:p>
        </w:tc>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Elisha Finney</w:t>
            </w:r>
          </w:p>
        </w:tc>
        <w:tc>
          <w:tcPr>
            <w:tcW w:w="126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rPr>
              <w:t>61</w:t>
            </w: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Hoffmeister</w:t>
            </w:r>
          </w:p>
        </w:tc>
        <w:tc>
          <w:tcPr>
            <w:tcW w:w="12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68</w:t>
            </w:r>
          </w:p>
        </w:tc>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Donald Abbey</w:t>
            </w:r>
          </w:p>
        </w:tc>
        <w:tc>
          <w:tcPr>
            <w:tcW w:w="126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rPr>
              <w:t>56</w:t>
            </w: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Laurie Hernandez</w:t>
            </w:r>
          </w:p>
        </w:tc>
        <w:tc>
          <w:tcPr>
            <w:tcW w:w="12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65</w:t>
            </w:r>
          </w:p>
        </w:tc>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Kolleen T. Kennedy</w:t>
            </w:r>
          </w:p>
        </w:tc>
        <w:tc>
          <w:tcPr>
            <w:tcW w:w="126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rPr>
              <w:t>63</w:t>
            </w: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Director</w:t>
            </w: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William Seeger</w:t>
            </w:r>
          </w:p>
        </w:tc>
        <w:tc>
          <w:tcPr>
            <w:tcW w:w="12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71</w:t>
            </w:r>
          </w:p>
        </w:tc>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8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Mr. Jain </w:t>
      </w:r>
      <w:r>
        <w:rPr>
          <w:rFonts w:ascii="Times New Roman" w:cs="Times New Roman" w:eastAsia="Times New Roman" w:hAnsi="Times New Roman"/>
          <w:sz w:val="17"/>
          <w:szCs w:val="17"/>
          <w:color w:val="auto"/>
        </w:rPr>
        <w:t>joined the Company in February 2014 as Chairman of the Board and Chief Executive Officer. Mr. Jain served as CareFusion Corporation's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("CareFusion") President of Procedural Solutions from 2011 to February 2014. Mr. Jain served as President, Medical Technologies and Services of CareFusion from 2009 until 2011. Mr. Jain served as the Executive Vice-President-Strategy and Corporate Development of Cardinal Health from 2007 until 2009. Mr. Jain served as Senior Vice President, Business Development and M&amp;A for the Philips Medical Systems business of Koninklijke Philips Electronics N.V., an electronics company from 2006 to August 2007. Mr. Jain served as an investment banker at J.P. Morgan Securities, Inc., an investment banking firm, from 1994 to 2006. Mr. Jain's last position with J.P. Morgan was as Co-Head of Global Healthcare Investment Banking from 2002 to 2006.</w:t>
      </w:r>
    </w:p>
    <w:p>
      <w:pPr>
        <w:spacing w:after="0" w:line="194"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Mr. Voigtlander </w:t>
      </w:r>
      <w:r>
        <w:rPr>
          <w:rFonts w:ascii="Times New Roman" w:cs="Times New Roman" w:eastAsia="Times New Roman" w:hAnsi="Times New Roman"/>
          <w:sz w:val="17"/>
          <w:szCs w:val="17"/>
          <w:color w:val="auto"/>
        </w:rPr>
        <w:t>has served as our Chief Operating Officer since January 2018. From February 2017 to January 2018, Mr. Voigtlander served as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Vice President, Business Development and General Manager, Infusion Solutions. From June 2015 to February 2017, Mr. Voigtlander served as the Company’s Vice President, Business Development. Prior to May 2015, Mr. Voigtlander held various roles at CareFusion and last served as Senior Vice President, Business Development and Strategy.</w:t>
      </w:r>
    </w:p>
    <w:p>
      <w:pPr>
        <w:spacing w:after="0" w:line="190"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Mr. Bonnell </w:t>
      </w:r>
      <w:r>
        <w:rPr>
          <w:rFonts w:ascii="Times New Roman" w:cs="Times New Roman" w:eastAsia="Times New Roman" w:hAnsi="Times New Roman"/>
          <w:sz w:val="17"/>
          <w:szCs w:val="17"/>
          <w:color w:val="auto"/>
        </w:rPr>
        <w:t>has served as our Chief Financial Officer and Treasurer since March 3, 2020. From May 2018 until March 2020, Mr. Bonnell served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Corporate Vice President, Finance. Prior to joining the Company, Mr. Bonnell served as Treasurer and Head of Financial Planning and Analysis at Alere Inc. from May 2015 until December 2017. Prior to May 2015, Mr. Bonnell held various roles at CareFusion Corporation in Finance and last served as Senior Vice President, Tax and Treasurer.</w:t>
      </w:r>
    </w:p>
    <w:p>
      <w:pPr>
        <w:spacing w:after="0" w:line="19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Mr. Woolson </w:t>
      </w:r>
      <w:r>
        <w:rPr>
          <w:rFonts w:ascii="Times New Roman" w:cs="Times New Roman" w:eastAsia="Times New Roman" w:hAnsi="Times New Roman"/>
          <w:sz w:val="17"/>
          <w:szCs w:val="17"/>
          <w:color w:val="auto"/>
        </w:rPr>
        <w:t>has served as our Corporate Vice President, General Manager - Infusion Systems since January 2017. Mr. Woolson served as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Respiratory Solutions for Becton Dickinson from March 2015 to November 2016. Prior to March 2015, Mr. Woolson held various roles at CareFusion and last served as Vice President/General Manager, Specialty Disposables.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14" w:name="page115"/>
    <w:bookmarkEnd w:id="114"/>
    <w:p>
      <w:pPr>
        <w:jc w:val="both"/>
        <w:ind w:firstLine="253"/>
        <w:spacing w:after="0" w:line="280" w:lineRule="auto"/>
        <w:rPr>
          <w:sz w:val="20"/>
          <w:szCs w:val="20"/>
          <w:color w:val="auto"/>
        </w:rPr>
      </w:pPr>
      <w:r>
        <w:rPr>
          <w:rFonts w:ascii="Times New Roman" w:cs="Times New Roman" w:eastAsia="Times New Roman" w:hAnsi="Times New Roman"/>
          <w:sz w:val="17"/>
          <w:szCs w:val="17"/>
          <w:i w:val="1"/>
          <w:iCs w:val="1"/>
          <w:color w:val="auto"/>
        </w:rPr>
        <w:t xml:space="preserve">Ms. Sanzone </w:t>
      </w:r>
      <w:r>
        <w:rPr>
          <w:rFonts w:ascii="Times New Roman" w:cs="Times New Roman" w:eastAsia="Times New Roman" w:hAnsi="Times New Roman"/>
          <w:sz w:val="17"/>
          <w:szCs w:val="17"/>
          <w:color w:val="auto"/>
        </w:rPr>
        <w:t>has served as our Corporate Vice President, General Counsel and Secretary since January 2018. Ms. Sanzone also serves as our Compliance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Ms. Sanzone served as the Company’s Vice President, General Counsel from August of 2015 to January 2018. Prior to August of 2015, Ms. Sanzone held various roles at CareFusion and last served as Senior Vice President, Associate General Counsel - Business Segments &amp; Americas.</w:t>
      </w:r>
    </w:p>
    <w:p>
      <w:pPr>
        <w:spacing w:after="0" w:line="18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Dr. George A. Lopez, M.D. </w:t>
      </w:r>
      <w:r>
        <w:rPr>
          <w:rFonts w:ascii="Times New Roman" w:cs="Times New Roman" w:eastAsia="Times New Roman" w:hAnsi="Times New Roman"/>
          <w:sz w:val="17"/>
          <w:szCs w:val="17"/>
          <w:color w:val="auto"/>
        </w:rPr>
        <w:t>has been a director since 1984. He is the founder of the Company and served as Chairman of the Board, President and CEO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1989 to October 2013, stepping down from these positions for health reasons. The Board believes Mr. Lopez should serve as a director due to his extensive experience with the Company and industry knowledge provides an invaluable insight to the Board on issues involving the Company and its goals.</w:t>
      </w:r>
    </w:p>
    <w:p>
      <w:pPr>
        <w:spacing w:after="0" w:line="186" w:lineRule="exact"/>
        <w:rPr>
          <w:sz w:val="20"/>
          <w:szCs w:val="20"/>
          <w:color w:val="auto"/>
        </w:rPr>
      </w:pPr>
    </w:p>
    <w:p>
      <w:pPr>
        <w:jc w:val="both"/>
        <w:ind w:firstLine="172"/>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Mr. David C. Greenberg </w:t>
      </w:r>
      <w:r>
        <w:rPr>
          <w:rFonts w:ascii="Times New Roman" w:cs="Times New Roman" w:eastAsia="Times New Roman" w:hAnsi="Times New Roman"/>
          <w:sz w:val="17"/>
          <w:szCs w:val="17"/>
          <w:color w:val="auto"/>
        </w:rPr>
        <w:t>has been a director since 2015, serves as Lead Independent Director and Chair of the Compensation Committee and is a member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Audit Committee. Mr. Greenberg is currently serving as Chief Executive Officer of HomeThrive, Inc. Mr. Greenberg joined HomeThrive, Inc. in October 2018. Mr. Greenberg was Executive Vice President, Strategy of Medline Industries, Inc. (“Medline”) from June 2008 to October 2018. Medline is a privately held manufacturer and distributor of medical supplies uniquely positioned to provide products, education and support across the continuum of care. In that capacity, Mr. Greenberg was a member of Medline’s Executive Board and advised top leadership/ownership on all aspects of the business. Mr. Greenberg was responsible for Strategy, Business Development and M&amp;A. Additionally, Mr. Greenberg was a Group President and had responsibility for Medline’s distribution business and several manufacturing and marketing divisions. Mr. Greenberg has served on the board of directors for Amendia, Inc., a spinal implant company. Previously, Mr. Greenberg spent thirteen years in a variety of leadership positions within Aon Corporation, including Chief Financial Officer of its Aon Global subsidiary. Mr. Greenberg previously served as a director at Potrero Medical, Inc., the latest spinout of medical device incubator Theranova, LLC. Currently Mr. Greenberg serves on the board of directors of HomeThrive, Inc. since October 2018 and Canadian Hospital Specialties, a privately held medical device manufacturer and specialty distributor, since April 2021. The Board believes Mr. Greenberg should serve as a director due to his extensive knowledge and experience in the medical industry, demonstrated executive leadership in business and insight into financial matters.</w:t>
      </w:r>
    </w:p>
    <w:p>
      <w:pPr>
        <w:spacing w:after="0" w:line="205" w:lineRule="exact"/>
        <w:rPr>
          <w:sz w:val="20"/>
          <w:szCs w:val="20"/>
          <w:color w:val="auto"/>
        </w:rPr>
      </w:pPr>
    </w:p>
    <w:p>
      <w:pPr>
        <w:jc w:val="both"/>
        <w:ind w:firstLine="18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Ms. Elisha W. Finney </w:t>
      </w:r>
      <w:r>
        <w:rPr>
          <w:rFonts w:ascii="Times New Roman" w:cs="Times New Roman" w:eastAsia="Times New Roman" w:hAnsi="Times New Roman"/>
          <w:sz w:val="17"/>
          <w:szCs w:val="17"/>
          <w:color w:val="auto"/>
        </w:rPr>
        <w:t>has been a director since January 2016, and serves as Chair of the Nominating and Governance Committee and is a member of the Audit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Ms. Finney, now retired, was named Vice President, Finance and CFO of Varian Medical Systems in April 1999. In January 2005, she was promoted to Senior Vice President and given additional management responsibility for the Corporate Information Systems group. She was named Executive Vice President in February 2012. Varian Medical Systems is a leading manufacturer of medical devices and software for treating cancer and other medical conditions with radiotherapy, radiosurgery, proton therapy and brachytherapy. Ms. Finney managed a worldwide staff of 400. Her management responsibilities included corporate accounting; corporate communications and investor relations; internal financial and compliance audit; risk management; tax and treasury, and corporate information systems. Ms. Finney joined Varian as risk manager in 1988 and has assumed a wide variety of finance functions over her last 29 years with the company. Prior to joining Varian, Ms. Finney was with the Fox Group in Foster City, CA, and Beatrice Foods, a major food processing company, in Chicago, IL. Ms. Finney has served on the boards of: NanoString Technologies, a company that specializes in development of cancer diagnostics tools, since May 2017; Mettler Toledo, a multinational manufacturer of scales and analytical instruments, since November 2017; and Viatris, a global pharmaceutical and healthcare corporation, since December 2022. Ms. Finney previously served on the boards of directors of: Laserscope from August 2005 until July 2006 when Laserscope was sold to American Medical Systems; Thoratec, a developer, manufacturer and marketer of proprietary medical devices for mechanical circulatory support from July 2007 to May 2013; Altera Corporation, a manufacturer of programmable logic devices from September 2011 until December 2015, when Altera was sold to Intel; Cutera, Inc. a global provider of laser and other energy-based aesthetic systems, from November 2017 to May 2019; and iRobot Corporation, a robotics technology company, from January 2017 to November 2021. The Board believes Ms. Finney should serve as a director due to her extensive knowledge and experience in the medical industry and her financial knowledge and experience, particularly with respect to her service on the Audit Committee.</w:t>
      </w:r>
    </w:p>
    <w:p>
      <w:pPr>
        <w:spacing w:after="0" w:line="209" w:lineRule="exact"/>
        <w:rPr>
          <w:sz w:val="20"/>
          <w:szCs w:val="20"/>
          <w:color w:val="auto"/>
        </w:rPr>
      </w:pPr>
    </w:p>
    <w:p>
      <w:pPr>
        <w:jc w:val="both"/>
        <w:ind w:firstLine="172"/>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Mr. David F. Hoffmeister </w:t>
      </w:r>
      <w:r>
        <w:rPr>
          <w:rFonts w:ascii="Times New Roman" w:cs="Times New Roman" w:eastAsia="Times New Roman" w:hAnsi="Times New Roman"/>
          <w:sz w:val="17"/>
          <w:szCs w:val="17"/>
          <w:color w:val="auto"/>
        </w:rPr>
        <w:t>has been director since January 2018 and serves as Chair of the Audit Committee and a member of the Compensation Committee.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Hoffmeister served as Senior Vice President and Chief Financial Officer of Life Technologies Corp. from 2004 to 2014. Prior to joining Life Technologies, Mr. Hoffmeister was a senior partner with McKinsey &amp; Co., focusing on health care, private equity and chemicals industries. Before joining McKinsey, Mr. Hoffmeister held financial positions at GTE Corp. and W.R. Grace and Co. Mr. Hoffmeister currently serves on the boards of Kaiser Foundation Health Plan, Inc. and Kaiser Foundation Hospitals and has since November of 2014. Mr. Hoffmeister currently serves on the Board of Directors of Glaukos Corp. and has since 2014; Celanese Corp., since 2005; and Stepstone Group, Inc. since 2020. Mr. Hoffmeister received a bachelor’s of science degree from University of Minnesota and a M.B.A. from University of Chicago. The Board believes Mr. Hoffmeister should serve as a director due to his strong finance background and extensive experience as a chief financial officer of a global biotechnology company.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15" w:name="page116"/>
    <w:bookmarkEnd w:id="115"/>
    <w:p>
      <w:pPr>
        <w:jc w:val="both"/>
        <w:ind w:firstLine="172"/>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Mr. Donald M. Abbey </w:t>
      </w:r>
      <w:r>
        <w:rPr>
          <w:rFonts w:ascii="Times New Roman" w:cs="Times New Roman" w:eastAsia="Times New Roman" w:hAnsi="Times New Roman"/>
          <w:sz w:val="17"/>
          <w:szCs w:val="17"/>
          <w:color w:val="auto"/>
        </w:rPr>
        <w:t>has been a director since January 2018 and is a member of the Nominating Governance Committee and the Compensation Committee.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Abbey is currently serving as Executive Vice President, Global Business Services, IT, Quality and Regulatory Affairs at Dexcom, Inc. (“Dexcom”). Mr. Abbey joined Dexcom in May of 2016. Prior to joining Dexcom, Mr. Abbey was with Becton Dickinson (who acquired CareFusion Corporation in 2015 and which was spun out of Cardinal Health in 2009 (collectively, “BD”) from 2007. Mr. Abbey served in many roles over his years at BD including most recently as the Senior Vice President, Quality and Regulatory. Prior to his time at BD, Mr. Abbey held senior quality and regulatory affairs and general management positions with Respironics, Welch Allyn and Philips Healthcare. Mr. Abbey began his career at Varian Medical and Boston Scientific holding positions with increasing responsibility in research and development and quality. Mr. Abbey received a B.S.E.E from Washington State University and a M.B.A from University of</w:t>
      </w:r>
    </w:p>
    <w:p>
      <w:pPr>
        <w:spacing w:after="0" w:line="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Washington. The Board believes Mr. Abbey should serve as a director due to his extensive knowledge and experience in the medical industry and particularly, his knowledge of compliance and regulatory requirements.</w:t>
      </w:r>
    </w:p>
    <w:p>
      <w:pPr>
        <w:spacing w:after="0" w:line="17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Ms. Laurie Hernandez </w:t>
      </w:r>
      <w:r>
        <w:rPr>
          <w:rFonts w:ascii="Times New Roman" w:cs="Times New Roman" w:eastAsia="Times New Roman" w:hAnsi="Times New Roman"/>
          <w:sz w:val="17"/>
          <w:szCs w:val="17"/>
          <w:color w:val="auto"/>
        </w:rPr>
        <w:t>has been a director since July 2021 and is a member of the Nominating and Governance Committee. Ms. Hernandez is a retired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healthcare executive with over 25 years of strategic healthcare experience. Ms. Hernandez joined Baxter Healthcare Corporation (“Baxter”) in November of 2007 and has assumed a wide variety of strategic positions over her 10 years with that company. Prior to joining Baxter, Ms. Hernandez was with Hospira Inc. in Lake Forest, Illinois. Ms. Hernandez previously served on the boards of Sinai Health System in Chicago, Illinois and Lambs Farm in Libertyville, Illinois. The Board believes Ms. Hernandez should serve as a director due to her extensive experience in the medical industry.</w:t>
      </w:r>
    </w:p>
    <w:p>
      <w:pPr>
        <w:spacing w:after="0" w:line="184" w:lineRule="exact"/>
        <w:rPr>
          <w:sz w:val="20"/>
          <w:szCs w:val="20"/>
          <w:color w:val="auto"/>
        </w:rPr>
      </w:pPr>
    </w:p>
    <w:p>
      <w:pPr>
        <w:ind w:right="120" w:firstLine="619"/>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Ms. Kolleen T. Kennedy </w:t>
      </w:r>
      <w:r>
        <w:rPr>
          <w:rFonts w:ascii="Times New Roman" w:cs="Times New Roman" w:eastAsia="Times New Roman" w:hAnsi="Times New Roman"/>
          <w:sz w:val="17"/>
          <w:szCs w:val="17"/>
          <w:color w:val="auto"/>
        </w:rPr>
        <w:t>has been a director since December 2021 and recently retired as President, Proton Solutions &amp; Chief Growth Officer at Varian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Medical Systems (“Varian”) in December 2021. Ms. Kennedy joined Varian in 1997 as Marketing Manager for radiation therapy delivery systems, and assumed other strategic roles over 24 years including Executive Vice President of Varian Oncology Systems, the market leading radiation therapy business division with nearly 7,000 employees worldwide. Prior to joining Varian, Ms. Kennedy was with Siemens Medical Systems and Radiation Oncology Computer Systems in oncology product sales and marketing. Ms. Kennedy received BS degrees in Radiation Oncology and Psychology from Wayne State University as well as an MS degree in Medical Physics from the University of Colorado. Ms. Kennedy currently serves on the board of Wayne State University Foundation since 2018, served on the board of the City Cancer Challenge Foundation from 2018 to 2022, and served on the board of the Radiation Oncology Institute from 2018 to 2021. The Board believes Ms. Kennedy should serve as a director due to her relevant knowledge and history in the medical industry.</w:t>
      </w:r>
    </w:p>
    <w:p>
      <w:pPr>
        <w:spacing w:after="0" w:line="202" w:lineRule="exact"/>
        <w:rPr>
          <w:sz w:val="20"/>
          <w:szCs w:val="20"/>
          <w:color w:val="auto"/>
        </w:rPr>
      </w:pPr>
    </w:p>
    <w:p>
      <w:pPr>
        <w:ind w:right="40" w:firstLine="619"/>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Mr. William Seeger </w:t>
      </w:r>
      <w:r>
        <w:rPr>
          <w:rFonts w:ascii="Times New Roman" w:cs="Times New Roman" w:eastAsia="Times New Roman" w:hAnsi="Times New Roman"/>
          <w:sz w:val="17"/>
          <w:szCs w:val="17"/>
          <w:color w:val="auto"/>
        </w:rPr>
        <w:t>has been a director since February 2022. Mr Seeger, now retired, joined GKN plc, a global engineering group, in 2003 and was Group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Finance Director until his retirement in 2014. At GKN plc he also held the roles of CEO of the Propulsion Systems Division, and CFO of the Aerospace Division. Earlier in his career Mr. Seeger spent 30 years at TRW, a U.S.-based automotive and aerospace group, where he held various senior finance positions. Mr. Seeger currently serves on the board of Spectris plc since 2015, Smiths Group PLC since 2014 and served on the board of GKN plc from 2007 to 2014. As mentioned above, in connection with the Company's issuance of stock consideration for the acquisition of Smiths, the Company and Smiths Group entered into a Shareholder's Agreement which gives Smiths Group the right to designate one individual for election to the Board so long as Smiths Group beneficially owns at least 5% of the total outstanding shares of the Company stock. Mr. Seeger is Smiths Group’s designated director.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 Governance</w:t>
      </w:r>
    </w:p>
    <w:p>
      <w:pPr>
        <w:spacing w:after="0" w:line="22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have a Code of Business Conduct and Ethics applicable to all our directors, officers, and other employees, including our principal executive officer, principal financial officer, principal accounting officer or controller, or persons performing similar functions. A copy is available on our website, www.icumed.com in the "Investors" section. We intend to satisfy the disclosure requirement under Item 5.05 of Form 8-K regarding any future amendments to, or waiver from, a provision of our Code of Business Conduct and Ethics, as well as Nasdaq's requirement to disclose waivers with respect to directors and executive officers, by posting such information on our website at the address and location specified above.</w:t>
      </w:r>
    </w:p>
    <w:p>
      <w:pPr>
        <w:spacing w:after="0" w:line="196" w:lineRule="exact"/>
        <w:rPr>
          <w:sz w:val="20"/>
          <w:szCs w:val="20"/>
          <w:color w:val="auto"/>
        </w:rPr>
      </w:pPr>
    </w:p>
    <w:p>
      <w:pPr>
        <w:ind w:right="220" w:firstLine="619"/>
        <w:spacing w:after="0" w:line="272" w:lineRule="auto"/>
        <w:rPr>
          <w:sz w:val="20"/>
          <w:szCs w:val="20"/>
          <w:color w:val="auto"/>
        </w:rPr>
      </w:pPr>
      <w:r>
        <w:rPr>
          <w:rFonts w:ascii="Times New Roman" w:cs="Times New Roman" w:eastAsia="Times New Roman" w:hAnsi="Times New Roman"/>
          <w:sz w:val="17"/>
          <w:szCs w:val="17"/>
          <w:color w:val="auto"/>
        </w:rPr>
        <w:t xml:space="preserve">Additional information as required by this Item 10 of Form 10-K will be set forth under the captions </w:t>
      </w:r>
      <w:r>
        <w:rPr>
          <w:rFonts w:ascii="Times New Roman" w:cs="Times New Roman" w:eastAsia="Times New Roman" w:hAnsi="Times New Roman"/>
          <w:sz w:val="17"/>
          <w:szCs w:val="17"/>
          <w:i w:val="1"/>
          <w:iCs w:val="1"/>
          <w:color w:val="auto"/>
        </w:rPr>
        <w:t>Executive Officers, Election of Directors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Committee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Compliance with Section 16(a) Beneficial Ownership Reporting Compliance </w:t>
      </w:r>
      <w:r>
        <w:rPr>
          <w:rFonts w:ascii="Times New Roman" w:cs="Times New Roman" w:eastAsia="Times New Roman" w:hAnsi="Times New Roman"/>
          <w:sz w:val="17"/>
          <w:szCs w:val="17"/>
          <w:color w:val="auto"/>
        </w:rPr>
        <w:t>in our definitive Proxy Statement to be filed in connection with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Annual Meeting of Stockholders, and such information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16" w:name="page117"/>
    <w:bookmarkEnd w:id="116"/>
    <w:p>
      <w:pPr>
        <w:ind w:right="120" w:firstLine="619"/>
        <w:spacing w:after="0" w:line="272" w:lineRule="auto"/>
        <w:rPr>
          <w:sz w:val="20"/>
          <w:szCs w:val="20"/>
          <w:color w:val="auto"/>
        </w:rPr>
      </w:pPr>
      <w:r>
        <w:rPr>
          <w:rFonts w:ascii="Times New Roman" w:cs="Times New Roman" w:eastAsia="Times New Roman" w:hAnsi="Times New Roman"/>
          <w:sz w:val="17"/>
          <w:szCs w:val="17"/>
          <w:color w:val="auto"/>
        </w:rPr>
        <w:t xml:space="preserve">The information required by this Item 11 of Form 10-K will be set forth under the caption </w:t>
      </w:r>
      <w:r>
        <w:rPr>
          <w:rFonts w:ascii="Times New Roman" w:cs="Times New Roman" w:eastAsia="Times New Roman" w:hAnsi="Times New Roman"/>
          <w:sz w:val="17"/>
          <w:szCs w:val="17"/>
          <w:i w:val="1"/>
          <w:iCs w:val="1"/>
          <w:color w:val="auto"/>
        </w:rPr>
        <w:t>Executive Officer and Director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Committee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Compensation Committee Interlocks and Insider Participation </w:t>
      </w:r>
      <w:r>
        <w:rPr>
          <w:rFonts w:ascii="Times New Roman" w:cs="Times New Roman" w:eastAsia="Times New Roman" w:hAnsi="Times New Roman"/>
          <w:sz w:val="17"/>
          <w:szCs w:val="17"/>
          <w:color w:val="auto"/>
        </w:rPr>
        <w:t>in our definitive Proxy Statement to be filed in connection with our 2023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 of Stockholders, and such information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17" w:lineRule="exact"/>
        <w:rPr>
          <w:sz w:val="20"/>
          <w:szCs w:val="20"/>
          <w:color w:val="auto"/>
        </w:rPr>
      </w:pPr>
    </w:p>
    <w:p>
      <w:pPr>
        <w:ind w:right="640" w:firstLine="619"/>
        <w:spacing w:after="0" w:line="272" w:lineRule="auto"/>
        <w:rPr>
          <w:sz w:val="20"/>
          <w:szCs w:val="20"/>
          <w:color w:val="auto"/>
        </w:rPr>
      </w:pPr>
      <w:r>
        <w:rPr>
          <w:rFonts w:ascii="Times New Roman" w:cs="Times New Roman" w:eastAsia="Times New Roman" w:hAnsi="Times New Roman"/>
          <w:sz w:val="17"/>
          <w:szCs w:val="17"/>
          <w:color w:val="auto"/>
        </w:rPr>
        <w:t xml:space="preserve">The information required by this Item 12 of Form 10-K will be set forth under the caption </w:t>
      </w:r>
      <w:r>
        <w:rPr>
          <w:rFonts w:ascii="Times New Roman" w:cs="Times New Roman" w:eastAsia="Times New Roman" w:hAnsi="Times New Roman"/>
          <w:sz w:val="17"/>
          <w:szCs w:val="17"/>
          <w:i w:val="1"/>
          <w:iCs w:val="1"/>
          <w:color w:val="auto"/>
        </w:rPr>
        <w:t>Security Ownership of Certain Beneficial Owners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Management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Equity Compensation Plan Information </w:t>
      </w:r>
      <w:r>
        <w:rPr>
          <w:rFonts w:ascii="Times New Roman" w:cs="Times New Roman" w:eastAsia="Times New Roman" w:hAnsi="Times New Roman"/>
          <w:sz w:val="17"/>
          <w:szCs w:val="17"/>
          <w:color w:val="auto"/>
        </w:rPr>
        <w:t>in our definitive Proxy Statement to be filed in connection with our 2023 Annual Meeting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and such information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17" w:lineRule="exact"/>
        <w:rPr>
          <w:sz w:val="20"/>
          <w:szCs w:val="20"/>
          <w:color w:val="auto"/>
        </w:rPr>
      </w:pPr>
    </w:p>
    <w:p>
      <w:pPr>
        <w:ind w:right="200" w:firstLine="619"/>
        <w:spacing w:after="0" w:line="272" w:lineRule="auto"/>
        <w:rPr>
          <w:sz w:val="20"/>
          <w:szCs w:val="20"/>
          <w:color w:val="auto"/>
        </w:rPr>
      </w:pPr>
      <w:r>
        <w:rPr>
          <w:rFonts w:ascii="Times New Roman" w:cs="Times New Roman" w:eastAsia="Times New Roman" w:hAnsi="Times New Roman"/>
          <w:sz w:val="17"/>
          <w:szCs w:val="17"/>
          <w:color w:val="auto"/>
        </w:rPr>
        <w:t xml:space="preserve">The information required by this Item 13 of Form 10-K will be set forth under the caption </w:t>
      </w:r>
      <w:r>
        <w:rPr>
          <w:rFonts w:ascii="Times New Roman" w:cs="Times New Roman" w:eastAsia="Times New Roman" w:hAnsi="Times New Roman"/>
          <w:sz w:val="17"/>
          <w:szCs w:val="17"/>
          <w:i w:val="1"/>
          <w:iCs w:val="1"/>
          <w:color w:val="auto"/>
        </w:rPr>
        <w:t>Transactions with Related Persons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Policies and Procedures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Regarding Transactions with Related Persons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Director Independence </w:t>
      </w:r>
      <w:r>
        <w:rPr>
          <w:rFonts w:ascii="Times New Roman" w:cs="Times New Roman" w:eastAsia="Times New Roman" w:hAnsi="Times New Roman"/>
          <w:sz w:val="17"/>
          <w:szCs w:val="17"/>
          <w:color w:val="auto"/>
        </w:rPr>
        <w:t>in our definitive Proxy Statement to be filed in connection with our 2023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 of Stockholders, and such information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2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The information about aggregate fees billed to us by our principal accountant, Deloitte &amp; Touche LLP (PCAOB No. 34) as required by this Item 14 of Form 10-K will be set forth under the caption </w:t>
      </w:r>
      <w:r>
        <w:rPr>
          <w:rFonts w:ascii="Times New Roman" w:cs="Times New Roman" w:eastAsia="Times New Roman" w:hAnsi="Times New Roman"/>
          <w:sz w:val="17"/>
          <w:szCs w:val="17"/>
          <w:i w:val="1"/>
          <w:iCs w:val="1"/>
          <w:color w:val="auto"/>
        </w:rPr>
        <w:t>Ratification of Auditors</w:t>
      </w:r>
      <w:r>
        <w:rPr>
          <w:rFonts w:ascii="Times New Roman" w:cs="Times New Roman" w:eastAsia="Times New Roman" w:hAnsi="Times New Roman"/>
          <w:sz w:val="17"/>
          <w:szCs w:val="17"/>
          <w:color w:val="auto"/>
        </w:rPr>
        <w:t xml:space="preserve"> in our definitive Proxy Statement to be filed in connection with our 2023 Annual Meeting of Stockholders, and such information is incorporated herein by reference.</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0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Form 10-K Page No.</w:t>
            </w:r>
          </w:p>
        </w:tc>
        <w:tc>
          <w:tcPr>
            <w:tcW w:w="0" w:type="dxa"/>
            <w:vAlign w:val="bottom"/>
          </w:tcPr>
          <w:p>
            <w:pPr>
              <w:spacing w:after="0"/>
              <w:rPr>
                <w:sz w:val="1"/>
                <w:szCs w:val="1"/>
                <w:color w:val="auto"/>
              </w:rPr>
            </w:pPr>
          </w:p>
        </w:tc>
      </w:tr>
      <w:tr>
        <w:trPr>
          <w:trHeight w:val="22"/>
        </w:trPr>
        <w:tc>
          <w:tcPr>
            <w:tcW w:w="300" w:type="dxa"/>
            <w:vAlign w:val="bottom"/>
          </w:tcPr>
          <w:p>
            <w:pPr>
              <w:spacing w:after="0" w:line="20" w:lineRule="exact"/>
              <w:rPr>
                <w:sz w:val="1"/>
                <w:szCs w:val="1"/>
                <w:color w:val="auto"/>
              </w:rPr>
            </w:pPr>
          </w:p>
        </w:tc>
        <w:tc>
          <w:tcPr>
            <w:tcW w:w="9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The following documents are filed as part of this report:</w:t>
            </w: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95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8"/>
              </w:rPr>
              <w:t>1.</w:t>
            </w:r>
          </w:p>
        </w:tc>
        <w:tc>
          <w:tcPr>
            <w:tcW w:w="9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 Financial Statements. See Index to Consolidated Financial Statements in Part II, Item 8 of this Form 10-K.</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438"/>
        </w:trPr>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8"/>
              </w:rPr>
              <w:t>2.</w:t>
            </w:r>
          </w:p>
        </w:tc>
        <w:tc>
          <w:tcPr>
            <w:tcW w:w="9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Exhibits. The exhibits listed in the accompanying Exhibit Index are filed or incorporated by reference as part of this Form 10-K.</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hanging="480"/>
        <w:spacing w:after="0"/>
        <w:tabs>
          <w:tab w:leader="none" w:pos="5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The Financial Statement Schedules required to be filed as a part of this Report are:</w:t>
      </w:r>
    </w:p>
    <w:p>
      <w:pPr>
        <w:sectPr>
          <w:pgSz w:w="11900" w:h="16838" w:orient="portrait"/>
          <w:cols w:equalWidth="0" w:num="1">
            <w:col w:w="11200"/>
          </w:cols>
          <w:pgMar w:left="320" w:top="854" w:right="379" w:bottom="1440" w:gutter="0" w:footer="0" w:header="0"/>
        </w:sectPr>
      </w:pP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115</w:t>
      </w:r>
    </w:p>
    <w:p>
      <w:pPr>
        <w:spacing w:after="0" w:line="211" w:lineRule="exact"/>
        <w:rPr>
          <w:sz w:val="20"/>
          <w:szCs w:val="20"/>
          <w:color w:val="auto"/>
        </w:rPr>
      </w:pPr>
    </w:p>
    <w:p>
      <w:pPr>
        <w:sectPr>
          <w:pgSz w:w="11900" w:h="16838" w:orient="portrait"/>
          <w:cols w:equalWidth="0" w:num="2">
            <w:col w:w="10220" w:space="720"/>
            <w:col w:w="260"/>
          </w:cols>
          <w:pgMar w:left="320" w:top="854" w:right="37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EXHIBIT INDEX</w:t>
      </w:r>
    </w:p>
    <w:p>
      <w:pPr>
        <w:sectPr>
          <w:pgSz w:w="11900" w:h="16838" w:orient="portrait"/>
          <w:cols w:equalWidth="0" w:num="1">
            <w:col w:w="11200"/>
          </w:cols>
          <w:pgMar w:left="320" w:top="854" w:right="379" w:bottom="1440" w:gutter="0" w:footer="0" w:header="0"/>
          <w:type w:val="continuous"/>
        </w:sectPr>
      </w:pP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Number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7"/>
          <w:szCs w:val="17"/>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19685</wp:posOffset>
            </wp:positionV>
            <wp:extent cx="60579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57900" cy="825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5000" w:space="720"/>
            <w:col w:w="5480"/>
          </w:cols>
          <w:pgMar w:left="320" w:top="854" w:right="379" w:bottom="1440" w:gutter="0" w:footer="0" w:header="0"/>
          <w:type w:val="continuous"/>
        </w:sectPr>
      </w:pPr>
    </w:p>
    <w:p>
      <w:pPr>
        <w:jc w:val="right"/>
        <w:ind w:left="1020" w:right="180"/>
        <w:spacing w:after="0" w:line="224" w:lineRule="auto"/>
        <w:rPr>
          <w:rFonts w:ascii="Times New Roman" w:cs="Times New Roman" w:eastAsia="Times New Roman" w:hAnsi="Times New Roman"/>
          <w:sz w:val="17"/>
          <w:szCs w:val="17"/>
          <w:color w:val="auto"/>
        </w:rPr>
      </w:pPr>
      <w:hyperlink r:id="rId141">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Share Sale and Purchase Agreement, dated September 8, 2021, by and between Smiths Group International Holdings Limited, a private limited company incorporated in England and Wales, and ICU Medical, Inc., a Delaware corporation. Filed as an Exhibit to Registrant's</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Current Report on Form 8-K filed September 8, 2021.</w:t>
      </w:r>
    </w:p>
    <w:p>
      <w:pPr>
        <w:spacing w:after="0" w:line="96" w:lineRule="exact"/>
        <w:rPr>
          <w:sz w:val="20"/>
          <w:szCs w:val="20"/>
          <w:color w:val="auto"/>
        </w:rPr>
      </w:pPr>
    </w:p>
    <w:p>
      <w:pPr>
        <w:ind w:left="1680" w:right="280" w:hanging="661"/>
        <w:spacing w:after="0" w:line="239" w:lineRule="auto"/>
        <w:tabs>
          <w:tab w:leader="none" w:pos="1660" w:val="left"/>
        </w:tabs>
        <w:rPr>
          <w:rFonts w:ascii="Times New Roman" w:cs="Times New Roman" w:eastAsia="Times New Roman" w:hAnsi="Times New Roman"/>
          <w:sz w:val="17"/>
          <w:szCs w:val="17"/>
          <w:color w:val="auto"/>
        </w:rPr>
      </w:pPr>
      <w:hyperlink r:id="rId142">
        <w:r>
          <w:rPr>
            <w:rFonts w:ascii="Times New Roman" w:cs="Times New Roman" w:eastAsia="Times New Roman" w:hAnsi="Times New Roman"/>
            <w:sz w:val="17"/>
            <w:szCs w:val="17"/>
            <w:u w:val="single" w:color="auto"/>
            <w:color w:val="auto"/>
          </w:rPr>
          <w:t>2.2</w:t>
        </w:r>
      </w:hyperlink>
      <w:r>
        <w:rPr>
          <w:rFonts w:ascii="Times New Roman" w:cs="Times New Roman" w:eastAsia="Times New Roman" w:hAnsi="Times New Roman"/>
          <w:sz w:val="17"/>
          <w:szCs w:val="17"/>
          <w:color w:val="auto"/>
        </w:rPr>
        <w:tab/>
        <w:t>Put Option Deed from ICU Medical, Inc., a Delaware corporation to Smiths Group International Holdings Limited, a private limited company incorporated in England and Wales. Filed as an Exhibit to Registrant's Current Report on Form 8-K filed September 8, 2021.</w:t>
      </w:r>
    </w:p>
    <w:p>
      <w:pPr>
        <w:spacing w:after="0" w:line="101" w:lineRule="exact"/>
        <w:rPr>
          <w:sz w:val="20"/>
          <w:szCs w:val="20"/>
          <w:color w:val="auto"/>
        </w:rPr>
      </w:pPr>
    </w:p>
    <w:p>
      <w:pPr>
        <w:ind w:left="1680" w:right="60" w:hanging="661"/>
        <w:spacing w:after="0" w:line="239" w:lineRule="auto"/>
        <w:tabs>
          <w:tab w:leader="none" w:pos="1660" w:val="left"/>
        </w:tabs>
        <w:rPr>
          <w:rFonts w:ascii="Times New Roman" w:cs="Times New Roman" w:eastAsia="Times New Roman" w:hAnsi="Times New Roman"/>
          <w:sz w:val="17"/>
          <w:szCs w:val="17"/>
          <w:color w:val="auto"/>
        </w:rPr>
      </w:pPr>
      <w:hyperlink r:id="rId143">
        <w:r>
          <w:rPr>
            <w:rFonts w:ascii="Times New Roman" w:cs="Times New Roman" w:eastAsia="Times New Roman" w:hAnsi="Times New Roman"/>
            <w:sz w:val="17"/>
            <w:szCs w:val="17"/>
            <w:u w:val="single" w:color="auto"/>
            <w:color w:val="auto"/>
          </w:rPr>
          <w:t>3.1</w:t>
        </w:r>
      </w:hyperlink>
      <w:r>
        <w:rPr>
          <w:rFonts w:ascii="Times New Roman" w:cs="Times New Roman" w:eastAsia="Times New Roman" w:hAnsi="Times New Roman"/>
          <w:sz w:val="17"/>
          <w:szCs w:val="17"/>
          <w:color w:val="auto"/>
        </w:rPr>
        <w:tab/>
        <w:t>Registrant's Certificate of Incorporation, as amended and restated. Filed as an exhibit to Registrant's Current Report on Form 8-K filed on June 10, 2014.</w:t>
      </w:r>
    </w:p>
    <w:p>
      <w:pPr>
        <w:spacing w:after="0" w:line="101" w:lineRule="exact"/>
        <w:rPr>
          <w:sz w:val="20"/>
          <w:szCs w:val="20"/>
          <w:color w:val="auto"/>
        </w:rPr>
      </w:pPr>
    </w:p>
    <w:p>
      <w:pPr>
        <w:ind w:left="1020"/>
        <w:spacing w:after="0"/>
        <w:tabs>
          <w:tab w:leader="none" w:pos="1660" w:val="left"/>
        </w:tabs>
        <w:rPr>
          <w:rFonts w:ascii="Times New Roman" w:cs="Times New Roman" w:eastAsia="Times New Roman" w:hAnsi="Times New Roman"/>
          <w:sz w:val="17"/>
          <w:szCs w:val="17"/>
          <w:color w:val="auto"/>
        </w:rPr>
      </w:pPr>
      <w:hyperlink r:id="rId144">
        <w:r>
          <w:rPr>
            <w:rFonts w:ascii="Times New Roman" w:cs="Times New Roman" w:eastAsia="Times New Roman" w:hAnsi="Times New Roman"/>
            <w:sz w:val="17"/>
            <w:szCs w:val="17"/>
            <w:u w:val="single" w:color="auto"/>
            <w:color w:val="auto"/>
          </w:rPr>
          <w:t>3.2</w:t>
        </w:r>
      </w:hyperlink>
      <w:r>
        <w:rPr>
          <w:rFonts w:ascii="Times New Roman" w:cs="Times New Roman" w:eastAsia="Times New Roman" w:hAnsi="Times New Roman"/>
          <w:sz w:val="17"/>
          <w:szCs w:val="17"/>
          <w:color w:val="auto"/>
        </w:rPr>
        <w:tab/>
        <w:t>Registrant's Bylaws, as amended and restated. Filed as an Exhibit to Registrant's Current Report on Form 8-K filed August 3, 2016.</w:t>
      </w:r>
    </w:p>
    <w:p>
      <w:pPr>
        <w:spacing w:after="0" w:line="233" w:lineRule="exact"/>
        <w:rPr>
          <w:sz w:val="20"/>
          <w:szCs w:val="20"/>
          <w:color w:val="auto"/>
        </w:rPr>
      </w:pPr>
    </w:p>
    <w:p>
      <w:pPr>
        <w:ind w:left="1020"/>
        <w:spacing w:after="0"/>
        <w:tabs>
          <w:tab w:leader="none" w:pos="1660" w:val="left"/>
        </w:tabs>
        <w:rPr>
          <w:rFonts w:ascii="Times New Roman" w:cs="Times New Roman" w:eastAsia="Times New Roman" w:hAnsi="Times New Roman"/>
          <w:sz w:val="17"/>
          <w:szCs w:val="17"/>
          <w:color w:val="auto"/>
        </w:rPr>
      </w:pPr>
      <w:hyperlink r:id="rId145">
        <w:r>
          <w:rPr>
            <w:rFonts w:ascii="Times New Roman" w:cs="Times New Roman" w:eastAsia="Times New Roman" w:hAnsi="Times New Roman"/>
            <w:sz w:val="17"/>
            <w:szCs w:val="17"/>
            <w:u w:val="single" w:color="auto"/>
            <w:color w:val="auto"/>
          </w:rPr>
          <w:t>4.1</w:t>
        </w:r>
      </w:hyperlink>
      <w:r>
        <w:rPr>
          <w:rFonts w:ascii="Times New Roman" w:cs="Times New Roman" w:eastAsia="Times New Roman" w:hAnsi="Times New Roman"/>
          <w:sz w:val="17"/>
          <w:szCs w:val="17"/>
          <w:color w:val="auto"/>
        </w:rPr>
        <w:tab/>
        <w:t>Description of Securities Registered Under Section 12 of the Exchange Act. Filed as an Exhibit to Registrant's Annual Report on Form</w:t>
      </w:r>
    </w:p>
    <w:p>
      <w:pPr>
        <w:ind w:left="1680"/>
        <w:spacing w:after="0"/>
        <w:rPr>
          <w:sz w:val="20"/>
          <w:szCs w:val="20"/>
          <w:color w:val="auto"/>
        </w:rPr>
      </w:pPr>
      <w:r>
        <w:rPr>
          <w:rFonts w:ascii="Times New Roman" w:cs="Times New Roman" w:eastAsia="Times New Roman" w:hAnsi="Times New Roman"/>
          <w:sz w:val="17"/>
          <w:szCs w:val="17"/>
          <w:color w:val="auto"/>
        </w:rPr>
        <w:t>10-K for the year ended December 31, 2019, filed March 2, 3020.</w:t>
      </w:r>
    </w:p>
    <w:p>
      <w:pPr>
        <w:spacing w:after="0" w:line="109" w:lineRule="exact"/>
        <w:rPr>
          <w:sz w:val="20"/>
          <w:szCs w:val="20"/>
          <w:color w:val="auto"/>
        </w:rPr>
      </w:pPr>
    </w:p>
    <w:p>
      <w:pPr>
        <w:ind w:left="1680" w:right="520" w:hanging="746"/>
        <w:spacing w:after="0" w:line="239" w:lineRule="auto"/>
        <w:tabs>
          <w:tab w:leader="none" w:pos="1660" w:val="left"/>
        </w:tabs>
        <w:rPr>
          <w:rFonts w:ascii="Times New Roman" w:cs="Times New Roman" w:eastAsia="Times New Roman" w:hAnsi="Times New Roman"/>
          <w:sz w:val="17"/>
          <w:szCs w:val="17"/>
          <w:color w:val="auto"/>
        </w:rPr>
      </w:pPr>
      <w:hyperlink r:id="rId146">
        <w:r>
          <w:rPr>
            <w:rFonts w:ascii="Times New Roman" w:cs="Times New Roman" w:eastAsia="Times New Roman" w:hAnsi="Times New Roman"/>
            <w:sz w:val="17"/>
            <w:szCs w:val="17"/>
            <w:u w:val="single" w:color="auto"/>
            <w:color w:val="auto"/>
          </w:rPr>
          <w:t>10.1</w:t>
        </w:r>
      </w:hyperlink>
      <w:r>
        <w:rPr>
          <w:rFonts w:ascii="Times New Roman" w:cs="Times New Roman" w:eastAsia="Times New Roman" w:hAnsi="Times New Roman"/>
          <w:sz w:val="17"/>
          <w:szCs w:val="17"/>
          <w:color w:val="auto"/>
        </w:rPr>
        <w:tab/>
        <w:t>Form of Indemnification Agreement with Directors and Executive Officers. Filed as an Exhibit to Registrant's Quarterly Report on Form 10-Q for the Quarter ended September 30, 2010, filed October 22, 2010 (File No. 001-34634).</w:t>
      </w: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Registrant's 2002 Employee Stock Purchase Plan.* Filed as an Exhibit to Registrant's definitive Proxy Statement filed pursuant to</w:t>
      </w:r>
    </w:p>
    <w:p>
      <w:pPr>
        <w:ind w:left="940"/>
        <w:spacing w:after="0"/>
        <w:tabs>
          <w:tab w:leader="none" w:pos="1660" w:val="left"/>
        </w:tabs>
        <w:rPr>
          <w:rFonts w:ascii="Times New Roman" w:cs="Times New Roman" w:eastAsia="Times New Roman" w:hAnsi="Times New Roman"/>
          <w:sz w:val="17"/>
          <w:szCs w:val="17"/>
          <w:color w:val="auto"/>
        </w:rPr>
      </w:pPr>
      <w:hyperlink r:id="rId147">
        <w:r>
          <w:rPr>
            <w:rFonts w:ascii="Times New Roman" w:cs="Times New Roman" w:eastAsia="Times New Roman" w:hAnsi="Times New Roman"/>
            <w:sz w:val="17"/>
            <w:szCs w:val="17"/>
            <w:u w:val="single" w:color="auto"/>
            <w:color w:val="auto"/>
          </w:rPr>
          <w:t>10.</w:t>
        </w:r>
      </w:hyperlink>
      <w:r>
        <w:rPr>
          <w:rFonts w:ascii="Times New Roman" w:cs="Times New Roman" w:eastAsia="Times New Roman" w:hAnsi="Times New Roman"/>
          <w:sz w:val="17"/>
          <w:szCs w:val="17"/>
          <w:color w:val="auto"/>
        </w:rPr>
        <w:t>2</w:t>
        <w:tab/>
        <w:t>Regulation 14A on April 3, 2002 (File No. 000-19974).</w:t>
      </w:r>
    </w:p>
    <w:p>
      <w:pPr>
        <w:spacing w:after="0" w:line="238" w:lineRule="exact"/>
        <w:rPr>
          <w:sz w:val="20"/>
          <w:szCs w:val="20"/>
          <w:color w:val="auto"/>
        </w:rPr>
      </w:pPr>
    </w:p>
    <w:p>
      <w:pPr>
        <w:ind w:left="940"/>
        <w:spacing w:after="0"/>
        <w:tabs>
          <w:tab w:leader="none" w:pos="1660" w:val="left"/>
        </w:tabs>
        <w:rPr>
          <w:sz w:val="20"/>
          <w:szCs w:val="20"/>
          <w:color w:val="auto"/>
        </w:rPr>
      </w:pP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3</w:t>
      </w:r>
      <w:r>
        <w:rPr>
          <w:sz w:val="20"/>
          <w:szCs w:val="20"/>
          <w:color w:val="auto"/>
        </w:rPr>
        <w:tab/>
      </w:r>
      <w:r>
        <w:rPr>
          <w:rFonts w:ascii="Times New Roman" w:cs="Times New Roman" w:eastAsia="Times New Roman" w:hAnsi="Times New Roman"/>
          <w:sz w:val="17"/>
          <w:szCs w:val="17"/>
          <w:color w:val="auto"/>
        </w:rPr>
        <w:t>Executive officer compensation*</w:t>
      </w:r>
    </w:p>
    <w:p>
      <w:pPr>
        <w:spacing w:after="0" w:line="243" w:lineRule="exact"/>
        <w:rPr>
          <w:sz w:val="20"/>
          <w:szCs w:val="20"/>
          <w:color w:val="auto"/>
        </w:rPr>
      </w:pPr>
    </w:p>
    <w:p>
      <w:pPr>
        <w:ind w:left="940"/>
        <w:spacing w:after="0"/>
        <w:tabs>
          <w:tab w:leader="none" w:pos="1660" w:val="left"/>
        </w:tabs>
        <w:rPr>
          <w:sz w:val="20"/>
          <w:szCs w:val="20"/>
          <w:color w:val="auto"/>
        </w:rPr>
      </w:pP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4</w:t>
      </w:r>
      <w:r>
        <w:rPr>
          <w:sz w:val="20"/>
          <w:szCs w:val="20"/>
          <w:color w:val="auto"/>
        </w:rPr>
        <w:tab/>
      </w:r>
      <w:r>
        <w:rPr>
          <w:rFonts w:ascii="Times New Roman" w:cs="Times New Roman" w:eastAsia="Times New Roman" w:hAnsi="Times New Roman"/>
          <w:sz w:val="17"/>
          <w:szCs w:val="17"/>
          <w:color w:val="auto"/>
        </w:rPr>
        <w:t>Non-employee director compensation*</w:t>
      </w:r>
    </w:p>
    <w:p>
      <w:pPr>
        <w:spacing w:after="0" w:line="104" w:lineRule="exact"/>
        <w:rPr>
          <w:sz w:val="20"/>
          <w:szCs w:val="20"/>
          <w:color w:val="auto"/>
        </w:rPr>
      </w:pPr>
    </w:p>
    <w:p>
      <w:pPr>
        <w:ind w:left="940"/>
        <w:spacing w:after="0"/>
        <w:tabs>
          <w:tab w:leader="none" w:pos="1660" w:val="left"/>
        </w:tabs>
        <w:rPr>
          <w:rFonts w:ascii="Times New Roman" w:cs="Times New Roman" w:eastAsia="Times New Roman" w:hAnsi="Times New Roman"/>
          <w:sz w:val="17"/>
          <w:szCs w:val="17"/>
          <w:color w:val="auto"/>
        </w:rPr>
      </w:pPr>
      <w:hyperlink r:id="rId148">
        <w:r>
          <w:rPr>
            <w:rFonts w:ascii="Times New Roman" w:cs="Times New Roman" w:eastAsia="Times New Roman" w:hAnsi="Times New Roman"/>
            <w:sz w:val="17"/>
            <w:szCs w:val="17"/>
            <w:u w:val="single" w:color="auto"/>
            <w:color w:val="auto"/>
          </w:rPr>
          <w:t>10.</w:t>
        </w:r>
      </w:hyperlink>
      <w:r>
        <w:rPr>
          <w:rFonts w:ascii="Times New Roman" w:cs="Times New Roman" w:eastAsia="Times New Roman" w:hAnsi="Times New Roman"/>
          <w:sz w:val="17"/>
          <w:szCs w:val="17"/>
          <w:color w:val="auto"/>
        </w:rPr>
        <w:t>5</w:t>
        <w:tab/>
        <w:t>2008 Performance-Based Incentive Plan, as amended.* Filed as Annex A to Registrant's proxy statement filed April 3, 2013 (File No.</w:t>
      </w:r>
    </w:p>
    <w:p>
      <w:pPr>
        <w:ind w:left="1680"/>
        <w:spacing w:after="0"/>
        <w:rPr>
          <w:sz w:val="20"/>
          <w:szCs w:val="20"/>
          <w:color w:val="auto"/>
        </w:rPr>
      </w:pPr>
      <w:r>
        <w:rPr>
          <w:rFonts w:ascii="Times New Roman" w:cs="Times New Roman" w:eastAsia="Times New Roman" w:hAnsi="Times New Roman"/>
          <w:sz w:val="17"/>
          <w:szCs w:val="17"/>
          <w:color w:val="auto"/>
        </w:rPr>
        <w:t>001-34634).</w:t>
      </w:r>
    </w:p>
    <w:p>
      <w:pPr>
        <w:spacing w:after="0" w:line="238" w:lineRule="exact"/>
        <w:rPr>
          <w:sz w:val="20"/>
          <w:szCs w:val="20"/>
          <w:color w:val="auto"/>
        </w:rPr>
      </w:pPr>
    </w:p>
    <w:p>
      <w:pPr>
        <w:ind w:left="940"/>
        <w:spacing w:after="0"/>
        <w:tabs>
          <w:tab w:leader="none" w:pos="1660" w:val="left"/>
        </w:tabs>
        <w:rPr>
          <w:sz w:val="20"/>
          <w:szCs w:val="20"/>
          <w:color w:val="auto"/>
        </w:rPr>
      </w:pP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6</w:t>
      </w:r>
      <w:r>
        <w:rPr>
          <w:sz w:val="20"/>
          <w:szCs w:val="20"/>
          <w:color w:val="auto"/>
        </w:rPr>
        <w:tab/>
      </w:r>
      <w:r>
        <w:rPr>
          <w:rFonts w:ascii="Times New Roman" w:cs="Times New Roman" w:eastAsia="Times New Roman" w:hAnsi="Times New Roman"/>
          <w:sz w:val="17"/>
          <w:szCs w:val="17"/>
          <w:color w:val="auto"/>
        </w:rPr>
        <w:t>Amended and Restated ICU Medical, Inc. 2011 Stock Incentive Plan.*</w:t>
      </w:r>
    </w:p>
    <w:p>
      <w:pPr>
        <w:spacing w:after="0" w:line="256" w:lineRule="exact"/>
        <w:rPr>
          <w:sz w:val="20"/>
          <w:szCs w:val="20"/>
          <w:color w:val="auto"/>
        </w:rPr>
      </w:pPr>
    </w:p>
    <w:p>
      <w:pPr>
        <w:ind w:left="1680" w:right="440" w:hanging="746"/>
        <w:spacing w:after="0" w:line="239" w:lineRule="auto"/>
        <w:tabs>
          <w:tab w:leader="none" w:pos="1660" w:val="left"/>
        </w:tabs>
        <w:rPr>
          <w:rFonts w:ascii="Times New Roman" w:cs="Times New Roman" w:eastAsia="Times New Roman" w:hAnsi="Times New Roman"/>
          <w:sz w:val="17"/>
          <w:szCs w:val="17"/>
          <w:color w:val="auto"/>
        </w:rPr>
      </w:pPr>
      <w:hyperlink r:id="rId149">
        <w:r>
          <w:rPr>
            <w:rFonts w:ascii="Times New Roman" w:cs="Times New Roman" w:eastAsia="Times New Roman" w:hAnsi="Times New Roman"/>
            <w:sz w:val="17"/>
            <w:szCs w:val="17"/>
            <w:u w:val="single" w:color="auto"/>
            <w:color w:val="auto"/>
          </w:rPr>
          <w:t>10.</w:t>
        </w:r>
      </w:hyperlink>
      <w:r>
        <w:rPr>
          <w:rFonts w:ascii="Times New Roman" w:cs="Times New Roman" w:eastAsia="Times New Roman" w:hAnsi="Times New Roman"/>
          <w:sz w:val="17"/>
          <w:szCs w:val="17"/>
          <w:color w:val="auto"/>
        </w:rPr>
        <w:t>7</w:t>
        <w:tab/>
        <w:t>First Amendment to ICU Medical, Inc. Amended and Restated 2011 Stock Incentive Plan. Filed as an exhibit to Registrant's Annual Report on Form 10-K for the year ended December 31, 2019, filed March 2, 2020 (File No.001-34634).</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type w:val="continuous"/>
        </w:sectPr>
      </w:pPr>
    </w:p>
    <w:bookmarkStart w:id="118" w:name="page119"/>
    <w:bookmarkEnd w:id="118"/>
    <w:p>
      <w:pPr>
        <w:ind w:left="1680" w:right="420" w:hanging="746"/>
        <w:spacing w:after="0" w:line="239" w:lineRule="auto"/>
        <w:tabs>
          <w:tab w:leader="none" w:pos="1660" w:val="left"/>
        </w:tabs>
        <w:rPr>
          <w:rFonts w:ascii="Times New Roman" w:cs="Times New Roman" w:eastAsia="Times New Roman" w:hAnsi="Times New Roman"/>
          <w:sz w:val="17"/>
          <w:szCs w:val="17"/>
          <w:color w:val="auto"/>
        </w:rPr>
      </w:pPr>
      <w:hyperlink r:id="rId151">
        <w:r>
          <w:rPr>
            <w:rFonts w:ascii="Times New Roman" w:cs="Times New Roman" w:eastAsia="Times New Roman" w:hAnsi="Times New Roman"/>
            <w:sz w:val="17"/>
            <w:szCs w:val="17"/>
            <w:u w:val="single" w:color="auto"/>
            <w:color w:val="auto"/>
          </w:rPr>
          <w:t>10</w:t>
        </w:r>
      </w:hyperlink>
      <w:r>
        <w:rPr>
          <w:rFonts w:ascii="Times New Roman" w:cs="Times New Roman" w:eastAsia="Times New Roman" w:hAnsi="Times New Roman"/>
          <w:sz w:val="17"/>
          <w:szCs w:val="17"/>
          <w:color w:val="auto"/>
        </w:rPr>
        <w:t>.8</w:t>
        <w:tab/>
        <w:t>Amended and Restated Executive Employment Agreement, dated as of April 15, 2022, by and between ICU Medical, Inc. and Vivek Jain.* Filed as an Exhibit to Registrant's Current Report on Form 8-K filed April 20, 2022.</w:t>
      </w:r>
    </w:p>
    <w:p>
      <w:pPr>
        <w:spacing w:after="0" w:line="101" w:lineRule="exact"/>
        <w:rPr>
          <w:sz w:val="20"/>
          <w:szCs w:val="20"/>
          <w:color w:val="auto"/>
        </w:rPr>
      </w:pPr>
    </w:p>
    <w:p>
      <w:pPr>
        <w:ind w:left="1680" w:right="220" w:hanging="746"/>
        <w:spacing w:after="0" w:line="239" w:lineRule="auto"/>
        <w:tabs>
          <w:tab w:leader="none" w:pos="1660" w:val="left"/>
        </w:tabs>
        <w:rPr>
          <w:rFonts w:ascii="Times New Roman" w:cs="Times New Roman" w:eastAsia="Times New Roman" w:hAnsi="Times New Roman"/>
          <w:sz w:val="17"/>
          <w:szCs w:val="17"/>
          <w:color w:val="auto"/>
        </w:rPr>
      </w:pPr>
      <w:hyperlink r:id="rId152">
        <w:r>
          <w:rPr>
            <w:rFonts w:ascii="Times New Roman" w:cs="Times New Roman" w:eastAsia="Times New Roman" w:hAnsi="Times New Roman"/>
            <w:sz w:val="17"/>
            <w:szCs w:val="17"/>
            <w:u w:val="single" w:color="auto"/>
            <w:color w:val="auto"/>
          </w:rPr>
          <w:t>10.</w:t>
        </w:r>
      </w:hyperlink>
      <w:r>
        <w:rPr>
          <w:rFonts w:ascii="Times New Roman" w:cs="Times New Roman" w:eastAsia="Times New Roman" w:hAnsi="Times New Roman"/>
          <w:sz w:val="17"/>
          <w:szCs w:val="17"/>
          <w:color w:val="auto"/>
        </w:rPr>
        <w:t>9</w:t>
        <w:tab/>
        <w:t>Letter agreement between the Registrant and Alison Burcar, effective April 1, 2019. Filed as an Exhibit to Registrant's Quarterly Report on Form 10-Q for the Quarter ended March 31, 2019.</w:t>
      </w:r>
    </w:p>
    <w:p>
      <w:pPr>
        <w:spacing w:after="0" w:line="101" w:lineRule="exact"/>
        <w:rPr>
          <w:sz w:val="20"/>
          <w:szCs w:val="20"/>
          <w:color w:val="auto"/>
        </w:rPr>
      </w:pPr>
    </w:p>
    <w:p>
      <w:pPr>
        <w:ind w:left="860"/>
        <w:spacing w:after="0"/>
        <w:tabs>
          <w:tab w:leader="none" w:pos="1660" w:val="left"/>
        </w:tabs>
        <w:rPr>
          <w:rFonts w:ascii="Times New Roman" w:cs="Times New Roman" w:eastAsia="Times New Roman" w:hAnsi="Times New Roman"/>
          <w:sz w:val="17"/>
          <w:szCs w:val="17"/>
          <w:color w:val="auto"/>
        </w:rPr>
      </w:pPr>
      <w:hyperlink r:id="rId153">
        <w:r>
          <w:rPr>
            <w:rFonts w:ascii="Times New Roman" w:cs="Times New Roman" w:eastAsia="Times New Roman" w:hAnsi="Times New Roman"/>
            <w:sz w:val="17"/>
            <w:szCs w:val="17"/>
            <w:u w:val="single" w:color="auto"/>
            <w:color w:val="auto"/>
          </w:rPr>
          <w:t>10.</w:t>
        </w:r>
      </w:hyperlink>
      <w:r>
        <w:rPr>
          <w:rFonts w:ascii="Times New Roman" w:cs="Times New Roman" w:eastAsia="Times New Roman" w:hAnsi="Times New Roman"/>
          <w:sz w:val="17"/>
          <w:szCs w:val="17"/>
          <w:color w:val="auto"/>
        </w:rPr>
        <w:t>10</w:t>
        <w:tab/>
        <w:t>ICU Medical, Inc. Executive Severance Plan.* Filed as an Exhibit to Registrant’s Current Report on Form 8-K filed January 6, 2017.</w:t>
      </w:r>
    </w:p>
    <w:p>
      <w:pPr>
        <w:spacing w:after="0" w:line="114" w:lineRule="exact"/>
        <w:rPr>
          <w:sz w:val="20"/>
          <w:szCs w:val="20"/>
          <w:color w:val="auto"/>
        </w:rPr>
      </w:pPr>
    </w:p>
    <w:p>
      <w:pPr>
        <w:ind w:left="1680" w:right="300" w:hanging="832"/>
        <w:spacing w:after="0" w:line="239" w:lineRule="auto"/>
        <w:tabs>
          <w:tab w:leader="none" w:pos="1660" w:val="left"/>
        </w:tabs>
        <w:rPr>
          <w:rFonts w:ascii="Times New Roman" w:cs="Times New Roman" w:eastAsia="Times New Roman" w:hAnsi="Times New Roman"/>
          <w:sz w:val="17"/>
          <w:szCs w:val="17"/>
          <w:color w:val="auto"/>
        </w:rPr>
      </w:pPr>
      <w:hyperlink r:id="rId154">
        <w:r>
          <w:rPr>
            <w:rFonts w:ascii="Times New Roman" w:cs="Times New Roman" w:eastAsia="Times New Roman" w:hAnsi="Times New Roman"/>
            <w:sz w:val="17"/>
            <w:szCs w:val="17"/>
            <w:u w:val="single" w:color="auto"/>
            <w:color w:val="auto"/>
          </w:rPr>
          <w:t>10.1</w:t>
        </w:r>
      </w:hyperlink>
      <w:r>
        <w:rPr>
          <w:rFonts w:ascii="Times New Roman" w:cs="Times New Roman" w:eastAsia="Times New Roman" w:hAnsi="Times New Roman"/>
          <w:sz w:val="17"/>
          <w:szCs w:val="17"/>
          <w:color w:val="auto"/>
        </w:rPr>
        <w:t>1</w:t>
        <w:tab/>
        <w:t>First Amendment to the ICU Medical, Inc. Executive Severance Plan. *Filed as an Exhibit to Registrant's Current Report on Form 8-K filed January 6, 2020.</w:t>
      </w:r>
    </w:p>
    <w:p>
      <w:pPr>
        <w:spacing w:after="0" w:line="101" w:lineRule="exact"/>
        <w:rPr>
          <w:sz w:val="20"/>
          <w:szCs w:val="20"/>
          <w:color w:val="auto"/>
        </w:rPr>
      </w:pPr>
    </w:p>
    <w:p>
      <w:pPr>
        <w:ind w:left="1680" w:right="100" w:hanging="832"/>
        <w:spacing w:after="0" w:line="239" w:lineRule="auto"/>
        <w:tabs>
          <w:tab w:leader="none" w:pos="1660" w:val="left"/>
        </w:tabs>
        <w:rPr>
          <w:rFonts w:ascii="Times New Roman" w:cs="Times New Roman" w:eastAsia="Times New Roman" w:hAnsi="Times New Roman"/>
          <w:sz w:val="17"/>
          <w:szCs w:val="17"/>
          <w:color w:val="auto"/>
        </w:rPr>
      </w:pPr>
      <w:hyperlink r:id="rId155">
        <w:r>
          <w:rPr>
            <w:rFonts w:ascii="Times New Roman" w:cs="Times New Roman" w:eastAsia="Times New Roman" w:hAnsi="Times New Roman"/>
            <w:sz w:val="17"/>
            <w:szCs w:val="17"/>
            <w:u w:val="single" w:color="auto"/>
            <w:color w:val="auto"/>
          </w:rPr>
          <w:t>10.1</w:t>
        </w:r>
      </w:hyperlink>
      <w:r>
        <w:rPr>
          <w:rFonts w:ascii="Times New Roman" w:cs="Times New Roman" w:eastAsia="Times New Roman" w:hAnsi="Times New Roman"/>
          <w:sz w:val="17"/>
          <w:szCs w:val="17"/>
          <w:color w:val="auto"/>
        </w:rPr>
        <w:t>2</w:t>
        <w:tab/>
        <w:t>Second Amendment to the ICU Medical, Inc. Executive Severance Plan. *Filed as an Exhibit to Registrant's Current Report on Form 8-K filed January 3, 2023.</w:t>
      </w:r>
    </w:p>
    <w:p>
      <w:pPr>
        <w:spacing w:after="0" w:line="101" w:lineRule="exact"/>
        <w:rPr>
          <w:sz w:val="20"/>
          <w:szCs w:val="20"/>
          <w:color w:val="auto"/>
        </w:rPr>
      </w:pPr>
    </w:p>
    <w:p>
      <w:pPr>
        <w:ind w:left="1680" w:right="80" w:hanging="832"/>
        <w:spacing w:after="0" w:line="218" w:lineRule="auto"/>
        <w:tabs>
          <w:tab w:leader="none" w:pos="1660" w:val="left"/>
        </w:tabs>
        <w:rPr>
          <w:rFonts w:ascii="Times New Roman" w:cs="Times New Roman" w:eastAsia="Times New Roman" w:hAnsi="Times New Roman"/>
          <w:sz w:val="17"/>
          <w:szCs w:val="17"/>
          <w:color w:val="auto"/>
        </w:rPr>
      </w:pPr>
      <w:hyperlink r:id="rId156">
        <w:r>
          <w:rPr>
            <w:rFonts w:ascii="Times New Roman" w:cs="Times New Roman" w:eastAsia="Times New Roman" w:hAnsi="Times New Roman"/>
            <w:sz w:val="17"/>
            <w:szCs w:val="17"/>
            <w:u w:val="single" w:color="auto"/>
            <w:color w:val="auto"/>
          </w:rPr>
          <w:t>10.</w:t>
        </w:r>
      </w:hyperlink>
      <w:r>
        <w:rPr>
          <w:rFonts w:ascii="Times New Roman" w:cs="Times New Roman" w:eastAsia="Times New Roman" w:hAnsi="Times New Roman"/>
          <w:sz w:val="17"/>
          <w:szCs w:val="17"/>
          <w:color w:val="auto"/>
        </w:rPr>
        <w:t>13</w:t>
        <w:tab/>
        <w:t>Credit Agreement, dated as of January 6, 2022, by and among ICU Medical, Inc. as Borrower, certain subsidiaries as guarantors, Wells Fargo Bank, National Association, as Administrative Agent, Wells Fargo Securities, LLC and Barclays Bank PLC as joint bookrunners and joint lead arrangers and the other joint bookrunners and joint lead arrangers listed therein.# Filed as an Exhibit to Registrant's Current</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Report on Form 8-K filed January 7, 2022.</w:t>
      </w:r>
    </w:p>
    <w:p>
      <w:pPr>
        <w:spacing w:after="0" w:line="57" w:lineRule="exact"/>
        <w:rPr>
          <w:sz w:val="20"/>
          <w:szCs w:val="20"/>
          <w:color w:val="auto"/>
        </w:rPr>
      </w:pPr>
    </w:p>
    <w:p>
      <w:pPr>
        <w:ind w:left="1680" w:right="540" w:hanging="832"/>
        <w:spacing w:after="0" w:line="239" w:lineRule="auto"/>
        <w:tabs>
          <w:tab w:leader="none" w:pos="1660" w:val="left"/>
        </w:tabs>
        <w:rPr>
          <w:rFonts w:ascii="Times New Roman" w:cs="Times New Roman" w:eastAsia="Times New Roman" w:hAnsi="Times New Roman"/>
          <w:sz w:val="17"/>
          <w:szCs w:val="17"/>
          <w:color w:val="auto"/>
        </w:rPr>
      </w:pPr>
      <w:hyperlink r:id="rId157">
        <w:r>
          <w:rPr>
            <w:rFonts w:ascii="Times New Roman" w:cs="Times New Roman" w:eastAsia="Times New Roman" w:hAnsi="Times New Roman"/>
            <w:sz w:val="17"/>
            <w:szCs w:val="17"/>
            <w:u w:val="single" w:color="auto"/>
            <w:color w:val="auto"/>
          </w:rPr>
          <w:t>10</w:t>
        </w:r>
      </w:hyperlink>
      <w:r>
        <w:rPr>
          <w:rFonts w:ascii="Times New Roman" w:cs="Times New Roman" w:eastAsia="Times New Roman" w:hAnsi="Times New Roman"/>
          <w:sz w:val="17"/>
          <w:szCs w:val="17"/>
          <w:color w:val="auto"/>
        </w:rPr>
        <w:t>.14</w:t>
        <w:tab/>
        <w:t>Shareholders Agreement, dated as of January 6, 2022, by and between ICU Medical, Inc. and Smiths Group International Holdings Limited. Filed as an Exhibit to Registrant's Current Report on Form 8-K filed January 7, 2022.</w:t>
      </w:r>
    </w:p>
    <w:p>
      <w:pPr>
        <w:spacing w:after="0" w:line="62" w:lineRule="exact"/>
        <w:rPr>
          <w:sz w:val="20"/>
          <w:szCs w:val="20"/>
          <w:color w:val="auto"/>
        </w:rPr>
      </w:pPr>
    </w:p>
    <w:p>
      <w:pPr>
        <w:ind w:left="1680" w:hanging="615"/>
        <w:spacing w:after="0"/>
        <w:tabs>
          <w:tab w:leader="none" w:pos="1680" w:val="left"/>
        </w:tabs>
        <w:numPr>
          <w:ilvl w:val="0"/>
          <w:numId w:val="5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Subsidiaries of Registrant.</w:t>
      </w:r>
    </w:p>
    <w:p>
      <w:pPr>
        <w:spacing w:after="0" w:line="243" w:lineRule="exact"/>
        <w:rPr>
          <w:sz w:val="20"/>
          <w:szCs w:val="20"/>
          <w:color w:val="auto"/>
        </w:rPr>
      </w:pPr>
    </w:p>
    <w:p>
      <w:pPr>
        <w:ind w:left="940"/>
        <w:spacing w:after="0"/>
        <w:tabs>
          <w:tab w:leader="none" w:pos="1660" w:val="left"/>
        </w:tabs>
        <w:rPr>
          <w:sz w:val="20"/>
          <w:szCs w:val="20"/>
          <w:color w:val="auto"/>
        </w:rPr>
      </w:pPr>
      <w:r>
        <w:rPr>
          <w:rFonts w:ascii="Times New Roman" w:cs="Times New Roman" w:eastAsia="Times New Roman" w:hAnsi="Times New Roman"/>
          <w:sz w:val="17"/>
          <w:szCs w:val="17"/>
          <w:u w:val="single" w:color="auto"/>
          <w:color w:val="auto"/>
        </w:rPr>
        <w:t>23.1</w:t>
      </w:r>
      <w:r>
        <w:rPr>
          <w:sz w:val="20"/>
          <w:szCs w:val="20"/>
          <w:color w:val="auto"/>
        </w:rPr>
        <w:tab/>
      </w:r>
      <w:r>
        <w:rPr>
          <w:rFonts w:ascii="Times New Roman" w:cs="Times New Roman" w:eastAsia="Times New Roman" w:hAnsi="Times New Roman"/>
          <w:sz w:val="17"/>
          <w:szCs w:val="17"/>
          <w:color w:val="auto"/>
        </w:rPr>
        <w:t>Consent of Deloitte &amp; Touche LLP</w:t>
      </w:r>
    </w:p>
    <w:p>
      <w:pPr>
        <w:spacing w:after="0" w:line="243" w:lineRule="exact"/>
        <w:rPr>
          <w:sz w:val="20"/>
          <w:szCs w:val="20"/>
          <w:color w:val="auto"/>
        </w:rPr>
      </w:pPr>
    </w:p>
    <w:p>
      <w:pPr>
        <w:ind w:left="940"/>
        <w:spacing w:after="0"/>
        <w:tabs>
          <w:tab w:leader="none" w:pos="1660" w:val="left"/>
        </w:tabs>
        <w:rPr>
          <w:sz w:val="20"/>
          <w:szCs w:val="20"/>
          <w:color w:val="auto"/>
        </w:rPr>
      </w:pPr>
      <w:r>
        <w:rPr>
          <w:rFonts w:ascii="Times New Roman" w:cs="Times New Roman" w:eastAsia="Times New Roman" w:hAnsi="Times New Roman"/>
          <w:sz w:val="17"/>
          <w:szCs w:val="17"/>
          <w:u w:val="single" w:color="auto"/>
          <w:color w:val="auto"/>
        </w:rPr>
        <w:t>31.1</w:t>
      </w:r>
      <w:r>
        <w:rPr>
          <w:sz w:val="20"/>
          <w:szCs w:val="20"/>
          <w:color w:val="auto"/>
        </w:rPr>
        <w:tab/>
      </w:r>
      <w:r>
        <w:rPr>
          <w:rFonts w:ascii="Times New Roman" w:cs="Times New Roman" w:eastAsia="Times New Roman" w:hAnsi="Times New Roman"/>
          <w:sz w:val="17"/>
          <w:szCs w:val="17"/>
          <w:color w:val="auto"/>
        </w:rPr>
        <w:t>Certification of Chief Executive Officer pursuant to Section 302 of the Sarbanes-Oxley Act of 2002</w:t>
      </w:r>
    </w:p>
    <w:p>
      <w:pPr>
        <w:spacing w:after="0" w:line="243" w:lineRule="exact"/>
        <w:rPr>
          <w:sz w:val="20"/>
          <w:szCs w:val="20"/>
          <w:color w:val="auto"/>
        </w:rPr>
      </w:pPr>
    </w:p>
    <w:p>
      <w:pPr>
        <w:ind w:left="940"/>
        <w:spacing w:after="0"/>
        <w:tabs>
          <w:tab w:leader="none" w:pos="1660" w:val="left"/>
        </w:tabs>
        <w:rPr>
          <w:sz w:val="20"/>
          <w:szCs w:val="20"/>
          <w:color w:val="auto"/>
        </w:rPr>
      </w:pPr>
      <w:r>
        <w:rPr>
          <w:rFonts w:ascii="Times New Roman" w:cs="Times New Roman" w:eastAsia="Times New Roman" w:hAnsi="Times New Roman"/>
          <w:sz w:val="17"/>
          <w:szCs w:val="17"/>
          <w:u w:val="single" w:color="auto"/>
          <w:color w:val="auto"/>
        </w:rPr>
        <w:t>31.2</w:t>
      </w:r>
      <w:r>
        <w:rPr>
          <w:sz w:val="20"/>
          <w:szCs w:val="20"/>
          <w:color w:val="auto"/>
        </w:rPr>
        <w:tab/>
      </w:r>
      <w:r>
        <w:rPr>
          <w:rFonts w:ascii="Times New Roman" w:cs="Times New Roman" w:eastAsia="Times New Roman" w:hAnsi="Times New Roman"/>
          <w:sz w:val="17"/>
          <w:szCs w:val="17"/>
          <w:color w:val="auto"/>
        </w:rPr>
        <w:t>Certification of Chief Financial Officer pursuant to Section 302 of the Sarbanes-Oxley Act of 2002</w:t>
      </w:r>
    </w:p>
    <w:p>
      <w:pPr>
        <w:spacing w:after="0" w:line="243" w:lineRule="exact"/>
        <w:rPr>
          <w:sz w:val="20"/>
          <w:szCs w:val="20"/>
          <w:color w:val="auto"/>
        </w:rPr>
      </w:pPr>
    </w:p>
    <w:p>
      <w:pPr>
        <w:ind w:left="1680" w:hanging="615"/>
        <w:spacing w:after="0"/>
        <w:tabs>
          <w:tab w:leader="none" w:pos="1680" w:val="left"/>
        </w:tabs>
        <w:numPr>
          <w:ilvl w:val="0"/>
          <w:numId w:val="5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Certifications of Chief Executive Officer and Chief Financial Officer pursuant to Section 906 of the Sarbanes-Oxley Act of 2002</w:t>
      </w:r>
    </w:p>
    <w:p>
      <w:pPr>
        <w:sectPr>
          <w:pgSz w:w="11900" w:h="16838" w:orient="portrait"/>
          <w:cols w:equalWidth="0" w:num="1">
            <w:col w:w="11240"/>
          </w:cols>
          <w:pgMar w:left="320" w:top="987"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Exhibit 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680"/>
        <w:spacing w:after="0" w:line="239" w:lineRule="auto"/>
        <w:rPr>
          <w:sz w:val="20"/>
          <w:szCs w:val="20"/>
          <w:color w:val="auto"/>
        </w:rPr>
      </w:pPr>
      <w:r>
        <w:rPr>
          <w:rFonts w:ascii="Times New Roman" w:cs="Times New Roman" w:eastAsia="Times New Roman" w:hAnsi="Times New Roman"/>
          <w:sz w:val="17"/>
          <w:szCs w:val="17"/>
          <w:color w:val="auto"/>
        </w:rPr>
        <w:t>The instance document does not appear in the interactive data file because its XBRL (Extensible Business Reporting Language) tags are embedded within the Inline XBRL document.</w:t>
      </w:r>
    </w:p>
    <w:p>
      <w:pPr>
        <w:spacing w:after="0" w:line="10" w:lineRule="exact"/>
        <w:rPr>
          <w:sz w:val="20"/>
          <w:szCs w:val="20"/>
          <w:color w:val="auto"/>
        </w:rPr>
      </w:pPr>
    </w:p>
    <w:p>
      <w:pPr>
        <w:sectPr>
          <w:pgSz w:w="11900" w:h="16838" w:orient="portrait"/>
          <w:cols w:equalWidth="0" w:num="2">
            <w:col w:w="1820" w:space="720"/>
            <w:col w:w="8700"/>
          </w:cols>
          <w:pgMar w:left="320" w:top="9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Exhibit 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28" w:lineRule="exact"/>
        <w:rPr>
          <w:sz w:val="20"/>
          <w:szCs w:val="20"/>
          <w:color w:val="auto"/>
        </w:rPr>
      </w:pPr>
    </w:p>
    <w:p>
      <w:pPr>
        <w:sectPr>
          <w:pgSz w:w="11900" w:h="16838" w:orient="portrait"/>
          <w:cols w:equalWidth="0" w:num="2">
            <w:col w:w="1820" w:space="720"/>
            <w:col w:w="8700"/>
          </w:cols>
          <w:pgMar w:left="320" w:top="9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Exhibit 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24" w:lineRule="exact"/>
        <w:rPr>
          <w:sz w:val="20"/>
          <w:szCs w:val="20"/>
          <w:color w:val="auto"/>
        </w:rPr>
      </w:pPr>
    </w:p>
    <w:p>
      <w:pPr>
        <w:sectPr>
          <w:pgSz w:w="11900" w:h="16838" w:orient="portrait"/>
          <w:cols w:equalWidth="0" w:num="2">
            <w:col w:w="1820" w:space="720"/>
            <w:col w:w="8700"/>
          </w:cols>
          <w:pgMar w:left="320" w:top="9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Exhibit 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p>
      <w:pPr>
        <w:spacing w:after="0" w:line="24" w:lineRule="exact"/>
        <w:rPr>
          <w:sz w:val="20"/>
          <w:szCs w:val="20"/>
          <w:color w:val="auto"/>
        </w:rPr>
      </w:pPr>
    </w:p>
    <w:p>
      <w:pPr>
        <w:sectPr>
          <w:pgSz w:w="11900" w:h="16838" w:orient="portrait"/>
          <w:cols w:equalWidth="0" w:num="2">
            <w:col w:w="1820" w:space="720"/>
            <w:col w:w="8700"/>
          </w:cols>
          <w:pgMar w:left="320" w:top="9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Exhibit 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24" w:lineRule="exact"/>
        <w:rPr>
          <w:sz w:val="20"/>
          <w:szCs w:val="20"/>
          <w:color w:val="auto"/>
        </w:rPr>
      </w:pPr>
    </w:p>
    <w:p>
      <w:pPr>
        <w:sectPr>
          <w:pgSz w:w="11900" w:h="16838" w:orient="portrait"/>
          <w:cols w:equalWidth="0" w:num="2">
            <w:col w:w="1820" w:space="720"/>
            <w:col w:w="8700"/>
          </w:cols>
          <w:pgMar w:left="320" w:top="9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Exhibit 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p>
      <w:pPr>
        <w:spacing w:after="0" w:line="24" w:lineRule="exact"/>
        <w:rPr>
          <w:sz w:val="20"/>
          <w:szCs w:val="20"/>
          <w:color w:val="auto"/>
        </w:rPr>
      </w:pPr>
    </w:p>
    <w:p>
      <w:pPr>
        <w:sectPr>
          <w:pgSz w:w="11900" w:h="16838" w:orient="portrait"/>
          <w:cols w:equalWidth="0" w:num="2">
            <w:col w:w="1820" w:space="720"/>
            <w:col w:w="8700"/>
          </w:cols>
          <w:pgMar w:left="320" w:top="98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Exhibit 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97" w:lineRule="exact"/>
        <w:rPr>
          <w:sz w:val="20"/>
          <w:szCs w:val="20"/>
          <w:color w:val="auto"/>
        </w:rPr>
      </w:pPr>
    </w:p>
    <w:p>
      <w:pPr>
        <w:sectPr>
          <w:pgSz w:w="11900" w:h="16838" w:orient="portrait"/>
          <w:cols w:equalWidth="0" w:num="2">
            <w:col w:w="1820" w:space="720"/>
            <w:col w:w="8700"/>
          </w:cols>
          <w:pgMar w:left="320" w:top="9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compensation plan or other arrangement</w:t>
      </w:r>
    </w:p>
    <w:p>
      <w:pPr>
        <w:spacing w:after="0" w:line="11" w:lineRule="exact"/>
        <w:rPr>
          <w:sz w:val="20"/>
          <w:szCs w:val="20"/>
          <w:color w:val="auto"/>
        </w:rPr>
      </w:pPr>
    </w:p>
    <w:p>
      <w:pPr>
        <w:ind w:firstLine="3"/>
        <w:spacing w:after="0" w:line="266" w:lineRule="auto"/>
        <w:tabs>
          <w:tab w:leader="none" w:pos="12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Annexes, schedules and exhibits have been omitted pursuant to Item 601(a)(5)(b)(2)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SCHEDULE II</w:t>
            </w:r>
          </w:p>
        </w:tc>
        <w:tc>
          <w:tcPr>
            <w:tcW w:w="0" w:type="dxa"/>
            <w:vAlign w:val="bottom"/>
          </w:tcPr>
          <w:p>
            <w:pPr>
              <w:spacing w:after="0"/>
              <w:rPr>
                <w:sz w:val="1"/>
                <w:szCs w:val="1"/>
                <w:color w:val="auto"/>
              </w:rPr>
            </w:pPr>
          </w:p>
        </w:tc>
      </w:tr>
      <w:tr>
        <w:trPr>
          <w:trHeight w:val="373"/>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700" w:type="dxa"/>
            <w:vAlign w:val="bottom"/>
          </w:tcPr>
          <w:p>
            <w:pPr>
              <w:spacing w:after="0"/>
              <w:rPr>
                <w:sz w:val="24"/>
                <w:szCs w:val="24"/>
                <w:color w:val="auto"/>
              </w:rPr>
            </w:pPr>
          </w:p>
        </w:tc>
        <w:tc>
          <w:tcPr>
            <w:tcW w:w="3880" w:type="dxa"/>
            <w:vAlign w:val="bottom"/>
            <w:gridSpan w:val="1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VALUATION AND QUALIFYING ACCOUNTS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22"/>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Charged to</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Charged to</w:t>
            </w:r>
          </w:p>
        </w:tc>
        <w:tc>
          <w:tcPr>
            <w:tcW w:w="140" w:type="dxa"/>
            <w:vAlign w:val="bottom"/>
          </w:tcPr>
          <w:p>
            <w:pPr>
              <w:spacing w:after="0"/>
              <w:rPr>
                <w:sz w:val="10"/>
                <w:szCs w:val="10"/>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Write-off/</w:t>
            </w: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3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7"/>
              </w:rPr>
              <w:t>Beginning of</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3"/>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5"/>
              </w:rPr>
              <w:t>Costs and</w:t>
            </w: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4"/>
              </w:rPr>
              <w:t>at End</w:t>
            </w:r>
          </w:p>
        </w:tc>
        <w:tc>
          <w:tcPr>
            <w:tcW w:w="0" w:type="dxa"/>
            <w:vAlign w:val="bottom"/>
          </w:tcPr>
          <w:p>
            <w:pPr>
              <w:spacing w:after="0"/>
              <w:rPr>
                <w:sz w:val="1"/>
                <w:szCs w:val="1"/>
                <w:color w:val="auto"/>
              </w:rPr>
            </w:pPr>
          </w:p>
        </w:tc>
      </w:tr>
      <w:tr>
        <w:trPr>
          <w:trHeight w:val="64"/>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Other Accounts</w:t>
            </w:r>
          </w:p>
        </w:tc>
        <w:tc>
          <w:tcPr>
            <w:tcW w:w="14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0" w:type="dxa"/>
            <w:vAlign w:val="bottom"/>
          </w:tcPr>
          <w:p>
            <w:pPr>
              <w:spacing w:after="0"/>
              <w:rPr>
                <w:sz w:val="1"/>
                <w:szCs w:val="1"/>
                <w:color w:val="auto"/>
              </w:rPr>
            </w:pPr>
          </w:p>
        </w:tc>
      </w:tr>
      <w:tr>
        <w:trPr>
          <w:trHeight w:val="66"/>
        </w:trPr>
        <w:tc>
          <w:tcPr>
            <w:tcW w:w="3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3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For the year ended December 31, 2020:</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20" w:type="dxa"/>
            <w:vAlign w:val="bottom"/>
            <w:gridSpan w:val="3"/>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20,219</w:t>
            </w:r>
          </w:p>
        </w:tc>
        <w:tc>
          <w:tcPr>
            <w:tcW w:w="1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and return reserve - accounts receivable</w:t>
            </w:r>
          </w:p>
        </w:tc>
        <w:tc>
          <w:tcPr>
            <w:tcW w:w="15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Warranty and return reserve - inventory</w:t>
            </w:r>
          </w:p>
        </w:tc>
        <w:tc>
          <w:tcPr>
            <w:tcW w:w="150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(3,477)</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5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For the year ended December 31, 2021:</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20" w:type="dxa"/>
            <w:vAlign w:val="bottom"/>
            <w:gridSpan w:val="3"/>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21,490</w:t>
            </w:r>
          </w:p>
        </w:tc>
        <w:tc>
          <w:tcPr>
            <w:tcW w:w="1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and return reserve - accounts receivable</w:t>
            </w:r>
          </w:p>
        </w:tc>
        <w:tc>
          <w:tcPr>
            <w:tcW w:w="15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Warranty and return reserve - inventory</w:t>
            </w:r>
          </w:p>
        </w:tc>
        <w:tc>
          <w:tcPr>
            <w:tcW w:w="150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5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3,891</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For the year ended December 31, 2022:</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20" w:type="dxa"/>
            <w:vAlign w:val="bottom"/>
            <w:gridSpan w:val="3"/>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w:t>
            </w:r>
          </w:p>
        </w:tc>
        <w:tc>
          <w:tcPr>
            <w:tcW w:w="1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Warranty and return reserve - accounts receivable</w:t>
            </w:r>
            <w:r>
              <w:rPr>
                <w:rFonts w:ascii="Times New Roman" w:cs="Times New Roman" w:eastAsia="Times New Roman" w:hAnsi="Times New Roman"/>
                <w:sz w:val="22"/>
                <w:szCs w:val="22"/>
                <w:color w:val="auto"/>
                <w:vertAlign w:val="superscript"/>
              </w:rPr>
              <w:t>(1)</w:t>
            </w:r>
          </w:p>
        </w:tc>
        <w:tc>
          <w:tcPr>
            <w:tcW w:w="15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Warranty and return reserve - inventory/accrued</w:t>
            </w:r>
            <w:r>
              <w:rPr>
                <w:rFonts w:ascii="Times New Roman" w:cs="Times New Roman" w:eastAsia="Times New Roman" w:hAnsi="Times New Roman"/>
                <w:sz w:val="22"/>
                <w:szCs w:val="22"/>
                <w:color w:val="auto"/>
                <w:vertAlign w:val="superscript"/>
              </w:rPr>
              <w:t>(2)</w:t>
            </w:r>
          </w:p>
        </w:tc>
        <w:tc>
          <w:tcPr>
            <w:tcW w:w="150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5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w:t>
      </w:r>
    </w:p>
    <w:p>
      <w:pPr>
        <w:spacing w:after="0" w:line="107" w:lineRule="exact"/>
        <w:rPr>
          <w:sz w:val="20"/>
          <w:szCs w:val="20"/>
          <w:color w:val="auto"/>
        </w:rPr>
      </w:pPr>
    </w:p>
    <w:p>
      <w:pPr>
        <w:ind w:left="160" w:hanging="157"/>
        <w:spacing w:after="0"/>
        <w:tabs>
          <w:tab w:leader="none" w:pos="160" w:val="left"/>
        </w:tabs>
        <w:numPr>
          <w:ilvl w:val="0"/>
          <w:numId w:val="6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an acquired balance of $3.8 million related to the Smiths Medical acquisition.</w:t>
      </w:r>
    </w:p>
    <w:p>
      <w:pPr>
        <w:spacing w:after="0" w:line="1" w:lineRule="exact"/>
        <w:rPr>
          <w:rFonts w:ascii="Times New Roman" w:cs="Times New Roman" w:eastAsia="Times New Roman" w:hAnsi="Times New Roman"/>
          <w:sz w:val="20"/>
          <w:szCs w:val="20"/>
          <w:color w:val="auto"/>
          <w:vertAlign w:val="superscript"/>
        </w:rPr>
      </w:pPr>
    </w:p>
    <w:p>
      <w:pPr>
        <w:ind w:left="180" w:hanging="177"/>
        <w:spacing w:after="0" w:line="194" w:lineRule="auto"/>
        <w:tabs>
          <w:tab w:leader="none" w:pos="180"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an acquired balance of $55.2 million in short-term and long-term accrued warranty reserve related to the Smiths Medical acquisition.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Registrant has duly caused this report to be signed on its behalf by the undersigned, thereunto duly authorized.</w:t>
      </w:r>
    </w:p>
    <w:p>
      <w:pPr>
        <w:spacing w:after="0" w:line="27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ICU MEDICAL, INC.</w:t>
      </w:r>
    </w:p>
    <w:p>
      <w:pPr>
        <w:spacing w:after="0" w:line="226" w:lineRule="exact"/>
        <w:rPr>
          <w:sz w:val="20"/>
          <w:szCs w:val="20"/>
          <w:color w:val="auto"/>
        </w:rPr>
      </w:pPr>
    </w:p>
    <w:tbl>
      <w:tblPr>
        <w:tblLayout w:type="fixed"/>
        <w:tblInd w:w="5560" w:type="dxa"/>
        <w:tblCellMar>
          <w:top w:w="0" w:type="dxa"/>
          <w:left w:w="0" w:type="dxa"/>
          <w:bottom w:w="0" w:type="dxa"/>
          <w:right w:w="0" w:type="dxa"/>
        </w:tblCellMar>
      </w:tblPr>
      <w:tr>
        <w:trPr>
          <w:trHeight w:val="17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Vivek Jain</w:t>
            </w:r>
          </w:p>
        </w:tc>
      </w:tr>
      <w:tr>
        <w:trPr>
          <w:trHeight w:val="22"/>
        </w:trPr>
        <w:tc>
          <w:tcPr>
            <w:tcW w:w="88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r>
      <w:tr>
        <w:trPr>
          <w:trHeight w:val="171"/>
        </w:trPr>
        <w:tc>
          <w:tcPr>
            <w:tcW w:w="880" w:type="dxa"/>
            <w:vAlign w:val="bottom"/>
          </w:tcPr>
          <w:p>
            <w:pPr>
              <w:spacing w:after="0"/>
              <w:rPr>
                <w:sz w:val="14"/>
                <w:szCs w:val="1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Vivek Jain</w:t>
            </w:r>
          </w:p>
        </w:tc>
      </w:tr>
      <w:tr>
        <w:trPr>
          <w:trHeight w:val="186"/>
        </w:trPr>
        <w:tc>
          <w:tcPr>
            <w:tcW w:w="88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tc>
      </w:tr>
      <w:tr>
        <w:trPr>
          <w:trHeight w:val="387"/>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2"/>
        </w:trPr>
        <w:tc>
          <w:tcPr>
            <w:tcW w:w="36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0" w:type="dxa"/>
            <w:vAlign w:val="bottom"/>
          </w:tcPr>
          <w:p>
            <w:pPr>
              <w:spacing w:after="0"/>
              <w:rPr>
                <w:sz w:val="15"/>
                <w:szCs w:val="15"/>
                <w:color w:val="auto"/>
              </w:rPr>
            </w:pPr>
          </w:p>
        </w:tc>
        <w:tc>
          <w:tcPr>
            <w:tcW w:w="402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10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7"/>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Vivek Jain</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and</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Vivek Jain</w:t>
            </w:r>
          </w:p>
        </w:tc>
        <w:tc>
          <w:tcPr>
            <w:tcW w:w="460" w:type="dxa"/>
            <w:vAlign w:val="bottom"/>
            <w:vMerge w:val="continue"/>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Brian M. Bonnell</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M. Bonnell</w:t>
            </w:r>
          </w:p>
        </w:tc>
        <w:tc>
          <w:tcPr>
            <w:tcW w:w="460" w:type="dxa"/>
            <w:vAlign w:val="bottom"/>
            <w:vMerge w:val="continue"/>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George A. Lopez, M.D.</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A. Lopez, M.D.</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David C. Greenberg</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C. Greenberg</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Elisha W. Finney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Elisha W. Finney</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David F. Hoffmeister</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F. Hoffmeister</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Donald M. Abbey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Donald M. Abbey</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Laurie Hernandez</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Laurie Hernandez</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Kolleen T. Kennedy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Kolleen T. Kennedy</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William Seeger</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2023</w:t>
            </w:r>
          </w:p>
        </w:tc>
        <w:tc>
          <w:tcPr>
            <w:tcW w:w="0" w:type="dxa"/>
            <w:vAlign w:val="bottom"/>
          </w:tcPr>
          <w:p>
            <w:pPr>
              <w:spacing w:after="0"/>
              <w:rPr>
                <w:sz w:val="1"/>
                <w:szCs w:val="1"/>
                <w:color w:val="auto"/>
              </w:rPr>
            </w:pP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Seeger</w:t>
            </w:r>
          </w:p>
        </w:tc>
        <w:tc>
          <w:tcPr>
            <w:tcW w:w="4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200"/>
          </w:cols>
          <w:pgMar w:left="320" w:top="979" w:right="3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w w:val="97"/>
              </w:rPr>
              <w:t>Exhibit 10.3</w:t>
            </w:r>
          </w:p>
        </w:tc>
      </w:tr>
      <w:tr>
        <w:trPr>
          <w:trHeight w:val="438"/>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60" w:type="dxa"/>
            <w:vAlign w:val="bottom"/>
            <w:gridSpan w:val="2"/>
          </w:tcPr>
          <w:p>
            <w:pPr>
              <w:ind w:left="2020"/>
              <w:spacing w:after="0"/>
              <w:rPr>
                <w:sz w:val="20"/>
                <w:szCs w:val="20"/>
                <w:color w:val="auto"/>
              </w:rPr>
            </w:pPr>
            <w:r>
              <w:rPr>
                <w:rFonts w:ascii="Times New Roman" w:cs="Times New Roman" w:eastAsia="Times New Roman" w:hAnsi="Times New Roman"/>
                <w:sz w:val="17"/>
                <w:szCs w:val="17"/>
                <w:b w:val="1"/>
                <w:bCs w:val="1"/>
                <w:color w:val="auto"/>
              </w:rPr>
              <w:t>Executive Officer Compensation</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8"/>
        </w:trPr>
        <w:tc>
          <w:tcPr>
            <w:tcW w:w="9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As of March 1, 2022, the annual base salaries for our executive officers are as follows: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60" w:type="dxa"/>
            <w:vAlign w:val="bottom"/>
            <w:gridSpan w:val="2"/>
          </w:tcPr>
          <w:p>
            <w:pPr>
              <w:ind w:left="3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30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tc>
        <w:tc>
          <w:tcPr>
            <w:tcW w:w="3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775,000</w:t>
            </w:r>
          </w:p>
        </w:tc>
        <w:tc>
          <w:tcPr>
            <w:tcW w:w="1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c>
          <w:tcPr>
            <w:tcW w:w="7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 and Treasurer</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475,000</w:t>
            </w:r>
          </w:p>
        </w:tc>
        <w:tc>
          <w:tcPr>
            <w:tcW w:w="1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7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7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Vice President, General Manager - Infusion Systems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7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Vice President, General Counsel</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430,000</w:t>
            </w:r>
          </w:p>
        </w:tc>
        <w:tc>
          <w:tcPr>
            <w:tcW w:w="160" w:type="dxa"/>
            <w:vAlign w:val="bottom"/>
          </w:tcPr>
          <w:p>
            <w:pPr>
              <w:spacing w:after="0"/>
              <w:rPr>
                <w:sz w:val="19"/>
                <w:szCs w:val="19"/>
                <w:color w:val="auto"/>
              </w:rPr>
            </w:pPr>
          </w:p>
        </w:tc>
      </w:tr>
    </w:tbl>
    <w:p>
      <w:pPr>
        <w:sectPr>
          <w:pgSz w:w="11900" w:h="16838" w:orient="portrait"/>
          <w:cols w:equalWidth="0" w:num="1">
            <w:col w:w="11240"/>
          </w:cols>
          <w:pgMar w:left="320" w:top="85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pay our non-employee directors the following:</w:t>
      </w:r>
    </w:p>
    <w:p>
      <w:pPr>
        <w:spacing w:after="0" w:line="243" w:lineRule="exact"/>
        <w:rPr>
          <w:sz w:val="20"/>
          <w:szCs w:val="20"/>
          <w:color w:val="auto"/>
        </w:rPr>
      </w:pPr>
    </w:p>
    <w:p>
      <w:pPr>
        <w:ind w:left="1860" w:hanging="619"/>
        <w:spacing w:after="0"/>
        <w:tabs>
          <w:tab w:leader="none" w:pos="1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retainer of $93,500 for the Lead Director</w:t>
      </w:r>
    </w:p>
    <w:p>
      <w:pPr>
        <w:spacing w:after="0" w:line="27"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retainer of $102,000 for the Chairperson of the Audit Committee</w:t>
      </w:r>
    </w:p>
    <w:p>
      <w:pPr>
        <w:spacing w:after="0" w:line="10"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retainer of $92,500 for the Chairperson of the Compensation Committee</w:t>
      </w:r>
    </w:p>
    <w:p>
      <w:pPr>
        <w:spacing w:after="0" w:line="10" w:lineRule="exact"/>
        <w:rPr>
          <w:rFonts w:ascii="Times New Roman" w:cs="Times New Roman" w:eastAsia="Times New Roman" w:hAnsi="Times New Roman"/>
          <w:sz w:val="17"/>
          <w:szCs w:val="17"/>
          <w:color w:val="auto"/>
        </w:rPr>
      </w:pPr>
    </w:p>
    <w:p>
      <w:pPr>
        <w:ind w:left="1860" w:hanging="619"/>
        <w:spacing w:after="0"/>
        <w:tabs>
          <w:tab w:leader="none" w:pos="1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retainer of $85,000 for the Chairperson of the Nominating and Governance Committee</w:t>
      </w:r>
    </w:p>
    <w:p>
      <w:pPr>
        <w:spacing w:after="0" w:line="226"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equity component of the director's compensation is valued at $180,000. The annual equity package consists of 50% in stock options and 50% in restricted stock units. The options become exercisable one year after the grant date and expire ten years after the grant date. The restricted stock units vest one year from the grant date.</w:t>
      </w:r>
    </w:p>
    <w:p>
      <w:pPr>
        <w:sectPr>
          <w:pgSz w:w="11900" w:h="16838" w:orient="portrait"/>
          <w:cols w:equalWidth="0" w:num="1">
            <w:col w:w="11240"/>
          </w:cols>
          <w:pgMar w:left="320" w:top="854"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2011 STOCK INCENTIVE PLAN</w:t>
      </w:r>
    </w:p>
    <w:p>
      <w:pPr>
        <w:spacing w:after="0" w:line="226" w:lineRule="exact"/>
        <w:rPr>
          <w:sz w:val="20"/>
          <w:szCs w:val="20"/>
          <w:color w:val="auto"/>
        </w:rPr>
      </w:pPr>
    </w:p>
    <w:p>
      <w:pPr>
        <w:jc w:val="both"/>
        <w:ind w:right="220" w:firstLine="622"/>
        <w:spacing w:after="0" w:line="270" w:lineRule="auto"/>
        <w:tabs>
          <w:tab w:leader="none" w:pos="91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Purposes of the Plan</w:t>
      </w:r>
      <w:r>
        <w:rPr>
          <w:rFonts w:ascii="Times New Roman" w:cs="Times New Roman" w:eastAsia="Times New Roman" w:hAnsi="Times New Roman"/>
          <w:sz w:val="17"/>
          <w:szCs w:val="17"/>
          <w:color w:val="auto"/>
        </w:rPr>
        <w:t>. The purposes of this Plan are to attract and retain the best available personnel, to provide additional incentives to Employees, Directors and Consultants and to promote the success of the Company’s business. The Plan amends and restates in its entirety the ICU Medical, Inc. 2011 Stock Incentive Plan, as amended (the “</w:t>
      </w:r>
      <w:r>
        <w:rPr>
          <w:rFonts w:ascii="Times New Roman" w:cs="Times New Roman" w:eastAsia="Times New Roman" w:hAnsi="Times New Roman"/>
          <w:sz w:val="17"/>
          <w:szCs w:val="17"/>
          <w:u w:val="single" w:color="auto"/>
          <w:color w:val="auto"/>
        </w:rPr>
        <w:t>Original Plan</w:t>
      </w:r>
      <w:r>
        <w:rPr>
          <w:rFonts w:ascii="Times New Roman" w:cs="Times New Roman" w:eastAsia="Times New Roman" w:hAnsi="Times New Roman"/>
          <w:sz w:val="17"/>
          <w:szCs w:val="17"/>
          <w:color w:val="auto"/>
        </w:rPr>
        <w:t>”).</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1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191"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means the Board or any of the Committees appointed to administer the Plan.</w:t>
      </w:r>
    </w:p>
    <w:p>
      <w:pPr>
        <w:spacing w:after="0" w:line="242"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Associate</w:t>
      </w:r>
      <w:r>
        <w:rPr>
          <w:rFonts w:ascii="Times New Roman" w:cs="Times New Roman" w:eastAsia="Times New Roman" w:hAnsi="Times New Roman"/>
          <w:sz w:val="17"/>
          <w:szCs w:val="17"/>
          <w:color w:val="auto"/>
        </w:rPr>
        <w:t>” shall have the respective meanings ascribed to such terms in Rule 12b-2 promulgated under the Exchange Act.</w:t>
      </w:r>
    </w:p>
    <w:p>
      <w:pPr>
        <w:spacing w:after="0" w:line="242" w:lineRule="exact"/>
        <w:rPr>
          <w:rFonts w:ascii="Times New Roman" w:cs="Times New Roman" w:eastAsia="Times New Roman" w:hAnsi="Times New Roman"/>
          <w:sz w:val="17"/>
          <w:szCs w:val="17"/>
          <w:color w:val="auto"/>
        </w:rPr>
      </w:pPr>
    </w:p>
    <w:p>
      <w:pPr>
        <w:ind w:right="80" w:firstLine="1241"/>
        <w:spacing w:after="0" w:line="270" w:lineRule="auto"/>
        <w:tabs>
          <w:tab w:leader="none" w:pos="160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191" w:lineRule="exact"/>
        <w:rPr>
          <w:rFonts w:ascii="Times New Roman" w:cs="Times New Roman" w:eastAsia="Times New Roman" w:hAnsi="Times New Roman"/>
          <w:sz w:val="17"/>
          <w:szCs w:val="17"/>
          <w:color w:val="auto"/>
        </w:rPr>
      </w:pPr>
    </w:p>
    <w:p>
      <w:pPr>
        <w:ind w:firstLine="1241"/>
        <w:spacing w:after="0" w:line="261" w:lineRule="auto"/>
        <w:tabs>
          <w:tab w:leader="none" w:pos="161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Assumed</w:t>
      </w:r>
      <w:r>
        <w:rPr>
          <w:rFonts w:ascii="Times New Roman" w:cs="Times New Roman" w:eastAsia="Times New Roman" w:hAnsi="Times New Roman"/>
          <w:sz w:val="17"/>
          <w:szCs w:val="17"/>
          <w:color w:val="auto"/>
        </w:rPr>
        <w:t>” means that pursuant to a Corporate Transaction or Change in Control either (i) the Award is expressly affirmed by the Company or (ii) the contractual obligations represented by the Award are expressly assumed (and not simply by operation of law) by the successor entity or its Parent in connection with the transaction with appropriate adjustments to the number and type of securities of the successor entity or its Parent subject to the Award and the exercise or purchase price thereof which at least preserves the compensation element of the Award existing at the time of the transaction as determined in accordance with the instruments evidencing the agreement to assume the Award.</w:t>
      </w:r>
    </w:p>
    <w:p>
      <w:pPr>
        <w:spacing w:after="0" w:line="200"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means the grant of an Option, SAR, Dividend Equivalent Right, Restricted Stock, Restricted Stock Unit or other right or benefit</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Plan.</w:t>
      </w:r>
    </w:p>
    <w:p>
      <w:pPr>
        <w:spacing w:after="0" w:line="225" w:lineRule="exact"/>
        <w:rPr>
          <w:rFonts w:ascii="Times New Roman" w:cs="Times New Roman" w:eastAsia="Times New Roman" w:hAnsi="Times New Roman"/>
          <w:sz w:val="17"/>
          <w:szCs w:val="17"/>
          <w:color w:val="auto"/>
        </w:rPr>
      </w:pPr>
    </w:p>
    <w:p>
      <w:pPr>
        <w:ind w:right="200" w:firstLine="1241"/>
        <w:spacing w:after="0" w:line="287" w:lineRule="auto"/>
        <w:tabs>
          <w:tab w:leader="none" w:pos="158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means the written agreement evidencing the grant of an Award executed by the Company and the Grantee, including any amendments thereto.</w:t>
      </w:r>
    </w:p>
    <w:p>
      <w:pPr>
        <w:spacing w:after="0" w:line="17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42" w:lineRule="exact"/>
        <w:rPr>
          <w:rFonts w:ascii="Times New Roman" w:cs="Times New Roman" w:eastAsia="Times New Roman" w:hAnsi="Times New Roman"/>
          <w:sz w:val="17"/>
          <w:szCs w:val="17"/>
          <w:color w:val="auto"/>
        </w:rPr>
      </w:pPr>
    </w:p>
    <w:p>
      <w:pPr>
        <w:ind w:right="80" w:firstLine="1241"/>
        <w:spacing w:after="0" w:line="258" w:lineRule="auto"/>
        <w:tabs>
          <w:tab w:leader="none" w:pos="161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and to the detriment of the Company or a Related Entity; (ii) 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on the occurrence of or in connection with a Corporate Transaction or a Change in Control, such definition of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not apply until a Corporate Transaction or a Change in Control actually occurs.</w:t>
      </w:r>
    </w:p>
    <w:p>
      <w:pPr>
        <w:spacing w:after="0" w:line="204" w:lineRule="exact"/>
        <w:rPr>
          <w:rFonts w:ascii="Times New Roman" w:cs="Times New Roman" w:eastAsia="Times New Roman" w:hAnsi="Times New Roman"/>
          <w:sz w:val="17"/>
          <w:szCs w:val="17"/>
          <w:color w:val="auto"/>
        </w:rPr>
      </w:pPr>
    </w:p>
    <w:p>
      <w:pPr>
        <w:ind w:left="1580" w:hanging="339"/>
        <w:spacing w:after="0"/>
        <w:tabs>
          <w:tab w:leader="none" w:pos="158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w:t>
      </w:r>
    </w:p>
    <w:p>
      <w:pPr>
        <w:spacing w:after="0" w:line="242" w:lineRule="exact"/>
        <w:rPr>
          <w:rFonts w:ascii="Times New Roman" w:cs="Times New Roman" w:eastAsia="Times New Roman" w:hAnsi="Times New Roman"/>
          <w:sz w:val="17"/>
          <w:szCs w:val="17"/>
          <w:color w:val="auto"/>
        </w:rPr>
      </w:pPr>
    </w:p>
    <w:p>
      <w:pPr>
        <w:ind w:left="2200" w:hanging="340"/>
        <w:spacing w:after="0"/>
        <w:tabs>
          <w:tab w:leader="none" w:pos="2200"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Award granted prior to the Effective Date, a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as defined in the Original Plan; and</w:t>
      </w:r>
    </w:p>
    <w:p>
      <w:pPr>
        <w:sectPr>
          <w:pgSz w:w="11900" w:h="16838" w:orient="portrait"/>
          <w:cols w:equalWidth="0" w:num="1">
            <w:col w:w="11240"/>
          </w:cols>
          <w:pgMar w:left="320" w:top="1357" w:right="339" w:bottom="1440" w:gutter="0" w:footer="0" w:header="0"/>
        </w:sectPr>
      </w:pPr>
    </w:p>
    <w:bookmarkStart w:id="125" w:name="page126"/>
    <w:bookmarkEnd w:id="125"/>
    <w:p>
      <w:pPr>
        <w:spacing w:after="0" w:line="153" w:lineRule="exact"/>
        <w:rPr>
          <w:sz w:val="20"/>
          <w:szCs w:val="20"/>
          <w:color w:val="auto"/>
        </w:rPr>
      </w:pPr>
    </w:p>
    <w:p>
      <w:pPr>
        <w:ind w:right="560" w:firstLine="1860"/>
        <w:spacing w:after="0" w:line="287" w:lineRule="auto"/>
        <w:tabs>
          <w:tab w:leader="none" w:pos="223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Award granted on or after the Effective Date, a change in ownership or control of the Company effected through either of the following transactions:</w:t>
      </w:r>
    </w:p>
    <w:p>
      <w:pPr>
        <w:spacing w:after="0" w:line="177" w:lineRule="exact"/>
        <w:rPr>
          <w:rFonts w:ascii="Times New Roman" w:cs="Times New Roman" w:eastAsia="Times New Roman" w:hAnsi="Times New Roman"/>
          <w:sz w:val="17"/>
          <w:szCs w:val="17"/>
          <w:color w:val="auto"/>
        </w:rPr>
      </w:pPr>
    </w:p>
    <w:p>
      <w:pPr>
        <w:ind w:right="40" w:firstLine="2478"/>
        <w:spacing w:after="0" w:line="263" w:lineRule="auto"/>
        <w:tabs>
          <w:tab w:leader="none" w:pos="288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 individual, entity or group (within the meaning of Section 13(d)(3) or 14(d)(2) of the Exchange Act (a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of beneficial ownership of any capital stock of the Company if, after such acquisition, such Person beneficially owns (within the meaning of Rule</w:t>
      </w:r>
    </w:p>
    <w:p>
      <w:pPr>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13d-3 promulgated under the Exchange Act) 50%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the following acquisitions shall not constitute a Change in Control: (i) any acquisition from the Company, (ii) any acquisition by the Company, (iii) any acquisition by any employee benefit plan (or related trust) sponsored or maintained by the Company or any corporation controlled by the Company, or (iv) any acquisition by any corporation pursuant to a transaction which complies with all of clauses (A), (B) and (C) of subsection (c) of this section; or</w:t>
      </w:r>
    </w:p>
    <w:p>
      <w:pPr>
        <w:spacing w:after="0" w:line="206" w:lineRule="exact"/>
        <w:rPr>
          <w:rFonts w:ascii="Times New Roman" w:cs="Times New Roman" w:eastAsia="Times New Roman" w:hAnsi="Times New Roman"/>
          <w:sz w:val="17"/>
          <w:szCs w:val="17"/>
          <w:color w:val="auto"/>
        </w:rPr>
      </w:pPr>
    </w:p>
    <w:p>
      <w:pPr>
        <w:ind w:firstLine="2478"/>
        <w:spacing w:after="0" w:line="260" w:lineRule="auto"/>
        <w:tabs>
          <w:tab w:leader="none" w:pos="287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individuals who, as of the date hereof, constitute the members of the Board (the “</w:t>
      </w:r>
      <w:r>
        <w:rPr>
          <w:rFonts w:ascii="Times New Roman" w:cs="Times New Roman" w:eastAsia="Times New Roman" w:hAnsi="Times New Roman"/>
          <w:sz w:val="17"/>
          <w:szCs w:val="17"/>
          <w:u w:val="single" w:color="auto"/>
          <w:color w:val="auto"/>
        </w:rPr>
        <w:t>Incumbent Directors</w:t>
      </w:r>
      <w:r>
        <w:rPr>
          <w:rFonts w:ascii="Times New Roman" w:cs="Times New Roman" w:eastAsia="Times New Roman" w:hAnsi="Times New Roman"/>
          <w:sz w:val="17"/>
          <w:szCs w:val="17"/>
          <w:color w:val="auto"/>
        </w:rPr>
        <w:t>”) ceasing for any reason to constitute at least a majority of the Board; provided, however, that any individual becoming a director subsequent to the date hereof whose election or nomination for election by the Company’s stockholders was approved by a vote of at least a majority of the Incumbent Directors then in office shall be deemed to be an Incumbent Director (except that this proviso shall not apply to any individual whose initial election as a director occurs as a result of an actual or threatened election contest with respect to the election or removal of directors or other actual or threatened solicitation of proxies or consents by or on behalf of a Person other than the Board); or</w:t>
      </w:r>
    </w:p>
    <w:p>
      <w:pPr>
        <w:spacing w:after="0" w:line="199" w:lineRule="exact"/>
        <w:rPr>
          <w:rFonts w:ascii="Times New Roman" w:cs="Times New Roman" w:eastAsia="Times New Roman" w:hAnsi="Times New Roman"/>
          <w:sz w:val="17"/>
          <w:szCs w:val="17"/>
          <w:color w:val="auto"/>
        </w:rPr>
      </w:pPr>
    </w:p>
    <w:p>
      <w:pPr>
        <w:ind w:right="60" w:firstLine="2478"/>
        <w:spacing w:after="0" w:line="255" w:lineRule="auto"/>
        <w:tabs>
          <w:tab w:leader="none" w:pos="287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or consolidation involving the Company or a sale or other disposition of all or substantially all of the assets of the Company (a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unless, immediately following such Business Combination, each of the following three conditions is satisfied: (A)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subsidiaries)(such resulting or acquiring corporation is referred to as the “Acquiring Corporation”) in substantially the same proportions, relative to one another, as their ownership, immediately prior to such Business Combination, of the Outstanding Company Common Stock and Outstanding Company Voting Securities, respectively, (B) no Person (excluding the Acquiring Corporation or any employee benefit plan (or related trust) maintained or sponsored by the Company or the Acquiring Corporation) beneficially owns, directly or indirectly, 50% or more of the then-outstanding shares of common stock of the Acquiring Corporation, or of the combined voting power of the then-outstanding voting securities of such corporation (except to the extent that such ownership existed prior to the Business Combination) and (C) a majority of the members of the board of directors of the Acquiring Corporation were Incumbent Directors at the time of the execution of the initial agreement, or of the action of the Board, providing for such Business Combination; or</w:t>
      </w:r>
    </w:p>
    <w:p>
      <w:pPr>
        <w:spacing w:after="0" w:line="212" w:lineRule="exact"/>
        <w:rPr>
          <w:rFonts w:ascii="Times New Roman" w:cs="Times New Roman" w:eastAsia="Times New Roman" w:hAnsi="Times New Roman"/>
          <w:sz w:val="17"/>
          <w:szCs w:val="17"/>
          <w:color w:val="auto"/>
        </w:rPr>
      </w:pPr>
    </w:p>
    <w:p>
      <w:pPr>
        <w:ind w:left="2880" w:hanging="402"/>
        <w:spacing w:after="0"/>
        <w:tabs>
          <w:tab w:leader="none" w:pos="288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stockholders of the Company of a complete liquidation or dissolution of the Company.</w:t>
      </w:r>
    </w:p>
    <w:p>
      <w:pPr>
        <w:spacing w:after="0" w:line="24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Notwithstanding the foregoing, if a Change in Control constitutes a payment event with respect to any Award (or portion of any Award) that provides for the deferral of compensation that is subject to Section 409A of the Code, to the extent required to avoid the imposition of additional taxes under Section 409A of the Code, the transaction or event described in subsection (A), (B), (C) or (D) with respect to such Award (or portion thereof) shall only</w:t>
      </w:r>
    </w:p>
    <w:p>
      <w:pPr>
        <w:sectPr>
          <w:pgSz w:w="11900" w:h="16838" w:orient="portrait"/>
          <w:cols w:equalWidth="0" w:num="1">
            <w:col w:w="11240"/>
          </w:cols>
          <w:pgMar w:left="320" w:top="1440" w:right="339" w:bottom="1440" w:gutter="0" w:footer="0" w:header="0"/>
        </w:sectPr>
      </w:pPr>
    </w:p>
    <w:bookmarkStart w:id="126" w:name="page127"/>
    <w:bookmarkEnd w:id="126"/>
    <w:p>
      <w:pPr>
        <w:ind w:right="340"/>
        <w:spacing w:after="0" w:line="287" w:lineRule="auto"/>
        <w:rPr>
          <w:sz w:val="20"/>
          <w:szCs w:val="20"/>
          <w:color w:val="auto"/>
        </w:rPr>
      </w:pPr>
      <w:r>
        <w:rPr>
          <w:rFonts w:ascii="Times New Roman" w:cs="Times New Roman" w:eastAsia="Times New Roman" w:hAnsi="Times New Roman"/>
          <w:sz w:val="17"/>
          <w:szCs w:val="17"/>
          <w:color w:val="auto"/>
        </w:rPr>
        <w:t>constitute a Change in Control for purposes of the payment timing of such Award if such transaction also constitutes a “</w:t>
      </w:r>
      <w:r>
        <w:rPr>
          <w:rFonts w:ascii="Times New Roman" w:cs="Times New Roman" w:eastAsia="Times New Roman" w:hAnsi="Times New Roman"/>
          <w:sz w:val="17"/>
          <w:szCs w:val="17"/>
          <w:u w:val="single" w:color="auto"/>
          <w:color w:val="auto"/>
        </w:rPr>
        <w:t>change in control event</w:t>
      </w:r>
      <w:r>
        <w:rPr>
          <w:rFonts w:ascii="Times New Roman" w:cs="Times New Roman" w:eastAsia="Times New Roman" w:hAnsi="Times New Roman"/>
          <w:sz w:val="17"/>
          <w:szCs w:val="17"/>
          <w:color w:val="auto"/>
        </w:rPr>
        <w:t>,” as defined in Treasury Regulation Section 1.409A-3(i)(5).</w:t>
      </w:r>
    </w:p>
    <w:p>
      <w:pPr>
        <w:spacing w:after="0" w:line="177" w:lineRule="exact"/>
        <w:rPr>
          <w:sz w:val="20"/>
          <w:szCs w:val="20"/>
          <w:color w:val="auto"/>
        </w:rPr>
      </w:pPr>
    </w:p>
    <w:p>
      <w:pPr>
        <w:ind w:left="1580" w:hanging="339"/>
        <w:spacing w:after="0"/>
        <w:tabs>
          <w:tab w:leader="none" w:pos="15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242"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any committee composed of members of the Board appointed by the Board to administer the Plan.</w:t>
      </w:r>
    </w:p>
    <w:p>
      <w:pPr>
        <w:spacing w:after="0" w:line="242" w:lineRule="exact"/>
        <w:rPr>
          <w:rFonts w:ascii="Times New Roman" w:cs="Times New Roman" w:eastAsia="Times New Roman" w:hAnsi="Times New Roman"/>
          <w:sz w:val="17"/>
          <w:szCs w:val="17"/>
          <w:color w:val="auto"/>
        </w:rPr>
      </w:pPr>
    </w:p>
    <w:p>
      <w:pPr>
        <w:ind w:left="1580" w:hanging="339"/>
        <w:spacing w:after="0"/>
        <w:tabs>
          <w:tab w:leader="none" w:pos="15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w:t>
      </w:r>
    </w:p>
    <w:p>
      <w:pPr>
        <w:spacing w:after="0" w:line="242" w:lineRule="exact"/>
        <w:rPr>
          <w:rFonts w:ascii="Times New Roman" w:cs="Times New Roman" w:eastAsia="Times New Roman" w:hAnsi="Times New Roman"/>
          <w:sz w:val="17"/>
          <w:szCs w:val="17"/>
          <w:color w:val="auto"/>
        </w:rPr>
      </w:pPr>
    </w:p>
    <w:p>
      <w:pPr>
        <w:ind w:left="1660" w:hanging="419"/>
        <w:spacing w:after="0"/>
        <w:tabs>
          <w:tab w:leader="none" w:pos="16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ICU Medical, Inc., a Delaware corporation, or any successor entity that assumes the Plan in connection with a Change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Control.</w:t>
      </w:r>
    </w:p>
    <w:p>
      <w:pPr>
        <w:spacing w:after="0" w:line="226" w:lineRule="exact"/>
        <w:rPr>
          <w:sz w:val="20"/>
          <w:szCs w:val="20"/>
          <w:color w:val="auto"/>
        </w:rPr>
      </w:pPr>
    </w:p>
    <w:p>
      <w:pPr>
        <w:ind w:firstLine="1241"/>
        <w:spacing w:after="0" w:line="287" w:lineRule="auto"/>
        <w:tabs>
          <w:tab w:leader="none" w:pos="161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7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Directors” means members of the Board who either (i) have been Board members continuously for a period of at least twelve</w:t>
      </w:r>
    </w:p>
    <w:p>
      <w:pPr>
        <w:spacing w:after="0" w:line="27" w:lineRule="exact"/>
        <w:rPr>
          <w:rFonts w:ascii="Times New Roman" w:cs="Times New Roman" w:eastAsia="Times New Roman" w:hAnsi="Times New Roman"/>
          <w:sz w:val="17"/>
          <w:szCs w:val="17"/>
          <w:color w:val="auto"/>
        </w:rPr>
      </w:pPr>
    </w:p>
    <w:p>
      <w:pPr>
        <w:ind w:right="40" w:firstLine="3"/>
        <w:spacing w:after="0" w:line="266" w:lineRule="auto"/>
        <w:tabs>
          <w:tab w:leader="none" w:pos="32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94" w:lineRule="exact"/>
        <w:rPr>
          <w:rFonts w:ascii="Times New Roman" w:cs="Times New Roman" w:eastAsia="Times New Roman" w:hAnsi="Times New Roman"/>
          <w:sz w:val="17"/>
          <w:szCs w:val="17"/>
          <w:color w:val="auto"/>
        </w:rPr>
      </w:pPr>
    </w:p>
    <w:p>
      <w:pPr>
        <w:ind w:right="40" w:firstLine="1241"/>
        <w:spacing w:after="0" w:line="255" w:lineRule="auto"/>
        <w:tabs>
          <w:tab w:leader="none" w:pos="161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Continuous Service</w:t>
      </w:r>
      <w:r>
        <w:rPr>
          <w:rFonts w:ascii="Times New Roman" w:cs="Times New Roman" w:eastAsia="Times New Roman" w:hAnsi="Times New Roman"/>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Notwithstanding the foregoing, except as otherwise determined by the Administrator, in the event of any spin-off of a Related Entity, service as an Employee, Director or Consultant for such Related Entity following such spin-off shall be deemed to be Continuous Service for purposes of the Plan and any Award under the Plan.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212" w:lineRule="exact"/>
        <w:rPr>
          <w:rFonts w:ascii="Times New Roman" w:cs="Times New Roman" w:eastAsia="Times New Roman" w:hAnsi="Times New Roman"/>
          <w:sz w:val="17"/>
          <w:szCs w:val="17"/>
          <w:color w:val="auto"/>
        </w:rPr>
      </w:pPr>
    </w:p>
    <w:p>
      <w:pPr>
        <w:ind w:right="260" w:firstLine="1241"/>
        <w:spacing w:after="0" w:line="287" w:lineRule="auto"/>
        <w:tabs>
          <w:tab w:leader="none" w:pos="161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77" w:lineRule="exact"/>
        <w:rPr>
          <w:rFonts w:ascii="Times New Roman" w:cs="Times New Roman" w:eastAsia="Times New Roman" w:hAnsi="Times New Roman"/>
          <w:sz w:val="17"/>
          <w:szCs w:val="17"/>
          <w:color w:val="auto"/>
        </w:rPr>
      </w:pPr>
    </w:p>
    <w:p>
      <w:pPr>
        <w:ind w:right="60" w:firstLine="1860"/>
        <w:spacing w:after="0" w:line="287" w:lineRule="auto"/>
        <w:tabs>
          <w:tab w:leader="none" w:pos="2190"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or consolidation in which the Company is not the surviving entity, except for a transaction the principal purpose of which is to change the state in which the Company is incorporated;</w:t>
      </w:r>
    </w:p>
    <w:p>
      <w:pPr>
        <w:spacing w:after="0" w:line="177" w:lineRule="exact"/>
        <w:rPr>
          <w:rFonts w:ascii="Times New Roman" w:cs="Times New Roman" w:eastAsia="Times New Roman" w:hAnsi="Times New Roman"/>
          <w:sz w:val="17"/>
          <w:szCs w:val="17"/>
          <w:color w:val="auto"/>
        </w:rPr>
      </w:pPr>
    </w:p>
    <w:p>
      <w:pPr>
        <w:ind w:left="2240" w:hanging="380"/>
        <w:spacing w:after="0"/>
        <w:tabs>
          <w:tab w:leader="none" w:pos="2240"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transfer or other disposition of all or substantially all of the assets of the Company;</w:t>
      </w:r>
    </w:p>
    <w:p>
      <w:pPr>
        <w:spacing w:after="0" w:line="242" w:lineRule="exact"/>
        <w:rPr>
          <w:rFonts w:ascii="Times New Roman" w:cs="Times New Roman" w:eastAsia="Times New Roman" w:hAnsi="Times New Roman"/>
          <w:sz w:val="17"/>
          <w:szCs w:val="17"/>
          <w:color w:val="auto"/>
        </w:rPr>
      </w:pPr>
    </w:p>
    <w:p>
      <w:pPr>
        <w:ind w:left="2280" w:hanging="420"/>
        <w:spacing w:after="0"/>
        <w:tabs>
          <w:tab w:leader="none" w:pos="2280"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complete liquidation or dissolution of the Company;</w:t>
      </w:r>
    </w:p>
    <w:p>
      <w:pPr>
        <w:sectPr>
          <w:pgSz w:w="11900" w:h="16838" w:orient="portrait"/>
          <w:cols w:equalWidth="0" w:num="1">
            <w:col w:w="11240"/>
          </w:cols>
          <w:pgMar w:left="320" w:top="1361" w:right="339" w:bottom="1440" w:gutter="0" w:footer="0" w:header="0"/>
        </w:sectPr>
      </w:pPr>
    </w:p>
    <w:bookmarkStart w:id="127" w:name="page128"/>
    <w:bookmarkEnd w:id="127"/>
    <w:p>
      <w:pPr>
        <w:spacing w:after="0" w:line="153" w:lineRule="exact"/>
        <w:rPr>
          <w:sz w:val="20"/>
          <w:szCs w:val="20"/>
          <w:color w:val="auto"/>
        </w:rPr>
      </w:pPr>
    </w:p>
    <w:p>
      <w:pPr>
        <w:ind w:firstLine="1860"/>
        <w:spacing w:after="0" w:line="260" w:lineRule="auto"/>
        <w:tabs>
          <w:tab w:leader="none" w:pos="227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forty percent (40%)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spacing w:after="0" w:line="199" w:lineRule="exact"/>
        <w:rPr>
          <w:rFonts w:ascii="Times New Roman" w:cs="Times New Roman" w:eastAsia="Times New Roman" w:hAnsi="Times New Roman"/>
          <w:sz w:val="17"/>
          <w:szCs w:val="17"/>
          <w:color w:val="auto"/>
        </w:rPr>
      </w:pPr>
    </w:p>
    <w:p>
      <w:pPr>
        <w:jc w:val="both"/>
        <w:ind w:right="20" w:firstLine="1860"/>
        <w:spacing w:after="0" w:line="211" w:lineRule="exact"/>
        <w:tabs>
          <w:tab w:leader="none" w:pos="2229"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in a single or series of related transactions by any person or related group of persons (other than the Company or by a Company-sponsored employee benefit plan) of beneficial ownership (within the meaning of Rule 13d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spacing w:after="0" w:line="216" w:lineRule="exact"/>
        <w:rPr>
          <w:rFonts w:ascii="Times New Roman" w:cs="Times New Roman" w:eastAsia="Times New Roman" w:hAnsi="Times New Roman"/>
          <w:sz w:val="17"/>
          <w:szCs w:val="17"/>
          <w:color w:val="auto"/>
        </w:rPr>
      </w:pPr>
    </w:p>
    <w:p>
      <w:pPr>
        <w:ind w:left="1580" w:hanging="339"/>
        <w:spacing w:after="0"/>
        <w:tabs>
          <w:tab w:leader="none" w:pos="15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Employee</w:t>
      </w:r>
      <w:r>
        <w:rPr>
          <w:rFonts w:ascii="Times New Roman" w:cs="Times New Roman" w:eastAsia="Times New Roman" w:hAnsi="Times New Roman"/>
          <w:sz w:val="17"/>
          <w:szCs w:val="17"/>
          <w:color w:val="auto"/>
        </w:rPr>
        <w:t>” means an Employee who is a “covered employee” under Section 162(m)(3) of the Code.</w:t>
      </w:r>
    </w:p>
    <w:p>
      <w:pPr>
        <w:spacing w:after="0" w:line="242"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means a member of the Board or the board of directors of any Related Entity.</w:t>
      </w:r>
    </w:p>
    <w:p>
      <w:pPr>
        <w:spacing w:after="0" w:line="242" w:lineRule="exact"/>
        <w:rPr>
          <w:rFonts w:ascii="Times New Roman" w:cs="Times New Roman" w:eastAsia="Times New Roman" w:hAnsi="Times New Roman"/>
          <w:sz w:val="17"/>
          <w:szCs w:val="17"/>
          <w:color w:val="auto"/>
        </w:rPr>
      </w:pPr>
    </w:p>
    <w:p>
      <w:pPr>
        <w:ind w:firstLine="1241"/>
        <w:spacing w:after="0" w:line="261" w:lineRule="auto"/>
        <w:tabs>
          <w:tab w:leader="none" w:pos="157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services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200"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Dividend Equivalent Right</w:t>
      </w:r>
      <w:r>
        <w:rPr>
          <w:rFonts w:ascii="Times New Roman" w:cs="Times New Roman" w:eastAsia="Times New Roman" w:hAnsi="Times New Roman"/>
          <w:sz w:val="17"/>
          <w:szCs w:val="17"/>
          <w:color w:val="auto"/>
        </w:rPr>
        <w:t>” means a right entitling the Grantee to compensation measured by dividends paid with respect to Common</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w:t>
      </w:r>
    </w:p>
    <w:p>
      <w:pPr>
        <w:spacing w:after="0" w:line="225" w:lineRule="exact"/>
        <w:rPr>
          <w:rFonts w:ascii="Times New Roman" w:cs="Times New Roman" w:eastAsia="Times New Roman" w:hAnsi="Times New Roman"/>
          <w:sz w:val="17"/>
          <w:szCs w:val="17"/>
          <w:color w:val="auto"/>
        </w:rPr>
      </w:pPr>
    </w:p>
    <w:p>
      <w:pPr>
        <w:ind w:firstLine="1241"/>
        <w:spacing w:after="0" w:line="264" w:lineRule="auto"/>
        <w:tabs>
          <w:tab w:leader="none" w:pos="161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means, for purposes of the Plan (as amended and restated), the date on which the Plan is approved by the Company’s stockholders; provided, however, that solely for purposes of the last sentence of Section 12, the Effective Date shall be the date on which the Plan (as amended and restated) is adopted by the Board, subject to approval of the Plan (as amended and restated) by the Company’s stockholders. Notwithstanding the foregoing, the Original Plan shall remain in effect on its existing terms unless and until the Plan (as amended and restated) is approved by the Company’s stockholders.</w:t>
      </w:r>
    </w:p>
    <w:p>
      <w:pPr>
        <w:spacing w:after="0" w:line="197" w:lineRule="exact"/>
        <w:rPr>
          <w:rFonts w:ascii="Times New Roman" w:cs="Times New Roman" w:eastAsia="Times New Roman" w:hAnsi="Times New Roman"/>
          <w:sz w:val="17"/>
          <w:szCs w:val="17"/>
          <w:color w:val="auto"/>
        </w:rPr>
      </w:pPr>
    </w:p>
    <w:p>
      <w:pPr>
        <w:ind w:firstLine="1241"/>
        <w:spacing w:after="0" w:line="270" w:lineRule="auto"/>
        <w:tabs>
          <w:tab w:leader="none" w:pos="164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91"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242"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means, as of any date, the value of Common Stock determined as follows:</w:t>
      </w:r>
    </w:p>
    <w:p>
      <w:pPr>
        <w:spacing w:after="0" w:line="242" w:lineRule="exact"/>
        <w:rPr>
          <w:rFonts w:ascii="Times New Roman" w:cs="Times New Roman" w:eastAsia="Times New Roman" w:hAnsi="Times New Roman"/>
          <w:sz w:val="17"/>
          <w:szCs w:val="17"/>
          <w:color w:val="auto"/>
        </w:rPr>
      </w:pPr>
    </w:p>
    <w:p>
      <w:pPr>
        <w:jc w:val="both"/>
        <w:ind w:firstLine="1860"/>
        <w:spacing w:after="0" w:line="270" w:lineRule="auto"/>
        <w:tabs>
          <w:tab w:leader="none" w:pos="219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w:t>
      </w:r>
    </w:p>
    <w:p>
      <w:pPr>
        <w:sectPr>
          <w:pgSz w:w="11900" w:h="16838" w:orient="portrait"/>
          <w:cols w:equalWidth="0" w:num="1">
            <w:col w:w="11220"/>
          </w:cols>
          <w:pgMar w:left="320" w:top="1440" w:right="359" w:bottom="1440" w:gutter="0" w:footer="0" w:header="0"/>
        </w:sectPr>
      </w:pPr>
    </w:p>
    <w:bookmarkStart w:id="128" w:name="page129"/>
    <w:bookmarkEnd w:id="128"/>
    <w:p>
      <w:pPr>
        <w:ind w:right="120"/>
        <w:spacing w:after="0" w:line="270" w:lineRule="auto"/>
        <w:rPr>
          <w:sz w:val="20"/>
          <w:szCs w:val="20"/>
          <w:color w:val="auto"/>
        </w:rPr>
      </w:pPr>
      <w:r>
        <w:rPr>
          <w:rFonts w:ascii="Times New Roman" w:cs="Times New Roman" w:eastAsia="Times New Roman" w:hAnsi="Times New Roman"/>
          <w:sz w:val="17"/>
          <w:szCs w:val="17"/>
          <w:color w:val="auto"/>
        </w:rPr>
        <w:t>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91" w:lineRule="exact"/>
        <w:rPr>
          <w:sz w:val="20"/>
          <w:szCs w:val="20"/>
          <w:color w:val="auto"/>
        </w:rPr>
      </w:pPr>
    </w:p>
    <w:p>
      <w:pPr>
        <w:ind w:right="100" w:firstLine="1860"/>
        <w:spacing w:after="0" w:line="261" w:lineRule="auto"/>
        <w:tabs>
          <w:tab w:leader="none" w:pos="223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200" w:lineRule="exact"/>
        <w:rPr>
          <w:rFonts w:ascii="Times New Roman" w:cs="Times New Roman" w:eastAsia="Times New Roman" w:hAnsi="Times New Roman"/>
          <w:sz w:val="17"/>
          <w:szCs w:val="17"/>
          <w:color w:val="auto"/>
        </w:rPr>
      </w:pPr>
    </w:p>
    <w:p>
      <w:pPr>
        <w:ind w:right="120" w:firstLine="1860"/>
        <w:spacing w:after="0" w:line="287" w:lineRule="auto"/>
        <w:tabs>
          <w:tab w:leader="none" w:pos="228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of the type described in (i) and (ii), above, the Fair Market Value thereof shall be determined by the Administrator in good faith.</w:t>
      </w:r>
    </w:p>
    <w:p>
      <w:pPr>
        <w:spacing w:after="0" w:line="177" w:lineRule="exact"/>
        <w:rPr>
          <w:sz w:val="20"/>
          <w:szCs w:val="20"/>
          <w:color w:val="auto"/>
        </w:rPr>
      </w:pPr>
    </w:p>
    <w:p>
      <w:pPr>
        <w:ind w:left="1240"/>
        <w:spacing w:after="0"/>
        <w:tabs>
          <w:tab w:leader="none" w:pos="1580" w:val="left"/>
        </w:tabs>
        <w:rPr>
          <w:sz w:val="20"/>
          <w:szCs w:val="20"/>
          <w:color w:val="auto"/>
        </w:rPr>
      </w:pPr>
      <w:r>
        <w:rPr>
          <w:rFonts w:ascii="Times New Roman" w:cs="Times New Roman" w:eastAsia="Times New Roman" w:hAnsi="Times New Roman"/>
          <w:sz w:val="17"/>
          <w:szCs w:val="17"/>
          <w:color w:val="auto"/>
        </w:rPr>
        <w:t>(z)</w:t>
        <w:tab/>
        <w:t>“</w:t>
      </w:r>
      <w:r>
        <w:rPr>
          <w:rFonts w:ascii="Times New Roman" w:cs="Times New Roman" w:eastAsia="Times New Roman" w:hAnsi="Times New Roman"/>
          <w:sz w:val="17"/>
          <w:szCs w:val="17"/>
          <w:u w:val="single" w:color="auto"/>
          <w:color w:val="auto"/>
        </w:rPr>
        <w:t>Grantee</w:t>
      </w:r>
      <w:r>
        <w:rPr>
          <w:rFonts w:ascii="Times New Roman" w:cs="Times New Roman" w:eastAsia="Times New Roman" w:hAnsi="Times New Roman"/>
          <w:sz w:val="17"/>
          <w:szCs w:val="17"/>
          <w:color w:val="auto"/>
        </w:rPr>
        <w:t>” means an Employee, Director or Consultant who receives an Award under the Plan.</w:t>
      </w:r>
    </w:p>
    <w:p>
      <w:pPr>
        <w:spacing w:after="0" w:line="243" w:lineRule="exact"/>
        <w:rPr>
          <w:sz w:val="20"/>
          <w:szCs w:val="20"/>
          <w:color w:val="auto"/>
        </w:rPr>
      </w:pPr>
    </w:p>
    <w:p>
      <w:pPr>
        <w:ind w:left="1240"/>
        <w:spacing w:after="0"/>
        <w:tabs>
          <w:tab w:leader="none" w:pos="1660" w:val="left"/>
        </w:tabs>
        <w:rPr>
          <w:sz w:val="20"/>
          <w:szCs w:val="20"/>
          <w:color w:val="auto"/>
        </w:rPr>
      </w:pPr>
      <w:r>
        <w:rPr>
          <w:rFonts w:ascii="Times New Roman" w:cs="Times New Roman" w:eastAsia="Times New Roman" w:hAnsi="Times New Roman"/>
          <w:sz w:val="17"/>
          <w:szCs w:val="17"/>
          <w:color w:val="auto"/>
        </w:rPr>
        <w:t>(aa)</w:t>
        <w:tab/>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means an Option intended to qualify as an incentive stock option within the meaning of Section 422 of the Code.</w:t>
      </w:r>
    </w:p>
    <w:p>
      <w:pPr>
        <w:spacing w:after="0" w:line="243" w:lineRule="exact"/>
        <w:rPr>
          <w:sz w:val="20"/>
          <w:szCs w:val="20"/>
          <w:color w:val="auto"/>
        </w:rPr>
      </w:pPr>
    </w:p>
    <w:p>
      <w:pPr>
        <w:ind w:left="1240"/>
        <w:spacing w:after="0"/>
        <w:tabs>
          <w:tab w:leader="none" w:pos="1660" w:val="left"/>
        </w:tabs>
        <w:rPr>
          <w:sz w:val="20"/>
          <w:szCs w:val="20"/>
          <w:color w:val="auto"/>
        </w:rPr>
      </w:pPr>
      <w:r>
        <w:rPr>
          <w:rFonts w:ascii="Times New Roman" w:cs="Times New Roman" w:eastAsia="Times New Roman" w:hAnsi="Times New Roman"/>
          <w:sz w:val="17"/>
          <w:szCs w:val="17"/>
          <w:color w:val="auto"/>
        </w:rPr>
        <w:t>(aa)</w:t>
        <w:tab/>
        <w:t>“</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means an Option not intended to qualify as an Incentive Stock Option.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(ab)</w:t>
            </w:r>
          </w:p>
        </w:tc>
        <w:tc>
          <w:tcPr>
            <w:tcW w:w="96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“Officer” means a person who is an officer of the Company or a Related Entity within the meaning of Section 16 of the Exchange Act and</w:t>
            </w:r>
          </w:p>
        </w:tc>
      </w:tr>
      <w:tr>
        <w:trPr>
          <w:trHeight w:val="20"/>
        </w:trPr>
        <w:tc>
          <w:tcPr>
            <w:tcW w:w="17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5"/>
        </w:trPr>
        <w:tc>
          <w:tcPr>
            <w:tcW w:w="112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rules and regulations promulgated thereunder.</w:t>
            </w:r>
          </w:p>
        </w:tc>
      </w:tr>
      <w:tr>
        <w:trPr>
          <w:trHeight w:val="399"/>
        </w:trPr>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(ac)</w:t>
            </w:r>
          </w:p>
        </w:tc>
        <w:tc>
          <w:tcPr>
            <w:tcW w:w="96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“Option” means an option to purchase Shares pursuant to an Award Agreement granted under the Plan.</w:t>
            </w:r>
          </w:p>
        </w:tc>
      </w:tr>
      <w:tr>
        <w:trPr>
          <w:trHeight w:val="20"/>
        </w:trPr>
        <w:tc>
          <w:tcPr>
            <w:tcW w:w="15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418"/>
        </w:trPr>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(ad)</w:t>
            </w:r>
          </w:p>
        </w:tc>
        <w:tc>
          <w:tcPr>
            <w:tcW w:w="96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“Parent” means a “parent corporation,” whether now or hereafter existing, as defined in Section 424(e) of the Code.</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418"/>
        </w:trPr>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(ae)</w:t>
            </w:r>
          </w:p>
        </w:tc>
        <w:tc>
          <w:tcPr>
            <w:tcW w:w="96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“Performance-Based Compensation” means compensation qualifying as “performance-based compensation” under Section 162(m) of the</w:t>
            </w:r>
          </w:p>
        </w:tc>
      </w:tr>
      <w:tr>
        <w:trPr>
          <w:trHeight w:val="225"/>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Code.</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399"/>
        </w:trPr>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(af)</w:t>
            </w:r>
          </w:p>
        </w:tc>
        <w:tc>
          <w:tcPr>
            <w:tcW w:w="9620" w:type="dxa"/>
            <w:vAlign w:val="bottom"/>
            <w:gridSpan w:val="9"/>
          </w:tcPr>
          <w:p>
            <w:pPr>
              <w:ind w:left="80"/>
              <w:spacing w:after="0"/>
              <w:rPr>
                <w:sz w:val="20"/>
                <w:szCs w:val="20"/>
                <w:color w:val="auto"/>
              </w:rPr>
            </w:pPr>
            <w:r>
              <w:rPr>
                <w:rFonts w:ascii="Times New Roman" w:cs="Times New Roman" w:eastAsia="Times New Roman" w:hAnsi="Times New Roman"/>
                <w:sz w:val="17"/>
                <w:szCs w:val="17"/>
                <w:color w:val="auto"/>
              </w:rPr>
              <w:t>“Plan” means this Amended and Restated 2011 Stock Incentive Plan.</w:t>
            </w:r>
          </w:p>
        </w:tc>
      </w:tr>
      <w:tr>
        <w:trPr>
          <w:trHeight w:val="20"/>
        </w:trPr>
        <w:tc>
          <w:tcPr>
            <w:tcW w:w="15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r>
      <w:tr>
        <w:trPr>
          <w:trHeight w:val="418"/>
        </w:trPr>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(ag)</w:t>
            </w:r>
          </w:p>
        </w:tc>
        <w:tc>
          <w:tcPr>
            <w:tcW w:w="96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“Related Entity” means any Parent or Subsidiary of the Company.</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r>
      <w:tr>
        <w:trPr>
          <w:trHeight w:val="418"/>
        </w:trPr>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(ah)</w:t>
            </w:r>
          </w:p>
        </w:tc>
        <w:tc>
          <w:tcPr>
            <w:tcW w:w="96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“Replaced” means that pursuant to a Change in Control or Corporate Transaction the Award is replaced with a comparable stock award or</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 cash incentive program of the Company, the successor entity (if applicable) or Parent of either of them which preserves the compensation element of such Award existing at the time of the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(ai)</w:t>
            </w:r>
          </w:p>
        </w:tc>
        <w:tc>
          <w:tcPr>
            <w:tcW w:w="93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“Restricted Stock” means Shares issued under the Plan to the Grantee for such consideration, if any, and subject to such restrictions on</w:t>
            </w:r>
          </w:p>
        </w:tc>
      </w:tr>
      <w:tr>
        <w:trPr>
          <w:trHeight w:val="20"/>
        </w:trPr>
        <w:tc>
          <w:tcPr>
            <w:tcW w:w="172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25"/>
        </w:trPr>
        <w:tc>
          <w:tcPr>
            <w:tcW w:w="109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transfer, rights of first refusal, repurchase provisions, forfeiture provisions, and other terms and conditions as established by the Administrator.</w:t>
            </w:r>
          </w:p>
        </w:tc>
      </w:tr>
      <w:tr>
        <w:trPr>
          <w:trHeight w:val="399"/>
        </w:trPr>
        <w:tc>
          <w:tcPr>
            <w:tcW w:w="156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(aj)</w:t>
            </w:r>
          </w:p>
        </w:tc>
        <w:tc>
          <w:tcPr>
            <w:tcW w:w="934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“Restricted Stock Units” means an Award which may be earned in whole or in part upon the passage of time or the attainment of</w:t>
            </w:r>
          </w:p>
        </w:tc>
      </w:tr>
      <w:tr>
        <w:trPr>
          <w:trHeight w:val="20"/>
        </w:trPr>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criteria established by the Administrator and which may be</w:t>
      </w:r>
    </w:p>
    <w:p>
      <w:pPr>
        <w:sectPr>
          <w:pgSz w:w="11900" w:h="16838" w:orient="portrait"/>
          <w:cols w:equalWidth="0" w:num="1">
            <w:col w:w="11220"/>
          </w:cols>
          <w:pgMar w:left="320" w:top="136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color w:val="auto"/>
        </w:rPr>
        <w:t>settled for cash, Shares or other securities or a combination of cash, Shares or other securities as established by the Administrator.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(ak)</w:t>
            </w:r>
          </w:p>
        </w:tc>
        <w:tc>
          <w:tcPr>
            <w:tcW w:w="90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“Rule 16b-3” means Rule 16b-3 promulgated under the Exchange Act or any successor thereto.</w:t>
            </w: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418"/>
        </w:trPr>
        <w:tc>
          <w:tcPr>
            <w:tcW w:w="160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(al)</w:t>
            </w:r>
          </w:p>
        </w:tc>
        <w:tc>
          <w:tcPr>
            <w:tcW w:w="902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auto"/>
              </w:rPr>
              <w:t>“SAR” means a stock appreciation right entitling the Grantee to Shares or cash compensation, as established by the Administrator,</w:t>
            </w:r>
          </w:p>
        </w:tc>
      </w:tr>
      <w:tr>
        <w:trPr>
          <w:trHeight w:val="20"/>
        </w:trPr>
        <w:tc>
          <w:tcPr>
            <w:tcW w:w="1720" w:type="dxa"/>
            <w:vAlign w:val="bottom"/>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25"/>
        </w:trPr>
        <w:tc>
          <w:tcPr>
            <w:tcW w:w="106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measured by appreciation in the value of Common Stock.</w:t>
            </w:r>
          </w:p>
        </w:tc>
      </w:tr>
      <w:tr>
        <w:trPr>
          <w:trHeight w:val="399"/>
        </w:trPr>
        <w:tc>
          <w:tcPr>
            <w:tcW w:w="160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(am)</w:t>
            </w:r>
          </w:p>
        </w:tc>
        <w:tc>
          <w:tcPr>
            <w:tcW w:w="120" w:type="dxa"/>
            <w:vAlign w:val="bottom"/>
          </w:tcPr>
          <w:p>
            <w:pPr>
              <w:spacing w:after="0"/>
              <w:rPr>
                <w:sz w:val="24"/>
                <w:szCs w:val="24"/>
                <w:color w:val="auto"/>
              </w:rPr>
            </w:pPr>
          </w:p>
        </w:tc>
        <w:tc>
          <w:tcPr>
            <w:tcW w:w="89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“Share” means a share of the Common Stock.</w:t>
            </w:r>
          </w:p>
        </w:tc>
      </w:tr>
      <w:tr>
        <w:trPr>
          <w:trHeight w:val="20"/>
        </w:trPr>
        <w:tc>
          <w:tcPr>
            <w:tcW w:w="1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418"/>
        </w:trPr>
        <w:tc>
          <w:tcPr>
            <w:tcW w:w="160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(an)</w:t>
            </w:r>
          </w:p>
        </w:tc>
        <w:tc>
          <w:tcPr>
            <w:tcW w:w="90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“Subsidiary” means a “subsidiary corporation,” whether now or hereafter existing, as defined in Section 424(f) of the Code.</w:t>
            </w: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bl>
    <w:p>
      <w:pPr>
        <w:spacing w:after="0" w:line="241" w:lineRule="exact"/>
        <w:rPr>
          <w:sz w:val="20"/>
          <w:szCs w:val="20"/>
          <w:color w:val="auto"/>
        </w:rPr>
      </w:pPr>
    </w:p>
    <w:p>
      <w:pPr>
        <w:ind w:left="920" w:hanging="298"/>
        <w:spacing w:after="0"/>
        <w:tabs>
          <w:tab w:leader="none" w:pos="9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Subject to the Plan</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right="20" w:firstLine="1241"/>
        <w:spacing w:after="0" w:line="258" w:lineRule="auto"/>
        <w:tabs>
          <w:tab w:leader="none" w:pos="160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10, below, the maximum aggregate number of Shares which may be issued pursuant to all Awards (including Incentive Stock Options) is equal to the sum of 4,179,510 Shares (the “Share Limit”). The maximum aggregate number of Shares which may be issued pursuant to all Awards of Incentive Stock Options is 4,179,510 Shares. Notwithstanding the foregoing, any Shares covered by Awards other than Options and SARs shall be counted against the limit set forth herein as 2.09 Shares for every one (1) Share issued in connection with such Award (and shall be counted as 2.09 Shares for every one (1) Share returned or deemed not have been issued from the Plan pursuant to Section 3(b) below in connection with Awards other than Options and SARs). SARs payable in Shares shall reduce the maximum aggregate number of Shares which may be issued under the Plan only by the gross number of actual Shares issued to the Grantee upon exercise of the SAR. The Shares to be issued pursuant to Awards may be authorized, but unissued, or reacquired Common Stock.</w:t>
      </w:r>
    </w:p>
    <w:p>
      <w:pPr>
        <w:spacing w:after="0" w:line="200" w:lineRule="exact"/>
        <w:rPr>
          <w:rFonts w:ascii="Times New Roman" w:cs="Times New Roman" w:eastAsia="Times New Roman" w:hAnsi="Times New Roman"/>
          <w:sz w:val="17"/>
          <w:szCs w:val="17"/>
          <w:color w:val="auto"/>
        </w:rPr>
      </w:pPr>
    </w:p>
    <w:p>
      <w:pPr>
        <w:spacing w:after="0" w:line="211" w:lineRule="exact"/>
        <w:rPr>
          <w:rFonts w:ascii="Times New Roman" w:cs="Times New Roman" w:eastAsia="Times New Roman" w:hAnsi="Times New Roman"/>
          <w:sz w:val="17"/>
          <w:szCs w:val="17"/>
          <w:color w:val="auto"/>
        </w:rPr>
      </w:pPr>
    </w:p>
    <w:p>
      <w:pPr>
        <w:ind w:right="140" w:firstLine="1241"/>
        <w:spacing w:after="0" w:line="257" w:lineRule="auto"/>
        <w:tabs>
          <w:tab w:leader="none" w:pos="160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 lower of their original purchase price or their Fair Market Value at the time of repurchase, such Shares shall become available for future grant under the Plan. Notwithstanding anything to the contrary contained herein: (i) Shares tendered or withheld in payment of an Option exercise price shall not be returned to the Plan and shall not become available for future issuance under the Plan; (ii) Shares withheld by the Company to satisfy any tax withholding obligation shall not be returned to the Plan and shall not become available for future issuance under the Plan; (iii) all Shares covered by the portion of an SAR that is exercised (whether or not Shares are actually issued to the Grantee upon exercise of the SAR) shall be considered issued pursuant to the Plan; and (iv) Shares purchased on the open market by the Company with the cash proceeds received from the exercise of Options shall not be returned to the Plan and shall not become available for future issuance under the Plan.</w:t>
      </w:r>
    </w:p>
    <w:p>
      <w:pPr>
        <w:spacing w:after="0" w:line="2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of the Plan</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Administrator.</w:t>
      </w:r>
    </w:p>
    <w:p>
      <w:pPr>
        <w:spacing w:after="0" w:line="242" w:lineRule="exact"/>
        <w:rPr>
          <w:rFonts w:ascii="Times New Roman" w:cs="Times New Roman" w:eastAsia="Times New Roman" w:hAnsi="Times New Roman"/>
          <w:sz w:val="17"/>
          <w:szCs w:val="17"/>
          <w:color w:val="auto"/>
        </w:rPr>
      </w:pPr>
    </w:p>
    <w:p>
      <w:pPr>
        <w:ind w:firstLine="1860"/>
        <w:spacing w:after="0" w:line="210" w:lineRule="exact"/>
        <w:tabs>
          <w:tab w:leader="none" w:pos="2190" w:val="left"/>
        </w:tabs>
        <w:numPr>
          <w:ilvl w:val="2"/>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with Respect to Directors and Officers</w:t>
      </w:r>
      <w:r>
        <w:rPr>
          <w:rFonts w:ascii="Times New Roman" w:cs="Times New Roman" w:eastAsia="Times New Roman" w:hAnsi="Times New Roman"/>
          <w:sz w:val="17"/>
          <w:szCs w:val="17"/>
          <w:color w:val="auto"/>
        </w:rPr>
        <w:t>.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 Once appointed, such Committee shall continue to serve in its designated capacity until otherwise directed by the Board.</w:t>
      </w:r>
    </w:p>
    <w:p>
      <w:pPr>
        <w:sectPr>
          <w:pgSz w:w="11900" w:h="16838" w:orient="portrait"/>
          <w:cols w:equalWidth="0" w:num="1">
            <w:col w:w="11240"/>
          </w:cols>
          <w:pgMar w:left="320" w:top="1361" w:right="339" w:bottom="1440" w:gutter="0" w:footer="0" w:header="0"/>
        </w:sectPr>
      </w:pPr>
    </w:p>
    <w:bookmarkStart w:id="130" w:name="page131"/>
    <w:bookmarkEnd w:id="130"/>
    <w:p>
      <w:pPr>
        <w:ind w:left="-1120" w:right="60" w:firstLine="1860"/>
        <w:spacing w:after="0" w:line="261" w:lineRule="auto"/>
        <w:tabs>
          <w:tab w:leader="none" w:pos="1118"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with Respect to Consultants and Other Employees</w:t>
      </w:r>
      <w:r>
        <w:rPr>
          <w:rFonts w:ascii="Times New Roman" w:cs="Times New Roman" w:eastAsia="Times New Roman" w:hAnsi="Times New Roman"/>
          <w:sz w:val="17"/>
          <w:szCs w:val="17"/>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the Board determines from time to time.</w:t>
      </w:r>
    </w:p>
    <w:p>
      <w:pPr>
        <w:spacing w:after="0" w:line="200" w:lineRule="exact"/>
        <w:rPr>
          <w:rFonts w:ascii="Times New Roman" w:cs="Times New Roman" w:eastAsia="Times New Roman" w:hAnsi="Times New Roman"/>
          <w:sz w:val="17"/>
          <w:szCs w:val="17"/>
          <w:color w:val="auto"/>
        </w:rPr>
      </w:pPr>
    </w:p>
    <w:p>
      <w:pPr>
        <w:jc w:val="both"/>
        <w:ind w:left="-1120" w:firstLine="1860"/>
        <w:spacing w:after="0" w:line="264" w:lineRule="auto"/>
        <w:tabs>
          <w:tab w:leader="none" w:pos="1166"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with Respect to Covered Employees</w:t>
      </w:r>
      <w:r>
        <w:rPr>
          <w:rFonts w:ascii="Times New Roman" w:cs="Times New Roman" w:eastAsia="Times New Roman" w:hAnsi="Times New Roman"/>
          <w:sz w:val="17"/>
          <w:szCs w:val="17"/>
          <w:color w:val="auto"/>
        </w:rPr>
        <w:t>. Notwithstanding the foregoing, grants of Awards to any Covered Employee intended to qualify as Performance-Based Compensation shall be made only by a Committee (or subcommittee of a Committee) which is comprised solely of two or more Directors eligible to serve on a committee making Awards intended to qualify as Performance-Based Compensation. In the case of such Awards granted to Covered Employees, references to the “Administrator” or to a “Committee” shall be deemed to be references to such Committee or subcommittee.</w:t>
      </w:r>
    </w:p>
    <w:p>
      <w:pPr>
        <w:spacing w:after="0" w:line="197" w:lineRule="exact"/>
        <w:rPr>
          <w:rFonts w:ascii="Times New Roman" w:cs="Times New Roman" w:eastAsia="Times New Roman" w:hAnsi="Times New Roman"/>
          <w:sz w:val="17"/>
          <w:szCs w:val="17"/>
          <w:color w:val="auto"/>
        </w:rPr>
      </w:pPr>
    </w:p>
    <w:p>
      <w:pPr>
        <w:ind w:left="-1120" w:right="140" w:firstLine="1860"/>
        <w:spacing w:after="0" w:line="287" w:lineRule="auto"/>
        <w:tabs>
          <w:tab w:leader="none" w:pos="1156"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Errors</w:t>
      </w:r>
      <w:r>
        <w:rPr>
          <w:rFonts w:ascii="Times New Roman" w:cs="Times New Roman" w:eastAsia="Times New Roman" w:hAnsi="Times New Roman"/>
          <w:sz w:val="17"/>
          <w:szCs w:val="17"/>
          <w:color w:val="auto"/>
        </w:rPr>
        <w:t>. In the event an Award is granted in a manner inconsistent with the provisions of this subsection (a), such Award shall be presumptively valid as of its grant date to the extent permitted by the Applicable Laws.</w:t>
      </w:r>
    </w:p>
    <w:p>
      <w:pPr>
        <w:spacing w:after="0" w:line="177" w:lineRule="exact"/>
        <w:rPr>
          <w:rFonts w:ascii="Times New Roman" w:cs="Times New Roman" w:eastAsia="Times New Roman" w:hAnsi="Times New Roman"/>
          <w:sz w:val="17"/>
          <w:szCs w:val="17"/>
          <w:color w:val="auto"/>
        </w:rPr>
      </w:pPr>
    </w:p>
    <w:p>
      <w:pPr>
        <w:ind w:left="-1120" w:right="720" w:firstLine="1241"/>
        <w:spacing w:after="0" w:line="287" w:lineRule="auto"/>
        <w:tabs>
          <w:tab w:leader="none" w:pos="49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 of the Administrator</w:t>
      </w:r>
      <w:r>
        <w:rPr>
          <w:rFonts w:ascii="Times New Roman" w:cs="Times New Roman" w:eastAsia="Times New Roman" w:hAnsi="Times New Roman"/>
          <w:sz w:val="17"/>
          <w:szCs w:val="17"/>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77" w:lineRule="exact"/>
        <w:rPr>
          <w:rFonts w:ascii="Times New Roman" w:cs="Times New Roman" w:eastAsia="Times New Roman" w:hAnsi="Times New Roman"/>
          <w:sz w:val="17"/>
          <w:szCs w:val="17"/>
          <w:color w:val="auto"/>
        </w:rPr>
      </w:pPr>
    </w:p>
    <w:p>
      <w:pPr>
        <w:ind w:left="1080" w:hanging="340"/>
        <w:spacing w:after="0"/>
        <w:tabs>
          <w:tab w:leader="none" w:pos="10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the Employees, Directors and Consultants to whom Awards may be granted from time to time hereunder;</w:t>
      </w:r>
    </w:p>
    <w:p>
      <w:pPr>
        <w:spacing w:after="0" w:line="242" w:lineRule="exact"/>
        <w:rPr>
          <w:rFonts w:ascii="Times New Roman" w:cs="Times New Roman" w:eastAsia="Times New Roman" w:hAnsi="Times New Roman"/>
          <w:sz w:val="17"/>
          <w:szCs w:val="17"/>
          <w:color w:val="auto"/>
        </w:rPr>
      </w:pPr>
    </w:p>
    <w:p>
      <w:pPr>
        <w:ind w:left="1120" w:hanging="380"/>
        <w:spacing w:after="0"/>
        <w:tabs>
          <w:tab w:leader="none" w:pos="11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and to what extent Awards are granted hereunder;</w:t>
      </w:r>
    </w:p>
    <w:p>
      <w:pPr>
        <w:spacing w:after="0" w:line="242" w:lineRule="exact"/>
        <w:rPr>
          <w:rFonts w:ascii="Times New Roman" w:cs="Times New Roman" w:eastAsia="Times New Roman" w:hAnsi="Times New Roman"/>
          <w:sz w:val="17"/>
          <w:szCs w:val="17"/>
          <w:color w:val="auto"/>
        </w:rPr>
      </w:pPr>
    </w:p>
    <w:p>
      <w:pPr>
        <w:ind w:left="1160" w:hanging="420"/>
        <w:spacing w:after="0"/>
        <w:tabs>
          <w:tab w:leader="none" w:pos="11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or the amount of other consideration to be covered by each Award granted hereunder;</w:t>
      </w:r>
    </w:p>
    <w:p>
      <w:pPr>
        <w:spacing w:after="0" w:line="242" w:lineRule="exact"/>
        <w:rPr>
          <w:rFonts w:ascii="Times New Roman" w:cs="Times New Roman" w:eastAsia="Times New Roman" w:hAnsi="Times New Roman"/>
          <w:sz w:val="17"/>
          <w:szCs w:val="17"/>
          <w:color w:val="auto"/>
        </w:rPr>
      </w:pPr>
    </w:p>
    <w:p>
      <w:pPr>
        <w:ind w:left="1160" w:hanging="420"/>
        <w:spacing w:after="0"/>
        <w:tabs>
          <w:tab w:leader="none" w:pos="11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forms of Award Agreements for use under the Plan;</w:t>
      </w:r>
    </w:p>
    <w:p>
      <w:pPr>
        <w:spacing w:after="0" w:line="242" w:lineRule="exact"/>
        <w:rPr>
          <w:rFonts w:ascii="Times New Roman" w:cs="Times New Roman" w:eastAsia="Times New Roman" w:hAnsi="Times New Roman"/>
          <w:sz w:val="17"/>
          <w:szCs w:val="17"/>
          <w:color w:val="auto"/>
        </w:rPr>
      </w:pPr>
    </w:p>
    <w:p>
      <w:pPr>
        <w:ind w:left="1120" w:hanging="380"/>
        <w:spacing w:after="0"/>
        <w:tabs>
          <w:tab w:leader="none" w:pos="11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of any Award granted hereunder;</w:t>
      </w:r>
    </w:p>
    <w:p>
      <w:pPr>
        <w:spacing w:after="0" w:line="242" w:lineRule="exact"/>
        <w:rPr>
          <w:rFonts w:ascii="Times New Roman" w:cs="Times New Roman" w:eastAsia="Times New Roman" w:hAnsi="Times New Roman"/>
          <w:sz w:val="17"/>
          <w:szCs w:val="17"/>
          <w:color w:val="auto"/>
        </w:rPr>
      </w:pPr>
    </w:p>
    <w:p>
      <w:pPr>
        <w:ind w:left="-1120" w:right="20" w:firstLine="1860"/>
        <w:spacing w:after="0" w:line="257" w:lineRule="auto"/>
        <w:tabs>
          <w:tab w:leader="none" w:pos="1156"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the terms of any outstanding Award granted under the Plan, provided that (A)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(B) the reduction of the exercise price of any Option awarded under the Plan and the base appreciation amount of any SAR awarded under the Plan shall be subject to stockholder approval and (C) canceling an Option or SAR at a time when its exercise price or base appreciation amount (as applicable) exceeds the Fair Market Value of the underlying Shares, in exchange for cash or for another Option, SAR, Restricted Stock or other Award shall be subject to stockholder approval, unless the cancellation and exchange occurs in connection with a Corporate Transaction or Change in Control. Notwithstanding the foregoing, canceling an Option or SAR in exchange for another Option, SAR, Restricted Stock or other Award with an exercise price, purchase price or base appreciation amount (as applicable) that is equal to or greater than the exercise price or base appreciation amount (as applicable) of the original Option or SAR shall not be subject to stockholder approval;</w:t>
      </w:r>
    </w:p>
    <w:p>
      <w:pPr>
        <w:spacing w:after="0" w:line="201" w:lineRule="exact"/>
        <w:rPr>
          <w:rFonts w:ascii="Times New Roman" w:cs="Times New Roman" w:eastAsia="Times New Roman" w:hAnsi="Times New Roman"/>
          <w:sz w:val="17"/>
          <w:szCs w:val="17"/>
          <w:color w:val="auto"/>
        </w:rPr>
      </w:pPr>
    </w:p>
    <w:p>
      <w:pPr>
        <w:ind w:left="-1120" w:right="740" w:firstLine="1860"/>
        <w:spacing w:after="0" w:line="287" w:lineRule="auto"/>
        <w:tabs>
          <w:tab w:leader="none" w:pos="120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terms of the Plan and Awards, including without limitation, any notice of award or Award Agreement, granted pursuant to the Plan;</w:t>
      </w:r>
    </w:p>
    <w:p>
      <w:pPr>
        <w:spacing w:after="0" w:line="177" w:lineRule="exact"/>
        <w:rPr>
          <w:rFonts w:ascii="Times New Roman" w:cs="Times New Roman" w:eastAsia="Times New Roman" w:hAnsi="Times New Roman"/>
          <w:sz w:val="17"/>
          <w:szCs w:val="17"/>
          <w:color w:val="auto"/>
        </w:rPr>
      </w:pPr>
    </w:p>
    <w:p>
      <w:pPr>
        <w:ind w:left="-1120" w:right="360" w:firstLine="1860"/>
        <w:spacing w:after="0" w:line="287" w:lineRule="auto"/>
        <w:tabs>
          <w:tab w:leader="none" w:pos="125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grant Awards to Employees, Directors and Consultants employed outside the United States on such terms and conditions different from those specified in the Plan as may, in the judgment of the Administrator, be necessary or desirable to further the purpose of the Plan; and</w:t>
      </w:r>
    </w:p>
    <w:p>
      <w:pPr>
        <w:sectPr>
          <w:pgSz w:w="11900" w:h="16838" w:orient="portrait"/>
          <w:cols w:equalWidth="0" w:num="1">
            <w:col w:w="10080"/>
          </w:cols>
          <w:pgMar w:left="1440" w:top="1361" w:right="379" w:bottom="1440" w:gutter="0" w:footer="0" w:header="0"/>
        </w:sectPr>
      </w:pPr>
    </w:p>
    <w:bookmarkStart w:id="131" w:name="page132"/>
    <w:bookmarkEnd w:id="131"/>
    <w:p>
      <w:pPr>
        <w:spacing w:after="0" w:line="153" w:lineRule="exact"/>
        <w:rPr>
          <w:sz w:val="20"/>
          <w:szCs w:val="20"/>
          <w:color w:val="auto"/>
        </w:rPr>
      </w:pPr>
    </w:p>
    <w:p>
      <w:pPr>
        <w:ind w:left="1860"/>
        <w:spacing w:after="0"/>
        <w:tabs>
          <w:tab w:leader="none" w:pos="2260" w:val="left"/>
        </w:tabs>
        <w:rPr>
          <w:sz w:val="20"/>
          <w:szCs w:val="20"/>
          <w:color w:val="auto"/>
        </w:rPr>
      </w:pPr>
      <w:r>
        <w:rPr>
          <w:rFonts w:ascii="Times New Roman" w:cs="Times New Roman" w:eastAsia="Times New Roman" w:hAnsi="Times New Roman"/>
          <w:sz w:val="17"/>
          <w:szCs w:val="17"/>
          <w:color w:val="auto"/>
        </w:rPr>
        <w:t>(ix)</w:t>
        <w:tab/>
        <w:t>to take such other action, not inconsistent with the terms of the Plan, as the Administrator deems appropriate.</w:t>
      </w:r>
    </w:p>
    <w:p>
      <w:pPr>
        <w:spacing w:after="0" w:line="24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in connection with the administration of this Plan shall be final, conclusive and binding on all persons having an interest in the Plan.</w:t>
      </w:r>
    </w:p>
    <w:p>
      <w:pPr>
        <w:spacing w:after="0" w:line="191" w:lineRule="exact"/>
        <w:rPr>
          <w:sz w:val="20"/>
          <w:szCs w:val="20"/>
          <w:color w:val="auto"/>
        </w:rPr>
      </w:pPr>
    </w:p>
    <w:p>
      <w:pPr>
        <w:ind w:right="20" w:firstLine="1241"/>
        <w:spacing w:after="0" w:line="257" w:lineRule="auto"/>
        <w:tabs>
          <w:tab w:leader="none" w:pos="160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Indemnification.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201" w:lineRule="exact"/>
        <w:rPr>
          <w:rFonts w:ascii="Times New Roman" w:cs="Times New Roman" w:eastAsia="Times New Roman" w:hAnsi="Times New Roman"/>
          <w:sz w:val="17"/>
          <w:szCs w:val="17"/>
          <w:color w:val="auto"/>
        </w:rPr>
      </w:pPr>
    </w:p>
    <w:p>
      <w:pPr>
        <w:jc w:val="both"/>
        <w:ind w:right="320" w:firstLine="622"/>
        <w:spacing w:after="0" w:line="264" w:lineRule="auto"/>
        <w:tabs>
          <w:tab w:leader="none" w:pos="91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19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 of Awards</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firstLine="1241"/>
        <w:spacing w:after="0" w:line="259" w:lineRule="auto"/>
        <w:tabs>
          <w:tab w:leader="none" w:pos="160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Types of Awards</w:t>
      </w:r>
      <w:r>
        <w:rPr>
          <w:rFonts w:ascii="Times New Roman" w:cs="Times New Roman" w:eastAsia="Times New Roman" w:hAnsi="Times New Roman"/>
          <w:sz w:val="17"/>
          <w:szCs w:val="17"/>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 provided, however, that a Dividend Equivalent Right may not be granted or payable with respect to an Option or SAR.</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right="20" w:firstLine="1241"/>
        <w:spacing w:after="0" w:line="258" w:lineRule="auto"/>
        <w:tabs>
          <w:tab w:leader="none" w:pos="161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Award</w:t>
      </w:r>
      <w:r>
        <w:rPr>
          <w:rFonts w:ascii="Times New Roman" w:cs="Times New Roman" w:eastAsia="Times New Roman" w:hAnsi="Times New Roman"/>
          <w:sz w:val="17"/>
          <w:szCs w:val="17"/>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Effective Date to provide for a different limit on the Fair Market Value of Shares permitted to be subject to Incentive Stock Options, then such</w:t>
      </w:r>
    </w:p>
    <w:p>
      <w:pPr>
        <w:sectPr>
          <w:pgSz w:w="11900" w:h="16838" w:orient="portrait"/>
          <w:cols w:equalWidth="0" w:num="1">
            <w:col w:w="11240"/>
          </w:cols>
          <w:pgMar w:left="320" w:top="144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t>different limit will be automatically incorporated herein and will apply to any Options granted after the effective date of such amendment.</w:t>
      </w:r>
    </w:p>
    <w:p>
      <w:pPr>
        <w:spacing w:after="0" w:line="243" w:lineRule="exact"/>
        <w:rPr>
          <w:sz w:val="20"/>
          <w:szCs w:val="20"/>
          <w:color w:val="auto"/>
        </w:rPr>
      </w:pPr>
    </w:p>
    <w:p>
      <w:pPr>
        <w:ind w:left="1600" w:hanging="359"/>
        <w:spacing w:after="0"/>
        <w:tabs>
          <w:tab w:leader="none" w:pos="1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of Award</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right="180" w:firstLine="1860"/>
        <w:spacing w:after="0" w:line="257" w:lineRule="auto"/>
        <w:tabs>
          <w:tab w:leader="none" w:pos="2190"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the following: (i) change in share price; (ii) operating earnings, operating profit margins, earnings before interest, taxes, depreciation, or amortization, net earnings, earnings per share (basic or diluted) or other measure of earnings;</w:t>
      </w:r>
    </w:p>
    <w:p>
      <w:pPr>
        <w:spacing w:after="0" w:line="1" w:lineRule="exact"/>
        <w:rPr>
          <w:rFonts w:ascii="Times New Roman" w:cs="Times New Roman" w:eastAsia="Times New Roman" w:hAnsi="Times New Roman"/>
          <w:sz w:val="17"/>
          <w:szCs w:val="17"/>
          <w:color w:val="auto"/>
        </w:rPr>
      </w:pPr>
    </w:p>
    <w:p>
      <w:pPr>
        <w:ind w:firstLine="3"/>
        <w:spacing w:after="0" w:line="254" w:lineRule="auto"/>
        <w:tabs>
          <w:tab w:leader="none" w:pos="30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stockholder return; (iv) operating margin; (v) gross margin; (vi) balance sheet performance, including debt, long- or short-term, inventory, accounts payable or receivable, working capital, or shareholders’ equity; (vii) return measures, including return on invested capital, sales, assets or equity; (viii) days’ sales outstanding; (ix) operating income; (x) net operating income; (xi) pre-tax profit; (xii) cash flow, including cash flow from operations, investing, or financing activities, before or after dividends, investments or capital expenditures; (xiii) revenue; (xiv) expenses, including cost of goods sold, operating expenses, marketing and administrative expense, research and development, restructuring or other special or unusual items, interest, tax expense or other measures of savings; (xv) earnings before interest, taxes and depreciation; (xvi) economic value created or added; (xvii) market share; (xviii) sales or net sales; (xix) sales or net sales of particular products; (xx) gross profits; (xxi) net income; (xxii) inventory turns; (xxiii) revenue per employee; and (xxiv) implementation or completion of critical projects involving acquisitions, divestitures, process improvements, product or production quality, attainment of other strategic objectives relating to market penetration, geographic expansion, product development, regulatory or quality performance, innovation or research goals. The performance criteria may be applicable to the Company, Related Entities and/or any individual business units of the Company or any Related Entity.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205" w:lineRule="exact"/>
        <w:rPr>
          <w:rFonts w:ascii="Times New Roman" w:cs="Times New Roman" w:eastAsia="Times New Roman" w:hAnsi="Times New Roman"/>
          <w:sz w:val="17"/>
          <w:szCs w:val="17"/>
          <w:color w:val="auto"/>
        </w:rPr>
      </w:pPr>
    </w:p>
    <w:p>
      <w:pPr>
        <w:ind w:right="60" w:firstLine="1860"/>
        <w:spacing w:after="0" w:line="257" w:lineRule="auto"/>
        <w:tabs>
          <w:tab w:leader="none" w:pos="2235"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in its sole discretion, may provide for inclusion or exclusion of the impact of an event or occurrence which the Administrator determines should appropriately be excluded, including (i) restructurings, discontinued operations, special items, and other unusual, infrequently occurring or non-recurring charges, events or items; (ii) asset sales or write-downs; (iii) litigation or claim judgments or settlements; (iv) acquisitions or divestitures; (v) reorganization or change in the corporate structure or capital structure of the Company; (vi) an event either not directly related to the operations of the Company, Subsidiary, division, business segment or business unit or not within the reasonable control of management; (vii) foreign exchange gains and losses;</w:t>
      </w:r>
    </w:p>
    <w:p>
      <w:pPr>
        <w:spacing w:after="0" w:line="1" w:lineRule="exact"/>
        <w:rPr>
          <w:rFonts w:ascii="Times New Roman" w:cs="Times New Roman" w:eastAsia="Times New Roman" w:hAnsi="Times New Roman"/>
          <w:sz w:val="17"/>
          <w:szCs w:val="17"/>
          <w:color w:val="auto"/>
        </w:rPr>
      </w:pPr>
    </w:p>
    <w:p>
      <w:pPr>
        <w:ind w:firstLine="3"/>
        <w:spacing w:after="0" w:line="256" w:lineRule="auto"/>
        <w:tabs>
          <w:tab w:leader="none" w:pos="38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fiscal year of the Company; (ix) the refinancing or repurchase of bank loans or debt securities; (x) unbudgeted capital expenditures; (xi) the issuance or repurchase of equity securities and other changes in the number of outstanding shares; (xii) conversion of some or all of convertible securities to Common Stock; (xiii) any business interruption event; (xiv) changes in pricing; (xv) changes in foreign currency exchange rates; (xvi) the cumulative effects of tax or accounting changes in accordance with U.S. generally accepted accounting principles; (xvii) gains and losses that are treated as unusual in nature or that occur infrequently under Accounting Standards Codification Topic 225; or (xviii) the effect of changes in other laws or regulatory rules affecting reported results.</w:t>
      </w:r>
    </w:p>
    <w:p>
      <w:pPr>
        <w:spacing w:after="0" w:line="203" w:lineRule="exact"/>
        <w:rPr>
          <w:rFonts w:ascii="Times New Roman" w:cs="Times New Roman" w:eastAsia="Times New Roman" w:hAnsi="Times New Roman"/>
          <w:sz w:val="17"/>
          <w:szCs w:val="17"/>
          <w:color w:val="auto"/>
        </w:rPr>
      </w:pPr>
    </w:p>
    <w:p>
      <w:pPr>
        <w:ind w:right="100" w:firstLine="1241"/>
        <w:spacing w:after="0" w:line="270" w:lineRule="auto"/>
        <w:tabs>
          <w:tab w:leader="none" w:pos="161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Acquisitions and Other Transactions</w:t>
      </w:r>
      <w:r>
        <w:rPr>
          <w:rFonts w:ascii="Times New Roman" w:cs="Times New Roman" w:eastAsia="Times New Roman" w:hAnsi="Times New Roman"/>
          <w:sz w:val="17"/>
          <w:szCs w:val="17"/>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w:t>
      </w:r>
    </w:p>
    <w:p>
      <w:pPr>
        <w:sectPr>
          <w:pgSz w:w="11900" w:h="16838" w:orient="portrait"/>
          <w:cols w:equalWidth="0" w:num="1">
            <w:col w:w="11240"/>
          </w:cols>
          <w:pgMar w:left="320" w:top="1361" w:right="339" w:bottom="1440" w:gutter="0" w:footer="0" w:header="0"/>
        </w:sectPr>
      </w:pPr>
    </w:p>
    <w:bookmarkStart w:id="133" w:name="page134"/>
    <w:bookmarkEnd w:id="133"/>
    <w:p>
      <w:pPr>
        <w:ind w:right="160"/>
        <w:spacing w:after="0" w:line="287" w:lineRule="auto"/>
        <w:rPr>
          <w:sz w:val="20"/>
          <w:szCs w:val="20"/>
          <w:color w:val="auto"/>
        </w:rPr>
      </w:pPr>
      <w:r>
        <w:rPr>
          <w:rFonts w:ascii="Times New Roman" w:cs="Times New Roman" w:eastAsia="Times New Roman" w:hAnsi="Times New Roman"/>
          <w:sz w:val="17"/>
          <w:szCs w:val="17"/>
          <w:color w:val="auto"/>
        </w:rPr>
        <w:t>additional interest in a Related Entity whether by merger, stock purchase, asset purchase or other form of transaction, and any Shares subject to such Awards will not count against the Share Limit.</w:t>
      </w:r>
    </w:p>
    <w:p>
      <w:pPr>
        <w:spacing w:after="0" w:line="177" w:lineRule="exact"/>
        <w:rPr>
          <w:sz w:val="20"/>
          <w:szCs w:val="20"/>
          <w:color w:val="auto"/>
        </w:rPr>
      </w:pPr>
    </w:p>
    <w:p>
      <w:pPr>
        <w:ind w:right="60" w:firstLine="1241"/>
        <w:spacing w:after="0" w:line="260" w:lineRule="auto"/>
        <w:tabs>
          <w:tab w:leader="none" w:pos="16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 of Award Payment</w:t>
      </w:r>
      <w:r>
        <w:rPr>
          <w:rFonts w:ascii="Times New Roman" w:cs="Times New Roman" w:eastAsia="Times New Roman" w:hAnsi="Times New Roman"/>
          <w:sz w:val="17"/>
          <w:szCs w:val="17"/>
          <w:color w:val="auto"/>
        </w:rPr>
        <w:t>. To the extent consistent with Applicable Laws, the Administrator may establish one or more programs under the Plan to permit selected Grantees the opportunity to elect to defer receipt of consideration upon vesting,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99" w:lineRule="exact"/>
        <w:rPr>
          <w:rFonts w:ascii="Times New Roman" w:cs="Times New Roman" w:eastAsia="Times New Roman" w:hAnsi="Times New Roman"/>
          <w:sz w:val="17"/>
          <w:szCs w:val="17"/>
          <w:color w:val="auto"/>
        </w:rPr>
      </w:pPr>
    </w:p>
    <w:p>
      <w:pPr>
        <w:ind w:right="320" w:firstLine="1241"/>
        <w:spacing w:after="0" w:line="287" w:lineRule="auto"/>
        <w:tabs>
          <w:tab w:leader="none" w:pos="158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Separate Programs</w:t>
      </w:r>
      <w:r>
        <w:rPr>
          <w:rFonts w:ascii="Times New Roman" w:cs="Times New Roman" w:eastAsia="Times New Roman" w:hAnsi="Times New Roman"/>
          <w:sz w:val="17"/>
          <w:szCs w:val="17"/>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77"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Individual Limitations on Awards</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right="40" w:firstLine="1860"/>
        <w:spacing w:after="0" w:line="258" w:lineRule="auto"/>
        <w:tabs>
          <w:tab w:leader="none" w:pos="2190" w:val="left"/>
        </w:tabs>
        <w:numPr>
          <w:ilvl w:val="2"/>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Limit for Options and SARs. The maximum number of Shares with respect to which Options and SARs may be granted to any Grantee in any calendar year shall be five hundred thousand (500,000) Shares. The foregoing limitation shall be adjusted proportionately in connection with any change in the Company’s capitalization pursuant to Section 10, below. To the extent required by Section 162(m) of the Code or the regulations thereunder, in applying the foregoing limitation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204" w:lineRule="exact"/>
        <w:rPr>
          <w:rFonts w:ascii="Times New Roman" w:cs="Times New Roman" w:eastAsia="Times New Roman" w:hAnsi="Times New Roman"/>
          <w:sz w:val="17"/>
          <w:szCs w:val="17"/>
          <w:color w:val="auto"/>
        </w:rPr>
      </w:pPr>
    </w:p>
    <w:p>
      <w:pPr>
        <w:ind w:firstLine="1782"/>
        <w:spacing w:after="0" w:line="264" w:lineRule="auto"/>
        <w:tabs>
          <w:tab w:leader="none" w:pos="2161"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Limit for Restricted Stock and Restricted Stock Units. For awards of Restricted Stock and Restricted Stock Units that are intended to be Performance-Based Compensation, the maximum number of Shares with respect to which such Awards may be granted to any Grantee in any calendar year shall be two hundred fifty thousand (250,000) Shares. The foregoing limitation shall be adjusted proportionately in connection with any change in the Company’s capitalization pursuant to Section 10, below.</w:t>
      </w:r>
    </w:p>
    <w:p>
      <w:pPr>
        <w:spacing w:after="0" w:line="197" w:lineRule="exact"/>
        <w:rPr>
          <w:rFonts w:ascii="Times New Roman" w:cs="Times New Roman" w:eastAsia="Times New Roman" w:hAnsi="Times New Roman"/>
          <w:sz w:val="17"/>
          <w:szCs w:val="17"/>
          <w:color w:val="auto"/>
        </w:rPr>
      </w:pPr>
    </w:p>
    <w:p>
      <w:pPr>
        <w:jc w:val="both"/>
        <w:ind w:right="20" w:firstLine="1860"/>
        <w:spacing w:after="0" w:line="270" w:lineRule="auto"/>
        <w:tabs>
          <w:tab w:leader="none" w:pos="2286"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Award Limit. Notwithstanding any provision to the contrary in the Plan, the sum of any cash compensation and the grant date fair value (determined as of the date of the grant under Financial Accounting Standards Board Accounting Standards Codification Topic 718, or any successor thereto) of all Awards granted under the Plan to a non-employee Director during any calendar year shall not exceed the amount equal to $750,000.</w:t>
      </w:r>
    </w:p>
    <w:p>
      <w:pPr>
        <w:spacing w:after="0" w:line="191" w:lineRule="exact"/>
        <w:rPr>
          <w:rFonts w:ascii="Times New Roman" w:cs="Times New Roman" w:eastAsia="Times New Roman" w:hAnsi="Times New Roman"/>
          <w:sz w:val="17"/>
          <w:szCs w:val="17"/>
          <w:color w:val="auto"/>
        </w:rPr>
      </w:pPr>
    </w:p>
    <w:p>
      <w:pPr>
        <w:ind w:right="60" w:firstLine="1241"/>
        <w:spacing w:after="0" w:line="263" w:lineRule="auto"/>
        <w:tabs>
          <w:tab w:leader="none" w:pos="161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w:t>
      </w:r>
      <w:r>
        <w:rPr>
          <w:rFonts w:ascii="Times New Roman" w:cs="Times New Roman" w:eastAsia="Times New Roman" w:hAnsi="Times New Roman"/>
          <w:sz w:val="17"/>
          <w:szCs w:val="17"/>
          <w:color w:val="auto"/>
        </w:rPr>
        <w:t>. If the vesting or receipt of Shares under an Award is deferred to a later date, any amount (whether denominated in Shares or cash) paid in addition to the original number of Shares subject to such Award will not be treated as an increase in the number of Shares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right="560" w:firstLine="1241"/>
        <w:spacing w:after="0" w:line="264" w:lineRule="auto"/>
        <w:tabs>
          <w:tab w:leader="none" w:pos="157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Early Exercise</w:t>
      </w:r>
      <w:r>
        <w:rPr>
          <w:rFonts w:ascii="Times New Roman" w:cs="Times New Roman" w:eastAsia="Times New Roman" w:hAnsi="Times New Roman"/>
          <w:sz w:val="17"/>
          <w:szCs w:val="17"/>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ectPr>
          <w:pgSz w:w="11900" w:h="16838" w:orient="portrait"/>
          <w:cols w:equalWidth="0" w:num="1">
            <w:col w:w="11240"/>
          </w:cols>
          <w:pgMar w:left="320" w:top="1361" w:right="339" w:bottom="1440" w:gutter="0" w:footer="0" w:header="0"/>
        </w:sectPr>
      </w:pPr>
    </w:p>
    <w:bookmarkStart w:id="134" w:name="page135"/>
    <w:bookmarkEnd w:id="134"/>
    <w:p>
      <w:pPr>
        <w:ind w:left="-622" w:firstLine="1241"/>
        <w:spacing w:after="0" w:line="260" w:lineRule="auto"/>
        <w:tabs>
          <w:tab w:leader="none" w:pos="95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Award</w:t>
      </w:r>
      <w:r>
        <w:rPr>
          <w:rFonts w:ascii="Times New Roman" w:cs="Times New Roman" w:eastAsia="Times New Roman" w:hAnsi="Times New Roman"/>
          <w:sz w:val="17"/>
          <w:szCs w:val="17"/>
          <w:color w:val="auto"/>
        </w:rPr>
        <w:t>. The term of each Option and SAR shall be the term stated in the Award Agreement, provided, however, that the term of any Award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spacing w:after="0" w:line="199" w:lineRule="exact"/>
        <w:rPr>
          <w:rFonts w:ascii="Times New Roman" w:cs="Times New Roman" w:eastAsia="Times New Roman" w:hAnsi="Times New Roman"/>
          <w:sz w:val="17"/>
          <w:szCs w:val="17"/>
          <w:color w:val="auto"/>
        </w:rPr>
      </w:pPr>
    </w:p>
    <w:p>
      <w:pPr>
        <w:ind w:left="-622" w:right="20" w:firstLine="1241"/>
        <w:spacing w:after="0" w:line="259" w:lineRule="auto"/>
        <w:tabs>
          <w:tab w:leader="none" w:pos="98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 of Awards</w:t>
      </w:r>
      <w:r>
        <w:rPr>
          <w:rFonts w:ascii="Times New Roman" w:cs="Times New Roman" w:eastAsia="Times New Roman" w:hAnsi="Times New Roman"/>
          <w:sz w:val="17"/>
          <w:szCs w:val="17"/>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622" w:right="800" w:firstLine="1241"/>
        <w:spacing w:after="0" w:line="287" w:lineRule="auto"/>
        <w:tabs>
          <w:tab w:leader="none" w:pos="95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Time of Granting Awards</w:t>
      </w:r>
      <w:r>
        <w:rPr>
          <w:rFonts w:ascii="Times New Roman" w:cs="Times New Roman" w:eastAsia="Times New Roman" w:hAnsi="Times New Roman"/>
          <w:sz w:val="17"/>
          <w:szCs w:val="17"/>
          <w:color w:val="auto"/>
        </w:rPr>
        <w:t>. The date of grant of an Award shall for all purposes be the date on which the Administrator makes the determination to grant such Award, or such other later date as is determined by the Administrator.</w:t>
      </w:r>
    </w:p>
    <w:p>
      <w:pPr>
        <w:spacing w:after="0" w:line="177" w:lineRule="exact"/>
        <w:rPr>
          <w:rFonts w:ascii="Times New Roman" w:cs="Times New Roman" w:eastAsia="Times New Roman" w:hAnsi="Times New Roman"/>
          <w:sz w:val="17"/>
          <w:szCs w:val="17"/>
          <w:color w:val="auto"/>
        </w:rPr>
      </w:pPr>
    </w:p>
    <w:p>
      <w:pPr>
        <w:ind w:left="-622" w:right="180" w:firstLine="1241"/>
        <w:spacing w:after="0" w:line="287" w:lineRule="auto"/>
        <w:tabs>
          <w:tab w:leader="none" w:pos="103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and Dividend Equivalent Rights</w:t>
      </w:r>
      <w:r>
        <w:rPr>
          <w:rFonts w:ascii="Times New Roman" w:cs="Times New Roman" w:eastAsia="Times New Roman" w:hAnsi="Times New Roman"/>
          <w:sz w:val="17"/>
          <w:szCs w:val="17"/>
          <w:color w:val="auto"/>
        </w:rPr>
        <w:t>. Dividends and Dividend Equivalent Rights with respect to an Award shall only be paid to the Grantee to the extent that the applicable vesting conditions are subsequently satisfied and the Award vests.</w:t>
      </w:r>
    </w:p>
    <w:p>
      <w:pPr>
        <w:spacing w:after="0" w:line="177" w:lineRule="exact"/>
        <w:rPr>
          <w:rFonts w:ascii="Times New Roman" w:cs="Times New Roman" w:eastAsia="Times New Roman" w:hAnsi="Times New Roman"/>
          <w:sz w:val="17"/>
          <w:szCs w:val="17"/>
          <w:color w:val="auto"/>
        </w:rPr>
      </w:pPr>
    </w:p>
    <w:p>
      <w:pPr>
        <w:ind w:left="-622" w:right="100" w:firstLine="1241"/>
        <w:spacing w:after="0" w:line="260" w:lineRule="auto"/>
        <w:tabs>
          <w:tab w:leader="none" w:pos="98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Vesting Limitations</w:t>
      </w:r>
      <w:r>
        <w:rPr>
          <w:rFonts w:ascii="Times New Roman" w:cs="Times New Roman" w:eastAsia="Times New Roman" w:hAnsi="Times New Roman"/>
          <w:sz w:val="17"/>
          <w:szCs w:val="17"/>
          <w:color w:val="auto"/>
        </w:rPr>
        <w:t>. Notwithstanding any other provision of the Plan to the contrary, but subject to Section 11, Awards granted under the Plan on or after the Effective Date shall vest no earlier than the first anniversary of the date the Award is granted; provided, however, that, notwithstanding the foregoing, Awards that result in the issuance of an aggregate of up to 5% of the Shares available pursuant to Section 3.1(a) as of the Effective Date may be granted to any one or more Grantees without respect to such minimum vesting provisions. Nothing in this Section 6(n) shall preclude the Administrator from taking action, in its sole discretion, to accelerate the vesting of any Award in connection with or following a Grantee’s death, disability, termination of Continuous Service or the consummation of a Change in Control.</w:t>
      </w:r>
    </w:p>
    <w:p>
      <w:pPr>
        <w:spacing w:after="0" w:line="200" w:lineRule="exact"/>
        <w:rPr>
          <w:rFonts w:ascii="Times New Roman" w:cs="Times New Roman" w:eastAsia="Times New Roman" w:hAnsi="Times New Roman"/>
          <w:sz w:val="17"/>
          <w:szCs w:val="17"/>
          <w:color w:val="auto"/>
        </w:rPr>
      </w:pPr>
    </w:p>
    <w:p>
      <w:pPr>
        <w:spacing w:after="0" w:line="231" w:lineRule="exact"/>
        <w:rPr>
          <w:rFonts w:ascii="Times New Roman" w:cs="Times New Roman" w:eastAsia="Times New Roman" w:hAnsi="Times New Roman"/>
          <w:sz w:val="17"/>
          <w:szCs w:val="17"/>
          <w:color w:val="auto"/>
        </w:rPr>
      </w:pPr>
    </w:p>
    <w:p>
      <w:pPr>
        <w:ind w:left="298" w:hanging="298"/>
        <w:spacing w:after="0"/>
        <w:tabs>
          <w:tab w:leader="none" w:pos="29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Exercise or Purchase Price, Consideration and Taxes</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978" w:hanging="359"/>
        <w:spacing w:after="0"/>
        <w:tabs>
          <w:tab w:leader="none" w:pos="97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or Purchase Price</w:t>
      </w:r>
      <w:r>
        <w:rPr>
          <w:rFonts w:ascii="Times New Roman" w:cs="Times New Roman" w:eastAsia="Times New Roman" w:hAnsi="Times New Roman"/>
          <w:sz w:val="17"/>
          <w:szCs w:val="17"/>
          <w:color w:val="auto"/>
        </w:rPr>
        <w:t>. The exercise or purchase price, if any, for an Award shall be as follows:</w:t>
      </w:r>
    </w:p>
    <w:p>
      <w:pPr>
        <w:spacing w:after="0" w:line="242" w:lineRule="exact"/>
        <w:rPr>
          <w:rFonts w:ascii="Times New Roman" w:cs="Times New Roman" w:eastAsia="Times New Roman" w:hAnsi="Times New Roman"/>
          <w:sz w:val="17"/>
          <w:szCs w:val="17"/>
          <w:color w:val="auto"/>
        </w:rPr>
      </w:pPr>
    </w:p>
    <w:p>
      <w:pPr>
        <w:ind w:left="1578" w:hanging="340"/>
        <w:spacing w:after="0"/>
        <w:tabs>
          <w:tab w:leader="none" w:pos="1578"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Incentive Stock Option:</w:t>
      </w:r>
    </w:p>
    <w:p>
      <w:pPr>
        <w:spacing w:after="0" w:line="242" w:lineRule="exact"/>
        <w:rPr>
          <w:rFonts w:ascii="Times New Roman" w:cs="Times New Roman" w:eastAsia="Times New Roman" w:hAnsi="Times New Roman"/>
          <w:sz w:val="17"/>
          <w:szCs w:val="17"/>
          <w:color w:val="auto"/>
        </w:rPr>
      </w:pPr>
    </w:p>
    <w:p>
      <w:pPr>
        <w:jc w:val="both"/>
        <w:ind w:left="-622" w:right="40" w:firstLine="2478"/>
        <w:spacing w:after="0" w:line="270" w:lineRule="auto"/>
        <w:tabs>
          <w:tab w:leader="none" w:pos="2264" w:val="left"/>
        </w:tabs>
        <w:numPr>
          <w:ilvl w:val="3"/>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91" w:lineRule="exact"/>
        <w:rPr>
          <w:rFonts w:ascii="Times New Roman" w:cs="Times New Roman" w:eastAsia="Times New Roman" w:hAnsi="Times New Roman"/>
          <w:sz w:val="17"/>
          <w:szCs w:val="17"/>
          <w:color w:val="auto"/>
        </w:rPr>
      </w:pPr>
    </w:p>
    <w:p>
      <w:pPr>
        <w:ind w:left="-622" w:firstLine="2478"/>
        <w:spacing w:after="0" w:line="287" w:lineRule="auto"/>
        <w:tabs>
          <w:tab w:leader="none" w:pos="2254" w:val="left"/>
        </w:tabs>
        <w:numPr>
          <w:ilvl w:val="3"/>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to any Employee other than an Employee described in the preceding paragraph, the per Share exercise price shall be not less than one hundred percent (100%) of the Fair Market Value per Share on the date of grant.</w:t>
      </w:r>
    </w:p>
    <w:p>
      <w:pPr>
        <w:sectPr>
          <w:pgSz w:w="11900" w:h="16838" w:orient="portrait"/>
          <w:cols w:equalWidth="0" w:num="1">
            <w:col w:w="10598"/>
          </w:cols>
          <w:pgMar w:left="942" w:top="1361" w:right="359" w:bottom="1440" w:gutter="0" w:footer="0" w:header="0"/>
        </w:sectPr>
      </w:pPr>
    </w:p>
    <w:bookmarkStart w:id="135" w:name="page136"/>
    <w:bookmarkEnd w:id="135"/>
    <w:p>
      <w:pPr>
        <w:ind w:right="140" w:firstLine="1782"/>
        <w:spacing w:after="0" w:line="287" w:lineRule="auto"/>
        <w:tabs>
          <w:tab w:leader="none" w:pos="2161"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Non-Qualified Stock Option, the per Share exercise price shall be not less than one hundred percent (100%) of the Fair Market Value per Share on the date of grant.</w:t>
      </w:r>
    </w:p>
    <w:p>
      <w:pPr>
        <w:spacing w:after="0" w:line="177" w:lineRule="exact"/>
        <w:rPr>
          <w:rFonts w:ascii="Times New Roman" w:cs="Times New Roman" w:eastAsia="Times New Roman" w:hAnsi="Times New Roman"/>
          <w:sz w:val="17"/>
          <w:szCs w:val="17"/>
          <w:color w:val="auto"/>
        </w:rPr>
      </w:pPr>
    </w:p>
    <w:p>
      <w:pPr>
        <w:ind w:right="100" w:firstLine="1782"/>
        <w:spacing w:after="0" w:line="287" w:lineRule="auto"/>
        <w:tabs>
          <w:tab w:leader="none" w:pos="220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Awards intended to qualify as Performance-Based Compensation, the exercise or purchase price, if any, shall be not less than one hundred percent (100%) of the Fair Market Value per Share on the date of grant.</w:t>
      </w:r>
    </w:p>
    <w:p>
      <w:pPr>
        <w:spacing w:after="0" w:line="177" w:lineRule="exact"/>
        <w:rPr>
          <w:rFonts w:ascii="Times New Roman" w:cs="Times New Roman" w:eastAsia="Times New Roman" w:hAnsi="Times New Roman"/>
          <w:sz w:val="17"/>
          <w:szCs w:val="17"/>
          <w:color w:val="auto"/>
        </w:rPr>
      </w:pPr>
    </w:p>
    <w:p>
      <w:pPr>
        <w:ind w:left="2280" w:hanging="420"/>
        <w:spacing w:after="0"/>
        <w:tabs>
          <w:tab w:leader="none" w:pos="228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SARs, the base appreciation amount shall not be less than one hundred percent (100%) of the Fair Market Value per</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on the date of grant.</w:t>
      </w:r>
    </w:p>
    <w:p>
      <w:pPr>
        <w:spacing w:after="0" w:line="225" w:lineRule="exact"/>
        <w:rPr>
          <w:rFonts w:ascii="Times New Roman" w:cs="Times New Roman" w:eastAsia="Times New Roman" w:hAnsi="Times New Roman"/>
          <w:sz w:val="17"/>
          <w:szCs w:val="17"/>
          <w:color w:val="auto"/>
        </w:rPr>
      </w:pPr>
    </w:p>
    <w:p>
      <w:pPr>
        <w:ind w:left="2240" w:hanging="380"/>
        <w:spacing w:after="0"/>
        <w:tabs>
          <w:tab w:leader="none" w:pos="224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other Awards, such price as is determined by the Administrator.</w:t>
      </w:r>
    </w:p>
    <w:p>
      <w:pPr>
        <w:spacing w:after="0" w:line="242" w:lineRule="exact"/>
        <w:rPr>
          <w:rFonts w:ascii="Times New Roman" w:cs="Times New Roman" w:eastAsia="Times New Roman" w:hAnsi="Times New Roman"/>
          <w:sz w:val="17"/>
          <w:szCs w:val="17"/>
          <w:color w:val="auto"/>
        </w:rPr>
      </w:pPr>
    </w:p>
    <w:p>
      <w:pPr>
        <w:ind w:right="80" w:firstLine="1860"/>
        <w:spacing w:after="0" w:line="270" w:lineRule="auto"/>
        <w:tabs>
          <w:tab w:leader="none" w:pos="2276"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91" w:lineRule="exact"/>
        <w:rPr>
          <w:rFonts w:ascii="Times New Roman" w:cs="Times New Roman" w:eastAsia="Times New Roman" w:hAnsi="Times New Roman"/>
          <w:sz w:val="17"/>
          <w:szCs w:val="17"/>
          <w:color w:val="auto"/>
        </w:rPr>
      </w:pPr>
    </w:p>
    <w:p>
      <w:pPr>
        <w:ind w:right="20" w:firstLine="1241"/>
        <w:spacing w:after="0" w:line="264" w:lineRule="auto"/>
        <w:tabs>
          <w:tab w:leader="none" w:pos="161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 consideration equal to the par value of the Shares must be paid in cash or other legal consideration permitted by the Delaware General Corporation Law:</w:t>
      </w:r>
    </w:p>
    <w:p>
      <w:pPr>
        <w:spacing w:after="0" w:line="197" w:lineRule="exact"/>
        <w:rPr>
          <w:rFonts w:ascii="Times New Roman" w:cs="Times New Roman" w:eastAsia="Times New Roman" w:hAnsi="Times New Roman"/>
          <w:sz w:val="17"/>
          <w:szCs w:val="17"/>
          <w:color w:val="auto"/>
        </w:rPr>
      </w:pPr>
    </w:p>
    <w:p>
      <w:pPr>
        <w:ind w:left="2200" w:hanging="340"/>
        <w:spacing w:after="0"/>
        <w:tabs>
          <w:tab w:leader="none" w:pos="2200"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w:t>
      </w:r>
    </w:p>
    <w:p>
      <w:pPr>
        <w:spacing w:after="0" w:line="242" w:lineRule="exact"/>
        <w:rPr>
          <w:rFonts w:ascii="Times New Roman" w:cs="Times New Roman" w:eastAsia="Times New Roman" w:hAnsi="Times New Roman"/>
          <w:sz w:val="17"/>
          <w:szCs w:val="17"/>
          <w:color w:val="auto"/>
        </w:rPr>
      </w:pPr>
    </w:p>
    <w:p>
      <w:pPr>
        <w:ind w:left="2240" w:hanging="380"/>
        <w:spacing w:after="0"/>
        <w:tabs>
          <w:tab w:leader="none" w:pos="2240"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w:t>
      </w:r>
    </w:p>
    <w:p>
      <w:pPr>
        <w:spacing w:after="0" w:line="242" w:lineRule="exact"/>
        <w:rPr>
          <w:rFonts w:ascii="Times New Roman" w:cs="Times New Roman" w:eastAsia="Times New Roman" w:hAnsi="Times New Roman"/>
          <w:sz w:val="17"/>
          <w:szCs w:val="17"/>
          <w:color w:val="auto"/>
        </w:rPr>
      </w:pPr>
    </w:p>
    <w:p>
      <w:pPr>
        <w:ind w:right="200" w:firstLine="1860"/>
        <w:spacing w:after="0" w:line="270" w:lineRule="auto"/>
        <w:tabs>
          <w:tab w:leader="none" w:pos="2286"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91" w:lineRule="exact"/>
        <w:rPr>
          <w:rFonts w:ascii="Times New Roman" w:cs="Times New Roman" w:eastAsia="Times New Roman" w:hAnsi="Times New Roman"/>
          <w:sz w:val="17"/>
          <w:szCs w:val="17"/>
          <w:color w:val="auto"/>
        </w:rPr>
      </w:pPr>
    </w:p>
    <w:p>
      <w:pPr>
        <w:ind w:right="20" w:firstLine="1860"/>
        <w:spacing w:after="0" w:line="264" w:lineRule="auto"/>
        <w:tabs>
          <w:tab w:leader="none" w:pos="2276"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Options, payment through a broker-dealer sale and remittance procedure pursuant to which the Grantee (A) shall provide written instructions to a Company-designated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spacing w:after="0" w:line="197" w:lineRule="exact"/>
        <w:rPr>
          <w:rFonts w:ascii="Times New Roman" w:cs="Times New Roman" w:eastAsia="Times New Roman" w:hAnsi="Times New Roman"/>
          <w:sz w:val="17"/>
          <w:szCs w:val="17"/>
          <w:color w:val="auto"/>
        </w:rPr>
      </w:pPr>
    </w:p>
    <w:p>
      <w:pPr>
        <w:ind w:right="60" w:firstLine="1860"/>
        <w:spacing w:after="0" w:line="264" w:lineRule="auto"/>
        <w:tabs>
          <w:tab w:leader="none" w:pos="2229"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spacing w:after="0" w:line="197" w:lineRule="exact"/>
        <w:rPr>
          <w:rFonts w:ascii="Times New Roman" w:cs="Times New Roman" w:eastAsia="Times New Roman" w:hAnsi="Times New Roman"/>
          <w:sz w:val="17"/>
          <w:szCs w:val="17"/>
          <w:color w:val="auto"/>
        </w:rPr>
      </w:pPr>
    </w:p>
    <w:p>
      <w:pPr>
        <w:ind w:left="2280" w:hanging="420"/>
        <w:spacing w:after="0"/>
        <w:tabs>
          <w:tab w:leader="none" w:pos="2280"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combination of the foregoing methods of payment.</w:t>
      </w:r>
    </w:p>
    <w:p>
      <w:pPr>
        <w:spacing w:after="0" w:line="2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191" w:lineRule="exact"/>
        <w:rPr>
          <w:sz w:val="20"/>
          <w:szCs w:val="20"/>
          <w:color w:val="auto"/>
        </w:rPr>
      </w:pPr>
    </w:p>
    <w:p>
      <w:pPr>
        <w:ind w:right="940" w:firstLine="1241"/>
        <w:spacing w:after="0" w:line="287" w:lineRule="auto"/>
        <w:tabs>
          <w:tab w:leader="none" w:pos="1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No Shares shall be delivered under the Plan to any Grantee or other person until such Grantee or other person has made arrangements acceptable to the Administrator for the satisfaction of any non-</w:t>
      </w:r>
    </w:p>
    <w:p>
      <w:pPr>
        <w:sectPr>
          <w:pgSz w:w="11900" w:h="16838" w:orient="portrait"/>
          <w:cols w:equalWidth="0" w:num="1">
            <w:col w:w="11240"/>
          </w:cols>
          <w:pgMar w:left="320" w:top="1361" w:right="339" w:bottom="1440" w:gutter="0" w:footer="0" w:header="0"/>
        </w:sectPr>
      </w:pPr>
    </w:p>
    <w:bookmarkStart w:id="136" w:name="page137"/>
    <w:bookmarkEnd w:id="136"/>
    <w:p>
      <w:pPr>
        <w:ind w:right="80"/>
        <w:spacing w:after="0" w:line="261" w:lineRule="auto"/>
        <w:rPr>
          <w:sz w:val="20"/>
          <w:szCs w:val="20"/>
          <w:color w:val="auto"/>
        </w:rPr>
      </w:pPr>
      <w:r>
        <w:rPr>
          <w:rFonts w:ascii="Times New Roman" w:cs="Times New Roman" w:eastAsia="Times New Roman" w:hAnsi="Times New Roman"/>
          <w:sz w:val="17"/>
          <w:szCs w:val="17"/>
          <w:color w:val="auto"/>
        </w:rPr>
        <w:t>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200" w:lineRule="exact"/>
        <w:rPr>
          <w:sz w:val="20"/>
          <w:szCs w:val="20"/>
          <w:color w:val="auto"/>
        </w:rPr>
      </w:pPr>
    </w:p>
    <w:p>
      <w:pPr>
        <w:ind w:left="920" w:hanging="298"/>
        <w:spacing w:after="0"/>
        <w:tabs>
          <w:tab w:leader="none" w:pos="9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Award</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 for Exercise; Rights as a Stockholder</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right="340" w:firstLine="1860"/>
        <w:spacing w:after="0" w:line="287" w:lineRule="auto"/>
        <w:tabs>
          <w:tab w:leader="none" w:pos="2181"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Award granted hereunder shall be exercisable at such times and under such conditions as determined by the Administrator under the terms of the Plan and specified in the Award Agreement.</w:t>
      </w:r>
    </w:p>
    <w:p>
      <w:pPr>
        <w:spacing w:after="0" w:line="177" w:lineRule="exact"/>
        <w:rPr>
          <w:rFonts w:ascii="Times New Roman" w:cs="Times New Roman" w:eastAsia="Times New Roman" w:hAnsi="Times New Roman"/>
          <w:sz w:val="17"/>
          <w:szCs w:val="17"/>
          <w:color w:val="auto"/>
        </w:rPr>
      </w:pPr>
    </w:p>
    <w:p>
      <w:pPr>
        <w:jc w:val="both"/>
        <w:ind w:right="300" w:firstLine="1860"/>
        <w:spacing w:after="0" w:line="270" w:lineRule="auto"/>
        <w:tabs>
          <w:tab w:leader="none" w:pos="2229"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7(b)(iv).</w:t>
      </w:r>
    </w:p>
    <w:p>
      <w:pPr>
        <w:spacing w:after="0" w:line="191"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Award Following Termination of Continuous Service</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right="180" w:firstLine="1860"/>
        <w:spacing w:after="0" w:line="287" w:lineRule="auto"/>
        <w:tabs>
          <w:tab w:leader="none" w:pos="2181"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may not be exercised after the termination date of such Award set forth in the Award Agreement and may be exercised following the termination of a Grantee’s Continuous Service only to the extent provided in the Award Agreement.</w:t>
      </w:r>
    </w:p>
    <w:p>
      <w:pPr>
        <w:spacing w:after="0" w:line="177" w:lineRule="exact"/>
        <w:rPr>
          <w:rFonts w:ascii="Times New Roman" w:cs="Times New Roman" w:eastAsia="Times New Roman" w:hAnsi="Times New Roman"/>
          <w:sz w:val="17"/>
          <w:szCs w:val="17"/>
          <w:color w:val="auto"/>
        </w:rPr>
      </w:pPr>
    </w:p>
    <w:p>
      <w:pPr>
        <w:ind w:right="60" w:firstLine="1860"/>
        <w:spacing w:after="0" w:line="270" w:lineRule="auto"/>
        <w:tabs>
          <w:tab w:leader="none" w:pos="2235"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Award Agreement permits a Grantee to exercise an Award following the termination of the Grantee’s Continuous Service for a specified period, the Award shall terminate to the extent not exercised on the last day of the specified period or the last day of the original term of the Award, whichever occurs first.</w:t>
      </w:r>
    </w:p>
    <w:p>
      <w:pPr>
        <w:spacing w:after="0" w:line="191" w:lineRule="exact"/>
        <w:rPr>
          <w:rFonts w:ascii="Times New Roman" w:cs="Times New Roman" w:eastAsia="Times New Roman" w:hAnsi="Times New Roman"/>
          <w:sz w:val="17"/>
          <w:szCs w:val="17"/>
          <w:color w:val="auto"/>
        </w:rPr>
      </w:pPr>
    </w:p>
    <w:p>
      <w:pPr>
        <w:ind w:firstLine="1860"/>
        <w:spacing w:after="0" w:line="270" w:lineRule="auto"/>
        <w:tabs>
          <w:tab w:leader="none" w:pos="2276"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Award designated as an Incentive Stock Option to the extent not exercised within the time permitted by law for the exercise of Incentive Stock Options following the termination of a Grantee’s Continuous Service shall convert automatically to a Non-Qualified Stock Option and thereafter shall be exercisable as such to the extent exercisable by its terms for the period specified in the Award Agreement.</w:t>
      </w:r>
    </w:p>
    <w:p>
      <w:pPr>
        <w:spacing w:after="0" w:line="19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upon Issuance of Shares</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jc w:val="both"/>
        <w:ind w:right="100" w:firstLine="1241"/>
        <w:spacing w:after="0" w:line="264" w:lineRule="auto"/>
        <w:tabs>
          <w:tab w:leader="none" w:pos="16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97" w:lineRule="exact"/>
        <w:rPr>
          <w:rFonts w:ascii="Times New Roman" w:cs="Times New Roman" w:eastAsia="Times New Roman" w:hAnsi="Times New Roman"/>
          <w:sz w:val="17"/>
          <w:szCs w:val="17"/>
          <w:color w:val="auto"/>
        </w:rPr>
      </w:pPr>
    </w:p>
    <w:p>
      <w:pPr>
        <w:ind w:firstLine="1241"/>
        <w:spacing w:after="0" w:line="270" w:lineRule="auto"/>
        <w:tabs>
          <w:tab w:leader="none" w:pos="16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91" w:lineRule="exact"/>
        <w:rPr>
          <w:rFonts w:ascii="Times New Roman" w:cs="Times New Roman" w:eastAsia="Times New Roman" w:hAnsi="Times New Roman"/>
          <w:sz w:val="17"/>
          <w:szCs w:val="17"/>
          <w:color w:val="auto"/>
        </w:rPr>
      </w:pPr>
    </w:p>
    <w:p>
      <w:pPr>
        <w:ind w:right="80" w:firstLine="622"/>
        <w:spacing w:after="0" w:line="270" w:lineRule="auto"/>
        <w:tabs>
          <w:tab w:leader="none" w:pos="100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upon Changes in Capitalization</w:t>
      </w:r>
      <w:r>
        <w:rPr>
          <w:rFonts w:ascii="Times New Roman" w:cs="Times New Roman" w:eastAsia="Times New Roman" w:hAnsi="Times New Roman"/>
          <w:sz w:val="17"/>
          <w:szCs w:val="17"/>
          <w:color w:val="auto"/>
        </w:rPr>
        <w:t>. Subject to any required action by the stockholders of the Company and Section 11 hereof, the number of Shares covered by each outstanding Award, and the number of Shares which have been authorized for issuance under the Plan but as to which no Awards have yet been granted or</w:t>
      </w:r>
    </w:p>
    <w:p>
      <w:pPr>
        <w:sectPr>
          <w:pgSz w:w="11900" w:h="16838" w:orient="portrait"/>
          <w:cols w:equalWidth="0" w:num="1">
            <w:col w:w="11240"/>
          </w:cols>
          <w:pgMar w:left="320" w:top="1361" w:right="339" w:bottom="1440" w:gutter="0" w:footer="0" w:header="0"/>
        </w:sectPr>
      </w:pPr>
    </w:p>
    <w:bookmarkStart w:id="137" w:name="page138"/>
    <w:bookmarkEnd w:id="137"/>
    <w:p>
      <w:pPr>
        <w:spacing w:after="0" w:line="255" w:lineRule="auto"/>
        <w:rPr>
          <w:sz w:val="20"/>
          <w:szCs w:val="20"/>
          <w:color w:val="auto"/>
        </w:rPr>
      </w:pPr>
      <w:r>
        <w:rPr>
          <w:rFonts w:ascii="Times New Roman" w:cs="Times New Roman" w:eastAsia="Times New Roman" w:hAnsi="Times New Roman"/>
          <w:sz w:val="17"/>
          <w:szCs w:val="17"/>
          <w:color w:val="auto"/>
        </w:rPr>
        <w:t>which have been returned to the Plan, the exercise or purchase price of each such outstanding Award, the maximum number of Shares with respect to which Awards may be granted as incentive stock options or to any Grantee in any calendar year,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200" w:lineRule="exact"/>
        <w:rPr>
          <w:sz w:val="20"/>
          <w:szCs w:val="20"/>
          <w:color w:val="auto"/>
        </w:rPr>
      </w:pPr>
    </w:p>
    <w:p>
      <w:pPr>
        <w:spacing w:after="0" w:line="220" w:lineRule="exact"/>
        <w:rPr>
          <w:sz w:val="20"/>
          <w:szCs w:val="20"/>
          <w:color w:val="auto"/>
        </w:rPr>
      </w:pPr>
    </w:p>
    <w:p>
      <w:pPr>
        <w:ind w:left="1000" w:hanging="378"/>
        <w:spacing w:after="0"/>
        <w:tabs>
          <w:tab w:leader="none" w:pos="10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Transactions and Changes in Control</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left="1600" w:hanging="359"/>
        <w:spacing w:after="0"/>
        <w:tabs>
          <w:tab w:leader="none" w:pos="16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Awards granted prior to the Effective Date:</w:t>
      </w:r>
    </w:p>
    <w:p>
      <w:pPr>
        <w:spacing w:after="0" w:line="242" w:lineRule="exact"/>
        <w:rPr>
          <w:rFonts w:ascii="Times New Roman" w:cs="Times New Roman" w:eastAsia="Times New Roman" w:hAnsi="Times New Roman"/>
          <w:sz w:val="17"/>
          <w:szCs w:val="17"/>
          <w:color w:val="auto"/>
        </w:rPr>
      </w:pPr>
    </w:p>
    <w:p>
      <w:pPr>
        <w:ind w:right="300" w:firstLine="1860"/>
        <w:spacing w:after="0" w:line="270" w:lineRule="auto"/>
        <w:tabs>
          <w:tab w:leader="none" w:pos="2190"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Award to Extent Not Assumed in Corporate Transaction</w:t>
      </w:r>
      <w:r>
        <w:rPr>
          <w:rFonts w:ascii="Times New Roman" w:cs="Times New Roman" w:eastAsia="Times New Roman" w:hAnsi="Times New Roman"/>
          <w:sz w:val="17"/>
          <w:szCs w:val="17"/>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191" w:lineRule="exact"/>
        <w:rPr>
          <w:rFonts w:ascii="Times New Roman" w:cs="Times New Roman" w:eastAsia="Times New Roman" w:hAnsi="Times New Roman"/>
          <w:sz w:val="17"/>
          <w:szCs w:val="17"/>
          <w:color w:val="auto"/>
        </w:rPr>
      </w:pPr>
    </w:p>
    <w:p>
      <w:pPr>
        <w:ind w:left="2240" w:hanging="380"/>
        <w:spacing w:after="0"/>
        <w:tabs>
          <w:tab w:leader="none" w:pos="2240"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of Award upon Corporate Transaction or Change in Control</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right="80" w:firstLine="2478"/>
        <w:spacing w:after="0" w:line="261" w:lineRule="auto"/>
        <w:tabs>
          <w:tab w:leader="none" w:pos="2886" w:val="left"/>
        </w:tabs>
        <w:numPr>
          <w:ilvl w:val="3"/>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Except as provided otherwise in an individual Award Agreement, in the event of a Corporate Transaction, for the portion of each Award that is neither Assumed nor Replaced, such portion of the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Corporate Transaction, provided that the Grantee’s Continuous Service has not terminated prior to such date.</w:t>
      </w:r>
    </w:p>
    <w:p>
      <w:pPr>
        <w:spacing w:after="0" w:line="200" w:lineRule="exact"/>
        <w:rPr>
          <w:rFonts w:ascii="Times New Roman" w:cs="Times New Roman" w:eastAsia="Times New Roman" w:hAnsi="Times New Roman"/>
          <w:sz w:val="17"/>
          <w:szCs w:val="17"/>
          <w:color w:val="auto"/>
        </w:rPr>
      </w:pPr>
    </w:p>
    <w:p>
      <w:pPr>
        <w:ind w:right="20" w:firstLine="2478"/>
        <w:spacing w:after="0" w:line="261" w:lineRule="auto"/>
        <w:tabs>
          <w:tab w:leader="none" w:pos="2876" w:val="left"/>
        </w:tabs>
        <w:numPr>
          <w:ilvl w:val="3"/>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Except as provided otherwise in an individual Award Agreement, in the event of a Change in Control (other than a Change in Control which also is a Corporate Transaction), each Award which is at the time outstanding under the Plan automatically shall become fully vested and exercisable and be released from any repurchase or forfeiture rights (other than repurchase rights exercisable at Fair Market Value), immediately prior to the specified effective date of such Change in Control, for all of the Shares (or other consideration) at the time represented by such Award, provided that the Grantee’s Continuous Service has not terminated prior to such date.</w:t>
      </w:r>
    </w:p>
    <w:p>
      <w:pPr>
        <w:spacing w:after="0" w:line="200" w:lineRule="exact"/>
        <w:rPr>
          <w:rFonts w:ascii="Times New Roman" w:cs="Times New Roman" w:eastAsia="Times New Roman" w:hAnsi="Times New Roman"/>
          <w:sz w:val="17"/>
          <w:szCs w:val="17"/>
          <w:color w:val="auto"/>
        </w:rPr>
      </w:pPr>
    </w:p>
    <w:p>
      <w:pPr>
        <w:ind w:right="40" w:firstLine="1241"/>
        <w:spacing w:after="0" w:line="261" w:lineRule="auto"/>
        <w:tabs>
          <w:tab w:leader="none" w:pos="160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Awards granted on or after the Effective Date, if a Change in Control occurs and a Participant’s outstanding Awards are not Assumed or Replaced by the surviving or successor entity in such Change in Control, in any case, as determined by the Administrator, then immediately prior to the Change in Control such outstanding Awards, to the extent not Assumed or Replaced, shall become fully vested and, as applicable, exercisable and shall be deemed exercised or canceled in exchange for payment of the transaction consideration (net of any applicable exercise or purchase price due) immediately prior to the consummation of such transaction, and all forfeiture, repurchase and other restrictions on such Awards shall lapse immediately prior to such</w:t>
      </w:r>
    </w:p>
    <w:p>
      <w:pPr>
        <w:sectPr>
          <w:pgSz w:w="11900" w:h="16838" w:orient="portrait"/>
          <w:cols w:equalWidth="0" w:num="1">
            <w:col w:w="11220"/>
          </w:cols>
          <w:pgMar w:left="320" w:top="1361" w:right="359" w:bottom="1440" w:gutter="0" w:footer="0" w:header="0"/>
        </w:sectPr>
      </w:pPr>
    </w:p>
    <w:bookmarkStart w:id="138" w:name="page139"/>
    <w:bookmarkEnd w:id="138"/>
    <w:p>
      <w:pPr>
        <w:ind w:right="480"/>
        <w:spacing w:after="0" w:line="287" w:lineRule="auto"/>
        <w:rPr>
          <w:sz w:val="20"/>
          <w:szCs w:val="20"/>
          <w:color w:val="auto"/>
        </w:rPr>
      </w:pPr>
      <w:r>
        <w:rPr>
          <w:rFonts w:ascii="Times New Roman" w:cs="Times New Roman" w:eastAsia="Times New Roman" w:hAnsi="Times New Roman"/>
          <w:sz w:val="17"/>
          <w:szCs w:val="17"/>
          <w:color w:val="auto"/>
        </w:rPr>
        <w:t>transaction. If an Award vests and, as applicable, is exercised or canceled and paid out in lieu of being Assumed or Replaced in connection with a Change in Control, the Award shall terminate upon the Change in Control.</w:t>
      </w:r>
    </w:p>
    <w:p>
      <w:pPr>
        <w:spacing w:after="0" w:line="177" w:lineRule="exact"/>
        <w:rPr>
          <w:sz w:val="20"/>
          <w:szCs w:val="20"/>
          <w:color w:val="auto"/>
        </w:rPr>
      </w:pPr>
    </w:p>
    <w:p>
      <w:pPr>
        <w:ind w:right="40" w:firstLine="1241"/>
        <w:spacing w:after="0" w:line="270" w:lineRule="auto"/>
        <w:tabs>
          <w:tab w:leader="none" w:pos="160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Acceleration on Incentive Stock Options.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191" w:lineRule="exact"/>
        <w:rPr>
          <w:rFonts w:ascii="Times New Roman" w:cs="Times New Roman" w:eastAsia="Times New Roman" w:hAnsi="Times New Roman"/>
          <w:sz w:val="17"/>
          <w:szCs w:val="17"/>
          <w:color w:val="auto"/>
        </w:rPr>
      </w:pPr>
    </w:p>
    <w:p>
      <w:pPr>
        <w:ind w:right="320" w:firstLine="622"/>
        <w:spacing w:after="0" w:line="287" w:lineRule="auto"/>
        <w:tabs>
          <w:tab w:leader="none" w:pos="100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 and Term of Plan</w:t>
      </w:r>
      <w:r>
        <w:rPr>
          <w:rFonts w:ascii="Times New Roman" w:cs="Times New Roman" w:eastAsia="Times New Roman" w:hAnsi="Times New Roman"/>
          <w:sz w:val="17"/>
          <w:szCs w:val="17"/>
          <w:color w:val="auto"/>
        </w:rPr>
        <w:t>. The Plan (as amended and restated) shall become effective upon the Effective Date. The Plan (as amended and restated) shall continue in effect for a term of ten (10) years from the Effective Date.</w:t>
      </w:r>
    </w:p>
    <w:p>
      <w:pPr>
        <w:spacing w:after="0" w:line="177" w:lineRule="exact"/>
        <w:rPr>
          <w:rFonts w:ascii="Times New Roman" w:cs="Times New Roman" w:eastAsia="Times New Roman" w:hAnsi="Times New Roman"/>
          <w:sz w:val="17"/>
          <w:szCs w:val="17"/>
          <w:color w:val="auto"/>
        </w:rPr>
      </w:pPr>
    </w:p>
    <w:p>
      <w:pPr>
        <w:ind w:left="1000" w:hanging="378"/>
        <w:spacing w:after="0"/>
        <w:tabs>
          <w:tab w:leader="none" w:pos="10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Suspension or Termination of the Plan</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right="100" w:firstLine="1241"/>
        <w:spacing w:after="0" w:line="270" w:lineRule="auto"/>
        <w:tabs>
          <w:tab w:leader="none" w:pos="159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at any time amend, suspend or terminate the Plan; provided, however, that no such amendment shall be made without the approval of the Company’s stockholders to the extent such approval is required by Applicable Laws, or if such amendment would lessen the stockholder approval requirements of Section 4(b)(vi) or this Section 13(a).</w:t>
      </w:r>
    </w:p>
    <w:p>
      <w:pPr>
        <w:spacing w:after="0" w:line="191" w:lineRule="exact"/>
        <w:rPr>
          <w:rFonts w:ascii="Times New Roman" w:cs="Times New Roman" w:eastAsia="Times New Roman" w:hAnsi="Times New Roman"/>
          <w:sz w:val="17"/>
          <w:szCs w:val="17"/>
          <w:color w:val="auto"/>
        </w:rPr>
      </w:pPr>
    </w:p>
    <w:p>
      <w:pPr>
        <w:ind w:left="1620" w:hanging="379"/>
        <w:spacing w:after="0"/>
        <w:tabs>
          <w:tab w:leader="none" w:pos="162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Award may be granted during any suspension of the Plan or after termination of the Plan.</w:t>
      </w:r>
    </w:p>
    <w:p>
      <w:pPr>
        <w:spacing w:after="0" w:line="242" w:lineRule="exact"/>
        <w:rPr>
          <w:rFonts w:ascii="Times New Roman" w:cs="Times New Roman" w:eastAsia="Times New Roman" w:hAnsi="Times New Roman"/>
          <w:sz w:val="17"/>
          <w:szCs w:val="17"/>
          <w:color w:val="auto"/>
        </w:rPr>
      </w:pPr>
    </w:p>
    <w:p>
      <w:pPr>
        <w:ind w:right="40" w:firstLine="1241"/>
        <w:spacing w:after="0" w:line="287" w:lineRule="auto"/>
        <w:tabs>
          <w:tab w:leader="none" w:pos="160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suspension or termination of the Plan (including termination of the Plan under Section 11, above) shall adversely affect any rights under Awards already granted to a Grantee.</w:t>
      </w:r>
    </w:p>
    <w:p>
      <w:pPr>
        <w:spacing w:after="0" w:line="177" w:lineRule="exact"/>
        <w:rPr>
          <w:rFonts w:ascii="Times New Roman" w:cs="Times New Roman" w:eastAsia="Times New Roman" w:hAnsi="Times New Roman"/>
          <w:sz w:val="17"/>
          <w:szCs w:val="17"/>
          <w:color w:val="auto"/>
        </w:rPr>
      </w:pPr>
    </w:p>
    <w:p>
      <w:pPr>
        <w:ind w:left="1000" w:hanging="378"/>
        <w:spacing w:after="0"/>
        <w:tabs>
          <w:tab w:leader="none" w:pos="10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w:t>
      </w:r>
    </w:p>
    <w:p>
      <w:pPr>
        <w:spacing w:after="0" w:line="242" w:lineRule="exact"/>
        <w:rPr>
          <w:rFonts w:ascii="Times New Roman" w:cs="Times New Roman" w:eastAsia="Times New Roman" w:hAnsi="Times New Roman"/>
          <w:sz w:val="17"/>
          <w:szCs w:val="17"/>
          <w:color w:val="auto"/>
        </w:rPr>
      </w:pPr>
    </w:p>
    <w:p>
      <w:pPr>
        <w:ind w:firstLine="1241"/>
        <w:spacing w:after="0" w:line="287" w:lineRule="auto"/>
        <w:tabs>
          <w:tab w:leader="none" w:pos="159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during the term of the Plan, will at all times reserve and keep available such number of Shares as shall be sufficient to satisfy the requirements of the Plan.</w:t>
      </w:r>
    </w:p>
    <w:p>
      <w:pPr>
        <w:spacing w:after="0" w:line="177" w:lineRule="exact"/>
        <w:rPr>
          <w:rFonts w:ascii="Times New Roman" w:cs="Times New Roman" w:eastAsia="Times New Roman" w:hAnsi="Times New Roman"/>
          <w:sz w:val="17"/>
          <w:szCs w:val="17"/>
          <w:color w:val="auto"/>
        </w:rPr>
      </w:pPr>
    </w:p>
    <w:p>
      <w:pPr>
        <w:ind w:right="200" w:firstLine="1241"/>
        <w:spacing w:after="0" w:line="270" w:lineRule="auto"/>
        <w:tabs>
          <w:tab w:leader="none" w:pos="160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91" w:lineRule="exact"/>
        <w:rPr>
          <w:rFonts w:ascii="Times New Roman" w:cs="Times New Roman" w:eastAsia="Times New Roman" w:hAnsi="Times New Roman"/>
          <w:sz w:val="17"/>
          <w:szCs w:val="17"/>
          <w:color w:val="auto"/>
        </w:rPr>
      </w:pPr>
    </w:p>
    <w:p>
      <w:pPr>
        <w:ind w:right="120" w:firstLine="622"/>
        <w:spacing w:after="0" w:line="261" w:lineRule="auto"/>
        <w:tabs>
          <w:tab w:leader="none" w:pos="100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Effect on Terms of Employment/Consulting Relationship</w:t>
      </w:r>
      <w:r>
        <w:rPr>
          <w:rFonts w:ascii="Times New Roman" w:cs="Times New Roman" w:eastAsia="Times New Roman" w:hAnsi="Times New Roman"/>
          <w:sz w:val="17"/>
          <w:szCs w:val="17"/>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200" w:lineRule="exact"/>
        <w:rPr>
          <w:rFonts w:ascii="Times New Roman" w:cs="Times New Roman" w:eastAsia="Times New Roman" w:hAnsi="Times New Roman"/>
          <w:sz w:val="17"/>
          <w:szCs w:val="17"/>
          <w:color w:val="auto"/>
        </w:rPr>
      </w:pPr>
    </w:p>
    <w:p>
      <w:pPr>
        <w:ind w:firstLine="622"/>
        <w:spacing w:after="0" w:line="261" w:lineRule="auto"/>
        <w:tabs>
          <w:tab w:leader="none" w:pos="100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Effect on Retirement and Other Benefit Plans</w:t>
      </w:r>
      <w:r>
        <w:rPr>
          <w:rFonts w:ascii="Times New Roman" w:cs="Times New Roman" w:eastAsia="Times New Roman" w:hAnsi="Times New Roman"/>
          <w:sz w:val="17"/>
          <w:szCs w:val="17"/>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200" w:lineRule="exact"/>
        <w:rPr>
          <w:rFonts w:ascii="Times New Roman" w:cs="Times New Roman" w:eastAsia="Times New Roman" w:hAnsi="Times New Roman"/>
          <w:sz w:val="17"/>
          <w:szCs w:val="17"/>
          <w:color w:val="auto"/>
        </w:rPr>
      </w:pPr>
    </w:p>
    <w:p>
      <w:pPr>
        <w:jc w:val="both"/>
        <w:ind w:right="320" w:firstLine="622"/>
        <w:spacing w:after="0" w:line="264" w:lineRule="auto"/>
        <w:tabs>
          <w:tab w:leader="none" w:pos="100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The Plan (as amended and restated) will be submitted for the approval of the Company’s stockholders within twelve (12) months after the date of the Board’s initial adoption of the Plan (as amended and restated). Awards may be granted or awarded under the Plan (as amended and restated) and subject to the terms and conditions of the Original Plan following the Board’s adoption of the Plan (as amended and restated) unless and until the Plan (as amended and restated) receives stockholder approval. Awards granted from and after</w:t>
      </w:r>
    </w:p>
    <w:p>
      <w:pPr>
        <w:sectPr>
          <w:pgSz w:w="11900" w:h="16838" w:orient="portrait"/>
          <w:cols w:equalWidth="0" w:num="1">
            <w:col w:w="11240"/>
          </w:cols>
          <w:pgMar w:left="320" w:top="1361" w:right="339" w:bottom="1440" w:gutter="0" w:footer="0" w:header="0"/>
        </w:sectPr>
      </w:pPr>
    </w:p>
    <w:bookmarkStart w:id="139" w:name="page140"/>
    <w:bookmarkEnd w:id="139"/>
    <w:p>
      <w:pPr>
        <w:ind w:right="400"/>
        <w:spacing w:after="0" w:line="270" w:lineRule="auto"/>
        <w:rPr>
          <w:sz w:val="20"/>
          <w:szCs w:val="20"/>
          <w:color w:val="auto"/>
        </w:rPr>
      </w:pPr>
      <w:r>
        <w:rPr>
          <w:rFonts w:ascii="Times New Roman" w:cs="Times New Roman" w:eastAsia="Times New Roman" w:hAnsi="Times New Roman"/>
          <w:sz w:val="17"/>
          <w:szCs w:val="17"/>
          <w:color w:val="auto"/>
        </w:rPr>
        <w:t>stockholder approval of the Plan (as amended and restated) will be subject to the terms and conditions of the Plan (as amended and restated). If the Plan (as amended and restated) is not approved by stockholders within twelve (12) months after its adoption by the Board, then the Original Plan shall continue on its existing terms and conditions and the Plan (as amended and restated) shall be of no force or effect.</w:t>
      </w:r>
    </w:p>
    <w:p>
      <w:pPr>
        <w:spacing w:after="0" w:line="191" w:lineRule="exact"/>
        <w:rPr>
          <w:sz w:val="20"/>
          <w:szCs w:val="20"/>
          <w:color w:val="auto"/>
        </w:rPr>
      </w:pPr>
    </w:p>
    <w:p>
      <w:pPr>
        <w:ind w:right="120" w:firstLine="622"/>
        <w:spacing w:after="0" w:line="257" w:lineRule="auto"/>
        <w:tabs>
          <w:tab w:leader="none" w:pos="100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Unfunded Obligation</w:t>
      </w:r>
      <w:r>
        <w:rPr>
          <w:rFonts w:ascii="Times New Roman" w:cs="Times New Roman" w:eastAsia="Times New Roman" w:hAnsi="Times New Roman"/>
          <w:sz w:val="17"/>
          <w:szCs w:val="17"/>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204" w:lineRule="exact"/>
        <w:rPr>
          <w:rFonts w:ascii="Times New Roman" w:cs="Times New Roman" w:eastAsia="Times New Roman" w:hAnsi="Times New Roman"/>
          <w:sz w:val="17"/>
          <w:szCs w:val="17"/>
          <w:color w:val="auto"/>
        </w:rPr>
      </w:pPr>
    </w:p>
    <w:p>
      <w:pPr>
        <w:ind w:firstLine="622"/>
        <w:spacing w:after="0" w:line="270" w:lineRule="auto"/>
        <w:tabs>
          <w:tab w:leader="none" w:pos="100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91" w:lineRule="exact"/>
        <w:rPr>
          <w:rFonts w:ascii="Times New Roman" w:cs="Times New Roman" w:eastAsia="Times New Roman" w:hAnsi="Times New Roman"/>
          <w:sz w:val="17"/>
          <w:szCs w:val="17"/>
          <w:color w:val="auto"/>
        </w:rPr>
      </w:pPr>
    </w:p>
    <w:p>
      <w:pPr>
        <w:ind w:right="40" w:firstLine="622"/>
        <w:spacing w:after="0" w:line="264" w:lineRule="auto"/>
        <w:tabs>
          <w:tab w:leader="none" w:pos="100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Nonexclusivity of the Plan</w:t>
      </w:r>
      <w:r>
        <w:rPr>
          <w:rFonts w:ascii="Times New Roman" w:cs="Times New Roman" w:eastAsia="Times New Roman" w:hAnsi="Times New Roman"/>
          <w:sz w:val="17"/>
          <w:szCs w:val="17"/>
          <w:color w:val="auto"/>
        </w:rPr>
        <w:t>. Neither the adoption of the Plan (as amended and restated) by the Board, the submission of the Plan (as amended and restated) to the stockholders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spacing w:after="0" w:line="197" w:lineRule="exact"/>
        <w:rPr>
          <w:rFonts w:ascii="Times New Roman" w:cs="Times New Roman" w:eastAsia="Times New Roman" w:hAnsi="Times New Roman"/>
          <w:sz w:val="17"/>
          <w:szCs w:val="17"/>
          <w:color w:val="auto"/>
        </w:rPr>
      </w:pPr>
    </w:p>
    <w:p>
      <w:pPr>
        <w:ind w:right="380" w:firstLine="622"/>
        <w:spacing w:after="0" w:line="287" w:lineRule="auto"/>
        <w:tabs>
          <w:tab w:leader="none" w:pos="100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Plan and any agreements hereunder shall be administered, interpreted and enforced under the internal laws of the State of Delaware without regard to conflicts of laws thereof.</w:t>
      </w:r>
    </w:p>
    <w:p>
      <w:pPr>
        <w:sectPr>
          <w:pgSz w:w="11900" w:h="16838" w:orient="portrait"/>
          <w:cols w:equalWidth="0" w:num="1">
            <w:col w:w="11200"/>
          </w:cols>
          <w:pgMar w:left="320" w:top="1361" w:right="37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7"/>
                <w:szCs w:val="17"/>
                <w:color w:val="auto"/>
              </w:rPr>
            </w:pPr>
          </w:p>
        </w:tc>
        <w:tc>
          <w:tcPr>
            <w:tcW w:w="7240" w:type="dxa"/>
            <w:vAlign w:val="bottom"/>
            <w:gridSpan w:val="5"/>
          </w:tcPr>
          <w:p>
            <w:pPr>
              <w:ind w:left="680"/>
              <w:spacing w:after="0"/>
              <w:rPr>
                <w:sz w:val="20"/>
                <w:szCs w:val="20"/>
                <w:color w:val="auto"/>
              </w:rPr>
            </w:pPr>
            <w:r>
              <w:rPr>
                <w:rFonts w:ascii="Times New Roman" w:cs="Times New Roman" w:eastAsia="Times New Roman" w:hAnsi="Times New Roman"/>
                <w:sz w:val="17"/>
                <w:szCs w:val="17"/>
                <w:b w:val="1"/>
                <w:bCs w:val="1"/>
                <w:color w:val="auto"/>
              </w:rPr>
              <w:t>Subsidiaries of Registrant</w:t>
            </w:r>
          </w:p>
        </w:tc>
      </w:t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4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State or Country of Incorporation</w:t>
            </w:r>
          </w:p>
        </w:tc>
      </w:tr>
      <w:tr>
        <w:trPr>
          <w:trHeight w:val="22"/>
        </w:trPr>
        <w:tc>
          <w:tcPr>
            <w:tcW w:w="3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r>
      <w:tr>
        <w:trPr>
          <w:trHeight w:val="18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 Holding Corp.</w:t>
            </w:r>
          </w:p>
        </w:tc>
        <w:tc>
          <w:tcPr>
            <w:tcW w:w="6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Excelsior Medical Corporation</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Tangent Medical Technologies, Inc.</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Sales, Inc.</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de Mexico, S. de R. L. de C.V.</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Mexico</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Bidco Ltd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World, Inc.</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ASD, Inc.</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Izoard Sub. Inc.</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Medex Cardio-Pulmonary, Inc.</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Canada Limited</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Bahamas, Ltd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Bahamas</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B.V.</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Netherlands</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Costa Rica, Ltd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Bahamas</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SA Pty Ltd</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 Africa</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Australia Holdings Pty Limited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Medima s.p. z.o.o.</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Poland</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Latam LLC</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Canada Inc.</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Hong Kong Limited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Hong Kong</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Philippines, Inc.</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Philippines</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Europe S.r.l.</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Italy</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Germany GmbH</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Germany</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Aust MLA Pty Limited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Italia S.r.l.</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Italy</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France S.A.S.</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France</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Ireland Limited</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Medical Australia Pty Limited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Argentina S.R.L.</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Argentina</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Hospira Chile Limitada</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Chile</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Chile Limitada</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Chile</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Colombia Limitada</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Colombia</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HIS Mexico S. de R.L. de C.V.</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Mexico</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Peru S.R.L.</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Peru</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India LLP</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India</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UK Medical Limited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Productos Farmacéuticos y Hospitalarios, S.L.</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Unlimited Company</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Ireland</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Australia Pty Limited</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Medivet Pty Ltd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ICU Medical 2020 Limited</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ICU Medical Group Limited</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Group Deutschland Gmbh</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Germany</w:t>
            </w:r>
          </w:p>
        </w:tc>
      </w:tr>
      <w:tr>
        <w:trPr>
          <w:trHeight w:val="18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Deutschland GmbH</w:t>
            </w:r>
          </w:p>
        </w:tc>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Germany</w:t>
            </w:r>
          </w:p>
        </w:tc>
      </w:tr>
      <w:tr>
        <w:trPr>
          <w:trHeight w:val="20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Do Brasil Produts Hospitalares Ltda</w:t>
            </w:r>
          </w:p>
        </w:tc>
        <w:tc>
          <w:tcPr>
            <w:tcW w:w="6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Brazil</w:t>
            </w:r>
          </w:p>
        </w:tc>
      </w:tr>
    </w:tbl>
    <w:p>
      <w:pPr>
        <w:sectPr>
          <w:pgSz w:w="11900" w:h="16838" w:orient="portrait"/>
          <w:cols w:equalWidth="0" w:num="1">
            <w:col w:w="11220"/>
          </w:cols>
          <w:pgMar w:left="340" w:top="854"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Graseby Medical Ireland Limited</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Ireland</w:t>
            </w:r>
          </w:p>
        </w:tc>
      </w:tr>
      <w:tr>
        <w:trPr>
          <w:trHeight w:val="22"/>
        </w:trPr>
        <w:tc>
          <w:tcPr>
            <w:tcW w:w="50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(Portugal) Unipessoal Lda</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Portugal</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Espana S.L.U</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Spain</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Schweiz AG</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Switzerland</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Czech Republic A.S.</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Czech Republic</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(Shanghai) Co. Ltd</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China</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France SAS</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France</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Italia Srl</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Italy</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Danmark Aps</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Denmark</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Osterreich Gmbh</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Austria</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Sverige AB</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Sweden</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Nederland BV</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Netherlands</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Belgium NV</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Belgium</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 Overseas Holdings Limited</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Healthcare Manufacturing SA de CV</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Mexico</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Japan Ltd</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Japan</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Australasia Pty Ltd</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Australia</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International Limited</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Graesby Medical Limited</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Hong Kong Limited</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Hong Kong</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Graesby Medical Instrument (Zhejiang) Co Ltd</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China</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Medex Medical Limited</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Ashfield Medical Systems Limited</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Smiths Medical Singapore Pte Limited</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Singapore</w:t>
            </w:r>
          </w:p>
        </w:tc>
      </w:tr>
      <w:tr>
        <w:trPr>
          <w:trHeight w:val="186"/>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India Private Limited</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India</w:t>
            </w:r>
          </w:p>
        </w:tc>
      </w:tr>
      <w:tr>
        <w:trPr>
          <w:trHeight w:val="20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PneuPac Limited</w:t>
            </w:r>
          </w:p>
        </w:tc>
        <w:tc>
          <w:tcPr>
            <w:tcW w:w="61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7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Smiths Medical (Beijing) Co Ltd</w:t>
            </w:r>
          </w:p>
        </w:tc>
        <w:tc>
          <w:tcPr>
            <w:tcW w:w="61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China</w:t>
            </w:r>
          </w:p>
        </w:tc>
      </w:tr>
    </w:tbl>
    <w:p>
      <w:pPr>
        <w:sectPr>
          <w:pgSz w:w="11900" w:h="16838" w:orient="portrait"/>
          <w:cols w:equalWidth="0" w:num="1">
            <w:col w:w="11220"/>
          </w:cols>
          <w:pgMar w:left="340" w:top="89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4"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7"/>
          <w:szCs w:val="17"/>
          <w:color w:val="auto"/>
        </w:rPr>
        <w:t xml:space="preserve">We consent to the incorporation by reference in Registration Statement No. </w:t>
      </w:r>
      <w:r>
        <w:rPr>
          <w:rFonts w:ascii="Times New Roman" w:cs="Times New Roman" w:eastAsia="Times New Roman" w:hAnsi="Times New Roman"/>
          <w:sz w:val="17"/>
          <w:szCs w:val="17"/>
          <w:color w:val="111111"/>
        </w:rPr>
        <w:t>333-90464,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333-175239, 333-198256, and 333-219106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11111"/>
        </w:rPr>
        <w:t>on Form S</w:t>
      </w:r>
      <w:r>
        <w:rPr>
          <w:rFonts w:ascii="Times New Roman" w:cs="Times New Roman" w:eastAsia="Times New Roman" w:hAnsi="Times New Roman"/>
          <w:sz w:val="17"/>
          <w:szCs w:val="17"/>
          <w:color w:val="4B4B4B"/>
        </w:rPr>
        <w:t>-</w:t>
      </w:r>
      <w:r>
        <w:rPr>
          <w:rFonts w:ascii="Times New Roman" w:cs="Times New Roman" w:eastAsia="Times New Roman" w:hAnsi="Times New Roman"/>
          <w:sz w:val="17"/>
          <w:szCs w:val="17"/>
          <w:color w:val="212121"/>
        </w:rPr>
        <w:t>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11111"/>
        </w:rPr>
        <w:t>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333</w:t>
      </w:r>
      <w:r>
        <w:rPr>
          <w:rFonts w:ascii="Times New Roman" w:cs="Times New Roman" w:eastAsia="Times New Roman" w:hAnsi="Times New Roman"/>
          <w:sz w:val="17"/>
          <w:szCs w:val="17"/>
          <w:color w:val="4B4B4B"/>
        </w:rPr>
        <w:t>-</w:t>
      </w:r>
      <w:r>
        <w:rPr>
          <w:rFonts w:ascii="Times New Roman" w:cs="Times New Roman" w:eastAsia="Times New Roman" w:hAnsi="Times New Roman"/>
          <w:sz w:val="17"/>
          <w:szCs w:val="17"/>
          <w:color w:val="212121"/>
        </w:rPr>
        <w:t>228390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 xml:space="preserve">on </w:t>
      </w:r>
      <w:r>
        <w:rPr>
          <w:rFonts w:ascii="Times New Roman" w:cs="Times New Roman" w:eastAsia="Times New Roman" w:hAnsi="Times New Roman"/>
          <w:sz w:val="17"/>
          <w:szCs w:val="17"/>
          <w:color w:val="111111"/>
        </w:rPr>
        <w:t>Form S</w:t>
      </w:r>
      <w:r>
        <w:rPr>
          <w:rFonts w:ascii="Times New Roman" w:cs="Times New Roman" w:eastAsia="Times New Roman" w:hAnsi="Times New Roman"/>
          <w:sz w:val="17"/>
          <w:szCs w:val="17"/>
          <w:color w:val="4B4B4B"/>
        </w:rPr>
        <w:t>-</w:t>
      </w:r>
      <w:r>
        <w:rPr>
          <w:rFonts w:ascii="Times New Roman" w:cs="Times New Roman" w:eastAsia="Times New Roman" w:hAnsi="Times New Roman"/>
          <w:sz w:val="17"/>
          <w:szCs w:val="17"/>
          <w:color w:val="212121"/>
        </w:rPr>
        <w:t xml:space="preserve"> 3 </w:t>
      </w:r>
      <w:r>
        <w:rPr>
          <w:rFonts w:ascii="Times New Roman" w:cs="Times New Roman" w:eastAsia="Times New Roman" w:hAnsi="Times New Roman"/>
          <w:sz w:val="17"/>
          <w:szCs w:val="17"/>
          <w:color w:val="111111"/>
        </w:rPr>
        <w:t>of our reports</w:t>
      </w:r>
      <w:r>
        <w:rPr>
          <w:rFonts w:ascii="Times New Roman" w:cs="Times New Roman" w:eastAsia="Times New Roman" w:hAnsi="Times New Roman"/>
          <w:sz w:val="17"/>
          <w:szCs w:val="17"/>
          <w:color w:val="212121"/>
        </w:rPr>
        <w:t xml:space="preserve"> dated February 27, 2023, relating </w:t>
      </w:r>
      <w:r>
        <w:rPr>
          <w:rFonts w:ascii="Times New Roman" w:cs="Times New Roman" w:eastAsia="Times New Roman" w:hAnsi="Times New Roman"/>
          <w:sz w:val="17"/>
          <w:szCs w:val="17"/>
          <w:color w:val="111111"/>
        </w:rPr>
        <w:t>to the financial statements of ICU Medical, Inc. and the effectiveness of ICU Medical Inc.'s internal</w:t>
      </w:r>
      <w:r>
        <w:rPr>
          <w:rFonts w:ascii="Times New Roman" w:cs="Times New Roman" w:eastAsia="Times New Roman" w:hAnsi="Times New Roman"/>
          <w:sz w:val="17"/>
          <w:szCs w:val="17"/>
          <w:color w:val="212121"/>
        </w:rPr>
        <w:t xml:space="preserve"> </w:t>
      </w:r>
      <w:r>
        <w:rPr>
          <w:rFonts w:ascii="Times New Roman" w:cs="Times New Roman" w:eastAsia="Times New Roman" w:hAnsi="Times New Roman"/>
          <w:sz w:val="17"/>
          <w:szCs w:val="17"/>
          <w:color w:val="111111"/>
        </w:rPr>
        <w:t xml:space="preserve">control over financial reporting appearing in this Annual Report on Form 10-K for the year ended </w:t>
      </w:r>
      <w:r>
        <w:rPr>
          <w:rFonts w:ascii="Times New Roman" w:cs="Times New Roman" w:eastAsia="Times New Roman" w:hAnsi="Times New Roman"/>
          <w:sz w:val="17"/>
          <w:szCs w:val="17"/>
          <w:color w:val="000000"/>
        </w:rPr>
        <w:t>December 31, 2022.</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27, 2023</w:t>
      </w:r>
    </w:p>
    <w:p>
      <w:pPr>
        <w:sectPr>
          <w:pgSz w:w="11900" w:h="16838" w:orient="portrait"/>
          <w:cols w:equalWidth="0" w:num="1">
            <w:col w:w="11240"/>
          </w:cols>
          <w:pgMar w:left="320" w:top="854" w:right="339" w:bottom="1440" w:gutter="0" w:footer="0" w:header="0"/>
        </w:sectPr>
      </w:pPr>
    </w:p>
    <w:bookmarkStart w:id="143" w:name="page144"/>
    <w:bookmarkEnd w:id="143"/>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ICU Medical, Inc.;</w:t>
      </w:r>
    </w:p>
    <w:p>
      <w:pPr>
        <w:spacing w:after="0" w:line="24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240" w:right="220" w:hanging="618"/>
        <w:spacing w:after="0" w:line="287" w:lineRule="auto"/>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240" w:hanging="618"/>
        <w:spacing w:after="0" w:line="270" w:lineRule="auto"/>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240" w:right="260" w:hanging="618"/>
        <w:spacing w:after="0" w:line="270" w:lineRule="auto"/>
        <w:tabs>
          <w:tab w:leader="none" w:pos="123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2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2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240" w:right="140" w:hanging="618"/>
        <w:spacing w:after="0" w:line="287" w:lineRule="auto"/>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240" w:right="160" w:hanging="618"/>
        <w:spacing w:after="0" w:line="287" w:lineRule="auto"/>
        <w:tabs>
          <w:tab w:leader="none" w:pos="123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20" w:hanging="618"/>
        <w:spacing w:after="0" w:line="276" w:lineRule="auto"/>
        <w:tabs>
          <w:tab w:leader="none" w:pos="122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40"/>
        <w:spacing w:after="0"/>
        <w:tabs>
          <w:tab w:leader="none" w:pos="6340" w:val="left"/>
        </w:tabs>
        <w:rPr>
          <w:sz w:val="20"/>
          <w:szCs w:val="20"/>
          <w:color w:val="auto"/>
        </w:rPr>
      </w:pPr>
      <w:r>
        <w:rPr>
          <w:rFonts w:ascii="Times New Roman" w:cs="Times New Roman" w:eastAsia="Times New Roman" w:hAnsi="Times New Roman"/>
          <w:sz w:val="17"/>
          <w:szCs w:val="17"/>
          <w:color w:val="auto"/>
        </w:rPr>
        <w:t>Date: February 27, 2023</w:t>
      </w:r>
      <w:r>
        <w:rPr>
          <w:sz w:val="20"/>
          <w:szCs w:val="20"/>
          <w:color w:val="auto"/>
        </w:rPr>
        <w:tab/>
      </w:r>
      <w:r>
        <w:rPr>
          <w:rFonts w:ascii="Times New Roman" w:cs="Times New Roman" w:eastAsia="Times New Roman" w:hAnsi="Times New Roman"/>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17145</wp:posOffset>
            </wp:positionV>
            <wp:extent cx="30943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854" w:right="339" w:bottom="1440" w:gutter="0" w:footer="0" w:header="0"/>
        </w:sectPr>
      </w:pPr>
    </w:p>
    <w:bookmarkStart w:id="144" w:name="page145"/>
    <w:bookmarkEnd w:id="144"/>
    <w:p>
      <w:pPr>
        <w:ind w:left="1036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ICU Medical, Inc.;</w:t>
      </w:r>
    </w:p>
    <w:p>
      <w:pPr>
        <w:spacing w:after="0" w:line="242" w:lineRule="exact"/>
        <w:rPr>
          <w:rFonts w:ascii="Times New Roman" w:cs="Times New Roman" w:eastAsia="Times New Roman" w:hAnsi="Times New Roman"/>
          <w:sz w:val="17"/>
          <w:szCs w:val="17"/>
          <w:color w:val="auto"/>
        </w:rPr>
      </w:pPr>
    </w:p>
    <w:p>
      <w:pPr>
        <w:jc w:val="both"/>
        <w:ind w:left="1080" w:right="160" w:hanging="535"/>
        <w:spacing w:after="0" w:line="270" w:lineRule="auto"/>
        <w:tabs>
          <w:tab w:leader="none" w:pos="10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080" w:right="80" w:hanging="535"/>
        <w:spacing w:after="0" w:line="287" w:lineRule="auto"/>
        <w:tabs>
          <w:tab w:leader="none" w:pos="1123"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080" w:right="160" w:hanging="535"/>
        <w:spacing w:after="0" w:line="270" w:lineRule="auto"/>
        <w:tabs>
          <w:tab w:leader="none" w:pos="10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080" w:right="420" w:hanging="535"/>
        <w:spacing w:after="0" w:line="270" w:lineRule="auto"/>
        <w:tabs>
          <w:tab w:leader="none" w:pos="107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080" w:right="860" w:hanging="535"/>
        <w:spacing w:after="0" w:line="287" w:lineRule="auto"/>
        <w:tabs>
          <w:tab w:leader="none" w:pos="107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080" w:hanging="535"/>
        <w:spacing w:after="0" w:line="287" w:lineRule="auto"/>
        <w:tabs>
          <w:tab w:leader="none" w:pos="112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080" w:right="320" w:hanging="535"/>
        <w:spacing w:after="0" w:line="287" w:lineRule="auto"/>
        <w:tabs>
          <w:tab w:leader="none" w:pos="107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080" w:right="280" w:hanging="535"/>
        <w:spacing w:after="0" w:line="287" w:lineRule="auto"/>
        <w:tabs>
          <w:tab w:leader="none" w:pos="106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60"/>
        <w:spacing w:after="0"/>
        <w:tabs>
          <w:tab w:leader="none" w:pos="5300" w:val="left"/>
        </w:tabs>
        <w:rPr>
          <w:sz w:val="20"/>
          <w:szCs w:val="20"/>
          <w:color w:val="auto"/>
        </w:rPr>
      </w:pPr>
      <w:r>
        <w:rPr>
          <w:rFonts w:ascii="Times New Roman" w:cs="Times New Roman" w:eastAsia="Times New Roman" w:hAnsi="Times New Roman"/>
          <w:sz w:val="17"/>
          <w:szCs w:val="17"/>
          <w:color w:val="auto"/>
        </w:rPr>
        <w:t>Date: February 27, 2023</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17145</wp:posOffset>
            </wp:positionV>
            <wp:extent cx="36017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3601720"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Chief Financial Officer</w:t>
      </w:r>
    </w:p>
    <w:p>
      <w:pPr>
        <w:ind w:left="53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85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ICU Medical, Inc. (the “Company”) on Form 10-K for the period ended December 31, 2022 as filed with the Securities and Exchange Commission on the date hereof (the “Report”), I, Vivek Jain, Chief Executive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49"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27, 2023</w:t>
            </w: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Vivek Jain</w:t>
            </w:r>
          </w:p>
        </w:tc>
      </w:tr>
      <w:tr>
        <w:trPr>
          <w:trHeight w:val="209"/>
        </w:trPr>
        <w:tc>
          <w:tcPr>
            <w:tcW w:w="5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0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Vivek Jain</w:t>
            </w:r>
          </w:p>
        </w:tc>
      </w:tr>
      <w:tr>
        <w:trPr>
          <w:trHeight w:val="219"/>
        </w:trPr>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ICU Medical, Inc. (the “Company”) on Form 10-K for the period ended December 31, 2022 as filed with the Securities and Exchange Commission on the date hereof (the “Report”), I, Brian M. Bonnell, Chief Financial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27, 2023</w:t>
            </w: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r>
      <w:tr>
        <w:trPr>
          <w:trHeight w:val="209"/>
        </w:trPr>
        <w:tc>
          <w:tcPr>
            <w:tcW w:w="20" w:type="dxa"/>
            <w:vAlign w:val="bottom"/>
            <w:tcBorders>
              <w:top w:val="single" w:sz="8" w:color="auto"/>
            </w:tcBorders>
          </w:tcPr>
          <w:p>
            <w:pPr>
              <w:spacing w:after="0"/>
              <w:rPr>
                <w:sz w:val="18"/>
                <w:szCs w:val="18"/>
                <w:color w:val="auto"/>
              </w:rPr>
            </w:pPr>
          </w:p>
        </w:tc>
        <w:tc>
          <w:tcPr>
            <w:tcW w:w="5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80" w:type="dxa"/>
            <w:vAlign w:val="bottom"/>
          </w:tcPr>
          <w:p>
            <w:pPr>
              <w:spacing w:after="0"/>
              <w:rPr>
                <w:sz w:val="18"/>
                <w:szCs w:val="18"/>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r>
      <w:tr>
        <w:trPr>
          <w:trHeight w:val="219"/>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60"/>
        </w:trPr>
        <w:tc>
          <w:tcPr>
            <w:tcW w:w="20" w:type="dxa"/>
            <w:vAlign w:val="bottom"/>
          </w:tcPr>
          <w:p>
            <w:pPr>
              <w:spacing w:after="0"/>
              <w:rPr>
                <w:sz w:val="13"/>
                <w:szCs w:val="13"/>
                <w:color w:val="auto"/>
              </w:rPr>
            </w:pPr>
          </w:p>
        </w:tc>
        <w:tc>
          <w:tcPr>
            <w:tcW w:w="5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lvl w:ilvl="1">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endash "/>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lvl w:ilvl="1">
      <w:lvlJc w:val="left"/>
      <w:lvlText w:val="\endash "/>
      <w:numFmt w:val="bullet"/>
      <w:start w:val="1"/>
    </w:lvl>
  </w:abstractNum>
  <w:abstractNum w:abstractNumId="38">
    <w:nsid w:val="5F5E7FD0"/>
    <w:multiLevelType w:val="hybridMultilevel"/>
    <w:lvl w:ilvl="0">
      <w:lvlJc w:val="left"/>
      <w:lvlText w:val="•"/>
      <w:numFmt w:val="bullet"/>
      <w:start w:val="1"/>
    </w:lvl>
    <w:lvl w:ilvl="1">
      <w:lvlJc w:val="left"/>
      <w:lvlText w:val="\endash "/>
      <w:numFmt w:val="bullet"/>
      <w:start w:val="1"/>
    </w:lvl>
  </w:abstractNum>
  <w:abstractNum w:abstractNumId="39">
    <w:nsid w:val="98A3148"/>
    <w:multiLevelType w:val="hybridMultilevel"/>
    <w:lvl w:ilvl="0">
      <w:lvlJc w:val="left"/>
      <w:lvlText w:val="\endash "/>
      <w:numFmt w:val="bullet"/>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1)"/>
      <w:numFmt w:val="decimal"/>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lowerLetter"/>
      <w:start w:val="3"/>
    </w:lvl>
  </w:abstractNum>
  <w:abstractNum w:abstractNumId="56">
    <w:nsid w:val="1A32234B"/>
    <w:multiLevelType w:val="hybridMultilevel"/>
    <w:lvl w:ilvl="0">
      <w:lvlJc w:val="left"/>
      <w:lvlText w:val="%1."/>
      <w:numFmt w:val="decimal"/>
      <w:start w:val="3"/>
    </w:lvl>
  </w:abstractNum>
  <w:abstractNum w:abstractNumId="57">
    <w:nsid w:val="3B0FD379"/>
    <w:multiLevelType w:val="hybridMultilevel"/>
    <w:lvl w:ilvl="0">
      <w:lvlJc w:val="left"/>
      <w:lvlText w:val="%1"/>
      <w:numFmt w:val="decimal"/>
      <w:start w:val="21"/>
    </w:lvl>
  </w:abstractNum>
  <w:abstractNum w:abstractNumId="58">
    <w:nsid w:val="68EB2F63"/>
    <w:multiLevelType w:val="hybridMultilevel"/>
    <w:lvl w:ilvl="0">
      <w:lvlJc w:val="left"/>
      <w:lvlText w:val="%1"/>
      <w:numFmt w:val="decimal"/>
      <w:start w:val="32"/>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3">
    <w:nsid w:val="7FFFCA11"/>
    <w:multiLevelType w:val="hybridMultilevel"/>
    <w:lvl w:ilvl="0">
      <w:lvlJc w:val="left"/>
      <w:lvlText w:val="(%1)"/>
      <w:numFmt w:val="lowerRoman"/>
      <w:start w:val="2"/>
    </w:lvl>
    <w:lvl w:ilvl="1">
      <w:lvlJc w:val="left"/>
      <w:lvlText w:val="(%2)"/>
      <w:numFmt w:val="upperLetter"/>
      <w:start w:val="1"/>
    </w:lvl>
  </w:abstractNum>
  <w:abstractNum w:abstractNumId="64">
    <w:nsid w:val="1A27709E"/>
    <w:multiLevelType w:val="hybridMultilevel"/>
    <w:lvl w:ilvl="0">
      <w:lvlJc w:val="left"/>
      <w:lvlText w:val="(%1)"/>
      <w:numFmt w:val="lowerLetter"/>
      <w:start w:val="10"/>
    </w:lvl>
  </w:abstractNum>
  <w:abstractNum w:abstractNumId="65">
    <w:nsid w:val="71EA1109"/>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66">
    <w:nsid w:val="100F59DC"/>
    <w:multiLevelType w:val="hybridMultilevel"/>
    <w:lvl w:ilvl="0">
      <w:lvlJc w:val="left"/>
      <w:lvlText w:val="(%1)"/>
      <w:numFmt w:val="decimal"/>
      <w:start w:val="12"/>
    </w:lvl>
    <w:lvl w:ilvl="1">
      <w:lvlJc w:val="left"/>
      <w:lvlText w:val="(%2)"/>
      <w:numFmt w:val="lowerLetter"/>
      <w:start w:val="16"/>
    </w:lvl>
    <w:lvl w:ilvl="2">
      <w:lvlJc w:val="left"/>
      <w:lvlText w:val="(%3)"/>
      <w:numFmt w:val="lowerRoman"/>
      <w:start w:val="1"/>
    </w:lvl>
  </w:abstractNum>
  <w:abstractNum w:abstractNumId="67">
    <w:nsid w:val="7FB7E0AA"/>
    <w:multiLevelType w:val="hybridMultilevel"/>
    <w:lvl w:ilvl="0">
      <w:lvlJc w:val="left"/>
      <w:lvlText w:val="%1"/>
      <w:numFmt w:val="lowerLetter"/>
      <w:start w:val="1"/>
    </w:lvl>
    <w:lvl w:ilvl="1">
      <w:lvlJc w:val="left"/>
      <w:lvlText w:val="(%2)"/>
      <w:numFmt w:val="lowerRoman"/>
      <w:start w:val="4"/>
    </w:lvl>
  </w:abstractNum>
  <w:abstractNum w:abstractNumId="68">
    <w:nsid w:val="6EB5BD4"/>
    <w:multiLevelType w:val="hybridMultilevel"/>
    <w:lvl w:ilvl="0">
      <w:lvlJc w:val="left"/>
      <w:lvlText w:val="(%1)"/>
      <w:numFmt w:val="lowerLetter"/>
      <w:start w:val="18"/>
    </w:lvl>
    <w:lvl w:ilvl="1">
      <w:lvlJc w:val="left"/>
      <w:lvlText w:val="(%2)"/>
      <w:numFmt w:val="lowerRoman"/>
      <w:start w:val="1"/>
    </w:lvl>
  </w:abstractNum>
  <w:abstractNum w:abstractNumId="69">
    <w:nsid w:val="6F6DD9AC"/>
    <w:multiLevelType w:val="hybridMultilevel"/>
    <w:lvl w:ilvl="0">
      <w:lvlJc w:val="left"/>
      <w:lvlText w:val="(%1)"/>
      <w:numFmt w:val="lowerRoman"/>
      <w:start w:val="2"/>
    </w:lvl>
  </w:abstractNum>
  <w:abstractNum w:abstractNumId="70">
    <w:nsid w:val="94211F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1">
    <w:nsid w:val="885E1B"/>
    <w:multiLevelType w:val="hybridMultilevel"/>
    <w:lvl w:ilvl="0">
      <w:lvlJc w:val="left"/>
      <w:lvlText w:val="%1"/>
      <w:numFmt w:val="lowerLetter"/>
      <w:start w:val="1"/>
    </w:lvl>
    <w:lvl w:ilvl="1">
      <w:lvlJc w:val="left"/>
      <w:lvlText w:val="(%2)"/>
      <w:numFmt w:val="lowerRoman"/>
      <w:start w:val="2"/>
    </w:lvl>
  </w:abstractNum>
  <w:abstractNum w:abstractNumId="72">
    <w:nsid w:val="76272110"/>
    <w:multiLevelType w:val="hybridMultilevel"/>
    <w:lvl w:ilvl="0">
      <w:lvlJc w:val="left"/>
      <w:lvlText w:val="(%1)"/>
      <w:numFmt w:val="lowerLetter"/>
      <w:start w:val="2"/>
    </w:lvl>
    <w:lvl w:ilvl="1">
      <w:lvlJc w:val="left"/>
      <w:lvlText w:val="(%2)"/>
      <w:numFmt w:val="lowerRoman"/>
      <w:start w:val="1"/>
    </w:lvl>
  </w:abstractNum>
  <w:abstractNum w:abstractNumId="73">
    <w:nsid w:val="4C04A8AF"/>
    <w:multiLevelType w:val="hybridMultilevel"/>
    <w:lvl w:ilvl="0">
      <w:lvlJc w:val="left"/>
      <w:lvlText w:val="%1"/>
      <w:numFmt w:val="decimal"/>
      <w:start w:val="1"/>
    </w:lvl>
    <w:lvl w:ilvl="1">
      <w:lvlJc w:val="left"/>
      <w:lvlText w:val="(%2)"/>
      <w:numFmt w:val="lowerLetter"/>
      <w:start w:val="3"/>
    </w:lvl>
  </w:abstractNum>
  <w:abstractNum w:abstractNumId="74">
    <w:nsid w:val="1716703B"/>
    <w:multiLevelType w:val="hybridMultilevel"/>
    <w:lvl w:ilvl="0">
      <w:lvlJc w:val="left"/>
      <w:lvlText w:val="%1."/>
      <w:numFmt w:val="decimal"/>
      <w:start w:val="5"/>
    </w:lvl>
    <w:lvl w:ilvl="1">
      <w:lvlJc w:val="left"/>
      <w:lvlText w:val="(%2)"/>
      <w:numFmt w:val="lowerLetter"/>
      <w:start w:val="1"/>
    </w:lvl>
  </w:abstractNum>
  <w:abstractNum w:abstractNumId="75">
    <w:nsid w:val="14E17E33"/>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76">
    <w:nsid w:val="3222E7CD"/>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2"/>
    </w:lvl>
  </w:abstractNum>
  <w:abstractNum w:abstractNumId="77">
    <w:nsid w:val="74DE0EE3"/>
    <w:multiLevelType w:val="hybridMultilevel"/>
    <w:lvl w:ilvl="0">
      <w:lvlJc w:val="left"/>
      <w:lvlText w:val="(%1)"/>
      <w:numFmt w:val="lowerRoman"/>
      <w:start w:val="8"/>
    </w:lvl>
    <w:lvl w:ilvl="1">
      <w:lvlJc w:val="left"/>
      <w:lvlText w:val="(%2)"/>
      <w:numFmt w:val="lowerLetter"/>
      <w:start w:val="4"/>
    </w:lvl>
    <w:lvl w:ilvl="2">
      <w:lvlJc w:val="left"/>
      <w:lvlText w:val="%3"/>
      <w:numFmt w:val="lowerRoman"/>
      <w:start w:val="1"/>
    </w:lvl>
  </w:abstractNum>
  <w:abstractNum w:abstractNumId="78">
    <w:nsid w:val="68EBC550"/>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79">
    <w:nsid w:val="2DF6D64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80">
    <w:nsid w:val="46B7D447"/>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81">
    <w:nsid w:val="4A2AC31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upperLetter"/>
      <w:start w:val="1"/>
    </w:lvl>
  </w:abstractNum>
  <w:abstractNum w:abstractNumId="82">
    <w:nsid w:val="39EE015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3">
    <w:nsid w:val="57FC4FBB"/>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4"/>
    </w:lvl>
  </w:abstractNum>
  <w:abstractNum w:abstractNumId="84">
    <w:nsid w:val="CC1016F"/>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5">
    <w:nsid w:val="43F18422"/>
    <w:multiLevelType w:val="hybridMultilevel"/>
    <w:lvl w:ilvl="0">
      <w:lvlJc w:val="left"/>
      <w:lvlText w:val="(%1)"/>
      <w:numFmt w:val="lowerLetter"/>
      <w:start w:val="3"/>
    </w:lvl>
  </w:abstractNum>
  <w:abstractNum w:abstractNumId="86">
    <w:nsid w:val="60EF011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7">
    <w:nsid w:val="26F324B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8">
    <w:nsid w:val="7F01579B"/>
    <w:multiLevelType w:val="hybridMultilevel"/>
    <w:lvl w:ilvl="0">
      <w:lvlJc w:val="left"/>
      <w:lvlText w:val="%1"/>
      <w:numFmt w:val="decimal"/>
      <w:start w:val="1"/>
    </w:lvl>
    <w:lvl w:ilvl="1">
      <w:lvlJc w:val="left"/>
      <w:lvlText w:val="(%2)"/>
      <w:numFmt w:val="lowerLetter"/>
      <w:start w:val="3"/>
    </w:lvl>
  </w:abstractNum>
  <w:abstractNum w:abstractNumId="89">
    <w:nsid w:val="49DA307D"/>
    <w:multiLevelType w:val="hybridMultilevel"/>
    <w:lvl w:ilvl="0">
      <w:lvlJc w:val="left"/>
      <w:lvlText w:val="%1."/>
      <w:numFmt w:val="decimal"/>
      <w:start w:val="12"/>
    </w:lvl>
    <w:lvl w:ilvl="1">
      <w:lvlJc w:val="left"/>
      <w:lvlText w:val="(%2)"/>
      <w:numFmt w:val="lowerLetter"/>
      <w:start w:val="1"/>
    </w:lvl>
  </w:abstractNum>
  <w:abstractNum w:abstractNumId="90">
    <w:nsid w:val="7055A5F5"/>
    <w:multiLevelType w:val="hybridMultilevel"/>
    <w:lvl w:ilvl="0">
      <w:lvlJc w:val="left"/>
      <w:lvlText w:val="%1."/>
      <w:numFmt w:val="decimal"/>
      <w:start w:val="18"/>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decimal"/>
      <w:start w:val="5"/>
    </w:lvl>
  </w:abstractNum>
  <w:abstractNum w:abstractNumId="94">
    <w:nsid w:val="5FB8011C"/>
    <w:multiLevelType w:val="hybridMultilevel"/>
    <w:lvl w:ilvl="0">
      <w:lvlJc w:val="left"/>
      <w:lvlText w:val="%1)"/>
      <w:numFmt w:val="lowerLetter"/>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5"/>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0"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41" Type="http://schemas.openxmlformats.org/officeDocument/2006/relationships/hyperlink" Target="http://www.sec.gov/Archives/edgar/data/0000883984/000119312521267387/d228927dex21.htm" TargetMode="External"/><Relationship Id="rId142" Type="http://schemas.openxmlformats.org/officeDocument/2006/relationships/hyperlink" Target="http://www.sec.gov/Archives/edgar/data/883984/000119312521267387/d228927dex22.htm" TargetMode="External"/><Relationship Id="rId143" Type="http://schemas.openxmlformats.org/officeDocument/2006/relationships/hyperlink" Target="http://www.sec.gov/Archives/edgar/data/883984/000088398414000046/exhibitamendedandrestatedc.htm" TargetMode="External"/><Relationship Id="rId144" Type="http://schemas.openxmlformats.org/officeDocument/2006/relationships/hyperlink" Target="http://www.sec.gov/Archives/edgar/data/883984/000088398416000073/exhibit31amendedandrestate.htm" TargetMode="External"/><Relationship Id="rId145" Type="http://schemas.openxmlformats.org/officeDocument/2006/relationships/hyperlink" Target="http://www.sec.gov/Archives/edgar/data/883984/000088398420000014/exhibit41descriptionof.htm" TargetMode="External"/><Relationship Id="rId146" Type="http://schemas.openxmlformats.org/officeDocument/2006/relationships/hyperlink" Target="http://www.sec.gov/Archives/edgar/data/883984/000110465910053238/a10-17276_1ex10d1.htm" TargetMode="External"/><Relationship Id="rId147" Type="http://schemas.openxmlformats.org/officeDocument/2006/relationships/hyperlink" Target="http://www.sec.gov/Archives/edgar/data/883984/000101968702000543/icu_def14a-040202.txt" TargetMode="External"/><Relationship Id="rId148" Type="http://schemas.openxmlformats.org/officeDocument/2006/relationships/hyperlink" Target="http://www.sec.gov/Archives/edgar/data/883984/000088398413000019/icui-def14ax2013.htm" TargetMode="External"/><Relationship Id="rId149" Type="http://schemas.openxmlformats.org/officeDocument/2006/relationships/hyperlink" Target="http://www.sec.gov/Archives/edgar/data/883984/000088398420000014/exhibit1012firstamendm.htm" TargetMode="External"/><Relationship Id="rId151" Type="http://schemas.openxmlformats.org/officeDocument/2006/relationships/hyperlink" Target="https://www.sec.gov/Archives/edgar/data/883984/000088398422000026/exhibit101_41522.htm" TargetMode="External"/><Relationship Id="rId152" Type="http://schemas.openxmlformats.org/officeDocument/2006/relationships/hyperlink" Target="http://www.sec.gov/Archives/edgar/data/883984/000088398419000017/icui-ex101.htm" TargetMode="External"/><Relationship Id="rId153" Type="http://schemas.openxmlformats.org/officeDocument/2006/relationships/hyperlink" Target="http://www.sec.gov/Archives/edgar/data/883984/000088398417000006/exhibit101icumedicalincexe.htm" TargetMode="External"/><Relationship Id="rId154" Type="http://schemas.openxmlformats.org/officeDocument/2006/relationships/hyperlink" Target="http://www.sec.gov/Archives/edgar/data/883984/000088398420000002/exhibit101.htm" TargetMode="External"/><Relationship Id="rId155" Type="http://schemas.openxmlformats.org/officeDocument/2006/relationships/hyperlink" Target="http://www.sec.gov/Archives/edgar/data/883984/000088398423000003/exhibit101_123022.htm" TargetMode="External"/><Relationship Id="rId156" Type="http://schemas.openxmlformats.org/officeDocument/2006/relationships/hyperlink" Target="http://www.sec.gov/Archives/edgar/data/883984/000088398422000005/exhibit102.htm" TargetMode="External"/><Relationship Id="rId157" Type="http://schemas.openxmlformats.org/officeDocument/2006/relationships/hyperlink" Target="http://www.sec.gov/Archives/edgar/data/883984/000088398422000005/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2023-02-27T21:13:29Z</dcterms:created>
  <dcterms:modified xsi:type="dcterms:W3CDTF">2023-02-27T21:13:29Z</dcterms:modified>
</cp:coreProperties>
</file>