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FORM 10-Q</w:t>
      </w:r>
    </w:p>
    <w:p>
      <w:pPr>
        <w:spacing w:after="0" w:line="181"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3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23" w:lineRule="exact"/>
        <w:rPr>
          <w:sz w:val="24"/>
          <w:szCs w:val="24"/>
          <w:color w:val="auto"/>
        </w:rPr>
      </w:pPr>
    </w:p>
    <w:p>
      <w:pPr>
        <w:ind w:left="5560"/>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24" w:lineRule="exact"/>
        <w:rPr>
          <w:sz w:val="24"/>
          <w:szCs w:val="24"/>
          <w:color w:val="auto"/>
        </w:rPr>
      </w:pPr>
    </w:p>
    <w:p>
      <w:pPr>
        <w:ind w:left="4200"/>
        <w:spacing w:after="0"/>
        <w:tabs>
          <w:tab w:leader="none" w:pos="6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94"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Commission File No.: 001-34634</w:t>
      </w:r>
    </w:p>
    <w:p>
      <w:pPr>
        <w:spacing w:after="0" w:line="113"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ICU MEDICAL,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882" w:right="339"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33-0022692</w:t>
      </w:r>
    </w:p>
    <w:p>
      <w:pPr>
        <w:spacing w:after="0" w:line="99" w:lineRule="exact"/>
        <w:rPr>
          <w:sz w:val="24"/>
          <w:szCs w:val="24"/>
          <w:color w:val="auto"/>
        </w:rPr>
      </w:pPr>
    </w:p>
    <w:p>
      <w:pPr>
        <w:sectPr>
          <w:pgSz w:w="11900" w:h="16838" w:orient="portrait"/>
          <w:cols w:equalWidth="0" w:num="2">
            <w:col w:w="7340" w:space="720"/>
            <w:col w:w="3180"/>
          </w:cols>
          <w:pgMar w:left="320" w:top="882" w:right="339" w:bottom="1440" w:gutter="0" w:footer="0" w:header="0"/>
          <w:type w:val="continuous"/>
        </w:sectPr>
      </w:pPr>
    </w:p>
    <w:p>
      <w:pPr>
        <w:ind w:left="18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95" w:lineRule="exact"/>
        <w:rPr>
          <w:sz w:val="24"/>
          <w:szCs w:val="24"/>
          <w:color w:val="auto"/>
        </w:rPr>
      </w:pPr>
    </w:p>
    <w:p>
      <w:pPr>
        <w:sectPr>
          <w:pgSz w:w="11900" w:h="16838" w:orient="portrait"/>
          <w:cols w:equalWidth="0" w:num="2">
            <w:col w:w="7180" w:space="720"/>
            <w:col w:w="3340"/>
          </w:cols>
          <w:pgMar w:left="320" w:top="882"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7120" w:space="720"/>
            <w:col w:w="3400"/>
          </w:cols>
          <w:pgMar w:left="320" w:top="882" w:right="339" w:bottom="1440" w:gutter="0" w:footer="0" w:header="0"/>
          <w:type w:val="continuous"/>
        </w:sectPr>
      </w:pPr>
    </w:p>
    <w:p>
      <w:pPr>
        <w:spacing w:after="0" w:line="110"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San Clemente</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99" w:lineRule="exact"/>
        <w:rPr>
          <w:sz w:val="24"/>
          <w:szCs w:val="24"/>
          <w:color w:val="auto"/>
        </w:rPr>
      </w:pPr>
    </w:p>
    <w:p>
      <w:pPr>
        <w:sectPr>
          <w:pgSz w:w="11900" w:h="16838" w:orient="portrait"/>
          <w:cols w:equalWidth="0" w:num="6">
            <w:col w:w="2740" w:space="380"/>
            <w:col w:w="40" w:space="220"/>
            <w:col w:w="960" w:space="180"/>
            <w:col w:w="40" w:space="340"/>
            <w:col w:w="2360" w:space="720"/>
            <w:col w:w="3260"/>
          </w:cols>
          <w:pgMar w:left="320" w:top="882" w:right="339" w:bottom="1440" w:gutter="0" w:footer="0" w:header="0"/>
          <w:type w:val="continuous"/>
        </w:sectPr>
      </w:pPr>
    </w:p>
    <w:p>
      <w:pPr>
        <w:ind w:left="22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34" w:lineRule="exact"/>
        <w:rPr>
          <w:sz w:val="24"/>
          <w:szCs w:val="24"/>
          <w:color w:val="auto"/>
        </w:rPr>
      </w:pPr>
    </w:p>
    <w:p>
      <w:pPr>
        <w:sectPr>
          <w:pgSz w:w="11900" w:h="16838" w:orient="portrait"/>
          <w:cols w:equalWidth="0" w:num="2">
            <w:col w:w="7100" w:space="720"/>
            <w:col w:w="3420"/>
          </w:cols>
          <w:pgMar w:left="320" w:top="882"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(949) 366-2183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882" w:right="339" w:bottom="1440" w:gutter="0" w:footer="0" w:header="0"/>
          <w:type w:val="continuous"/>
        </w:sectPr>
      </w:pPr>
    </w:p>
    <w:p>
      <w:pPr>
        <w:spacing w:after="0" w:line="203" w:lineRule="exact"/>
        <w:rPr>
          <w:sz w:val="24"/>
          <w:szCs w:val="24"/>
          <w:color w:val="auto"/>
        </w:rPr>
      </w:pPr>
    </w:p>
    <w:p>
      <w:pPr>
        <w:jc w:val="both"/>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ind w:right="80" w:firstLine="324"/>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1" w:lineRule="exact"/>
        <w:rPr>
          <w:sz w:val="24"/>
          <w:szCs w:val="24"/>
          <w:color w:val="auto"/>
        </w:rPr>
      </w:pPr>
    </w:p>
    <w:p>
      <w:pPr>
        <w:ind w:right="3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4" w:lineRule="exact"/>
        <w:rPr>
          <w:sz w:val="24"/>
          <w:szCs w:val="24"/>
          <w:color w:val="auto"/>
        </w:rPr>
      </w:pPr>
    </w:p>
    <w:tbl>
      <w:tblPr>
        <w:tblLayout w:type="fixed"/>
        <w:tblInd w:w="820" w:type="dxa"/>
        <w:tblCellMar>
          <w:top w:w="0" w:type="dxa"/>
          <w:left w:w="0" w:type="dxa"/>
          <w:bottom w:w="0" w:type="dxa"/>
          <w:right w:w="0" w:type="dxa"/>
        </w:tblCellMar>
      </w:tblPr>
      <w:tr>
        <w:trPr>
          <w:trHeight w:val="233"/>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20" w:type="dxa"/>
            <w:vAlign w:val="bottom"/>
          </w:tcPr>
          <w:p>
            <w:pPr>
              <w:ind w:left="380"/>
              <w:spacing w:after="0"/>
              <w:rPr>
                <w:sz w:val="20"/>
                <w:szCs w:val="20"/>
                <w:color w:val="auto"/>
              </w:rPr>
            </w:pPr>
            <w:r>
              <w:rPr>
                <w:rFonts w:ascii="Arial" w:cs="Arial" w:eastAsia="Arial" w:hAnsi="Arial"/>
                <w:sz w:val="16"/>
                <w:szCs w:val="16"/>
                <w:color w:val="auto"/>
              </w:rPr>
              <w:t>x</w:t>
            </w:r>
          </w:p>
        </w:tc>
        <w:tc>
          <w:tcPr>
            <w:tcW w:w="4440" w:type="dxa"/>
            <w:vAlign w:val="bottom"/>
          </w:tcPr>
          <w:p>
            <w:pPr>
              <w:ind w:left="2440"/>
              <w:spacing w:after="0"/>
              <w:rPr>
                <w:sz w:val="20"/>
                <w:szCs w:val="20"/>
                <w:color w:val="auto"/>
              </w:rPr>
            </w:pPr>
            <w:r>
              <w:rPr>
                <w:rFonts w:ascii="Arial" w:cs="Arial" w:eastAsia="Arial" w:hAnsi="Arial"/>
                <w:sz w:val="16"/>
                <w:szCs w:val="16"/>
                <w:color w:val="auto"/>
              </w:rPr>
              <w:t>Accelerated filer o</w:t>
            </w:r>
          </w:p>
        </w:tc>
        <w:tc>
          <w:tcPr>
            <w:tcW w:w="880" w:type="dxa"/>
            <w:vAlign w:val="bottom"/>
          </w:tcPr>
          <w:p>
            <w:pPr>
              <w:spacing w:after="0"/>
              <w:rPr>
                <w:sz w:val="20"/>
                <w:szCs w:val="20"/>
                <w:color w:val="auto"/>
              </w:rPr>
            </w:pPr>
          </w:p>
        </w:tc>
      </w:tr>
      <w:tr>
        <w:trPr>
          <w:trHeight w:val="324"/>
        </w:trPr>
        <w:tc>
          <w:tcPr>
            <w:tcW w:w="2320" w:type="dxa"/>
            <w:vAlign w:val="bottom"/>
          </w:tcPr>
          <w:p>
            <w:pPr>
              <w:ind w:left="460"/>
              <w:spacing w:after="0"/>
              <w:rPr>
                <w:sz w:val="20"/>
                <w:szCs w:val="20"/>
                <w:color w:val="auto"/>
              </w:rPr>
            </w:pPr>
            <w:r>
              <w:rPr>
                <w:rFonts w:ascii="Arial" w:cs="Arial" w:eastAsia="Arial" w:hAnsi="Arial"/>
                <w:sz w:val="16"/>
                <w:szCs w:val="16"/>
                <w:color w:val="auto"/>
              </w:rPr>
              <w:t>Non-accelerated filer o</w:t>
            </w:r>
          </w:p>
        </w:tc>
        <w:tc>
          <w:tcPr>
            <w:tcW w:w="2420" w:type="dxa"/>
            <w:vAlign w:val="bottom"/>
          </w:tcPr>
          <w:p>
            <w:pPr>
              <w:spacing w:after="0"/>
              <w:rPr>
                <w:sz w:val="24"/>
                <w:szCs w:val="24"/>
                <w:color w:val="auto"/>
              </w:rPr>
            </w:pPr>
          </w:p>
        </w:tc>
        <w:tc>
          <w:tcPr>
            <w:tcW w:w="444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2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4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2" w:lineRule="exact"/>
        <w:rPr>
          <w:sz w:val="24"/>
          <w:szCs w:val="24"/>
          <w:color w:val="auto"/>
        </w:rPr>
      </w:pPr>
    </w:p>
    <w:p>
      <w:pPr>
        <w:ind w:right="220" w:firstLine="36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x</w:t>
      </w:r>
    </w:p>
    <w:p>
      <w:pPr>
        <w:spacing w:after="0" w:line="3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6"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54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17"/>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3"/>
        </w:trPr>
        <w:tc>
          <w:tcPr>
            <w:tcW w:w="3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17"/>
        </w:trPr>
        <w:tc>
          <w:tcPr>
            <w:tcW w:w="3460" w:type="dxa"/>
            <w:vAlign w:val="bottom"/>
          </w:tcPr>
          <w:p>
            <w:pPr>
              <w:jc w:val="center"/>
              <w:spacing w:after="0"/>
              <w:rPr>
                <w:sz w:val="20"/>
                <w:szCs w:val="20"/>
                <w:color w:val="auto"/>
              </w:rPr>
            </w:pPr>
            <w:r>
              <w:rPr>
                <w:rFonts w:ascii="Arial" w:cs="Arial" w:eastAsia="Arial" w:hAnsi="Arial"/>
                <w:sz w:val="16"/>
                <w:szCs w:val="16"/>
                <w:color w:val="auto"/>
                <w:w w:val="90"/>
              </w:rPr>
              <w:t>Common stock, par value $0.10 per share</w:t>
            </w:r>
          </w:p>
        </w:tc>
        <w:tc>
          <w:tcPr>
            <w:tcW w:w="1980" w:type="dxa"/>
            <w:vAlign w:val="bottom"/>
          </w:tcPr>
          <w:p>
            <w:pPr>
              <w:jc w:val="center"/>
              <w:spacing w:after="0"/>
              <w:rPr>
                <w:sz w:val="20"/>
                <w:szCs w:val="20"/>
                <w:color w:val="auto"/>
              </w:rPr>
            </w:pPr>
            <w:r>
              <w:rPr>
                <w:rFonts w:ascii="Arial" w:cs="Arial" w:eastAsia="Arial" w:hAnsi="Arial"/>
                <w:sz w:val="16"/>
                <w:szCs w:val="16"/>
                <w:color w:val="auto"/>
              </w:rPr>
              <w:t>ICUI</w:t>
            </w:r>
          </w:p>
        </w:tc>
        <w:tc>
          <w:tcPr>
            <w:tcW w:w="5420" w:type="dxa"/>
            <w:vAlign w:val="bottom"/>
          </w:tcPr>
          <w:p>
            <w:pPr>
              <w:ind w:left="3900"/>
              <w:spacing w:after="0"/>
              <w:rPr>
                <w:sz w:val="20"/>
                <w:szCs w:val="20"/>
                <w:color w:val="auto"/>
              </w:rPr>
            </w:pPr>
            <w:r>
              <w:rPr>
                <w:rFonts w:ascii="Arial" w:cs="Arial" w:eastAsia="Arial" w:hAnsi="Arial"/>
                <w:sz w:val="16"/>
                <w:szCs w:val="16"/>
                <w:color w:val="auto"/>
                <w:w w:val="94"/>
              </w:rPr>
              <w:t>(Global Select Market)</w:t>
            </w:r>
          </w:p>
        </w:tc>
      </w:tr>
    </w:tbl>
    <w:p>
      <w:pPr>
        <w:spacing w:after="0" w:line="11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Class</w:t>
            </w:r>
          </w:p>
        </w:tc>
        <w:tc>
          <w:tcPr>
            <w:tcW w:w="5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Outstanding at July 31, 2020</w:t>
            </w:r>
          </w:p>
        </w:tc>
      </w:tr>
      <w:tr>
        <w:trPr>
          <w:trHeight w:val="33"/>
        </w:trPr>
        <w:tc>
          <w:tcPr>
            <w:tcW w:w="1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566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Common</w:t>
            </w:r>
          </w:p>
        </w:tc>
        <w:tc>
          <w:tcPr>
            <w:tcW w:w="5220" w:type="dxa"/>
            <w:vAlign w:val="bottom"/>
          </w:tcPr>
          <w:p>
            <w:pPr>
              <w:jc w:val="right"/>
              <w:ind w:right="2159"/>
              <w:spacing w:after="0"/>
              <w:rPr>
                <w:sz w:val="20"/>
                <w:szCs w:val="20"/>
                <w:color w:val="auto"/>
              </w:rPr>
            </w:pPr>
            <w:r>
              <w:rPr>
                <w:rFonts w:ascii="Arial" w:cs="Arial" w:eastAsia="Arial" w:hAnsi="Arial"/>
                <w:sz w:val="16"/>
                <w:szCs w:val="16"/>
                <w:color w:val="auto"/>
              </w:rPr>
              <w:t>20,937,857</w:t>
            </w:r>
          </w:p>
        </w:tc>
        <w:tc>
          <w:tcPr>
            <w:tcW w:w="180" w:type="dxa"/>
            <w:vAlign w:val="bottom"/>
          </w:tcPr>
          <w:p>
            <w:pPr>
              <w:spacing w:after="0"/>
              <w:rPr>
                <w:sz w:val="18"/>
                <w:szCs w:val="18"/>
                <w:color w:val="auto"/>
              </w:rPr>
            </w:pPr>
          </w:p>
        </w:tc>
      </w:tr>
      <w:tr>
        <w:trPr>
          <w:trHeight w:val="931"/>
        </w:trPr>
        <w:tc>
          <w:tcPr>
            <w:tcW w:w="1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June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260" w:type="dxa"/>
            <w:vAlign w:val="bottom"/>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Financial Information</w:t>
            </w:r>
          </w:p>
        </w:tc>
        <w:tc>
          <w:tcPr>
            <w:tcW w:w="6260" w:type="dxa"/>
            <w:vAlign w:val="bottom"/>
          </w:tcPr>
          <w:p>
            <w:pPr>
              <w:spacing w:after="0"/>
              <w:rPr>
                <w:sz w:val="24"/>
                <w:szCs w:val="24"/>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9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98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 at June 30, 2020 and December 31, 2019</w:t>
            </w:r>
          </w:p>
        </w:tc>
        <w:tc>
          <w:tcPr>
            <w:tcW w:w="13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499"/>
        </w:trPr>
        <w:tc>
          <w:tcPr>
            <w:tcW w:w="7980" w:type="dxa"/>
            <w:vAlign w:val="bottom"/>
            <w:gridSpan w:val="2"/>
          </w:tcPr>
          <w:p>
            <w:pPr>
              <w:spacing w:after="0"/>
              <w:rPr>
                <w:sz w:val="20"/>
                <w:szCs w:val="20"/>
                <w:color w:val="auto"/>
              </w:rPr>
            </w:pPr>
            <w:r>
              <w:rPr>
                <w:rFonts w:ascii="Arial" w:cs="Arial" w:eastAsia="Arial" w:hAnsi="Arial"/>
                <w:sz w:val="18"/>
                <w:szCs w:val="18"/>
                <w:color w:val="auto"/>
                <w:w w:val="96"/>
              </w:rPr>
              <w:t>Condensed Consolidated Statements of Operations for the Three and Six Months Ended June 30, 2020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spacing w:after="0"/>
              <w:rPr>
                <w:sz w:val="20"/>
                <w:szCs w:val="20"/>
                <w:color w:val="auto"/>
              </w:rPr>
            </w:pPr>
            <w:r>
              <w:rPr>
                <w:rFonts w:ascii="Arial" w:cs="Arial" w:eastAsia="Arial" w:hAnsi="Arial"/>
                <w:sz w:val="18"/>
                <w:szCs w:val="18"/>
                <w:color w:val="auto"/>
              </w:rPr>
              <w:t>and 2019</w:t>
            </w:r>
          </w:p>
        </w:tc>
        <w:tc>
          <w:tcPr>
            <w:tcW w:w="13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499"/>
        </w:trPr>
        <w:tc>
          <w:tcPr>
            <w:tcW w:w="7980" w:type="dxa"/>
            <w:vAlign w:val="bottom"/>
            <w:gridSpan w:val="2"/>
          </w:tcPr>
          <w:p>
            <w:pPr>
              <w:spacing w:after="0"/>
              <w:rPr>
                <w:sz w:val="20"/>
                <w:szCs w:val="20"/>
                <w:color w:val="auto"/>
              </w:rPr>
            </w:pPr>
            <w:r>
              <w:rPr>
                <w:rFonts w:ascii="Arial" w:cs="Arial" w:eastAsia="Arial" w:hAnsi="Arial"/>
                <w:sz w:val="18"/>
                <w:szCs w:val="18"/>
                <w:color w:val="auto"/>
                <w:w w:val="93"/>
              </w:rPr>
              <w:t>Condensed Consolidated Statements of Comprehensive Income for the Three and Six Months Ended June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spacing w:after="0"/>
              <w:rPr>
                <w:sz w:val="20"/>
                <w:szCs w:val="20"/>
                <w:color w:val="auto"/>
              </w:rPr>
            </w:pPr>
            <w:r>
              <w:rPr>
                <w:rFonts w:ascii="Arial" w:cs="Arial" w:eastAsia="Arial" w:hAnsi="Arial"/>
                <w:sz w:val="18"/>
                <w:szCs w:val="18"/>
                <w:color w:val="auto"/>
              </w:rPr>
              <w:t>30, 2020 and 2019</w:t>
            </w:r>
          </w:p>
        </w:tc>
        <w:tc>
          <w:tcPr>
            <w:tcW w:w="13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83"/>
        </w:trPr>
        <w:tc>
          <w:tcPr>
            <w:tcW w:w="7980" w:type="dxa"/>
            <w:vAlign w:val="bottom"/>
            <w:gridSpan w:val="2"/>
          </w:tcPr>
          <w:p>
            <w:pPr>
              <w:spacing w:after="0"/>
              <w:rPr>
                <w:sz w:val="20"/>
                <w:szCs w:val="20"/>
                <w:color w:val="auto"/>
              </w:rPr>
            </w:pPr>
            <w:r>
              <w:rPr>
                <w:rFonts w:ascii="Arial" w:cs="Arial" w:eastAsia="Arial" w:hAnsi="Arial"/>
                <w:sz w:val="18"/>
                <w:szCs w:val="18"/>
                <w:color w:val="auto"/>
                <w:w w:val="96"/>
              </w:rPr>
              <w:t>Condensed Consolidated Statements of Stockholders' Equity for the Three and Six Months Ended June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spacing w:after="0"/>
              <w:rPr>
                <w:sz w:val="20"/>
                <w:szCs w:val="20"/>
                <w:color w:val="auto"/>
              </w:rPr>
            </w:pPr>
            <w:r>
              <w:rPr>
                <w:rFonts w:ascii="Arial" w:cs="Arial" w:eastAsia="Arial" w:hAnsi="Arial"/>
                <w:sz w:val="18"/>
                <w:szCs w:val="18"/>
                <w:color w:val="auto"/>
              </w:rPr>
              <w:t>30, 2020 and 2019</w:t>
            </w:r>
          </w:p>
        </w:tc>
        <w:tc>
          <w:tcPr>
            <w:tcW w:w="13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24"/>
        </w:trPr>
        <w:tc>
          <w:tcPr>
            <w:tcW w:w="7980" w:type="dxa"/>
            <w:vAlign w:val="bottom"/>
            <w:gridSpan w:val="2"/>
          </w:tcPr>
          <w:p>
            <w:pPr>
              <w:spacing w:after="0"/>
              <w:rPr>
                <w:sz w:val="20"/>
                <w:szCs w:val="20"/>
                <w:color w:val="auto"/>
              </w:rPr>
            </w:pPr>
            <w:r>
              <w:rPr>
                <w:rFonts w:ascii="Arial" w:cs="Arial" w:eastAsia="Arial" w:hAnsi="Arial"/>
                <w:sz w:val="18"/>
                <w:szCs w:val="18"/>
                <w:color w:val="auto"/>
                <w:w w:val="96"/>
              </w:rPr>
              <w:t>Condensed Consolidated Statements of Cash Flows for the Six Months Ended June 30, 2020 and 2019</w:t>
            </w:r>
          </w:p>
        </w:tc>
        <w:tc>
          <w:tcPr>
            <w:tcW w:w="13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499"/>
        </w:trPr>
        <w:tc>
          <w:tcPr>
            <w:tcW w:w="7980" w:type="dxa"/>
            <w:vAlign w:val="bottom"/>
            <w:gridSpan w:val="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3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13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3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3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540"/>
        </w:trPr>
        <w:tc>
          <w:tcPr>
            <w:tcW w:w="79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36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500"/>
        </w:trPr>
        <w:tc>
          <w:tcPr>
            <w:tcW w:w="79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Signature</w:t>
              </w:r>
            </w:hyperlink>
          </w:p>
        </w:tc>
        <w:tc>
          <w:tcPr>
            <w:tcW w:w="136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850"/>
        </w:trPr>
        <w:tc>
          <w:tcPr>
            <w:tcW w:w="7980" w:type="dxa"/>
            <w:vAlign w:val="bottom"/>
            <w:gridSpan w:val="2"/>
          </w:tcPr>
          <w:p>
            <w:pPr>
              <w:ind w:left="370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120" w:space="720"/>
            <w:col w:w="9340"/>
          </w:cols>
          <w:pgMar w:left="360" w:top="113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par value data)</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86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446,134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268,670</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23,967</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INVESTMENT SECURITIES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460,698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292,637</w:t>
            </w:r>
          </w:p>
        </w:tc>
        <w:tc>
          <w:tcPr>
            <w:tcW w:w="0" w:type="dxa"/>
            <w:vAlign w:val="bottom"/>
          </w:tcPr>
          <w:p>
            <w:pPr>
              <w:spacing w:after="0"/>
              <w:rPr>
                <w:sz w:val="1"/>
                <w:szCs w:val="1"/>
                <w:color w:val="auto"/>
              </w:rPr>
            </w:pPr>
          </w:p>
        </w:tc>
      </w:tr>
      <w:tr>
        <w:trPr>
          <w:trHeight w:val="197"/>
        </w:trPr>
        <w:tc>
          <w:tcPr>
            <w:tcW w:w="8240" w:type="dxa"/>
            <w:vAlign w:val="bottom"/>
          </w:tcPr>
          <w:p>
            <w:pPr>
              <w:ind w:left="140"/>
              <w:spacing w:after="0"/>
              <w:rPr>
                <w:sz w:val="20"/>
                <w:szCs w:val="20"/>
                <w:color w:val="auto"/>
              </w:rPr>
            </w:pPr>
            <w:r>
              <w:rPr>
                <w:rFonts w:ascii="Arial" w:cs="Arial" w:eastAsia="Arial" w:hAnsi="Arial"/>
                <w:sz w:val="14"/>
                <w:szCs w:val="14"/>
                <w:color w:val="auto"/>
              </w:rPr>
              <w:t>Accounts receivable, net of allowance for doubtful accounts of $19,648 at June 30, 2020 and $20,219 at December 31, 2019</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197,775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202,219</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337,640</w:t>
            </w:r>
          </w:p>
        </w:tc>
        <w:tc>
          <w:tcPr>
            <w:tcW w:w="0" w:type="dxa"/>
            <w:vAlign w:val="bottom"/>
          </w:tcPr>
          <w:p>
            <w:pPr>
              <w:spacing w:after="0"/>
              <w:rPr>
                <w:sz w:val="1"/>
                <w:szCs w:val="1"/>
                <w:color w:val="auto"/>
              </w:rPr>
            </w:pPr>
          </w:p>
        </w:tc>
      </w:tr>
      <w:tr>
        <w:trPr>
          <w:trHeight w:val="197"/>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11,694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15,720</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43,772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33,981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1,036,705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882,197</w:t>
            </w:r>
          </w:p>
        </w:tc>
        <w:tc>
          <w:tcPr>
            <w:tcW w:w="0" w:type="dxa"/>
            <w:vAlign w:val="bottom"/>
          </w:tcPr>
          <w:p>
            <w:pPr>
              <w:spacing w:after="0"/>
              <w:rPr>
                <w:sz w:val="1"/>
                <w:szCs w:val="1"/>
                <w:color w:val="auto"/>
              </w:rPr>
            </w:pPr>
          </w:p>
        </w:tc>
      </w:tr>
      <w:tr>
        <w:trPr>
          <w:trHeight w:val="148"/>
        </w:trPr>
        <w:tc>
          <w:tcPr>
            <w:tcW w:w="8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454,824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456,085</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34,465</w:t>
            </w: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32,472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31,245</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203,720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211,408</w:t>
            </w: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28,776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27,998</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52,853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48,984</w:t>
            </w:r>
          </w:p>
        </w:tc>
        <w:tc>
          <w:tcPr>
            <w:tcW w:w="0" w:type="dxa"/>
            <w:vAlign w:val="bottom"/>
          </w:tcPr>
          <w:p>
            <w:pPr>
              <w:spacing w:after="0"/>
              <w:rPr>
                <w:sz w:val="1"/>
                <w:szCs w:val="1"/>
                <w:color w:val="auto"/>
              </w:rPr>
            </w:pPr>
          </w:p>
        </w:tc>
      </w:tr>
      <w:tr>
        <w:trPr>
          <w:trHeight w:val="202"/>
        </w:trPr>
        <w:tc>
          <w:tcPr>
            <w:tcW w:w="8240" w:type="dxa"/>
            <w:vAlign w:val="bottom"/>
          </w:tcPr>
          <w:p>
            <w:pPr>
              <w:ind w:left="1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1,859,062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1,692,382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640"/>
              <w:spacing w:after="0"/>
              <w:rPr>
                <w:sz w:val="20"/>
                <w:szCs w:val="20"/>
                <w:color w:val="auto"/>
              </w:rPr>
            </w:pPr>
            <w:r>
              <w:rPr>
                <w:rFonts w:ascii="Arial" w:cs="Arial" w:eastAsia="Arial" w:hAnsi="Arial"/>
                <w:sz w:val="14"/>
                <w:szCs w:val="14"/>
                <w:color w:val="auto"/>
              </w:rPr>
              <w:t>LIABILITIES AND STOCKHOLDERS’ EQUITY</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101,127</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128,629</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107,083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117,776</w:t>
            </w:r>
          </w:p>
        </w:tc>
        <w:tc>
          <w:tcPr>
            <w:tcW w:w="0" w:type="dxa"/>
            <w:vAlign w:val="bottom"/>
          </w:tcPr>
          <w:p>
            <w:pPr>
              <w:spacing w:after="0"/>
              <w:rPr>
                <w:sz w:val="1"/>
                <w:szCs w:val="1"/>
                <w:color w:val="auto"/>
              </w:rPr>
            </w:pPr>
          </w:p>
        </w:tc>
      </w:tr>
      <w:tr>
        <w:trPr>
          <w:trHeight w:val="264"/>
        </w:trPr>
        <w:tc>
          <w:tcPr>
            <w:tcW w:w="8240" w:type="dxa"/>
            <w:vAlign w:val="bottom"/>
          </w:tcPr>
          <w:p>
            <w:pPr>
              <w:ind w:left="12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liability</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359,151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248,468</w:t>
            </w:r>
          </w:p>
        </w:tc>
        <w:tc>
          <w:tcPr>
            <w:tcW w:w="0" w:type="dxa"/>
            <w:vAlign w:val="bottom"/>
          </w:tcPr>
          <w:p>
            <w:pPr>
              <w:spacing w:after="0"/>
              <w:rPr>
                <w:sz w:val="1"/>
                <w:szCs w:val="1"/>
                <w:color w:val="auto"/>
              </w:rPr>
            </w:pPr>
          </w:p>
        </w:tc>
      </w:tr>
      <w:tr>
        <w:trPr>
          <w:trHeight w:val="148"/>
        </w:trPr>
        <w:tc>
          <w:tcPr>
            <w:tcW w:w="8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CONTINGENT EARN-OUT LIABILITY</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17,300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32,820</w:t>
            </w: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14,459</w:t>
            </w: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Arial" w:cs="Arial" w:eastAsia="Arial" w:hAnsi="Arial"/>
                <w:sz w:val="14"/>
                <w:szCs w:val="14"/>
                <w:color w:val="auto"/>
              </w:rPr>
              <w:t>COMMITMENTS AND CONTINGENCIES (Note 18)</w:t>
            </w:r>
          </w:p>
        </w:tc>
        <w:tc>
          <w:tcPr>
            <w:tcW w:w="2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40"/>
              <w:spacing w:after="0"/>
              <w:rPr>
                <w:sz w:val="20"/>
                <w:szCs w:val="20"/>
                <w:color w:val="auto"/>
              </w:rPr>
            </w:pPr>
            <w:r>
              <w:rPr>
                <w:rFonts w:ascii="Arial" w:cs="Arial" w:eastAsia="Arial" w:hAnsi="Arial"/>
                <w:sz w:val="14"/>
                <w:szCs w:val="14"/>
                <w:color w:val="auto"/>
              </w:rPr>
              <w:t>Convertible preferred stock, $1.00 par value Authorized—500 shares; Issued and outstanding — none</w:t>
            </w:r>
          </w:p>
        </w:tc>
        <w:tc>
          <w:tcPr>
            <w:tcW w:w="2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82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2"/>
              </w:rPr>
              <w:t>Common stock, $0.10 par value — Authorized, 80,000 shares; Issued — 20,937 shares at June 30, 2020 and 20,743 shares at December 31,</w:t>
            </w:r>
          </w:p>
        </w:tc>
        <w:tc>
          <w:tcPr>
            <w:tcW w:w="2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2019 and outstanding — 20,936 shares at June 30, 2020 and 20,742 shares at December 31, 2019</w:t>
            </w:r>
          </w:p>
        </w:tc>
        <w:tc>
          <w:tcPr>
            <w:tcW w:w="2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675,497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668,947</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at cost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7"/>
        </w:trPr>
        <w:tc>
          <w:tcPr>
            <w:tcW w:w="82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757,524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721,782</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(23,178)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(15,402)</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1,411,797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1,377,244</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1,859,062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1,692,382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2019 balances were derived from audited consolidated financial statements.</w:t>
      </w:r>
    </w:p>
    <w:p>
      <w:pPr>
        <w:spacing w:after="0" w:line="97"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1"/>
        </w:trPr>
        <w:tc>
          <w:tcPr>
            <w:tcW w:w="3840" w:type="dxa"/>
            <w:vAlign w:val="bottom"/>
          </w:tcPr>
          <w:p>
            <w:pPr>
              <w:spacing w:after="0"/>
              <w:rPr>
                <w:sz w:val="24"/>
                <w:szCs w:val="24"/>
                <w:color w:val="auto"/>
              </w:rPr>
            </w:pPr>
          </w:p>
        </w:tc>
        <w:tc>
          <w:tcPr>
            <w:tcW w:w="3560" w:type="dxa"/>
            <w:vAlign w:val="bottom"/>
            <w:gridSpan w:val="5"/>
          </w:tcPr>
          <w:p>
            <w:pPr>
              <w:jc w:val="center"/>
              <w:spacing w:after="0"/>
              <w:rPr>
                <w:sz w:val="20"/>
                <w:szCs w:val="20"/>
                <w:color w:val="auto"/>
              </w:rPr>
            </w:pPr>
            <w:r>
              <w:rPr>
                <w:rFonts w:ascii="Arial" w:cs="Arial" w:eastAsia="Arial" w:hAnsi="Arial"/>
                <w:sz w:val="18"/>
                <w:szCs w:val="18"/>
                <w:b w:val="1"/>
                <w:bCs w:val="1"/>
                <w:color w:val="auto"/>
              </w:rPr>
              <w:t>ICU MEDICAL, INC. AND SUBSIDIARIES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8860" w:type="dxa"/>
            <w:vAlign w:val="bottom"/>
            <w:gridSpan w:val="9"/>
          </w:tcPr>
          <w:p>
            <w:pPr>
              <w:jc w:val="center"/>
              <w:ind w:left="229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3100" w:type="dxa"/>
            <w:vAlign w:val="bottom"/>
            <w:gridSpan w:val="4"/>
          </w:tcPr>
          <w:p>
            <w:pPr>
              <w:jc w:val="center"/>
              <w:ind w:left="370"/>
              <w:spacing w:after="0"/>
              <w:rPr>
                <w:sz w:val="20"/>
                <w:szCs w:val="20"/>
                <w:color w:val="auto"/>
              </w:rPr>
            </w:pPr>
            <w:r>
              <w:rPr>
                <w:rFonts w:ascii="Arial" w:cs="Arial" w:eastAsia="Arial" w:hAnsi="Arial"/>
                <w:sz w:val="18"/>
                <w:szCs w:val="18"/>
                <w:color w:val="auto"/>
                <w:w w:val="88"/>
              </w:rPr>
              <w:t>(In thousands, except per share data)</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62"/>
        </w:trPr>
        <w:tc>
          <w:tcPr>
            <w:tcW w:w="3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3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3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303,379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631,986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643,214</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197,095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208,413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404,287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404,042</w:t>
            </w:r>
          </w:p>
        </w:tc>
      </w:tr>
      <w:tr>
        <w:trPr>
          <w:trHeight w:val="27"/>
        </w:trPr>
        <w:tc>
          <w:tcPr>
            <w:tcW w:w="3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106,284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103,869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227,699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239,172</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140,457</w:t>
            </w:r>
          </w:p>
        </w:tc>
      </w:tr>
      <w:tr>
        <w:trPr>
          <w:trHeight w:val="243"/>
        </w:trPr>
        <w:tc>
          <w:tcPr>
            <w:tcW w:w="38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10,279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21,025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24,022</w:t>
            </w: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Restructuring, strategic transaction and integration</w:t>
            </w:r>
          </w:p>
        </w:tc>
        <w:tc>
          <w:tcPr>
            <w:tcW w:w="1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61,433</w:t>
            </w:r>
          </w:p>
        </w:tc>
      </w:tr>
      <w:tr>
        <w:trPr>
          <w:trHeight w:val="243"/>
        </w:trPr>
        <w:tc>
          <w:tcPr>
            <w:tcW w:w="3840" w:type="dxa"/>
            <w:vAlign w:val="bottom"/>
          </w:tcPr>
          <w:p>
            <w:pPr>
              <w:ind w:left="120"/>
              <w:spacing w:after="0"/>
              <w:rPr>
                <w:sz w:val="20"/>
                <w:szCs w:val="20"/>
                <w:color w:val="auto"/>
              </w:rPr>
            </w:pPr>
            <w:r>
              <w:rPr>
                <w:rFonts w:ascii="Arial" w:cs="Arial" w:eastAsia="Arial" w:hAnsi="Arial"/>
                <w:sz w:val="18"/>
                <w:szCs w:val="18"/>
                <w:color w:val="auto"/>
              </w:rPr>
              <w:t>Change in fair value of contingent earn-out</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(47,200)</w:t>
            </w: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settlement</w:t>
            </w:r>
          </w:p>
        </w:tc>
        <w:tc>
          <w:tcPr>
            <w:tcW w:w="1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3,822</w:t>
            </w: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86,728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77,603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182,086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182,534</w:t>
            </w:r>
          </w:p>
        </w:tc>
      </w:tr>
      <w:tr>
        <w:trPr>
          <w:trHeight w:val="27"/>
        </w:trPr>
        <w:tc>
          <w:tcPr>
            <w:tcW w:w="3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45,613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56,638</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4,670</w:t>
            </w: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20,838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27,606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41,219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61,036</w:t>
            </w: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(7,205)</w:t>
            </w:r>
          </w:p>
        </w:tc>
      </w:tr>
      <w:tr>
        <w:trPr>
          <w:trHeight w:val="264"/>
        </w:trPr>
        <w:tc>
          <w:tcPr>
            <w:tcW w:w="3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22,833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35,742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53,831</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2.62</w:t>
            </w: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w w:val="99"/>
              </w:rPr>
              <w:t>WEIGHTED AVERAGE NUMBER OF SHARES</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20,577</w:t>
            </w: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21,506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21,520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21,545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21,546</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35,742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53,831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Cash flow hedge adjustments, net of taxes of $356 and $116 for the three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months ended June 30, 2020 and 2019, respectively, and ($577) and $322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 the six months ended June 30, 2020 and 2019,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1,019</w:t>
            </w:r>
          </w:p>
        </w:tc>
      </w:tr>
      <w:tr>
        <w:trPr>
          <w:trHeight w:val="243"/>
        </w:trPr>
        <w:tc>
          <w:tcPr>
            <w:tcW w:w="5460" w:type="dxa"/>
            <w:vAlign w:val="bottom"/>
          </w:tcPr>
          <w:p>
            <w:pPr>
              <w:ind w:left="120"/>
              <w:spacing w:after="0"/>
              <w:rPr>
                <w:sz w:val="20"/>
                <w:szCs w:val="20"/>
                <w:color w:val="auto"/>
              </w:rPr>
            </w:pPr>
            <w:r>
              <w:rPr>
                <w:rFonts w:ascii="Arial" w:cs="Arial" w:eastAsia="Arial" w:hAnsi="Arial"/>
                <w:sz w:val="18"/>
                <w:szCs w:val="18"/>
                <w:color w:val="auto"/>
                <w:w w:val="92"/>
              </w:rPr>
              <w:t>Foreign currency translation adjustment, net of taxes of $0 for all periods</w:t>
            </w:r>
          </w:p>
        </w:tc>
        <w:tc>
          <w:tcPr>
            <w:tcW w:w="32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4,604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1,246</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5,734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(7,776)</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2,271</w:t>
            </w:r>
          </w:p>
        </w:tc>
      </w:tr>
      <w:tr>
        <w:trPr>
          <w:trHeight w:val="27"/>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24,642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26,040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27,966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56,102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(Amounts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2020</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20,742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668,947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721,782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(15,402)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$ 1,377,244</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6,939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6,939</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(13,510)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16,834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16,834</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2020</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20,833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665,679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(1,573)</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738,616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(28,912)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$ 1,375,893</w:t>
            </w:r>
          </w:p>
        </w:tc>
        <w:tc>
          <w:tcPr>
            <w:tcW w:w="0" w:type="dxa"/>
            <w:vAlign w:val="bottom"/>
          </w:tcPr>
          <w:p>
            <w:pPr>
              <w:spacing w:after="0"/>
              <w:rPr>
                <w:sz w:val="1"/>
                <w:szCs w:val="1"/>
                <w:color w:val="auto"/>
              </w:rPr>
            </w:pPr>
          </w:p>
        </w:tc>
      </w:tr>
      <w:tr>
        <w:trPr>
          <w:trHeight w:val="197"/>
        </w:trPr>
        <w:tc>
          <w:tcPr>
            <w:tcW w:w="446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4,408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7"/>
        </w:trPr>
        <w:tc>
          <w:tcPr>
            <w:tcW w:w="44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5,410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97"/>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18,908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18,908</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2020</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20,937</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$ 2,094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675,497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757,524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(23,178)</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$ 1,411,797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spacing w:after="0"/>
              <w:rPr>
                <w:sz w:val="21"/>
                <w:szCs w:val="21"/>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2019</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20,492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657,899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620,747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(16,945)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$ 1,263,655</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5,196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(18,157)</w:t>
            </w:r>
          </w:p>
        </w:tc>
        <w:tc>
          <w:tcPr>
            <w:tcW w:w="0" w:type="dxa"/>
            <w:vAlign w:val="bottom"/>
          </w:tcPr>
          <w:p>
            <w:pPr>
              <w:spacing w:after="0"/>
              <w:rPr>
                <w:sz w:val="1"/>
                <w:szCs w:val="1"/>
                <w:color w:val="auto"/>
              </w:rPr>
            </w:pPr>
          </w:p>
        </w:tc>
      </w:tr>
      <w:tr>
        <w:trPr>
          <w:trHeight w:val="197"/>
        </w:trPr>
        <w:tc>
          <w:tcPr>
            <w:tcW w:w="44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7"/>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30,998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30,998</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2019</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20,668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$ 2,067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659,819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(13,056)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651,745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(17,881)</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$ 1,282,694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6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(8,505)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11,514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6,229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6,229</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22,833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22,833</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2019</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$ 2,067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657,543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(1,650)</w:t>
            </w:r>
          </w:p>
        </w:tc>
        <w:tc>
          <w:tcPr>
            <w:tcW w:w="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674,578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(14,674)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1"/>
              </w:rPr>
              <w:t>$ 1,317,864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360" w:right="2400"/>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327"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33020</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3"/>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35,742</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53,831</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42,575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37,838</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Amortization of right-of-use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4,150</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5,838</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warranty and returns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1,249</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12,438</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disposal of property and equipment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12,845</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Bond premium amortization</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68</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issuance costs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Change in fair value of contingent earn-out</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(47,200)</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Product-related charges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120"/>
              <w:spacing w:after="0"/>
              <w:rPr>
                <w:sz w:val="20"/>
                <w:szCs w:val="20"/>
                <w:color w:val="auto"/>
              </w:rPr>
            </w:pPr>
            <w:r>
              <w:rPr>
                <w:rFonts w:ascii="Arial" w:cs="Arial" w:eastAsia="Arial" w:hAnsi="Arial"/>
                <w:sz w:val="16"/>
                <w:szCs w:val="16"/>
                <w:color w:val="auto"/>
              </w:rPr>
              <w:t>Usage of spare parts</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5,045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14,649</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(46,861)</w:t>
            </w:r>
          </w:p>
        </w:tc>
      </w:tr>
      <w:tr>
        <w:trPr>
          <w:trHeight w:val="223"/>
        </w:trPr>
        <w:tc>
          <w:tcPr>
            <w:tcW w:w="82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(16,060)</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6,111</w:t>
            </w:r>
          </w:p>
        </w:tc>
      </w:tr>
      <w:tr>
        <w:trPr>
          <w:trHeight w:val="223"/>
        </w:trPr>
        <w:tc>
          <w:tcPr>
            <w:tcW w:w="824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(18,079)</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2,032</w:t>
            </w:r>
          </w:p>
        </w:tc>
      </w:tr>
      <w:tr>
        <w:trPr>
          <w:trHeight w:val="223"/>
        </w:trPr>
        <w:tc>
          <w:tcPr>
            <w:tcW w:w="824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(21,124)</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735</w:t>
            </w:r>
          </w:p>
        </w:tc>
      </w:tr>
      <w:tr>
        <w:trPr>
          <w:trHeight w:val="217"/>
        </w:trPr>
        <w:tc>
          <w:tcPr>
            <w:tcW w:w="8240" w:type="dxa"/>
            <w:vAlign w:val="bottom"/>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68,740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2,258</w:t>
            </w:r>
          </w:p>
        </w:tc>
      </w:tr>
      <w:tr>
        <w:trPr>
          <w:trHeight w:val="33"/>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(48,726)</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 of asset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Business acquisitions, net of cash acquired</w:t>
            </w:r>
          </w:p>
        </w:tc>
        <w:tc>
          <w:tcPr>
            <w:tcW w:w="3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Intangible asset additions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(4,088)</w:t>
            </w: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Purchases of investment securities</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(17,994)</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 of investment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33,400</w:t>
            </w:r>
          </w:p>
        </w:tc>
      </w:tr>
      <w:tr>
        <w:trPr>
          <w:trHeight w:val="217"/>
        </w:trPr>
        <w:tc>
          <w:tcPr>
            <w:tcW w:w="8240" w:type="dxa"/>
            <w:vAlign w:val="bottom"/>
          </w:tcPr>
          <w:p>
            <w:pPr>
              <w:ind w:left="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(33,156)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(41,989)</w:t>
            </w:r>
          </w:p>
        </w:tc>
      </w:tr>
      <w:tr>
        <w:trPr>
          <w:trHeight w:val="33"/>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40" w:type="dxa"/>
            <w:vAlign w:val="bottom"/>
          </w:tcPr>
          <w:p>
            <w:pPr>
              <w:ind w:left="120"/>
              <w:spacing w:after="0"/>
              <w:rPr>
                <w:sz w:val="20"/>
                <w:szCs w:val="20"/>
                <w:color w:val="auto"/>
              </w:rPr>
            </w:pPr>
            <w:r>
              <w:rPr>
                <w:rFonts w:ascii="Arial" w:cs="Arial" w:eastAsia="Arial" w:hAnsi="Arial"/>
                <w:sz w:val="16"/>
                <w:szCs w:val="16"/>
                <w:color w:val="auto"/>
              </w:rPr>
              <w:t>Proceeds from short term debt</w:t>
            </w: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3,934</w:t>
            </w:r>
          </w:p>
        </w:tc>
      </w:tr>
      <w:tr>
        <w:trPr>
          <w:trHeight w:val="243"/>
        </w:trPr>
        <w:tc>
          <w:tcPr>
            <w:tcW w:w="8240" w:type="dxa"/>
            <w:vAlign w:val="bottom"/>
          </w:tcPr>
          <w:p>
            <w:pPr>
              <w:ind w:left="120"/>
              <w:spacing w:after="0"/>
              <w:rPr>
                <w:sz w:val="20"/>
                <w:szCs w:val="20"/>
                <w:color w:val="auto"/>
              </w:rPr>
            </w:pPr>
            <w:r>
              <w:rPr>
                <w:rFonts w:ascii="Arial" w:cs="Arial" w:eastAsia="Arial" w:hAnsi="Arial"/>
                <w:sz w:val="16"/>
                <w:szCs w:val="16"/>
                <w:color w:val="auto"/>
              </w:rPr>
              <w:t>Payments on finance leases</w:t>
            </w:r>
          </w:p>
        </w:tc>
        <w:tc>
          <w:tcPr>
            <w:tcW w:w="3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withholding payments related to net share settlement of equity awards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(18,265)</w:t>
            </w:r>
          </w:p>
        </w:tc>
      </w:tr>
      <w:tr>
        <w:trPr>
          <w:trHeight w:val="217"/>
        </w:trPr>
        <w:tc>
          <w:tcPr>
            <w:tcW w:w="8240" w:type="dxa"/>
            <w:vAlign w:val="bottom"/>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144,122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(14,331)</w:t>
            </w:r>
          </w:p>
        </w:tc>
      </w:tr>
      <w:tr>
        <w:trPr>
          <w:trHeight w:val="33"/>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1,148</w:t>
            </w:r>
          </w:p>
        </w:tc>
      </w:tr>
      <w:tr>
        <w:trPr>
          <w:trHeight w:val="217"/>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CASH AND CASH EQUIVALENTS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177,464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(52,914)</w:t>
            </w:r>
          </w:p>
        </w:tc>
      </w:tr>
      <w:tr>
        <w:trPr>
          <w:trHeight w:val="33"/>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268,670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344,781</w:t>
            </w:r>
          </w:p>
        </w:tc>
      </w:tr>
      <w:tr>
        <w:trPr>
          <w:trHeight w:val="247"/>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446,134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291,867</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CONDENSED CONSOLIDATED STATEMENTS OF CASH FLOWS (Unaudited)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139"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22860</wp:posOffset>
            </wp:positionV>
            <wp:extent cx="1800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43" w:lineRule="exact"/>
        <w:rPr>
          <w:sz w:val="20"/>
          <w:szCs w:val="20"/>
          <w:color w:val="auto"/>
        </w:rPr>
      </w:pPr>
    </w:p>
    <w:p>
      <w:pPr>
        <w:ind w:left="8880"/>
        <w:spacing w:after="0"/>
        <w:tabs>
          <w:tab w:leader="none" w:pos="103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06374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SUPPLEMENTAL DISCLOSURE OF NON-CASH INVESTING ACTIVITIES:</w:t>
      </w:r>
    </w:p>
    <w:p>
      <w:pPr>
        <w:spacing w:after="0" w:line="73" w:lineRule="exact"/>
        <w:rPr>
          <w:sz w:val="20"/>
          <w:szCs w:val="20"/>
          <w:color w:val="auto"/>
        </w:rPr>
      </w:pPr>
    </w:p>
    <w:p>
      <w:pPr>
        <w:ind w:left="160"/>
        <w:spacing w:after="0"/>
        <w:tabs>
          <w:tab w:leader="none" w:pos="8340" w:val="left"/>
          <w:tab w:leader="none" w:pos="9180" w:val="left"/>
          <w:tab w:leader="none" w:pos="9820" w:val="left"/>
          <w:tab w:leader="none" w:pos="10580" w:val="left"/>
        </w:tabs>
        <w:rPr>
          <w:sz w:val="20"/>
          <w:szCs w:val="20"/>
          <w:color w:val="auto"/>
        </w:rPr>
      </w:pPr>
      <w:r>
        <w:rPr>
          <w:rFonts w:ascii="Arial" w:cs="Arial" w:eastAsia="Arial" w:hAnsi="Arial"/>
          <w:sz w:val="16"/>
          <w:szCs w:val="16"/>
          <w:color w:val="auto"/>
        </w:rPr>
        <w:t>Accounts payable for property and equipment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9,775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11,736</w:t>
      </w: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2019.</w:t>
      </w:r>
    </w:p>
    <w:p>
      <w:pPr>
        <w:spacing w:after="0" w:line="17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adopted this ASU effective January 1, 2020. This ASU did not have a material impact on our condensed consolidated financial statements or related disclosures.</w:t>
      </w:r>
    </w:p>
    <w:p>
      <w:pPr>
        <w:spacing w:after="0" w:line="20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beginning after December 15, 2019. Early adoption is permitted. We adopted this ASU effective January 1, 2020. This ASU did not have a material impact on our condensed consolidated financial statements or related disclosures.</w:t>
      </w:r>
    </w:p>
    <w:p>
      <w:pPr>
        <w:spacing w:after="0" w:line="19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Financial Instruments - Targeted Transition Relief. ASU 2019-04 clarifies and corrects certain areas of the Codification and ASU 2019-05 provides entities with an option to irrevocably elect the fair value option in Subtopic 825-10, Financial Instruments— Overall, applied on an instrument-by-instrument basis for eligible instruments, upon adoption of Topic 326. The amendments in these updates will be effective for fiscal years beginning after December 15, 2019. Early adoption is permitted as of the fiscal years beginning after December 15, 2018. The updated guidance requires a modified retrospective adoption. We adopted this ASU effective January 1, 2020. This ASU did not have a material impact on our condensed consolidated financial statements or related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We are currently reviewing the impact of this ASU on our contracts.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56"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Restructuring, strategic transaction and integration expenses were $6.5 million and $18.8 million for the three and six months ended June 30, 2020, respectively, as compared to $37.0 million and $61.4 million for the three and six months ended June 30, 2019,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During the three and six months ended June 30, 2020, restructuring charges were $0.9 million and $8.1 million, respectively. During the three and six months ended June 30, 2019, restructuring charges were $6.9 million and $7.7 million, respectively. Restructuring charges for the three and six months ended June 30, 2020 were primarily related to severance and costs related to office and other facility closures. Restructuring charges for the three and six months ended June 19, 2019 were primarily related to a one-time charge to move our U.S. pump service depot to our existing Salt Lake City facility. Restructuring charges are included in the restructuring, strategic transaction and integration line item in our condensed consolidated statement of operations.</w:t>
      </w:r>
    </w:p>
    <w:p>
      <w:pPr>
        <w:spacing w:after="0" w:line="219"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ended June 30, 2020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Accrued Balance</w:t>
            </w:r>
          </w:p>
        </w:tc>
        <w:tc>
          <w:tcPr>
            <w:tcW w:w="28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Charges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Arial" w:cs="Arial" w:eastAsia="Arial" w:hAnsi="Arial"/>
                <w:sz w:val="16"/>
                <w:szCs w:val="16"/>
                <w:b w:val="1"/>
                <w:bCs w:val="1"/>
                <w:color w:val="auto"/>
                <w:w w:val="90"/>
              </w:rPr>
              <w:t>Accrued Balance</w:t>
            </w: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1, 2020</w:t>
            </w: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Incurred</w:t>
            </w: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Payments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3,282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Employment agreement buyout</w:t>
            </w:r>
          </w:p>
        </w:tc>
        <w:tc>
          <w:tcPr>
            <w:tcW w:w="16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181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closure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1,559</w:t>
            </w:r>
          </w:p>
        </w:tc>
      </w:tr>
      <w:tr>
        <w:trPr>
          <w:trHeight w:val="237"/>
        </w:trPr>
        <w:tc>
          <w:tcPr>
            <w:tcW w:w="29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(8,737)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5,022</w:t>
            </w:r>
          </w:p>
        </w:tc>
      </w:tr>
      <w:tr>
        <w:trPr>
          <w:trHeight w:val="27"/>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ind w:right="20" w:firstLine="357"/>
        <w:spacing w:after="0" w:line="291" w:lineRule="auto"/>
        <w:rPr>
          <w:sz w:val="20"/>
          <w:szCs w:val="20"/>
          <w:color w:val="auto"/>
        </w:rPr>
      </w:pPr>
      <w:r>
        <w:rPr>
          <w:rFonts w:ascii="Arial" w:cs="Arial" w:eastAsia="Arial" w:hAnsi="Arial"/>
          <w:sz w:val="16"/>
          <w:szCs w:val="16"/>
          <w:color w:val="auto"/>
        </w:rPr>
        <w:t>We incurred and expensed $5.6 million and $10.7 million in strategic transaction and integration expenses during the three and six months ended June 30, 2020, respectively, as compared to $30.1 million and $53.7 million during the three and six months ended June 30, 2019, respectively. The strategic transaction and integration expenses during the three and six months ended June 30, 2020 and 2019, were primarily related to the integration of the Hospira Infusion Systems ("HIS") business acquired in 2017 from Pfizer, which for the six months ended June 30, 2020, included expenses for the migration of IT systems at our Austin facility. The strategic transaction and integration expenses during the three and six months ended June 30, 2019, included a one-time strategic supply chain restructuring charge of $22.1 million, which reduced our contracted commitments to our third party manufacturer. The six months ended June 30, 2019 also included a $12.7 million non-cash write-off of assets related to our final Pfizer separation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56"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21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205" w:lineRule="exact"/>
        <w:rPr>
          <w:sz w:val="20"/>
          <w:szCs w:val="20"/>
          <w:color w:val="auto"/>
        </w:rPr>
      </w:pPr>
    </w:p>
    <w:p>
      <w:pPr>
        <w:ind w:right="40" w:firstLine="357"/>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tcPr>
          <w:p>
            <w:pPr>
              <w:ind w:left="600"/>
              <w:spacing w:after="0"/>
              <w:rPr>
                <w:sz w:val="20"/>
                <w:szCs w:val="20"/>
                <w:color w:val="auto"/>
              </w:rPr>
            </w:pPr>
            <w:r>
              <w:rPr>
                <w:rFonts w:ascii="Arial" w:cs="Arial" w:eastAsia="Arial" w:hAnsi="Arial"/>
                <w:sz w:val="18"/>
                <w:szCs w:val="18"/>
                <w:b w:val="1"/>
                <w:bCs w:val="1"/>
                <w:color w:val="auto"/>
              </w:rPr>
              <w:t>For the three months</w:t>
            </w:r>
          </w:p>
        </w:tc>
        <w:tc>
          <w:tcPr>
            <w:tcW w:w="42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six months</w:t>
            </w:r>
          </w:p>
        </w:tc>
        <w:tc>
          <w:tcPr>
            <w:tcW w:w="11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ended 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ended June 30,</w:t>
            </w:r>
          </w:p>
        </w:tc>
        <w:tc>
          <w:tcPr>
            <w:tcW w:w="11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Geography</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 the Middle East and Africa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28,583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66,511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65,356</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Other Foreign</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66,572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51,594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127,093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102,955</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Foreign</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95,155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84,572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193,604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168,311</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208,224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227,710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438,382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474,903</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303,379</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312,282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631,986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643,214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our revenues disaggregated by product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18"/>
                <w:szCs w:val="18"/>
                <w:color w:val="auto"/>
              </w:rPr>
            </w:pPr>
          </w:p>
        </w:tc>
        <w:tc>
          <w:tcPr>
            <w:tcW w:w="32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Product line</w:t>
            </w: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Infusion Consumables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110,993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234,500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238,249</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Infusion Systems</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91,088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81,309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179,468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165,591</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IV Solutions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89,178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102,635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215,817</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Critical Care</w:t>
            </w: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24,549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23,557</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303,379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312,282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631,986</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643,214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changes in the contract balances for the six months ended June 30, 2020 and 2019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Contract Liabilities</w:t>
            </w:r>
          </w:p>
        </w:tc>
      </w:tr>
      <w:tr>
        <w:trPr>
          <w:trHeight w:val="27"/>
        </w:trPr>
        <w:tc>
          <w:tcPr>
            <w:tcW w:w="9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January 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(4,855)</w:t>
            </w: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Equipment revenue recognized</w:t>
            </w:r>
          </w:p>
        </w:tc>
        <w:tc>
          <w:tcPr>
            <w:tcW w:w="2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3,263</w:t>
            </w: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(10,347)</w:t>
            </w: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Software revenue recognized</w:t>
            </w:r>
          </w:p>
        </w:tc>
        <w:tc>
          <w:tcPr>
            <w:tcW w:w="2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3,340</w:t>
            </w: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w:t>
            </w:r>
          </w:p>
        </w:tc>
      </w:tr>
      <w:tr>
        <w:trPr>
          <w:trHeight w:val="264"/>
        </w:trPr>
        <w:tc>
          <w:tcPr>
            <w:tcW w:w="9000" w:type="dxa"/>
            <w:vAlign w:val="bottom"/>
          </w:tcPr>
          <w:p>
            <w:pPr>
              <w:spacing w:after="0"/>
              <w:rPr>
                <w:sz w:val="20"/>
                <w:szCs w:val="20"/>
                <w:color w:val="auto"/>
              </w:rPr>
            </w:pPr>
            <w:r>
              <w:rPr>
                <w:rFonts w:ascii="Arial" w:cs="Arial" w:eastAsia="Arial" w:hAnsi="Arial"/>
                <w:sz w:val="18"/>
                <w:szCs w:val="18"/>
                <w:color w:val="auto"/>
              </w:rPr>
              <w:t>Ending balance, June 30,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(12,242)</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18"/>
                <w:szCs w:val="18"/>
                <w:color w:val="auto"/>
              </w:rPr>
              <w:t>Beginning balance, January 1,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(4,282)</w:t>
            </w: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Equipment revenue recognized</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2,669</w:t>
            </w: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Software revenue recognized</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1,947</w:t>
            </w: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(2,366)</w:t>
            </w:r>
          </w:p>
        </w:tc>
      </w:tr>
      <w:tr>
        <w:trPr>
          <w:trHeight w:val="27"/>
        </w:trPr>
        <w:tc>
          <w:tcPr>
            <w:tcW w:w="9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June 30,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firstLine="350"/>
        <w:spacing w:after="0" w:line="259" w:lineRule="auto"/>
        <w:rPr>
          <w:sz w:val="20"/>
          <w:szCs w:val="20"/>
          <w:color w:val="auto"/>
        </w:rPr>
      </w:pPr>
      <w:r>
        <w:rPr>
          <w:rFonts w:ascii="Arial" w:cs="Arial" w:eastAsia="Arial" w:hAnsi="Arial"/>
          <w:sz w:val="18"/>
          <w:szCs w:val="18"/>
          <w:color w:val="auto"/>
        </w:rPr>
        <w:t>As of June 30, 2020, revenue from remaining performance obligations related to implementation of software and equipment is $10.7 million. We expect to recognize substantially all of this revenue within the next three to six months dependent on implementation restrictions due to COVID-19. Revenue from remaining performance obligations related to annual software licenses is $1.5 million. We expect to recognize substantially all of this revenue over the next twelve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14"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Our leases are for corporate offices,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56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For the three months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For the six months</w:t>
            </w:r>
          </w:p>
        </w:tc>
      </w:tr>
      <w:tr>
        <w:trPr>
          <w:trHeight w:val="210"/>
        </w:trPr>
        <w:tc>
          <w:tcPr>
            <w:tcW w:w="4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3"/>
          </w:tcPr>
          <w:p>
            <w:pPr>
              <w:jc w:val="right"/>
              <w:ind w:right="393"/>
              <w:spacing w:after="0"/>
              <w:rPr>
                <w:sz w:val="20"/>
                <w:szCs w:val="20"/>
                <w:color w:val="auto"/>
              </w:rPr>
            </w:pPr>
            <w:r>
              <w:rPr>
                <w:rFonts w:ascii="Arial" w:cs="Arial" w:eastAsia="Arial" w:hAnsi="Arial"/>
                <w:sz w:val="16"/>
                <w:szCs w:val="16"/>
                <w:b w:val="1"/>
                <w:bCs w:val="1"/>
                <w:color w:val="auto"/>
                <w:w w:val="96"/>
              </w:rPr>
              <w:t>ended 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ended June 30,</w:t>
            </w:r>
          </w:p>
        </w:tc>
        <w:tc>
          <w:tcPr>
            <w:tcW w:w="98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33"/>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4,531</w:t>
            </w:r>
          </w:p>
        </w:tc>
      </w:tr>
      <w:tr>
        <w:trPr>
          <w:trHeight w:val="148"/>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interest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148"/>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amortization of ROU asset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148"/>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w:t>
            </w:r>
          </w:p>
        </w:tc>
      </w:tr>
      <w:tr>
        <w:trPr>
          <w:trHeight w:val="148"/>
        </w:trPr>
        <w:tc>
          <w:tcPr>
            <w:tcW w:w="49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2,977</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2,185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Interest expense on our finance leases is included in other income (expense), net in our condensed consolidated statement of operations. The amortization of the operating and finance ROU asset is included in selling, general and administrative expenses in our condensed consolidated statement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972"/>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6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ind w:right="8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52"/>
              <w:spacing w:after="0"/>
              <w:rPr>
                <w:sz w:val="20"/>
                <w:szCs w:val="20"/>
                <w:color w:val="auto"/>
              </w:rPr>
            </w:pPr>
            <w:r>
              <w:rPr>
                <w:rFonts w:ascii="Arial" w:cs="Arial" w:eastAsia="Arial" w:hAnsi="Arial"/>
                <w:sz w:val="16"/>
                <w:szCs w:val="16"/>
                <w:b w:val="1"/>
                <w:bCs w:val="1"/>
                <w:color w:val="auto"/>
              </w:rPr>
              <w:t>2019</w:t>
            </w:r>
          </w:p>
        </w:tc>
      </w:tr>
      <w:tr>
        <w:trPr>
          <w:trHeight w:val="33"/>
        </w:trPr>
        <w:tc>
          <w:tcPr>
            <w:tcW w:w="6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4,838</w:t>
            </w:r>
          </w:p>
        </w:tc>
      </w:tr>
      <w:tr>
        <w:trPr>
          <w:trHeight w:val="27"/>
        </w:trPr>
        <w:tc>
          <w:tcPr>
            <w:tcW w:w="6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6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1,040</w:t>
            </w:r>
          </w:p>
        </w:tc>
      </w:tr>
      <w:tr>
        <w:trPr>
          <w:trHeight w:val="27"/>
        </w:trPr>
        <w:tc>
          <w:tcPr>
            <w:tcW w:w="6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operating leases (in thousands, except lease term and discount rate):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right"/>
              <w:ind w:right="672"/>
              <w:spacing w:after="0"/>
              <w:rPr>
                <w:sz w:val="20"/>
                <w:szCs w:val="20"/>
                <w:color w:val="auto"/>
              </w:rPr>
            </w:pPr>
            <w:r>
              <w:rPr>
                <w:rFonts w:ascii="Arial" w:cs="Arial" w:eastAsia="Arial" w:hAnsi="Arial"/>
                <w:sz w:val="16"/>
                <w:szCs w:val="16"/>
                <w:b w:val="1"/>
                <w:bCs w:val="1"/>
                <w:color w:val="auto"/>
              </w:rPr>
              <w:t>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672"/>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172"/>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r>
      <w:tr>
        <w:trPr>
          <w:trHeight w:val="33"/>
        </w:trPr>
        <w:tc>
          <w:tcPr>
            <w:tcW w:w="6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49,712</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34,465</w:t>
            </w:r>
          </w:p>
        </w:tc>
        <w:tc>
          <w:tcPr>
            <w:tcW w:w="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8,245</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7,362</w:t>
            </w:r>
          </w:p>
        </w:tc>
        <w:tc>
          <w:tcPr>
            <w:tcW w:w="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28,896</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6600" w:type="dxa"/>
            <w:vAlign w:val="bottom"/>
          </w:tcPr>
          <w:p>
            <w:pPr>
              <w:ind w:left="10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52,526</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36,258</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7.0 years</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years</w:t>
            </w: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finance leases (in thousands, except lease term and discount rate):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jc w:val="right"/>
              <w:ind w:right="692"/>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7"/>
                <w:szCs w:val="17"/>
                <w:color w:val="auto"/>
              </w:rPr>
            </w:pPr>
          </w:p>
        </w:tc>
      </w:tr>
      <w:tr>
        <w:trPr>
          <w:trHeight w:val="210"/>
        </w:trPr>
        <w:tc>
          <w:tcPr>
            <w:tcW w:w="8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r>
      <w:tr>
        <w:trPr>
          <w:trHeight w:val="33"/>
        </w:trPr>
        <w:tc>
          <w:tcPr>
            <w:tcW w:w="8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leases</w:t>
            </w:r>
          </w:p>
        </w:tc>
        <w:tc>
          <w:tcPr>
            <w:tcW w:w="3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8920" w:type="dxa"/>
            <w:vAlign w:val="bottom"/>
          </w:tcPr>
          <w:p>
            <w:pPr>
              <w:spacing w:after="0"/>
              <w:rPr>
                <w:sz w:val="20"/>
                <w:szCs w:val="20"/>
                <w:color w:val="auto"/>
              </w:rPr>
            </w:pPr>
            <w:r>
              <w:rPr>
                <w:rFonts w:ascii="Arial" w:cs="Arial" w:eastAsia="Arial" w:hAnsi="Arial"/>
                <w:sz w:val="18"/>
                <w:szCs w:val="18"/>
                <w:color w:val="auto"/>
              </w:rPr>
              <w:t>Financing lease right-of-use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2,728</w:t>
            </w:r>
          </w:p>
        </w:tc>
        <w:tc>
          <w:tcPr>
            <w:tcW w:w="20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8920" w:type="dxa"/>
            <w:vAlign w:val="bottom"/>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8920" w:type="dxa"/>
            <w:vAlign w:val="bottom"/>
          </w:tcPr>
          <w:p>
            <w:pPr>
              <w:ind w:left="100"/>
              <w:spacing w:after="0"/>
              <w:rPr>
                <w:sz w:val="20"/>
                <w:szCs w:val="20"/>
                <w:color w:val="auto"/>
              </w:rPr>
            </w:pPr>
            <w:r>
              <w:rPr>
                <w:rFonts w:ascii="Arial" w:cs="Arial" w:eastAsia="Arial" w:hAnsi="Arial"/>
                <w:sz w:val="18"/>
                <w:szCs w:val="18"/>
                <w:color w:val="auto"/>
              </w:rPr>
              <w:t>Total financing lease liabilities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8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43"/>
        </w:trPr>
        <w:tc>
          <w:tcPr>
            <w:tcW w:w="892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 leases</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years</w:t>
            </w:r>
          </w:p>
        </w:tc>
      </w:tr>
      <w:tr>
        <w:trPr>
          <w:trHeight w:val="270"/>
        </w:trPr>
        <w:tc>
          <w:tcPr>
            <w:tcW w:w="8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200"/>
              <w:spacing w:after="0"/>
              <w:rPr>
                <w:sz w:val="20"/>
                <w:szCs w:val="20"/>
                <w:color w:val="auto"/>
              </w:rPr>
            </w:pPr>
            <w:r>
              <w:rPr>
                <w:rFonts w:ascii="Arial" w:cs="Arial" w:eastAsia="Arial" w:hAnsi="Arial"/>
                <w:sz w:val="18"/>
                <w:szCs w:val="18"/>
                <w:color w:val="auto"/>
              </w:rPr>
              <w:t>Financing leases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June 30, 2020, the maturities of our operating and financing lease liabilities for each of the next five years is approximately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tcPr>
          <w:p>
            <w:pPr>
              <w:spacing w:after="0"/>
              <w:rPr>
                <w:sz w:val="20"/>
                <w:szCs w:val="20"/>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Finance Leases</w:t>
            </w: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544</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544</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189</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w:t>
            </w:r>
          </w:p>
        </w:tc>
      </w:tr>
      <w:tr>
        <w:trPr>
          <w:trHeight w:val="236"/>
        </w:trPr>
        <w:tc>
          <w:tcPr>
            <w:tcW w:w="6700" w:type="dxa"/>
            <w:vAlign w:val="bottom"/>
          </w:tcPr>
          <w:p>
            <w:pPr>
              <w:ind w:left="10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62,146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3,163</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64"/>
        </w:trPr>
        <w:tc>
          <w:tcPr>
            <w:tcW w:w="6700" w:type="dxa"/>
            <w:vAlign w:val="bottom"/>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52,526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2,737</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Per Share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57,091 and 6,462 anti-dilutive securities for the three months ended June 30, 2020 and 2019, respectively. There were 15,045 and 5,908 anti-dilutive securities for the six months ended June 30, 2020 and 2019, respectively.</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18,908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35,742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53,831</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w w:val="99"/>
              </w:rPr>
              <w:t>Weighted-average number of common shares outstanding (for basic</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calculation)</w:t>
            </w:r>
          </w:p>
        </w:tc>
        <w:tc>
          <w:tcPr>
            <w:tcW w:w="3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20,880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20,622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20,831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color w:val="auto"/>
                <w:w w:val="94"/>
              </w:rPr>
              <w:t>Weighted-average common and common equivalent shares outstanding</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21,506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21,520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21,545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21,546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 diluted calculation)</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5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97"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21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March 2020, we entered into a one-year cross-currency par forward contract that extends our current hedge of a portion of our Mexico forecasted expenses denominated in Pesos ("MXN"). The total notional amount of this outstanding derivative as of June 30, 2020 was approximately 473.2 million MXN. The term of the one-year contract is November 3, 2020 to December 1, 2021. The derivative instrument matures in equal monthly amounts at a fixed forward rate of 24.26 MXN/USD.</w:t>
      </w:r>
    </w:p>
    <w:p>
      <w:pPr>
        <w:spacing w:after="0" w:line="21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November 2018, we entered into a one-year cross-currency par forward contract that hedges of a portion of our Mexico forecasted expenses denominated in MXN. The total notional amount of this outstanding derivative as of June 30, 2020 was approximately 165.8 million MXN. The term of the one-year hedge is November 1, 2019 to November 3, 2020. The derivative instrument matures in equal monthly amounts at a fixed forward rate of 22.109 MXN/USD.</w:t>
      </w:r>
    </w:p>
    <w:p>
      <w:pPr>
        <w:spacing w:after="0" w:line="21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8"/>
          <w:szCs w:val="18"/>
          <w:color w:val="auto"/>
        </w:rPr>
        <w:t>The following table presents the fair values of our derivative instruments included within the Condensed Consolidated Balance Sheets as of June 30, 2020 and December 31, 2019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3900" w:type="dxa"/>
            <w:vAlign w:val="bottom"/>
            <w:gridSpan w:val="2"/>
          </w:tcPr>
          <w:p>
            <w:pPr>
              <w:ind w:left="302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3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420" w:type="dxa"/>
            <w:vAlign w:val="bottom"/>
          </w:tcPr>
          <w:p>
            <w:pPr>
              <w:spacing w:after="0"/>
              <w:rPr>
                <w:sz w:val="18"/>
                <w:szCs w:val="18"/>
                <w:color w:val="auto"/>
              </w:rPr>
            </w:pPr>
          </w:p>
        </w:tc>
        <w:tc>
          <w:tcPr>
            <w:tcW w:w="3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Condensed Consolidated Balance Sheet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20" w:type="dxa"/>
            <w:vAlign w:val="bottom"/>
          </w:tcPr>
          <w:p>
            <w:pPr>
              <w:spacing w:after="0"/>
              <w:rPr>
                <w:sz w:val="18"/>
                <w:szCs w:val="18"/>
                <w:color w:val="auto"/>
              </w:rPr>
            </w:pPr>
          </w:p>
        </w:tc>
        <w:tc>
          <w:tcPr>
            <w:tcW w:w="3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Location</w:t>
            </w: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44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4"/>
        </w:trPr>
        <w:tc>
          <w:tcPr>
            <w:tcW w:w="8320" w:type="dxa"/>
            <w:vAlign w:val="bottom"/>
            <w:gridSpan w:val="3"/>
          </w:tcPr>
          <w:p>
            <w:pPr>
              <w:ind w:left="120"/>
              <w:spacing w:after="0"/>
              <w:rPr>
                <w:sz w:val="20"/>
                <w:szCs w:val="20"/>
                <w:color w:val="auto"/>
              </w:rPr>
            </w:pPr>
            <w:r>
              <w:rPr>
                <w:rFonts w:ascii="Arial" w:cs="Arial" w:eastAsia="Arial" w:hAnsi="Arial"/>
                <w:sz w:val="16"/>
                <w:szCs w:val="16"/>
                <w:color w:val="auto"/>
              </w:rPr>
              <w:t>Foreign exchange forward contract: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center"/>
              <w:ind w:left="599"/>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2,366</w:t>
            </w:r>
          </w:p>
        </w:tc>
      </w:tr>
      <w:tr>
        <w:trPr>
          <w:trHeight w:val="223"/>
        </w:trPr>
        <w:tc>
          <w:tcPr>
            <w:tcW w:w="4420" w:type="dxa"/>
            <w:vAlign w:val="bottom"/>
          </w:tcPr>
          <w:p>
            <w:pPr>
              <w:spacing w:after="0"/>
              <w:rPr>
                <w:sz w:val="19"/>
                <w:szCs w:val="19"/>
                <w:color w:val="auto"/>
              </w:rPr>
            </w:pPr>
          </w:p>
        </w:tc>
        <w:tc>
          <w:tcPr>
            <w:tcW w:w="3900" w:type="dxa"/>
            <w:vAlign w:val="bottom"/>
            <w:gridSpan w:val="2"/>
          </w:tcPr>
          <w:p>
            <w:pPr>
              <w:jc w:val="right"/>
              <w:ind w:right="1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260" w:type="dxa"/>
            <w:vAlign w:val="bottom"/>
          </w:tcPr>
          <w:p>
            <w:pPr>
              <w:jc w:val="center"/>
              <w:ind w:left="699"/>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left="679"/>
              <w:spacing w:after="0"/>
              <w:rPr>
                <w:sz w:val="20"/>
                <w:szCs w:val="20"/>
                <w:color w:val="auto"/>
              </w:rPr>
            </w:pPr>
            <w:r>
              <w:rPr>
                <w:rFonts w:ascii="Arial" w:cs="Arial" w:eastAsia="Arial" w:hAnsi="Arial"/>
                <w:sz w:val="16"/>
                <w:szCs w:val="16"/>
                <w:color w:val="auto"/>
                <w:w w:val="91"/>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8320" w:type="dxa"/>
            <w:vAlign w:val="bottom"/>
            <w:gridSpan w:val="3"/>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center"/>
              <w:ind w:left="679"/>
              <w:spacing w:after="0"/>
              <w:rPr>
                <w:sz w:val="20"/>
                <w:szCs w:val="20"/>
                <w:color w:val="auto"/>
              </w:rPr>
            </w:pPr>
            <w:r>
              <w:rPr>
                <w:rFonts w:ascii="Arial" w:cs="Arial" w:eastAsia="Arial" w:hAnsi="Arial"/>
                <w:sz w:val="16"/>
                <w:szCs w:val="16"/>
                <w:color w:val="auto"/>
                <w:w w:val="91"/>
              </w:rPr>
              <w:t>(37)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2,366</w:t>
            </w:r>
          </w:p>
        </w:tc>
      </w:tr>
      <w:tr>
        <w:trPr>
          <w:trHeight w:val="23"/>
        </w:trPr>
        <w:tc>
          <w:tcPr>
            <w:tcW w:w="4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The following table presents the amounts affecting the Condensed Consolidated Statements of Operations for the three and six months ended June 30, 2020 and 2019 (in thousands):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Condensed Consolidated</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Statements of Operations</w:t>
      </w:r>
    </w:p>
    <w:p>
      <w:pPr>
        <w:spacing w:after="0" w:line="69" w:lineRule="exact"/>
        <w:rPr>
          <w:sz w:val="20"/>
          <w:szCs w:val="20"/>
          <w:color w:val="auto"/>
        </w:rPr>
      </w:pPr>
    </w:p>
    <w:p>
      <w:pPr>
        <w:ind w:left="20" w:right="2400"/>
        <w:spacing w:after="0" w:line="293" w:lineRule="auto"/>
        <w:rPr>
          <w:sz w:val="20"/>
          <w:szCs w:val="20"/>
          <w:color w:val="auto"/>
        </w:rPr>
      </w:pPr>
      <w:r>
        <w:rPr>
          <w:rFonts w:ascii="Arial" w:cs="Arial" w:eastAsia="Arial" w:hAnsi="Arial"/>
          <w:sz w:val="16"/>
          <w:szCs w:val="16"/>
          <w:i w:val="1"/>
          <w:iCs w:val="1"/>
          <w:color w:val="auto"/>
        </w:rPr>
        <w:t>Derivatives designated as cash flow hedging instruments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Three months ended</w:t>
            </w:r>
          </w:p>
        </w:tc>
        <w:tc>
          <w:tcPr>
            <w:tcW w:w="26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940" w:type="dxa"/>
            <w:vAlign w:val="bottom"/>
          </w:tcPr>
          <w:p>
            <w:pPr>
              <w:spacing w:after="0"/>
              <w:rPr>
                <w:sz w:val="18"/>
                <w:szCs w:val="18"/>
                <w:color w:val="auto"/>
              </w:rPr>
            </w:pPr>
          </w:p>
        </w:tc>
        <w:tc>
          <w:tcPr>
            <w:tcW w:w="1920" w:type="dxa"/>
            <w:vAlign w:val="bottom"/>
            <w:gridSpan w:val="4"/>
          </w:tcPr>
          <w:p>
            <w:pPr>
              <w:jc w:val="center"/>
              <w:ind w:right="110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1740" w:type="dxa"/>
            <w:vAlign w:val="bottom"/>
            <w:gridSpan w:val="3"/>
          </w:tcPr>
          <w:p>
            <w:pPr>
              <w:jc w:val="center"/>
              <w:ind w:right="920"/>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217"/>
        </w:trPr>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7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7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2019</w:t>
            </w:r>
          </w:p>
        </w:tc>
      </w:tr>
      <w:tr>
        <w:trPr>
          <w:trHeight w:val="33"/>
        </w:trPr>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-7620</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320" w:space="420"/>
            <w:col w:w="5500"/>
          </w:cols>
          <w:pgMar w:left="320" w:top="121" w:right="339" w:bottom="1440" w:gutter="0" w:footer="0" w:header="0"/>
          <w:type w:val="continuous"/>
        </w:sectPr>
      </w:pPr>
    </w:p>
    <w:p>
      <w:pPr>
        <w:ind w:left="120"/>
        <w:spacing w:after="0"/>
        <w:tabs>
          <w:tab w:leader="none" w:pos="4380" w:val="left"/>
          <w:tab w:leader="none" w:pos="5740" w:val="left"/>
          <w:tab w:leader="none" w:pos="6580" w:val="left"/>
          <w:tab w:leader="none" w:pos="7160" w:val="left"/>
          <w:tab w:leader="none" w:pos="8040" w:val="left"/>
          <w:tab w:leader="none" w:pos="8600" w:val="left"/>
          <w:tab w:leader="none" w:pos="9460" w:val="left"/>
          <w:tab w:leader="none" w:pos="9960" w:val="left"/>
          <w:tab w:leader="none" w:pos="1082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(219)</w:t>
        <w:tab/>
        <w:t>$</w:t>
      </w:r>
      <w:r>
        <w:rPr>
          <w:sz w:val="20"/>
          <w:szCs w:val="20"/>
          <w:color w:val="auto"/>
        </w:rPr>
        <w:tab/>
      </w:r>
      <w:r>
        <w:rPr>
          <w:rFonts w:ascii="Arial" w:cs="Arial" w:eastAsia="Arial" w:hAnsi="Arial"/>
          <w:sz w:val="16"/>
          <w:szCs w:val="16"/>
          <w:color w:val="auto"/>
        </w:rPr>
        <w:t>190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345</w:t>
      </w:r>
    </w:p>
    <w:p>
      <w:pPr>
        <w:spacing w:after="0" w:line="3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recognized the following gains (losses) on our foreign exchange contracts designated as a cash flow hedge (in thousands):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Derivatives designated as cash flow hedges: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Foreign exchange forward contract</w:t>
      </w:r>
    </w:p>
    <w:p>
      <w:pPr>
        <w:spacing w:after="0" w:line="73" w:lineRule="exact"/>
        <w:rPr>
          <w:sz w:val="20"/>
          <w:szCs w:val="20"/>
          <w:color w:val="auto"/>
        </w:rPr>
      </w:pPr>
    </w:p>
    <w:p>
      <w:pPr>
        <w:ind w:left="60"/>
        <w:spacing w:after="0" w:line="293" w:lineRule="auto"/>
        <w:rPr>
          <w:sz w:val="20"/>
          <w:szCs w:val="20"/>
          <w:color w:val="auto"/>
        </w:rPr>
      </w:pPr>
      <w:r>
        <w:rPr>
          <w:rFonts w:ascii="Arial" w:cs="Arial" w:eastAsia="Arial" w:hAnsi="Arial"/>
          <w:sz w:val="16"/>
          <w:szCs w:val="16"/>
          <w:color w:val="auto"/>
        </w:rPr>
        <w:t>Total derivatives designated as cash flow hedging instruments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230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1"/>
              </w:rPr>
              <w:t>Amount of Gain Recognized in</w:t>
            </w: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2"/>
        </w:trPr>
        <w:tc>
          <w:tcPr>
            <w:tcW w:w="2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Other Comprehensive Income on</w:t>
            </w:r>
          </w:p>
        </w:tc>
        <w:tc>
          <w:tcPr>
            <w:tcW w:w="120" w:type="dxa"/>
            <w:vAlign w:val="bottom"/>
          </w:tcPr>
          <w:p>
            <w:pPr>
              <w:spacing w:after="0"/>
              <w:rPr>
                <w:sz w:val="17"/>
                <w:szCs w:val="17"/>
                <w:color w:val="auto"/>
              </w:rPr>
            </w:pPr>
          </w:p>
        </w:tc>
        <w:tc>
          <w:tcPr>
            <w:tcW w:w="5040" w:type="dxa"/>
            <w:vAlign w:val="bottom"/>
            <w:gridSpan w:val="7"/>
          </w:tcPr>
          <w:p>
            <w:pPr>
              <w:jc w:val="right"/>
              <w:ind w:right="299"/>
              <w:spacing w:after="0"/>
              <w:rPr>
                <w:sz w:val="20"/>
                <w:szCs w:val="20"/>
                <w:color w:val="auto"/>
              </w:rPr>
            </w:pPr>
            <w:r>
              <w:rPr>
                <w:rFonts w:ascii="Arial" w:cs="Arial" w:eastAsia="Arial" w:hAnsi="Arial"/>
                <w:sz w:val="16"/>
                <w:szCs w:val="16"/>
                <w:b w:val="1"/>
                <w:bCs w:val="1"/>
                <w:color w:val="auto"/>
                <w:w w:val="99"/>
              </w:rPr>
              <w:t>Amount of (Loss) Gain Reclassified From Accumulated Other</w:t>
            </w:r>
          </w:p>
        </w:tc>
      </w:tr>
      <w:tr>
        <w:trPr>
          <w:trHeight w:val="210"/>
        </w:trPr>
        <w:tc>
          <w:tcPr>
            <w:tcW w:w="120" w:type="dxa"/>
            <w:vAlign w:val="bottom"/>
          </w:tcPr>
          <w:p>
            <w:pPr>
              <w:spacing w:after="0"/>
              <w:rPr>
                <w:sz w:val="18"/>
                <w:szCs w:val="18"/>
                <w:color w:val="auto"/>
              </w:rPr>
            </w:pPr>
          </w:p>
        </w:tc>
        <w:tc>
          <w:tcPr>
            <w:tcW w:w="152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1"/>
              </w:rPr>
              <w:t>Derivatives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5"/>
          </w:tcPr>
          <w:p>
            <w:pPr>
              <w:ind w:left="1260"/>
              <w:spacing w:after="0"/>
              <w:rPr>
                <w:sz w:val="20"/>
                <w:szCs w:val="20"/>
                <w:color w:val="auto"/>
              </w:rPr>
            </w:pPr>
            <w:r>
              <w:rPr>
                <w:rFonts w:ascii="Arial" w:cs="Arial" w:eastAsia="Arial" w:hAnsi="Arial"/>
                <w:sz w:val="16"/>
                <w:szCs w:val="16"/>
                <w:b w:val="1"/>
                <w:bCs w:val="1"/>
                <w:color w:val="auto"/>
                <w:w w:val="97"/>
              </w:rPr>
              <w:t>Comprehensive Income into Income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r>
      <w:tr>
        <w:trPr>
          <w:trHeight w:val="277"/>
        </w:trPr>
        <w:tc>
          <w:tcPr>
            <w:tcW w:w="120" w:type="dxa"/>
            <w:vAlign w:val="bottom"/>
          </w:tcPr>
          <w:p>
            <w:pPr>
              <w:spacing w:after="0"/>
              <w:rPr>
                <w:sz w:val="24"/>
                <w:szCs w:val="24"/>
                <w:color w:val="auto"/>
              </w:rPr>
            </w:pPr>
          </w:p>
        </w:tc>
        <w:tc>
          <w:tcPr>
            <w:tcW w:w="230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0"/>
              </w:rPr>
              <w:t>Three months ended</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Three months ended</w:t>
            </w:r>
          </w:p>
        </w:tc>
      </w:tr>
      <w:tr>
        <w:trPr>
          <w:trHeight w:val="210"/>
        </w:trPr>
        <w:tc>
          <w:tcPr>
            <w:tcW w:w="120" w:type="dxa"/>
            <w:vAlign w:val="bottom"/>
          </w:tcPr>
          <w:p>
            <w:pPr>
              <w:spacing w:after="0"/>
              <w:rPr>
                <w:sz w:val="18"/>
                <w:szCs w:val="18"/>
                <w:color w:val="auto"/>
              </w:rPr>
            </w:pPr>
          </w:p>
        </w:tc>
        <w:tc>
          <w:tcPr>
            <w:tcW w:w="152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6"/>
        </w:trPr>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(Loss) Gain Reclassified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From Accumulated Other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33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29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Comprehensive 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6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4"/>
                <w:szCs w:val="24"/>
                <w:color w:val="auto"/>
              </w:rPr>
            </w:pPr>
          </w:p>
        </w:tc>
        <w:tc>
          <w:tcPr>
            <w:tcW w:w="29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190</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79"/>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1,262</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675</w:t>
            </w:r>
          </w:p>
        </w:tc>
        <w:tc>
          <w:tcPr>
            <w:tcW w:w="310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190</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-633730</wp:posOffset>
            </wp:positionV>
            <wp:extent cx="708914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-307975</wp:posOffset>
            </wp:positionV>
            <wp:extent cx="708914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360"/>
            <w:col w:w="7600"/>
          </w:cols>
          <w:pgMar w:left="320" w:top="121" w:right="339" w:bottom="1440" w:gutter="0" w:footer="0" w:header="0"/>
          <w:type w:val="continuous"/>
        </w:sect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92"/>
              </w:rPr>
              <w:t>Amount of (Loss) Gain</w:t>
            </w: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center"/>
              <w:ind w:right="99"/>
              <w:spacing w:after="0"/>
              <w:rPr>
                <w:sz w:val="20"/>
                <w:szCs w:val="20"/>
                <w:color w:val="auto"/>
              </w:rPr>
            </w:pPr>
            <w:r>
              <w:rPr>
                <w:rFonts w:ascii="Arial" w:cs="Arial" w:eastAsia="Arial" w:hAnsi="Arial"/>
                <w:sz w:val="16"/>
                <w:szCs w:val="16"/>
                <w:b w:val="1"/>
                <w:bCs w:val="1"/>
                <w:color w:val="auto"/>
                <w:w w:val="91"/>
              </w:rPr>
              <w:t>Recognized in Other</w:t>
            </w: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89"/>
              </w:rPr>
              <w:t>Comprehensive Income on</w:t>
            </w:r>
          </w:p>
        </w:tc>
        <w:tc>
          <w:tcPr>
            <w:tcW w:w="120" w:type="dxa"/>
            <w:vAlign w:val="bottom"/>
          </w:tcPr>
          <w:p>
            <w:pPr>
              <w:spacing w:after="0"/>
              <w:rPr>
                <w:sz w:val="17"/>
                <w:szCs w:val="17"/>
                <w:color w:val="auto"/>
              </w:rPr>
            </w:pPr>
          </w:p>
        </w:tc>
        <w:tc>
          <w:tcPr>
            <w:tcW w:w="50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3"/>
              </w:rPr>
              <w:t>Derivatives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5"/>
          </w:tcPr>
          <w:p>
            <w:pPr>
              <w:jc w:val="center"/>
              <w:ind w:left="979"/>
              <w:spacing w:after="0"/>
              <w:rPr>
                <w:sz w:val="20"/>
                <w:szCs w:val="20"/>
                <w:color w:val="auto"/>
              </w:rPr>
            </w:pPr>
            <w:r>
              <w:rPr>
                <w:rFonts w:ascii="Arial" w:cs="Arial" w:eastAsia="Arial" w:hAnsi="Arial"/>
                <w:sz w:val="16"/>
                <w:szCs w:val="16"/>
                <w:b w:val="1"/>
                <w:bCs w:val="1"/>
                <w:color w:val="auto"/>
                <w:w w:val="91"/>
              </w:rPr>
              <w:t>Income into Income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89"/>
              </w:rPr>
              <w:t>Six months ended</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29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120"/>
              <w:spacing w:after="0"/>
              <w:rPr>
                <w:sz w:val="20"/>
                <w:szCs w:val="20"/>
                <w:color w:val="auto"/>
              </w:rPr>
            </w:pPr>
            <w:r>
              <w:rPr>
                <w:rFonts w:ascii="Arial" w:cs="Arial" w:eastAsia="Arial" w:hAnsi="Arial"/>
                <w:sz w:val="16"/>
                <w:szCs w:val="16"/>
                <w:color w:val="auto"/>
              </w:rPr>
              <w:t>Foreign exchange forward contract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9"/>
                <w:szCs w:val="19"/>
                <w:color w:val="auto"/>
              </w:rPr>
            </w:pPr>
          </w:p>
        </w:tc>
        <w:tc>
          <w:tcPr>
            <w:tcW w:w="29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1,685</w:t>
            </w:r>
          </w:p>
        </w:tc>
        <w:tc>
          <w:tcPr>
            <w:tcW w:w="310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2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10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of June 30, 2020, we expect approximately $75,000 of the deferred losses on the outstanding derivatives in accumulated other comprehensive income to be reclassified to net income during the next twelve months concurrent with the underlying hedged transactions also being reported in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Liability</w:t>
      </w:r>
    </w:p>
    <w:p>
      <w:pPr>
        <w:spacing w:after="0" w:line="252" w:lineRule="exact"/>
        <w:rPr>
          <w:sz w:val="20"/>
          <w:szCs w:val="20"/>
          <w:color w:val="auto"/>
        </w:rPr>
      </w:pPr>
    </w:p>
    <w:p>
      <w:pPr>
        <w:ind w:right="20" w:firstLine="360"/>
        <w:spacing w:after="0" w:line="270" w:lineRule="auto"/>
        <w:rPr>
          <w:sz w:val="20"/>
          <w:szCs w:val="20"/>
          <w:color w:val="auto"/>
        </w:rPr>
      </w:pPr>
      <w:r>
        <w:rPr>
          <w:rFonts w:ascii="Arial" w:cs="Arial" w:eastAsia="Arial" w:hAnsi="Arial"/>
          <w:sz w:val="16"/>
          <w:szCs w:val="16"/>
          <w:color w:val="auto"/>
        </w:rPr>
        <w:t>In 2017, we recognized an earn-out liability upon the acquisition of HIS from Pfizer. Pfizer was entitled up to $225 million in cash if certain performance targets for the combined company for the three years ending December 31, 2019 were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we determined that we did not meet the necessary performance targets that would require payout of any of the HIS earn-out liability. As of the date of this filing, Pfizer has disputed our determination that the performance targets requiring payout of the HIS earn-out liability were not met. If we do not reach agreement on this issue with Pfizer, the dispute will be resolved by binding arbitration, that will likely be concluded in the second half of this calendar year.</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fourth quarter of 2019, we recognized an earn-out liability related to the acquisition of Pursuit Vascular, Inc. ("Pursuit"). Pursuit's former equity holders are potentially entitled up to $50.0 million in additional cash consideration contingent upon the achievement of certain sales and gross profit targets for specific customers. The earn-out paid will be calculated as a percentage of gross profit achieved during the earn-out period against a pre-determined target gross profit, not to exceed $50.0 million. We used a Monte Carlo simulation model to determine the fair value of the earn-out liability. The Monte Carlo simulation model utilizes multiple input variables to determine the value of the earn-out liability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condensed consolidated balance sheets.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a reconciliation of the Level 3 earn-out liabilities measured at estimated fair value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center"/>
              <w:ind w:right="213"/>
              <w:spacing w:after="0"/>
              <w:rPr>
                <w:sz w:val="20"/>
                <w:szCs w:val="20"/>
                <w:color w:val="auto"/>
              </w:rPr>
            </w:pPr>
            <w:r>
              <w:rPr>
                <w:rFonts w:ascii="Arial" w:cs="Arial" w:eastAsia="Arial" w:hAnsi="Arial"/>
                <w:sz w:val="16"/>
                <w:szCs w:val="16"/>
                <w:b w:val="1"/>
                <w:bCs w:val="1"/>
                <w:color w:val="auto"/>
                <w:w w:val="94"/>
              </w:rPr>
              <w:t>Pursuit</w:t>
            </w:r>
          </w:p>
        </w:tc>
      </w:tr>
      <w:tr>
        <w:trPr>
          <w:trHeight w:val="257"/>
        </w:trPr>
        <w:tc>
          <w:tcPr>
            <w:tcW w:w="9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center"/>
              <w:ind w:right="193"/>
              <w:spacing w:after="0"/>
              <w:rPr>
                <w:sz w:val="20"/>
                <w:szCs w:val="20"/>
                <w:color w:val="auto"/>
              </w:rPr>
            </w:pPr>
            <w:r>
              <w:rPr>
                <w:rFonts w:ascii="Arial" w:cs="Arial" w:eastAsia="Arial" w:hAnsi="Arial"/>
                <w:sz w:val="16"/>
                <w:szCs w:val="16"/>
                <w:b w:val="1"/>
                <w:bCs w:val="1"/>
                <w:color w:val="auto"/>
                <w:w w:val="96"/>
              </w:rPr>
              <w:t>Earn-out Liability</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January 1, 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17,300</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280" w:type="dxa"/>
            <w:vAlign w:val="bottom"/>
          </w:tcPr>
          <w:p>
            <w:pPr>
              <w:spacing w:after="0"/>
              <w:rPr>
                <w:sz w:val="21"/>
                <w:szCs w:val="21"/>
                <w:color w:val="auto"/>
              </w:rPr>
            </w:pP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March 31, 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17,300</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280" w:type="dxa"/>
            <w:vAlign w:val="bottom"/>
          </w:tcPr>
          <w:p>
            <w:pPr>
              <w:spacing w:after="0"/>
              <w:rPr>
                <w:sz w:val="21"/>
                <w:szCs w:val="21"/>
                <w:color w:val="auto"/>
              </w:rPr>
            </w:pP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2,700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June 30, 2020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20,000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643"/>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jc w:val="center"/>
              <w:ind w:right="213"/>
              <w:spacing w:after="0"/>
              <w:rPr>
                <w:sz w:val="20"/>
                <w:szCs w:val="20"/>
                <w:color w:val="auto"/>
              </w:rPr>
            </w:pPr>
            <w:r>
              <w:rPr>
                <w:rFonts w:ascii="Arial" w:cs="Arial" w:eastAsia="Arial" w:hAnsi="Arial"/>
                <w:sz w:val="16"/>
                <w:szCs w:val="16"/>
                <w:b w:val="1"/>
                <w:bCs w:val="1"/>
                <w:color w:val="auto"/>
              </w:rPr>
              <w:t>HIS</w:t>
            </w:r>
          </w:p>
        </w:tc>
      </w:tr>
      <w:tr>
        <w:trPr>
          <w:trHeight w:val="256"/>
        </w:trPr>
        <w:tc>
          <w:tcPr>
            <w:tcW w:w="9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center"/>
              <w:ind w:right="193"/>
              <w:spacing w:after="0"/>
              <w:rPr>
                <w:sz w:val="20"/>
                <w:szCs w:val="20"/>
                <w:color w:val="auto"/>
              </w:rPr>
            </w:pPr>
            <w:r>
              <w:rPr>
                <w:rFonts w:ascii="Arial" w:cs="Arial" w:eastAsia="Arial" w:hAnsi="Arial"/>
                <w:sz w:val="16"/>
                <w:szCs w:val="16"/>
                <w:b w:val="1"/>
                <w:bCs w:val="1"/>
                <w:color w:val="auto"/>
                <w:w w:val="96"/>
              </w:rPr>
              <w:t>Earn-out Liability</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January 1, 2019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47,400</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28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(7,700)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March 31, 2019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39,700</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28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(39,500)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June 30,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 of the Pursuit earn-out increased at June 30, 2020 from the fair value calculated at December 31, 2019 primarily due to changes in the probabilities within the valuation model.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provide quantitative information about Level 3 inputs for fair value measurement of our earn-out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Pursuit Earn-out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ind w:left="519"/>
              <w:spacing w:after="0"/>
              <w:rPr>
                <w:sz w:val="20"/>
                <w:szCs w:val="20"/>
                <w:color w:val="auto"/>
              </w:rPr>
            </w:pPr>
            <w:r>
              <w:rPr>
                <w:rFonts w:ascii="Arial" w:cs="Arial" w:eastAsia="Arial" w:hAnsi="Arial"/>
                <w:sz w:val="16"/>
                <w:szCs w:val="16"/>
                <w:b w:val="1"/>
                <w:bCs w:val="1"/>
                <w:color w:val="auto"/>
                <w:w w:val="89"/>
              </w:rPr>
              <w:t>As of</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w w:val="99"/>
              </w:rPr>
              <w:t>At Acquisition November 2,</w:t>
            </w:r>
          </w:p>
        </w:tc>
        <w:tc>
          <w:tcPr>
            <w:tcW w:w="160" w:type="dxa"/>
            <w:vAlign w:val="bottom"/>
          </w:tcPr>
          <w:p>
            <w:pPr>
              <w:spacing w:after="0"/>
              <w:rPr>
                <w:sz w:val="17"/>
                <w:szCs w:val="17"/>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Simulation Input</w:t>
            </w:r>
          </w:p>
        </w:tc>
        <w:tc>
          <w:tcPr>
            <w:tcW w:w="1640" w:type="dxa"/>
            <w:vAlign w:val="bottom"/>
          </w:tcPr>
          <w:p>
            <w:pPr>
              <w:jc w:val="center"/>
              <w:ind w:left="539"/>
              <w:spacing w:after="0"/>
              <w:rPr>
                <w:sz w:val="20"/>
                <w:szCs w:val="20"/>
                <w:color w:val="auto"/>
              </w:rPr>
            </w:pPr>
            <w:r>
              <w:rPr>
                <w:rFonts w:ascii="Arial" w:cs="Arial" w:eastAsia="Arial" w:hAnsi="Arial"/>
                <w:sz w:val="16"/>
                <w:szCs w:val="16"/>
                <w:b w:val="1"/>
                <w:bCs w:val="1"/>
                <w:color w:val="auto"/>
                <w:w w:val="90"/>
              </w:rPr>
              <w:t>June 30, 2020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33"/>
        </w:trPr>
        <w:tc>
          <w:tcPr>
            <w:tcW w:w="6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1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1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12.50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1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Counter Party Risk</w:t>
            </w:r>
          </w:p>
        </w:tc>
        <w:tc>
          <w:tcPr>
            <w:tcW w:w="1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 Earn-out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ind w:left="519"/>
              <w:spacing w:after="0"/>
              <w:rPr>
                <w:sz w:val="20"/>
                <w:szCs w:val="20"/>
                <w:color w:val="auto"/>
              </w:rPr>
            </w:pPr>
            <w:r>
              <w:rPr>
                <w:rFonts w:ascii="Arial" w:cs="Arial" w:eastAsia="Arial" w:hAnsi="Arial"/>
                <w:sz w:val="16"/>
                <w:szCs w:val="16"/>
                <w:b w:val="1"/>
                <w:bCs w:val="1"/>
                <w:color w:val="auto"/>
                <w:w w:val="89"/>
              </w:rPr>
              <w:t>As of</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right"/>
              <w:ind w:right="719"/>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7"/>
                <w:szCs w:val="17"/>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Simulation Input</w:t>
            </w:r>
          </w:p>
        </w:tc>
        <w:tc>
          <w:tcPr>
            <w:tcW w:w="1640" w:type="dxa"/>
            <w:vAlign w:val="bottom"/>
          </w:tcPr>
          <w:p>
            <w:pPr>
              <w:jc w:val="center"/>
              <w:ind w:left="539"/>
              <w:spacing w:after="0"/>
              <w:rPr>
                <w:sz w:val="20"/>
                <w:szCs w:val="20"/>
                <w:color w:val="auto"/>
              </w:rPr>
            </w:pPr>
            <w:r>
              <w:rPr>
                <w:rFonts w:ascii="Arial" w:cs="Arial" w:eastAsia="Arial" w:hAnsi="Arial"/>
                <w:sz w:val="16"/>
                <w:szCs w:val="16"/>
                <w:b w:val="1"/>
                <w:bCs w:val="1"/>
                <w:color w:val="auto"/>
                <w:w w:val="90"/>
              </w:rPr>
              <w:t>June 30, 2019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r>
      <w:tr>
        <w:trPr>
          <w:trHeight w:val="33"/>
        </w:trPr>
        <w:tc>
          <w:tcPr>
            <w:tcW w:w="6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Volatility</w:t>
            </w:r>
          </w:p>
        </w:tc>
        <w:tc>
          <w:tcPr>
            <w:tcW w:w="1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WACC</w:t>
            </w:r>
          </w:p>
        </w:tc>
        <w:tc>
          <w:tcPr>
            <w:tcW w:w="16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8.25 %</w:t>
            </w:r>
          </w:p>
        </w:tc>
        <w:tc>
          <w:tcPr>
            <w:tcW w:w="1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8.25 %</w:t>
            </w:r>
          </w:p>
        </w:tc>
      </w:tr>
      <w:tr>
        <w:trPr>
          <w:trHeight w:val="3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20-year risk free rate</w:t>
            </w:r>
          </w:p>
        </w:tc>
        <w:tc>
          <w:tcPr>
            <w:tcW w:w="1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Market price of risk</w:t>
            </w:r>
          </w:p>
        </w:tc>
        <w:tc>
          <w:tcPr>
            <w:tcW w:w="1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debt</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and Foreign Currency Contracts</w:t>
      </w:r>
    </w:p>
    <w:p>
      <w:pPr>
        <w:spacing w:after="0" w:line="252"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The fair value of our investments is estimated using observable market-based inputs such as quoted prices, interest rates and yield curves or Level 2 inputs, which consisted of corporate bonds.</w:t>
      </w:r>
    </w:p>
    <w:p>
      <w:pPr>
        <w:spacing w:after="0" w:line="197" w:lineRule="exact"/>
        <w:rPr>
          <w:sz w:val="20"/>
          <w:szCs w:val="20"/>
          <w:color w:val="auto"/>
        </w:rPr>
      </w:pPr>
    </w:p>
    <w:p>
      <w:pPr>
        <w:ind w:firstLine="357"/>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5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Fair value measurements at June 30,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Total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36"/>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20,075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4"/>
              </w:rPr>
              <w:t>Fair value measurements at December 31, 2019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Total 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36"/>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23,967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26,333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26,333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56"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Our investment securities currently consist of short-term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(expense), net on our condensed consolidated statements of operations. There have been no realized gains or losses on their disposal. Realized gains and losses are accounted for on the specific identification method. The scheduled maturities of the debt securities are between 2020 and 2021. All short-term investment securities are callable within one year.</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short investment securities consisted of the following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June 30,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Unrealized Holding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35"/>
              <w:spacing w:after="0"/>
              <w:rPr>
                <w:sz w:val="20"/>
                <w:szCs w:val="20"/>
                <w:color w:val="auto"/>
              </w:rPr>
            </w:pPr>
            <w:r>
              <w:rPr>
                <w:rFonts w:ascii="Arial" w:cs="Arial" w:eastAsia="Arial" w:hAnsi="Arial"/>
                <w:sz w:val="16"/>
                <w:szCs w:val="16"/>
                <w:b w:val="1"/>
                <w:bCs w:val="1"/>
                <w:color w:val="auto"/>
              </w:rPr>
              <w:t>Amortized Cost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572"/>
              <w:spacing w:after="0"/>
              <w:rPr>
                <w:sz w:val="20"/>
                <w:szCs w:val="20"/>
                <w:color w:val="auto"/>
              </w:rPr>
            </w:pPr>
            <w:r>
              <w:rPr>
                <w:rFonts w:ascii="Arial" w:cs="Arial" w:eastAsia="Arial" w:hAnsi="Arial"/>
                <w:sz w:val="16"/>
                <w:szCs w:val="16"/>
                <w:b w:val="1"/>
                <w:bCs w:val="1"/>
                <w:color w:val="auto"/>
                <w:w w:val="85"/>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14,564</w:t>
            </w:r>
          </w:p>
        </w:tc>
        <w:tc>
          <w:tcPr>
            <w:tcW w:w="4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14,564</w:t>
            </w:r>
          </w:p>
        </w:tc>
      </w:tr>
      <w:tr>
        <w:trPr>
          <w:trHeight w:val="493"/>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 2019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Unrealized Holding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35"/>
              <w:spacing w:after="0"/>
              <w:rPr>
                <w:sz w:val="20"/>
                <w:szCs w:val="20"/>
                <w:color w:val="auto"/>
              </w:rPr>
            </w:pPr>
            <w:r>
              <w:rPr>
                <w:rFonts w:ascii="Arial" w:cs="Arial" w:eastAsia="Arial" w:hAnsi="Arial"/>
                <w:sz w:val="16"/>
                <w:szCs w:val="16"/>
                <w:b w:val="1"/>
                <w:bCs w:val="1"/>
                <w:color w:val="auto"/>
              </w:rPr>
              <w:t>Amortized Cost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572"/>
              <w:spacing w:after="0"/>
              <w:rPr>
                <w:sz w:val="20"/>
                <w:szCs w:val="20"/>
                <w:color w:val="auto"/>
              </w:rPr>
            </w:pPr>
            <w:r>
              <w:rPr>
                <w:rFonts w:ascii="Arial" w:cs="Arial" w:eastAsia="Arial" w:hAnsi="Arial"/>
                <w:sz w:val="16"/>
                <w:szCs w:val="16"/>
                <w:b w:val="1"/>
                <w:bCs w:val="1"/>
                <w:color w:val="auto"/>
                <w:w w:val="85"/>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5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23,967</w:t>
            </w:r>
          </w:p>
        </w:tc>
        <w:tc>
          <w:tcPr>
            <w:tcW w:w="4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23,967</w:t>
            </w:r>
          </w:p>
        </w:tc>
      </w:tr>
      <w:tr>
        <w:trPr>
          <w:trHeight w:val="513"/>
        </w:trPr>
        <w:tc>
          <w:tcPr>
            <w:tcW w:w="5120" w:type="dxa"/>
            <w:vAlign w:val="bottom"/>
          </w:tcPr>
          <w:p>
            <w:pPr>
              <w:spacing w:after="0"/>
              <w:rPr>
                <w:sz w:val="20"/>
                <w:szCs w:val="20"/>
                <w:color w:val="auto"/>
              </w:rPr>
            </w:pPr>
            <w:r>
              <w:rPr>
                <w:rFonts w:ascii="Arial" w:cs="Arial" w:eastAsia="Arial" w:hAnsi="Arial"/>
                <w:sz w:val="18"/>
                <w:szCs w:val="18"/>
                <w:b w:val="1"/>
                <w:bCs w:val="1"/>
                <w:color w:val="auto"/>
              </w:rPr>
              <w:t>Note 10: Prepaid Expenses and Other Current Assets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9"/>
        </w:trPr>
        <w:tc>
          <w:tcPr>
            <w:tcW w:w="7060" w:type="dxa"/>
            <w:vAlign w:val="bottom"/>
            <w:gridSpan w:val="3"/>
          </w:tcPr>
          <w:p>
            <w:pPr>
              <w:ind w:left="660"/>
              <w:spacing w:after="0"/>
              <w:rPr>
                <w:sz w:val="20"/>
                <w:szCs w:val="20"/>
                <w:color w:val="auto"/>
              </w:rPr>
            </w:pPr>
            <w:r>
              <w:rPr>
                <w:rFonts w:ascii="Arial" w:cs="Arial" w:eastAsia="Arial" w:hAnsi="Arial"/>
                <w:sz w:val="18"/>
                <w:szCs w:val="18"/>
                <w:color w:val="auto"/>
                <w:w w:val="97"/>
              </w:rPr>
              <w:t>Prepaid expenses and other current assets consist of the following (in thousands):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5"/>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32"/>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13,778</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3,332</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VAT/GST receivable</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4,422</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1,375</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4,358</w:t>
            </w:r>
          </w:p>
        </w:tc>
      </w:tr>
      <w:tr>
        <w:trPr>
          <w:trHeight w:val="237"/>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33,981</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right="300" w:firstLine="360"/>
        <w:spacing w:after="0" w:line="263"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119,709</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40,548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39,515</w:t>
            </w:r>
          </w:p>
        </w:tc>
      </w:tr>
      <w:tr>
        <w:trPr>
          <w:trHeight w:val="27"/>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153,246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178,416</w:t>
            </w:r>
          </w:p>
        </w:tc>
      </w:tr>
      <w:tr>
        <w:trPr>
          <w:trHeight w:val="263"/>
        </w:trPr>
        <w:tc>
          <w:tcPr>
            <w:tcW w:w="746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322,766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337,640</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219,057</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Land, building and building improvements</w:t>
            </w:r>
          </w:p>
        </w:tc>
        <w:tc>
          <w:tcPr>
            <w:tcW w:w="300" w:type="dxa"/>
            <w:vAlign w:val="bottom"/>
          </w:tcPr>
          <w:p>
            <w:pPr>
              <w:spacing w:after="0"/>
              <w:rPr>
                <w:sz w:val="21"/>
                <w:szCs w:val="21"/>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233,931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230,454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Molds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60,155</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96,711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83,217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Instruments placed with customers</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80,445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74,434</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76,733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101,425</w:t>
            </w:r>
          </w:p>
        </w:tc>
        <w:tc>
          <w:tcPr>
            <w:tcW w:w="0" w:type="dxa"/>
            <w:vAlign w:val="bottom"/>
          </w:tcPr>
          <w:p>
            <w:pPr>
              <w:spacing w:after="0"/>
              <w:rPr>
                <w:sz w:val="1"/>
                <w:szCs w:val="1"/>
                <w:color w:val="auto"/>
              </w:rPr>
            </w:pPr>
          </w:p>
        </w:tc>
      </w:tr>
      <w:tr>
        <w:trPr>
          <w:trHeight w:val="237"/>
        </w:trPr>
        <w:tc>
          <w:tcPr>
            <w:tcW w:w="7320" w:type="dxa"/>
            <w:vAlign w:val="bottom"/>
          </w:tcPr>
          <w:p>
            <w:pPr>
              <w:ind w:left="120"/>
              <w:spacing w:after="0"/>
              <w:rPr>
                <w:sz w:val="20"/>
                <w:szCs w:val="20"/>
                <w:color w:val="auto"/>
              </w:rPr>
            </w:pPr>
            <w:r>
              <w:rPr>
                <w:rFonts w:ascii="Arial" w:cs="Arial" w:eastAsia="Arial" w:hAnsi="Arial"/>
                <w:sz w:val="18"/>
                <w:szCs w:val="18"/>
                <w:color w:val="auto"/>
              </w:rPr>
              <w:t>Total property and equipment, cost</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802,648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776,240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(320,155)</w:t>
            </w:r>
          </w:p>
        </w:tc>
        <w:tc>
          <w:tcPr>
            <w:tcW w:w="0" w:type="dxa"/>
            <w:vAlign w:val="bottom"/>
          </w:tcPr>
          <w:p>
            <w:pPr>
              <w:spacing w:after="0"/>
              <w:rPr>
                <w:sz w:val="1"/>
                <w:szCs w:val="1"/>
                <w:color w:val="auto"/>
              </w:rPr>
            </w:pPr>
          </w:p>
        </w:tc>
      </w:tr>
      <w:tr>
        <w:trPr>
          <w:trHeight w:val="263"/>
        </w:trPr>
        <w:tc>
          <w:tcPr>
            <w:tcW w:w="7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454,824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456,085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Instruments placed with customers consist of drug-delivery and monitoring systems placed with customers under operating leases.</w:t>
      </w:r>
    </w:p>
    <w:p>
      <w:pPr>
        <w:spacing w:after="0" w:line="229" w:lineRule="exact"/>
        <w:rPr>
          <w:sz w:val="20"/>
          <w:szCs w:val="20"/>
          <w:color w:val="auto"/>
        </w:rPr>
      </w:pPr>
    </w:p>
    <w:p>
      <w:pPr>
        <w:ind w:right="960" w:firstLine="360"/>
        <w:spacing w:after="0" w:line="277" w:lineRule="auto"/>
        <w:rPr>
          <w:sz w:val="20"/>
          <w:szCs w:val="20"/>
          <w:color w:val="auto"/>
        </w:rPr>
      </w:pPr>
      <w:r>
        <w:rPr>
          <w:rFonts w:ascii="Arial" w:cs="Arial" w:eastAsia="Arial" w:hAnsi="Arial"/>
          <w:sz w:val="18"/>
          <w:szCs w:val="18"/>
          <w:color w:val="auto"/>
        </w:rPr>
        <w:t>Depreciation expense was $15.8 million and $31.0 million for the three and six months ended June 30, 2020, respectively, as compared to $14.7 million and $29.8 million for the three and six months ended June 30, 2019,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Note 13: Goodwill and Intangible Assets, Net</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902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31,245</w:t>
            </w:r>
          </w:p>
        </w:tc>
      </w:tr>
      <w:tr>
        <w:trPr>
          <w:trHeight w:val="270"/>
        </w:trPr>
        <w:tc>
          <w:tcPr>
            <w:tcW w:w="20" w:type="dxa"/>
            <w:vAlign w:val="bottom"/>
          </w:tcPr>
          <w:p>
            <w:pPr>
              <w:spacing w:after="0"/>
              <w:rPr>
                <w:sz w:val="23"/>
                <w:szCs w:val="23"/>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500" w:type="dxa"/>
            <w:vAlign w:val="bottom"/>
          </w:tcPr>
          <w:p>
            <w:pPr>
              <w:spacing w:after="0"/>
              <w:rPr>
                <w:sz w:val="23"/>
                <w:szCs w:val="23"/>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1,346</w:t>
            </w: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Currency translation</w:t>
            </w:r>
          </w:p>
        </w:tc>
        <w:tc>
          <w:tcPr>
            <w:tcW w:w="5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63"/>
        </w:trPr>
        <w:tc>
          <w:tcPr>
            <w:tcW w:w="20" w:type="dxa"/>
            <w:vAlign w:val="bottom"/>
          </w:tcPr>
          <w:p>
            <w:pPr>
              <w:spacing w:after="0"/>
              <w:rPr>
                <w:sz w:val="22"/>
                <w:szCs w:val="22"/>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Balance as of June 30, 2020</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32,472</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_______________________________________________</w:t>
      </w:r>
    </w:p>
    <w:p>
      <w:pPr>
        <w:ind w:left="180" w:hanging="172"/>
        <w:spacing w:after="0" w:line="217"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Other relates to a measurement period adjustment to deferred taxes related to our 2019 acquisition of Pursuit.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33,944</w:t>
            </w: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15,382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152,893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30,578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122,315</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217"/>
        </w:trPr>
        <w:tc>
          <w:tcPr>
            <w:tcW w:w="5440" w:type="dxa"/>
            <w:vAlign w:val="bottom"/>
          </w:tcPr>
          <w:p>
            <w:pPr>
              <w:ind w:left="12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264,710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77,288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187,422</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16,298</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44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281,008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77,288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203,720</w:t>
            </w:r>
          </w:p>
        </w:tc>
        <w:tc>
          <w:tcPr>
            <w:tcW w:w="0" w:type="dxa"/>
            <w:vAlign w:val="bottom"/>
          </w:tcPr>
          <w:p>
            <w:pPr>
              <w:spacing w:after="0"/>
              <w:rPr>
                <w:sz w:val="1"/>
                <w:szCs w:val="1"/>
                <w:color w:val="auto"/>
              </w:rPr>
            </w:pPr>
          </w:p>
        </w:tc>
      </w:tr>
      <w:tr>
        <w:trPr>
          <w:trHeight w:val="26"/>
        </w:trPr>
        <w:tc>
          <w:tcPr>
            <w:tcW w:w="54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2019</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8,803</w:t>
            </w: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37,509</w:t>
            </w:r>
          </w:p>
        </w:tc>
        <w:tc>
          <w:tcPr>
            <w:tcW w:w="0" w:type="dxa"/>
            <w:vAlign w:val="bottom"/>
          </w:tcPr>
          <w:p>
            <w:pPr>
              <w:spacing w:after="0"/>
              <w:rPr>
                <w:sz w:val="1"/>
                <w:szCs w:val="1"/>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16,002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152,354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24,228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128,126</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263,275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197,417</w:t>
            </w: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13,991</w:t>
            </w: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intangible assets</w:t>
            </w: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277,266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65,858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211,408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w:t>
            </w: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440" w:type="dxa"/>
            <w:vAlign w:val="bottom"/>
            <w:vMerge w:val="continue"/>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3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and six months ended June 30, 2020, intangible asset amortization expense was $5.8 million and $11.6 million, respectively, as compared to $4.0 million and $8.0 million for the three and six months ended June 30, 2019,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estimated annual amortization for our intangible assets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ind w:left="3900"/>
              <w:spacing w:after="0"/>
              <w:rPr>
                <w:sz w:val="20"/>
                <w:szCs w:val="20"/>
                <w:color w:val="auto"/>
              </w:rPr>
            </w:pPr>
            <w:r>
              <w:rPr>
                <w:rFonts w:ascii="Arial" w:cs="Arial" w:eastAsia="Arial" w:hAnsi="Arial"/>
                <w:sz w:val="18"/>
                <w:szCs w:val="18"/>
                <w:b w:val="1"/>
                <w:bCs w:val="1"/>
                <w:color w:val="auto"/>
              </w:rPr>
              <w:t>ICU MEDICAL, INC. AND SUBSIDIARIES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gridSpan w:val="6"/>
          </w:tcPr>
          <w:p>
            <w:pPr>
              <w:ind w:left="220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6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2021</w:t>
            </w:r>
          </w:p>
        </w:tc>
        <w:tc>
          <w:tcPr>
            <w:tcW w:w="1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23,076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2023</w:t>
            </w:r>
          </w:p>
        </w:tc>
        <w:tc>
          <w:tcPr>
            <w:tcW w:w="1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21,591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2025</w:t>
            </w:r>
          </w:p>
        </w:tc>
        <w:tc>
          <w:tcPr>
            <w:tcW w:w="1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71"/>
              <w:spacing w:after="0"/>
              <w:rPr>
                <w:sz w:val="20"/>
                <w:szCs w:val="20"/>
                <w:color w:val="auto"/>
              </w:rPr>
            </w:pPr>
            <w:r>
              <w:rPr>
                <w:rFonts w:ascii="Arial" w:cs="Arial" w:eastAsia="Arial" w:hAnsi="Arial"/>
                <w:sz w:val="18"/>
                <w:szCs w:val="18"/>
                <w:color w:val="auto"/>
              </w:rPr>
              <w:t>16,679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70,312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80" w:type="dxa"/>
            <w:vAlign w:val="bottom"/>
          </w:tcPr>
          <w:p>
            <w:pPr>
              <w:ind w:left="12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187,422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Note 14: Accrued Liabilities and Other Long-Term Liabilities</w:t>
            </w: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 (in thousands):</w:t>
            </w: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431"/>
              <w:spacing w:after="0"/>
              <w:rPr>
                <w:sz w:val="20"/>
                <w:szCs w:val="20"/>
                <w:color w:val="auto"/>
              </w:rPr>
            </w:pPr>
            <w:r>
              <w:rPr>
                <w:rFonts w:ascii="Arial" w:cs="Arial" w:eastAsia="Arial" w:hAnsi="Arial"/>
                <w:sz w:val="16"/>
                <w:szCs w:val="16"/>
                <w:b w:val="1"/>
                <w:bCs w:val="1"/>
                <w:color w:val="auto"/>
                <w:w w:val="98"/>
              </w:rPr>
              <w:t>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68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Incentive compensation</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14,234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15,221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supply chain restructuring costs</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23,119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Operating lease liability-ST</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7,362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product field action</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sales taxes</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2,615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4,761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 taxes</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4,782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accrual</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Distribution fees</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3,942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and returns</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freight</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11,238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liabilities-ST</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Contract settlement</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1,667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6,801</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680" w:type="dxa"/>
            <w:vAlign w:val="bottom"/>
            <w:tcBorders>
              <w:top w:val="single" w:sz="8" w:color="auto"/>
            </w:tcBorders>
          </w:tcPr>
          <w:p>
            <w:pPr>
              <w:jc w:val="right"/>
              <w:ind w:right="149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6"/>
              </w:rPr>
              <w:t>107,083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117,776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vMerge w:val="restart"/>
          </w:tcPr>
          <w:p>
            <w:pPr>
              <w:ind w:left="660"/>
              <w:spacing w:after="0"/>
              <w:rPr>
                <w:sz w:val="20"/>
                <w:szCs w:val="20"/>
                <w:color w:val="auto"/>
              </w:rPr>
            </w:pPr>
            <w:r>
              <w:rPr>
                <w:rFonts w:ascii="Arial" w:cs="Arial" w:eastAsia="Arial" w:hAnsi="Arial"/>
                <w:sz w:val="18"/>
                <w:szCs w:val="18"/>
                <w:color w:val="auto"/>
              </w:rPr>
              <w:t>Other long-term liabilities consist of the following (in thousands):</w:t>
            </w:r>
          </w:p>
        </w:tc>
        <w:tc>
          <w:tcPr>
            <w:tcW w:w="1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2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2020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431"/>
              <w:spacing w:after="0"/>
              <w:rPr>
                <w:sz w:val="20"/>
                <w:szCs w:val="20"/>
                <w:color w:val="auto"/>
              </w:rPr>
            </w:pPr>
            <w:r>
              <w:rPr>
                <w:rFonts w:ascii="Arial" w:cs="Arial" w:eastAsia="Arial" w:hAnsi="Arial"/>
                <w:sz w:val="16"/>
                <w:szCs w:val="16"/>
                <w:b w:val="1"/>
                <w:bCs w:val="1"/>
                <w:color w:val="auto"/>
                <w:w w:val="98"/>
              </w:rPr>
              <w:t>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liability-LT</w:t>
            </w:r>
          </w:p>
        </w:tc>
        <w:tc>
          <w:tcPr>
            <w:tcW w:w="168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Benefits</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1,131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rent</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Contract liabilities-LT</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liability-LT</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32,820</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Income taxes were accrued at an estimated effective tax rate of 9% and 13% for the three and six months ended June 30, 2020, respectively, as compared to 17% and 12% for the three and six months ended June 30, 2019, respectively.</w:t>
      </w:r>
    </w:p>
    <w:p>
      <w:pPr>
        <w:spacing w:after="0" w:line="197" w:lineRule="exact"/>
        <w:rPr>
          <w:sz w:val="20"/>
          <w:szCs w:val="20"/>
          <w:color w:val="auto"/>
        </w:rPr>
      </w:pPr>
    </w:p>
    <w:p>
      <w:pPr>
        <w:ind w:right="60" w:firstLine="357"/>
        <w:spacing w:after="0" w:line="301" w:lineRule="auto"/>
        <w:rPr>
          <w:sz w:val="20"/>
          <w:szCs w:val="20"/>
          <w:color w:val="auto"/>
        </w:rPr>
      </w:pPr>
      <w:r>
        <w:rPr>
          <w:rFonts w:ascii="Arial" w:cs="Arial" w:eastAsia="Arial" w:hAnsi="Arial"/>
          <w:sz w:val="16"/>
          <w:szCs w:val="16"/>
          <w:color w:val="auto"/>
        </w:rPr>
        <w:t>The effective tax rate for the three and six months ended June 30, 2020 differs from the federal statutory rate of 21% principally because of the effect of the mix of U.S. and foreign incomes, state income taxes, global intangible low-taxed income ("GILTI"), foreign-derived intangible income ("FDII") and tax credits. The effective tax rate during the three and six months ended June 30, 2020 included a discrete tax benefit of $3.0 million and $3.5 million, respectively, related to the excess tax benefits recognized on stock option exercises and the vesting of restricted stock units during the period.</w:t>
      </w:r>
    </w:p>
    <w:p>
      <w:pPr>
        <w:spacing w:after="0" w:line="117" w:lineRule="exact"/>
        <w:rPr>
          <w:sz w:val="20"/>
          <w:szCs w:val="20"/>
          <w:color w:val="auto"/>
        </w:rPr>
      </w:pPr>
    </w:p>
    <w:p>
      <w:pPr>
        <w:ind w:right="40" w:firstLine="357"/>
        <w:spacing w:after="0" w:line="275" w:lineRule="auto"/>
        <w:rPr>
          <w:sz w:val="20"/>
          <w:szCs w:val="20"/>
          <w:color w:val="auto"/>
        </w:rPr>
      </w:pPr>
      <w:r>
        <w:rPr>
          <w:rFonts w:ascii="Arial" w:cs="Arial" w:eastAsia="Arial" w:hAnsi="Arial"/>
          <w:sz w:val="17"/>
          <w:szCs w:val="17"/>
          <w:color w:val="auto"/>
        </w:rPr>
        <w:t>The effective tax rate for the three and six months ended June 30, 2019 differs from the federal statutory rate of 21% principally because of the effect of the mix of U.S. and foreign incomes, state income taxes, GILTI and tax credits. The effective tax rate during the three and six months ended June 30, 2019 included a discrete tax benefit of $1.8 million and $7.4 million, respectively, related to the excess tax benefits recognized on stock option exercises and the vesting of restricted stock units during the period. In addition, the effective tax rate during the three and six months ended June 30, 2019 included a discrete tax provision of $9.5 million and $11.3 million as a result of a revaluation of the contingent consideration.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Long-Term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52"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On November 8, 2017, we entered into a Credit Facility with various lenders for $150.0 million, with Wells Fargo Bank, N.A. as the administrative agent, swingline lender and issuing lender. During March 2020, as a result of market uncertainty caused by the novel coronavirus ("COVID-19"), we preemptively borrowed $150.0 million on our Credit Facility as a conservative measure to manage any potential short-term liquidity risk. We plan to hold the proceeds of these borrowings as cash while the COVID-19 situation and market conditions remain uncertain.</w:t>
      </w:r>
    </w:p>
    <w:p>
      <w:pPr>
        <w:spacing w:after="0" w:line="198" w:lineRule="exact"/>
        <w:rPr>
          <w:sz w:val="20"/>
          <w:szCs w:val="20"/>
          <w:color w:val="auto"/>
        </w:rPr>
      </w:pPr>
    </w:p>
    <w:p>
      <w:pPr>
        <w:ind w:right="20" w:firstLine="350"/>
        <w:spacing w:after="0" w:line="259" w:lineRule="auto"/>
        <w:rPr>
          <w:sz w:val="20"/>
          <w:szCs w:val="20"/>
          <w:color w:val="auto"/>
        </w:rPr>
      </w:pPr>
      <w:r>
        <w:rPr>
          <w:rFonts w:ascii="Arial" w:cs="Arial" w:eastAsia="Arial" w:hAnsi="Arial"/>
          <w:sz w:val="18"/>
          <w:szCs w:val="18"/>
          <w:color w:val="auto"/>
        </w:rPr>
        <w:t>As of June 30, 2020, we had $150.0 million in borrowings and no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2019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firstLine="357"/>
        <w:spacing w:after="0" w:line="296"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8" w:lineRule="exact"/>
        <w:rPr>
          <w:sz w:val="20"/>
          <w:szCs w:val="20"/>
          <w:color w:val="auto"/>
        </w:rPr>
      </w:pPr>
    </w:p>
    <w:p>
      <w:pPr>
        <w:ind w:right="60" w:firstLine="357"/>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Fixed Charge Coverage Ratio is defined as the ratio of: (a) Consolidated Adjusted EBITDA less the sum of (i) capital expenditures,</w:t>
      </w:r>
    </w:p>
    <w:p>
      <w:pPr>
        <w:spacing w:after="0" w:line="46" w:lineRule="exact"/>
        <w:rPr>
          <w:sz w:val="20"/>
          <w:szCs w:val="20"/>
          <w:color w:val="auto"/>
        </w:rPr>
      </w:pPr>
    </w:p>
    <w:p>
      <w:pPr>
        <w:ind w:right="100"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were in compliance with all financial covenants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52" w:lineRule="exact"/>
        <w:rPr>
          <w:sz w:val="20"/>
          <w:szCs w:val="20"/>
          <w:color w:val="auto"/>
        </w:rPr>
      </w:pPr>
    </w:p>
    <w:p>
      <w:pPr>
        <w:ind w:right="280" w:firstLine="360"/>
        <w:spacing w:after="0" w:line="301" w:lineRule="auto"/>
        <w:rPr>
          <w:sz w:val="20"/>
          <w:szCs w:val="20"/>
          <w:color w:val="auto"/>
        </w:rPr>
      </w:pPr>
      <w:r>
        <w:rPr>
          <w:rFonts w:ascii="Arial" w:cs="Arial" w:eastAsia="Arial" w:hAnsi="Arial"/>
          <w:sz w:val="16"/>
          <w:szCs w:val="16"/>
          <w:color w:val="auto"/>
        </w:rPr>
        <w:t>In August 2019, our Board of Directors approved a new share purchase plan to purchase up to $100.0 million of our common stock. This plan replaced our existing plan and has no expiration date. During the six months ended June 30, 2020, we did not purchase any shares of our common stock under our stock purchase plans. As of June 30, 2020, all of the $100.0 million available for purchase was remaining under the plan. We are currently limited on share purchases in accordance with the terms and conditions of our Credit Facility (see Note 16: Long-Term Obligations).</w:t>
      </w:r>
    </w:p>
    <w:p>
      <w:pPr>
        <w:spacing w:after="0" w:line="184"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For the six months ended June 30, 2020, we withheld 65,392 shares of our common stock from employee vested restricted stock units in consideration for $12.6 million in payments made on the employee's behalf for their minimum statutory income tax withholding obligations. For the six months ended June 30, 2019, we withheld 78,108 shares of our common stock from employee vested restricted stock units in consideration for $18.3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(loss) income ("AOCI"), net of tax, were as follows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Foreign Currency</w:t>
            </w: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Unrealized Gains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(12,984)</w:t>
            </w: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(13,510)</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5,568</w:t>
            </w: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5,734</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(23,183)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(23,178)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Foreign Currency</w:t>
            </w:r>
          </w:p>
        </w:tc>
        <w:tc>
          <w:tcPr>
            <w:tcW w:w="10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Unrealized Gains</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w w:val="95"/>
              </w:rPr>
              <w:t>Other comprehensive (loss) income before reclassifications</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(17,881)</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3,351</w:t>
            </w: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3,207</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(16,436)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(14,674)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w:t>
      </w:r>
    </w:p>
    <w:p>
      <w:pPr>
        <w:spacing w:after="0" w:line="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valid antitrust claim, but allowed the plaintiffs to file a second amended complaint. On September 6, 2018, plaintiffs filed a second amended complaint adding new allegations in support of their conspiracy claims and adding ICU as a defendant. All defendants filed a motion to dismiss this second amended complaint and on April 3, 2020, the District Court granted Defendants’ motion to dismiss the second amended complaint. The District Court concluded that it would be futile to permit plaintiffs to amend their complaint again, and dismissed the case with prejudice. The plaintiffs did not file an appeal.</w:t>
      </w:r>
    </w:p>
    <w:p>
      <w:pPr>
        <w:spacing w:after="0" w:line="186" w:lineRule="exact"/>
        <w:rPr>
          <w:sz w:val="20"/>
          <w:szCs w:val="20"/>
          <w:color w:val="auto"/>
        </w:rPr>
      </w:pPr>
    </w:p>
    <w:p>
      <w:pPr>
        <w:ind w:right="280" w:firstLine="360"/>
        <w:spacing w:after="0" w:line="263"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During November 2019, we acquired Pursuit. Total consideration for the acquisition includes a potential contractual earn-out of up to $50.0 million, to be paid to former Pursuit equity holders, calculated based upon the achievement of certain performance targets during the earn-out period (see Note 8: Fair Value Measurement).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 Leases).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Collaborative and Other Arrangements</w:t>
      </w:r>
    </w:p>
    <w:p>
      <w:pPr>
        <w:spacing w:after="0" w:line="229"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COVID-19 Pandemic</w:t>
      </w:r>
    </w:p>
    <w:p>
      <w:pPr>
        <w:spacing w:after="0" w:line="256" w:lineRule="exact"/>
        <w:rPr>
          <w:sz w:val="20"/>
          <w:szCs w:val="20"/>
          <w:color w:val="auto"/>
        </w:rPr>
      </w:pPr>
    </w:p>
    <w:p>
      <w:pPr>
        <w:ind w:right="380" w:firstLine="360"/>
        <w:spacing w:after="0" w:line="259" w:lineRule="auto"/>
        <w:rPr>
          <w:sz w:val="20"/>
          <w:szCs w:val="20"/>
          <w:color w:val="auto"/>
        </w:rPr>
      </w:pPr>
      <w:r>
        <w:rPr>
          <w:rFonts w:ascii="Arial" w:cs="Arial" w:eastAsia="Arial" w:hAnsi="Arial"/>
          <w:sz w:val="18"/>
          <w:szCs w:val="18"/>
          <w:color w:val="auto"/>
        </w:rPr>
        <w:t>In late 2019, a novel coronavirus (“COVID-19”) was first reported in Wuhan, China, and on March 11, 2020, the World Health Organization characterized COVID-19 as a global pandemic. The spread of COVID-19 around the world in 2020 has caused significant volatility in U.S. and international markets. The ultimate disruption caused by the outbreak is uncertain; however, it may result in a material adverse impact on our financial position, results of operations and cash flows. Possible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impact may include, but is not limited to: lost revenue or additional costs associated with a disruption to our production or distribution facilities; customers may experience financial difficulties and may be unable to pay within payment terms for the products they purchased; reduced revenue due to restricted access to healthcare customers; lower revenue and income due to foreign currency fluctuations; lower travel and entertainment costs due to travel restrictions; and lower income due to a delay in cost savings projects. While our operations have been designated as essential activities by certain state and city jurisdictions, COVID-19 is likely to negatively impact our operating results and financial position, the extent and duration cannot be reasonably estimated at this time.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firstLine="357"/>
        <w:spacing w:after="0" w:line="263"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2019 included in our Annual Report on Form 10-K.</w:t>
      </w:r>
    </w:p>
    <w:p>
      <w:pPr>
        <w:spacing w:after="0" w:line="184" w:lineRule="exact"/>
        <w:rPr>
          <w:sz w:val="20"/>
          <w:szCs w:val="20"/>
          <w:color w:val="auto"/>
        </w:rPr>
      </w:pPr>
    </w:p>
    <w:p>
      <w:pPr>
        <w:ind w:right="840" w:firstLine="357"/>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0" w:firstLine="357"/>
        <w:spacing w:after="0" w:line="301"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97"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w:t>
      </w:r>
    </w:p>
    <w:p>
      <w:pPr>
        <w:spacing w:after="0" w:line="204" w:lineRule="exact"/>
        <w:rPr>
          <w:sz w:val="20"/>
          <w:szCs w:val="20"/>
          <w:color w:val="auto"/>
        </w:rPr>
      </w:pPr>
    </w:p>
    <w:p>
      <w:pPr>
        <w:jc w:val="both"/>
        <w:ind w:right="220" w:firstLine="350"/>
        <w:spacing w:after="0" w:line="263" w:lineRule="auto"/>
        <w:rPr>
          <w:sz w:val="20"/>
          <w:szCs w:val="20"/>
          <w:color w:val="auto"/>
        </w:rPr>
      </w:pPr>
      <w:r>
        <w:rPr>
          <w:rFonts w:ascii="Arial" w:cs="Arial" w:eastAsia="Arial" w:hAnsi="Arial"/>
          <w:sz w:val="18"/>
          <w:szCs w:val="18"/>
          <w:color w:val="auto"/>
        </w:rPr>
        <w:t>As a result of the COVID-19 pandemic, our non-essential offices and facilities, including our corporate headquarters remain closed to non-essential employees. With a large number of employees now working remotely there is a potential loss of productivity, which could negatively impact our future results.</w:t>
      </w:r>
    </w:p>
    <w:p>
      <w:pPr>
        <w:spacing w:after="0" w:line="21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38"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During the first quarter ended March 31, 2020, we saw increased demand for our products as a result of customer stocking, particularly within our IV Solutions and Infusion Systems product lines. We also experienced foreign exchange losses related to the strengthening of the U.S. dollar relative to certain foreign currencies as general economic conditions declined. During March 2020, as a precautionary measure in response to market uncertainty driven by COVID-19, we preemptively increased our liquidity by borrowing $150.0 million under our Senior Secured Revolving Credit Facility ("Credit Facility").</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second quarter ended June 30, 2020, the COVID-19 pandemic continued to have an impact on our results of operations. We saw a meaningful decline in demand for our dedicated infusion sets in our Infusion Consumables and IV Solutions product portfolios, although the impact on our results of operations was partially offset by an increase in the demand for our infusion pumps.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the COVID-19 pandemic will not be fully reflected in our results of operations and overall financial performance until future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periods. The duration and extent of the impact from the COVID-19 pandemic depends on future developments that cannot be fully predicted at this time, as such, the impact of the pandemic on our future results of operations and overall financial performance remain uncertain and cannot as yet be quantified. However, our future results could be impacted by the following:</w:t>
      </w:r>
    </w:p>
    <w:p>
      <w:pPr>
        <w:spacing w:after="0" w:line="2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lost revenue or additional costs associated with either disruptions at our production and distribution facilities or interruptions in our supply chain;</w:t>
      </w:r>
    </w:p>
    <w:p>
      <w:pPr>
        <w:spacing w:after="0" w:line="46" w:lineRule="exact"/>
        <w:rPr>
          <w:rFonts w:ascii="Arial" w:cs="Arial" w:eastAsia="Arial" w:hAnsi="Arial"/>
          <w:sz w:val="16"/>
          <w:szCs w:val="16"/>
          <w:color w:val="auto"/>
        </w:rPr>
      </w:pPr>
    </w:p>
    <w:p>
      <w:pPr>
        <w:ind w:left="660" w:right="5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3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revenue and income due to 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travel and entertainment costs due to global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interest income on cash balances due to recent reductions in interest rates along with higher interest expense from borrowing $150.0 million under our Credit Facility.</w:t>
      </w:r>
    </w:p>
    <w:p>
      <w:pPr>
        <w:spacing w:after="0" w:line="21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See Risk Factors for further information regarding the actual and potential future impacts of the COVID-19 pandemic on us, our operations and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73" w:lineRule="exact"/>
        <w:rPr>
          <w:sz w:val="20"/>
          <w:szCs w:val="20"/>
          <w:color w:val="auto"/>
        </w:rPr>
      </w:pPr>
    </w:p>
    <w:p>
      <w:pPr>
        <w:ind w:left="1300" w:hanging="320"/>
        <w:spacing w:after="0" w:line="263"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Tego</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hemodialysis connector used to cap and protect hemodialysis central venous catheter hubs;</w:t>
      </w:r>
    </w:p>
    <w:p>
      <w:pPr>
        <w:spacing w:after="0" w:line="194"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NovaCath</w:t>
      </w:r>
      <w:r>
        <w:rPr>
          <w:rFonts w:ascii="Arial" w:cs="Arial" w:eastAsia="Arial" w:hAnsi="Arial"/>
          <w:sz w:val="18"/>
          <w:szCs w:val="18"/>
          <w:color w:val="auto"/>
        </w:rPr>
        <w:t>™</w:t>
      </w:r>
      <w:r>
        <w:rPr>
          <w:rFonts w:ascii="Arial" w:cs="Arial" w:eastAsia="Arial" w:hAnsi="Arial"/>
          <w:sz w:val="18"/>
          <w:szCs w:val="18"/>
          <w:i w:val="1"/>
          <w:iCs w:val="1"/>
          <w:color w:val="auto"/>
        </w:rPr>
        <w:t xml:space="preserve"> and SuperCath</w:t>
      </w:r>
      <w:r>
        <w:rPr>
          <w:rFonts w:ascii="Arial" w:cs="Arial" w:eastAsia="Arial" w:hAnsi="Arial"/>
          <w:sz w:val="18"/>
          <w:szCs w:val="18"/>
          <w:color w:val="auto"/>
        </w:rPr>
        <w:t>™ peripheral IV catheters (PIV);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ClearGuard HD </w:t>
      </w:r>
      <w:r>
        <w:rPr>
          <w:rFonts w:ascii="Arial" w:cs="Arial" w:eastAsia="Arial" w:hAnsi="Arial"/>
          <w:sz w:val="18"/>
          <w:szCs w:val="18"/>
          <w:color w:val="auto"/>
        </w:rPr>
        <w:t>antimicrobial barrier caps for hemodialysis catheters.</w:t>
      </w:r>
    </w:p>
    <w:p>
      <w:pPr>
        <w:spacing w:after="0" w:line="252"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those used in chemotherapy, which, if released, can have harmful effects on the healthcare worker and environment. Our products are:</w:t>
      </w:r>
    </w:p>
    <w:p>
      <w:pPr>
        <w:spacing w:after="0" w:line="151" w:lineRule="exact"/>
        <w:rPr>
          <w:sz w:val="20"/>
          <w:szCs w:val="20"/>
          <w:color w:val="auto"/>
        </w:rPr>
      </w:pPr>
    </w:p>
    <w:p>
      <w:pPr>
        <w:ind w:left="1300" w:right="160" w:hanging="320"/>
        <w:spacing w:after="0" w:line="234"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ChemoLock</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CSTD which utilizes a proprietary needlefree connection method, is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 concentrations, block the transfer of environmental contaminants into the system, and eliminates the risk of needlestick injury;</w:t>
      </w:r>
    </w:p>
    <w:p>
      <w:pPr>
        <w:spacing w:after="0" w:line="229" w:lineRule="exact"/>
        <w:rPr>
          <w:rFonts w:ascii="Arial" w:cs="Arial" w:eastAsia="Arial" w:hAnsi="Arial"/>
          <w:sz w:val="18"/>
          <w:szCs w:val="18"/>
          <w:color w:val="auto"/>
        </w:rPr>
      </w:pPr>
    </w:p>
    <w:p>
      <w:pPr>
        <w:ind w:left="1300" w:right="100" w:hanging="320"/>
        <w:spacing w:after="0" w:line="254"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8" w:lineRule="exact"/>
        <w:rPr>
          <w:rFonts w:ascii="Arial" w:cs="Arial" w:eastAsia="Arial" w:hAnsi="Arial"/>
          <w:sz w:val="17"/>
          <w:szCs w:val="17"/>
          <w:color w:val="auto"/>
        </w:rPr>
      </w:pPr>
    </w:p>
    <w:p>
      <w:pPr>
        <w:ind w:left="1300" w:hanging="320"/>
        <w:spacing w:after="0" w:line="238"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Diana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right="640" w:firstLine="357"/>
        <w:spacing w:after="0" w:line="277" w:lineRule="auto"/>
        <w:rPr>
          <w:sz w:val="20"/>
          <w:szCs w:val="20"/>
          <w:color w:val="auto"/>
        </w:rPr>
      </w:pPr>
      <w:r>
        <w:rPr>
          <w:rFonts w:ascii="Arial" w:cs="Arial" w:eastAsia="Arial" w:hAnsi="Arial"/>
          <w:sz w:val="18"/>
          <w:szCs w:val="18"/>
          <w:color w:val="auto"/>
        </w:rPr>
        <w:t>We offer a wide range of infusion pumps, dedicated IV sets and software. Our primary Infusion System products are dedicated IV sets and the following: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52" w:lineRule="exact"/>
        <w:rPr>
          <w:sz w:val="20"/>
          <w:szCs w:val="20"/>
          <w:color w:val="auto"/>
        </w:rPr>
      </w:pPr>
    </w:p>
    <w:p>
      <w:pPr>
        <w:ind w:left="1300" w:right="220" w:hanging="320"/>
        <w:spacing w:after="0" w:line="286"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w:t>
      </w:r>
      <w:r>
        <w:rPr>
          <w:rFonts w:ascii="Arial" w:cs="Arial" w:eastAsia="Arial" w:hAnsi="Arial"/>
          <w:sz w:val="17"/>
          <w:szCs w:val="17"/>
          <w:i w:val="1"/>
          <w:iCs w:val="1"/>
          <w:color w:val="auto"/>
        </w:rPr>
        <w:t xml:space="preserve"> </w:t>
      </w:r>
      <w:r>
        <w:rPr>
          <w:rFonts w:ascii="Arial" w:cs="Arial" w:eastAsia="Arial" w:hAnsi="Arial"/>
          <w:sz w:val="17"/>
          <w:szCs w:val="17"/>
          <w:color w:val="auto"/>
        </w:rPr>
        <w:t>library and wireless capability. Plum 360 was named the 2018, 2019 and 2020 Best in KLAS winner as top-performing IV smart pump and is the first medical device to be awarded UL Cybersecurity Assurance Program Certification; and</w:t>
      </w:r>
    </w:p>
    <w:p>
      <w:pPr>
        <w:spacing w:after="0" w:line="192" w:lineRule="exact"/>
        <w:rPr>
          <w:rFonts w:ascii="Arial" w:cs="Arial" w:eastAsia="Arial" w:hAnsi="Arial"/>
          <w:sz w:val="17"/>
          <w:szCs w:val="17"/>
          <w:color w:val="auto"/>
        </w:rPr>
      </w:pPr>
    </w:p>
    <w:p>
      <w:pPr>
        <w:ind w:left="1300" w:right="380" w:hanging="320"/>
        <w:spacing w:after="0" w:line="277"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IV-EHR interoperability since 2016.</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IV Mediation Safety Software:</w:t>
      </w:r>
    </w:p>
    <w:p>
      <w:pPr>
        <w:spacing w:after="0" w:line="252" w:lineRule="exact"/>
        <w:rPr>
          <w:sz w:val="20"/>
          <w:szCs w:val="20"/>
          <w:color w:val="auto"/>
        </w:rPr>
      </w:pPr>
    </w:p>
    <w:p>
      <w:pPr>
        <w:ind w:left="1300" w:right="40" w:hanging="320"/>
        <w:spacing w:after="0" w:line="259"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52" w:lineRule="exact"/>
        <w:rPr>
          <w:sz w:val="20"/>
          <w:szCs w:val="20"/>
          <w:color w:val="auto"/>
        </w:rPr>
      </w:pPr>
    </w:p>
    <w:p>
      <w:pPr>
        <w:ind w:left="1300" w:right="20" w:hanging="320"/>
        <w:spacing w:after="0" w:line="263"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right="500" w:firstLine="357"/>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IV Therapy and Diluents:</w:t>
      </w:r>
    </w:p>
    <w:p>
      <w:pPr>
        <w:spacing w:after="0" w:line="252" w:lineRule="exact"/>
        <w:rPr>
          <w:sz w:val="20"/>
          <w:szCs w:val="20"/>
          <w:color w:val="auto"/>
        </w:rPr>
      </w:pPr>
    </w:p>
    <w:p>
      <w:pPr>
        <w:ind w:left="1300" w:right="12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w:t>
      </w:r>
    </w:p>
    <w:p>
      <w:pPr>
        <w:spacing w:after="0" w:line="252" w:lineRule="exact"/>
        <w:rPr>
          <w:sz w:val="20"/>
          <w:szCs w:val="20"/>
          <w:color w:val="auto"/>
        </w:rPr>
      </w:pPr>
    </w:p>
    <w:p>
      <w:pPr>
        <w:ind w:left="1300" w:right="6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jc w:val="both"/>
        <w:ind w:right="260" w:firstLine="360"/>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2"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line="19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venous oximetry catheters;</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Transpac™ blood pressure transducers;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11"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ind w:left="5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1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18"/>
                <w:szCs w:val="18"/>
                <w:color w:val="auto"/>
              </w:rPr>
            </w:pPr>
          </w:p>
        </w:tc>
        <w:tc>
          <w:tcPr>
            <w:tcW w:w="580" w:type="dxa"/>
            <w:vAlign w:val="bottom"/>
          </w:tcPr>
          <w:p>
            <w:pPr>
              <w:jc w:val="right"/>
              <w:ind w:right="2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9"/>
              </w:rPr>
              <w:t>% of Revenue</w:t>
            </w:r>
          </w:p>
        </w:tc>
      </w:tr>
      <w:tr>
        <w:trPr>
          <w:trHeight w:val="33"/>
        </w:trPr>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438.4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474.9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w w:val="93"/>
              </w:rPr>
              <w:t>193.6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93"/>
              </w:rPr>
              <w:t>168.3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1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632.0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643.2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4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0"/>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89"/>
              </w:rPr>
              <w:t>Six months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left="793"/>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Product line</w:t>
            </w: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6"/>
                <w:szCs w:val="16"/>
                <w:b w:val="1"/>
                <w:bCs w:val="1"/>
                <w:color w:val="auto"/>
                <w:w w:val="84"/>
              </w:rPr>
              <w:t>2019</w:t>
            </w:r>
          </w:p>
        </w:tc>
        <w:tc>
          <w:tcPr>
            <w:tcW w:w="0" w:type="dxa"/>
            <w:vAlign w:val="bottom"/>
          </w:tcPr>
          <w:p>
            <w:pPr>
              <w:spacing w:after="0"/>
              <w:rPr>
                <w:sz w:val="1"/>
                <w:szCs w:val="1"/>
                <w:color w:val="auto"/>
              </w:rPr>
            </w:pPr>
          </w:p>
        </w:tc>
      </w:tr>
      <w:tr>
        <w:trPr>
          <w:trHeight w:val="33"/>
        </w:trPr>
        <w:tc>
          <w:tcPr>
            <w:tcW w:w="5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Infusion Consumables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Infusion Systems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IV Solutions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Critical Care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40" w:firstLine="357"/>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and one leased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distribution utilizing international regional hubs and through independent distributors.</w:t>
      </w:r>
    </w:p>
    <w:p>
      <w:pPr>
        <w:spacing w:after="0" w:line="21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9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56" w:lineRule="exact"/>
        <w:rPr>
          <w:sz w:val="20"/>
          <w:szCs w:val="20"/>
          <w:color w:val="auto"/>
        </w:rPr>
      </w:pPr>
    </w:p>
    <w:p>
      <w:pPr>
        <w:jc w:val="both"/>
        <w:ind w:right="100" w:firstLine="357"/>
        <w:spacing w:after="0" w:line="311"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6" w:lineRule="exact"/>
        <w:rPr>
          <w:sz w:val="20"/>
          <w:szCs w:val="20"/>
          <w:color w:val="auto"/>
        </w:rPr>
      </w:pPr>
    </w:p>
    <w:p>
      <w:pPr>
        <w:ind w:right="360" w:firstLine="357"/>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and six months ended June 30, 2020 and 2019, the percentages of each income statement caption in relation to total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38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00" w:type="dxa"/>
            <w:vAlign w:val="bottom"/>
            <w:gridSpan w:val="2"/>
          </w:tcPr>
          <w:p>
            <w:pPr>
              <w:ind w:left="5820"/>
              <w:spacing w:after="0"/>
              <w:rPr>
                <w:sz w:val="20"/>
                <w:szCs w:val="20"/>
                <w:color w:val="auto"/>
              </w:rPr>
            </w:pPr>
            <w:r>
              <w:rPr>
                <w:rFonts w:ascii="Arial" w:cs="Arial" w:eastAsia="Arial" w:hAnsi="Arial"/>
                <w:sz w:val="18"/>
                <w:szCs w:val="18"/>
                <w:b w:val="1"/>
                <w:bCs w:val="1"/>
                <w:color w:val="auto"/>
                <w:w w:val="89"/>
              </w:rPr>
              <w:t>2020</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5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5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strategic transaction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contingent earn-out</w:t>
            </w: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settlement</w:t>
            </w:r>
          </w:p>
        </w:tc>
        <w:tc>
          <w:tcPr>
            <w:tcW w:w="8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tcPr>
          <w:p>
            <w:pPr>
              <w:jc w:val="right"/>
              <w:ind w:right="102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1"/>
        </w:trPr>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110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44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 Change</w:t>
            </w: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Consumables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(5.7) %  $</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1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Infusion Consumables revenue decreased for the three and six months ended June 30, 2020, as compared to the same periods in the prior year. For the three months ended June 30, 2020, growth in our oncology business was more than offset by the impact of lower demand from hospital customers due to COVID-19 and by the impact of foreign exchange rates. For the six months ended June 30, 2020, the revenue decrease was driven primarily by the impact of foreign exchange rates. On a constant currency basis, Infusion Consumables revenue would have been $112.3 million for the three months ended June 30, 2020, a decrease of $5.4 million or 4.6%, as compared to the same period in the prior year. On a constant currency basis, Infusion Consumables revenue would have been $237.2 million for the six months ended June 30, 2020, a decrease of $1.0 million or 0.4%, as compared to the same period in the prior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Six months ended</w:t>
            </w:r>
          </w:p>
        </w:tc>
        <w:tc>
          <w:tcPr>
            <w:tcW w:w="1140" w:type="dxa"/>
            <w:vAlign w:val="bottom"/>
          </w:tcPr>
          <w:p>
            <w:pPr>
              <w:spacing w:after="0"/>
              <w:rPr>
                <w:sz w:val="17"/>
                <w:szCs w:val="17"/>
                <w:color w:val="auto"/>
              </w:rPr>
            </w:pPr>
          </w:p>
        </w:tc>
      </w:tr>
      <w:tr>
        <w:trPr>
          <w:trHeight w:val="210"/>
        </w:trPr>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18"/>
                <w:szCs w:val="18"/>
                <w:color w:val="auto"/>
              </w:rPr>
            </w:pPr>
          </w:p>
        </w:tc>
      </w:tr>
      <w:tr>
        <w:trPr>
          <w:trHeight w:val="33"/>
        </w:trPr>
        <w:tc>
          <w:tcPr>
            <w:tcW w:w="1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Systems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12.1 %  $</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33"/>
        </w:trPr>
        <w:tc>
          <w:tcPr>
            <w:tcW w:w="1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Infusion Systems revenue increased for the three and six months ended June 30, 2020, as compared to the same periods in the prior year due to high demand for our infusion pumps during the global COVID-19 pandemic. On a constant currency basis Infusion Systems revenue would have been $93.6 million for the three months ended June 30, 2020, an increase of $12.3 million or 15.1%, as compared to the same period in the prior year. On a constant currency basis Infusion Systems revenue would have been $184.0 million for the six months ended June 30, 2020, an increase of $18.4 million or 11.1%, as compared to the same period in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1140" w:type="dxa"/>
            <w:vAlign w:val="bottom"/>
          </w:tcPr>
          <w:p>
            <w:pPr>
              <w:spacing w:after="0"/>
              <w:rPr>
                <w:sz w:val="17"/>
                <w:szCs w:val="17"/>
                <w:color w:val="auto"/>
              </w:rPr>
            </w:pPr>
          </w:p>
        </w:tc>
      </w:tr>
      <w:tr>
        <w:trPr>
          <w:trHeight w:val="210"/>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18"/>
                <w:szCs w:val="18"/>
                <w:color w:val="auto"/>
              </w:rPr>
            </w:pPr>
          </w:p>
        </w:tc>
      </w:tr>
      <w:tr>
        <w:trPr>
          <w:trHeight w:val="33"/>
        </w:trPr>
        <w:tc>
          <w:tcPr>
            <w:tcW w:w="1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(13.1) %  $</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33"/>
        </w:trPr>
        <w:tc>
          <w:tcPr>
            <w:tcW w:w="1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IV Solutions sales decreased for the three and six months ended June 30, 2020, as compared to the same periods in the prior year. For the three months ended June 30, 2020, the decrease was related to lower demand from hospital customers due to the COVID-19 pandemic and lower contract manufacturing sales to Pfizer, offset partially by an increase in sales to new customers. For the six months ended June 30, 2020, the decrease was related to lower contract manufacturing sales to Pfizer, lower demand from hospital customers due to the COVID-19 pandemic and higher sales in the first quarter of 2019 to non-contracted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1140" w:type="dxa"/>
            <w:vAlign w:val="bottom"/>
          </w:tcPr>
          <w:p>
            <w:pPr>
              <w:spacing w:after="0"/>
              <w:rPr>
                <w:sz w:val="17"/>
                <w:szCs w:val="17"/>
                <w:color w:val="auto"/>
              </w:rPr>
            </w:pPr>
          </w:p>
        </w:tc>
      </w:tr>
      <w:tr>
        <w:trPr>
          <w:trHeight w:val="210"/>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18"/>
                <w:szCs w:val="18"/>
                <w:color w:val="auto"/>
              </w:rPr>
            </w:pPr>
          </w:p>
        </w:tc>
      </w:tr>
      <w:tr>
        <w:trPr>
          <w:trHeight w:val="33"/>
        </w:trPr>
        <w:tc>
          <w:tcPr>
            <w:tcW w:w="1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Critical Care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13.1 %  $</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1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Critical Care revenue increased for the three and six months ended June 30, 2020, as compared to the same periods in the prior year, primarily as a result of growth in the Asia region.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5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For the three and six months ended June 30, 2020, gross margins were 35.0% and 36.0%, respectively. For the three and six months ended June 30, 2019, gross margins were 33.3% and 37.2%, respectively. The increase in gross margin for the three months ended June 30, 2020, as compared to the same period in the prior year was primarily due to one-time charges related to our IV Solutions product line in the prior year period. The decrease in gross margin for the six months ended June 30, 2020, as compared to the same period in the prior year was primarily due to lower IV Solutions manufacturing volumes and unfavorable product mix.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1140" w:type="dxa"/>
            <w:vAlign w:val="bottom"/>
          </w:tcPr>
          <w:p>
            <w:pPr>
              <w:spacing w:after="0"/>
              <w:rPr>
                <w:sz w:val="17"/>
                <w:szCs w:val="17"/>
                <w:color w:val="auto"/>
              </w:rPr>
            </w:pPr>
          </w:p>
        </w:tc>
      </w:tr>
      <w:tr>
        <w:trPr>
          <w:trHeight w:val="210"/>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18"/>
                <w:szCs w:val="18"/>
                <w:color w:val="auto"/>
              </w:rPr>
            </w:pPr>
          </w:p>
        </w:tc>
      </w:tr>
      <w:tr>
        <w:trPr>
          <w:trHeight w:val="33"/>
        </w:trPr>
        <w:tc>
          <w:tcPr>
            <w:tcW w:w="1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 %  $</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1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SG&amp;A expenses in total were essentially flat for the three and six months ended June 30, 2020, as compared to the same periods in the prior year. For the three months ended June 30, 2020 as compared to the same period in the prior year, bad debt expense decreased $3.7 million, travel expenses decreased $1.9 million, and sales and marketing expenses decreased $1.3 million. Offsetting these decreases was a $3.4 million increase in compensation expense, $2.4 million increase in depreciation and amortization expense, and a $2.1 million increase in dealer fees. Bad debt expense is estimated based on an analysis of the expected losses on the accounts receivables at the reporting date, which varies from period-to-period due to the quality of those receivables. Travel expenses decreased in the current period, as compared to the same prior year period, due to travel restrictions in response to COVID-19. Sales and marketing expenses decreased due to the impact of COVID-19 on trade shows, conferences, and related expenses. Compensation expense increased as a result of lower incentive compensation recognized in the prior year due to forecasted results trending below performance targets. Depreciation and amortization expense increased primarily as a result of the increase in amortization base due to the November 2019 acquisition of Pursuit Vascular, Inc ("Pursuit"). Dealer fees increased due to an increase in revenue from distributors.</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six months ended June 30, 2020 as compared to the same period in the prior year, bad debt expense decreased $6.2 million, travel expenses decreased $2.8 million, consulting expenses decreased $2.7 million, and sales and marketing expenses decreased $1.7 million. Offsetting these decreases was a $4.4 million increase in dealer fees, a $4.1 million increase in depreciation and amortization expense and a $2.4 million increase in compensation expense. See the above explanations for the three months ended June 30, 2020, which also apply to the six months ended June 30, 2020. Consulting expense was higher in the prior year due to charges incurred related to regulatory and tax compliance.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1140" w:type="dxa"/>
            <w:vAlign w:val="bottom"/>
          </w:tcPr>
          <w:p>
            <w:pPr>
              <w:spacing w:after="0"/>
              <w:rPr>
                <w:sz w:val="17"/>
                <w:szCs w:val="17"/>
                <w:color w:val="auto"/>
              </w:rPr>
            </w:pPr>
          </w:p>
        </w:tc>
      </w:tr>
      <w:tr>
        <w:trPr>
          <w:trHeight w:val="210"/>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spacing w:after="0"/>
              <w:rPr>
                <w:sz w:val="18"/>
                <w:szCs w:val="18"/>
                <w:color w:val="auto"/>
              </w:rPr>
            </w:pPr>
          </w:p>
        </w:tc>
      </w:tr>
      <w:tr>
        <w:trPr>
          <w:trHeight w:val="33"/>
        </w:trPr>
        <w:tc>
          <w:tcPr>
            <w:tcW w:w="1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(8.0) %  $</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33"/>
        </w:trPr>
        <w:tc>
          <w:tcPr>
            <w:tcW w:w="1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R&amp;D expenses decreased for the three and six months ended June 30, 2020, as compared to the same periods in the prior year. R&amp;D expense primarily relates to compensation and related benefit expenses on current R&amp;D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5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Restructuring and strategic transaction and integration expenses were $6.5 million and $18.8 million for the three and six months ended June 30, 2020, respectively, as compared to $37.0 million and $61.4 million for the three and six months ended June 30,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Restructuring charges were $0.9 million and $8.1 million for the three and six months ended June 30, 2020, respectively, as compared to $6.9 million and $7.7 million for the three and six months ended June 30, 2019, respectively. Restructuring charges for the three and six months ended June 30, 2020, were primarily related to severance and other costs related to office and facility closures. For the three and six months ended June 30, 2019, the restructuring charges were primarily related to a one-time charge to move our U.S. pump service depot to our existing Salt Lake City facility. We expect to pay our unpaid restructuring charges as of June 30, 2020 by the end of the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Strategic transaction and integration expenses were $5.6 million and $10.7 million for the three and six months ended June 30, 2020, respectively, as compared to $30.1 million and $53.7 million for the three and six months ended June 30,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respectively. The strategic transaction and integration expenses during the three and six months ended June 30, 2020 were primarily related to the integration of HIS, which for the six months ended June 30, 2020 included the migration of IT systems at our Austin facility. The strategic transaction and integration expenses during the three and six months ended June 30, 2019 included a one-time strategic supply chain restructuring charge of $22.1 million, which reduced our contracted commitments to our third party manufacturer. The six months ended June 30, 2019, also included charges related to our final Pfizer separation costs, which included a $12.7 million non-cash write-off of related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w:t>
      </w:r>
    </w:p>
    <w:p>
      <w:pPr>
        <w:spacing w:after="0" w:line="252" w:lineRule="exact"/>
        <w:rPr>
          <w:sz w:val="20"/>
          <w:szCs w:val="20"/>
          <w:color w:val="auto"/>
        </w:rPr>
      </w:pPr>
    </w:p>
    <w:p>
      <w:pPr>
        <w:ind w:right="240" w:firstLine="360"/>
        <w:spacing w:after="0" w:line="263" w:lineRule="auto"/>
        <w:rPr>
          <w:sz w:val="20"/>
          <w:szCs w:val="20"/>
          <w:color w:val="auto"/>
        </w:rPr>
      </w:pPr>
      <w:r>
        <w:rPr>
          <w:rFonts w:ascii="Arial" w:cs="Arial" w:eastAsia="Arial" w:hAnsi="Arial"/>
          <w:sz w:val="18"/>
          <w:szCs w:val="18"/>
          <w:color w:val="auto"/>
        </w:rPr>
        <w:t>For the three and six months ended June 30, 2020, the fair value revaluation of our Pursuit earn-out liability resulted in an increase in value of $2.7 million, respectively. For the three and six months ended June 30, 2019, the fair value revaluation of our HIS contingent earn-out liability resulted in a decrease of value of $39.5 million and $47.2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5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For the three and six months ended June 30, 2019, we incurred a contract settlement expense of $1.0 million and $3.8 million, respectively, related to the resolution of a dispute with a product partner, which resulted in a redefinition of our contractual arrangement and in the rights and remedies determined under such arrangement.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Interest expense was $0.8 million and $1.0 million for the three and six months ended June 30, 2020, respectively, and $0.1 million and $0.3 million for the three and six months ended June 30, 2019, respectively. The three and six months ended June 30, 2020 primarily includes interest expense incurred on borrowings under the Credit Facility and the amortization of financing costs that were incurred in 2017 in connection with entering into the Credit Facility. The three and six months ended June 30, 2019 includes the amortization of financing costs and interest expense related to the per annum commitment fee charged on the unused portion of the revolver under our Credit Facility (see Note 16: Long-Term Obligations in our accompanying condensed consolidated financial statements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right="80" w:firstLine="360"/>
        <w:spacing w:after="0" w:line="296" w:lineRule="auto"/>
        <w:rPr>
          <w:sz w:val="20"/>
          <w:szCs w:val="20"/>
          <w:color w:val="auto"/>
        </w:rPr>
      </w:pPr>
      <w:r>
        <w:rPr>
          <w:rFonts w:ascii="Arial" w:cs="Arial" w:eastAsia="Arial" w:hAnsi="Arial"/>
          <w:sz w:val="16"/>
          <w:szCs w:val="16"/>
          <w:color w:val="auto"/>
        </w:rPr>
        <w:t>Other income (expense) netted to $2.1 million and ($3.4) million for the three and six months ended June 30, 2020, respectively, as compared to $1.5 million and $4.7 million for the three and six months ended June 30, 2019, respectively. For the three months ended June 30, 2020, the other income, net was primarily related to $1.5 million in foreign exchange gains. For the six months ended June 30, 2020, the other expense, net was primarily related to $4.7 million in foreign exchange losses as a result of the strengthening of the U.S. dollar from the impact of COVID-19 during the first quarter, partially offset by interest income. For the three and six months ended June 30, 2019, the other income, net was primarily related to interest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For the three and six months ended June 30, 2020, income taxes were accrued at an estimated effective tax rate of 9% and 13%, respectively, as compared to 17% and 12%, for the three and six months ended June 30, 2019, respectively.</w:t>
      </w:r>
    </w:p>
    <w:p>
      <w:pPr>
        <w:spacing w:after="0" w:line="197" w:lineRule="exact"/>
        <w:rPr>
          <w:sz w:val="20"/>
          <w:szCs w:val="20"/>
          <w:color w:val="auto"/>
        </w:rPr>
      </w:pPr>
    </w:p>
    <w:p>
      <w:pPr>
        <w:jc w:val="both"/>
        <w:ind w:right="20" w:firstLine="357"/>
        <w:spacing w:after="0" w:line="301" w:lineRule="auto"/>
        <w:rPr>
          <w:sz w:val="20"/>
          <w:szCs w:val="20"/>
          <w:color w:val="auto"/>
        </w:rPr>
      </w:pPr>
      <w:r>
        <w:rPr>
          <w:rFonts w:ascii="Arial" w:cs="Arial" w:eastAsia="Arial" w:hAnsi="Arial"/>
          <w:sz w:val="16"/>
          <w:szCs w:val="16"/>
          <w:color w:val="auto"/>
        </w:rPr>
        <w:t>The effective tax rate for the three and six months ended June 30, 2020 differs from the federal statutory rate of 21% principally because of the effect of the mix of U.S. and foreign incomes, state income taxes, global intangible low-taxed income ("GILTI"), foreign-derived intangible income ("FDII") and tax credits. The effective tax rate during the three and six months ended June 30, 2020 included a tax benefit of $3.0 million and $3.5 million, respectively, related to the excess tax benefits recognized on stock option exercises and the vesting of restricted stock units during the periods.</w:t>
      </w:r>
    </w:p>
    <w:p>
      <w:pPr>
        <w:spacing w:after="0" w:line="117" w:lineRule="exact"/>
        <w:rPr>
          <w:sz w:val="20"/>
          <w:szCs w:val="20"/>
          <w:color w:val="auto"/>
        </w:rPr>
      </w:pPr>
    </w:p>
    <w:p>
      <w:pPr>
        <w:ind w:right="80" w:firstLine="357"/>
        <w:spacing w:after="0" w:line="259" w:lineRule="auto"/>
        <w:rPr>
          <w:sz w:val="20"/>
          <w:szCs w:val="20"/>
          <w:color w:val="auto"/>
        </w:rPr>
      </w:pPr>
      <w:r>
        <w:rPr>
          <w:rFonts w:ascii="Arial" w:cs="Arial" w:eastAsia="Arial" w:hAnsi="Arial"/>
          <w:sz w:val="18"/>
          <w:szCs w:val="18"/>
          <w:color w:val="auto"/>
        </w:rPr>
        <w:t>The effective tax rate for the three and six months ended June 30, 2019 differs from the federal statutory rate of 21% principally because of the effect of the mix of U.S. and foreign incomes, state income taxes, GILTI and tax credits. The effective tax rate during the three and six months ended June 30, 2019 included a tax benefit of $1.8 million and $7.4 million, respectively, related to the excess tax benefits recognized on stock option exercises and the vesting of restricted stock units during the periods.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first six months of 2020, our cash, cash equivalents and short-term investments increased by $168.1 million from $292.6 million at December 31, 2019 to $460.7 million at June 30, 2020.</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continuously assessing our liquidity and anticipated capital requirements due to the uncertainty created by COVID-19. We are currently closely monitoring and managing our receivable and payable balances.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net cash provided by operations for the six months ended June 30, 2020 was $68.7 million. Net income plus adjustments for non-cash net expenses contributed $107.4 million. Net cash used in operations as a result of changes in operating assets and liabilities was $38.7 million. The changes in operating assets and liabilities included a $23.3 million decrease in accounts payable, a $15.3 million decrease in accrued liabilities, a $9.3 million increase in prepaid expenses and other current assets and a $7.2 million increase in other assets. Offsetting these amounts was a $8.5 million decrease in inventories, a $5.3 million decrease in accounts receivables, and a $2.7 million in net changes in income taxes, including excess tax benefits and deferred income taxes. The decrease in accounts payable was due to the timing of payments. The decrease in accrued liabilities was due to the payment of accrued supply chain reorganization costs. The increase in prepaid expenses and other current assets was primarily due to an increase in deferred costs. The increase in other assets was due to the purchase of spare parts. The decrease in inventory was primarily due to improved inventory management and increased demand for certain products driven by the global COVID-19 pandemic. The decrease in accounts receivable is due to lower sales and collections partially due to decreased demand from hospital customers due to COVID-19. The net changes in income taxes was a result of the timing of payments.</w:t>
      </w:r>
    </w:p>
    <w:p>
      <w:pPr>
        <w:spacing w:after="0" w:line="19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net cash provided by operations for the six months ended June 30, 2019 was $2.3 million. Net income plus adjustments for non-cash net expenses contributed $95.5 million. Net cash used in operations as a result of changes in operating assets and liabilities was $93.2 million. The changes in operating assets and liabilities included a $46.9 million increase in accounts receivable, a $21.1 million decrease in accrued liabilities, a $16.1 million increase in inventories, an $18.1 million increase in other assets and $0.7 million in net changes in income taxes, including excess tax benefits and deferred income taxes. Offsetting these amounts was a $6.1 million decrease in prepaid expenses and other current assets and a $2.0 million increase in accounts payable.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ICU common stock thereby ending its related-party relationship with ICU. The decrease in accrued liabilities was primarily a result of the payout of accrued compensation, partially offset by an increase in certain accruals including $22.1 million in accrued costs related to the initial ramp down of IV Solution production. The increase in inventory was primarily due to an increase in our finished goods safety stock. The increase in other assets was primarily related to the purchase of spare parts. The net changes in income taxes was a result of the timing of payments. The decrease in prepaid expenses and other current assets was primarily due to the collection of receivable amounts owed from Pfizer. The increase in accounts payable was due to the timing of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(38,517)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(48,726)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10,209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(1)</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10,912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r>
      <w:tr>
        <w:trPr>
          <w:trHeight w:val="263"/>
        </w:trPr>
        <w:tc>
          <w:tcPr>
            <w:tcW w:w="652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(33,156)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(41,989)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8,833</w:t>
            </w:r>
          </w:p>
        </w:tc>
        <w:tc>
          <w:tcPr>
            <w:tcW w:w="380" w:type="dxa"/>
            <w:vAlign w:val="bottom"/>
          </w:tcPr>
          <w:p>
            <w:pPr>
              <w:spacing w:after="0"/>
              <w:rPr>
                <w:sz w:val="22"/>
                <w:szCs w:val="22"/>
                <w:color w:val="auto"/>
              </w:rPr>
            </w:pPr>
          </w:p>
        </w:tc>
      </w:tr>
      <w:tr>
        <w:trPr>
          <w:trHeight w:val="21"/>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ind w:left="340" w:right="160" w:hanging="332"/>
        <w:spacing w:after="0" w:line="227" w:lineRule="auto"/>
        <w:tabs>
          <w:tab w:leader="none" w:pos="197"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Our purchases of property and equipment will vary from period to period based on additional investments needed to support new and existing products and expansion of our manufacturing facilities.</w:t>
      </w:r>
    </w:p>
    <w:p>
      <w:pPr>
        <w:ind w:left="340" w:right="820" w:hanging="332"/>
        <w:spacing w:after="0" w:line="243" w:lineRule="auto"/>
        <w:tabs>
          <w:tab w:leader="none" w:pos="181"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w:t>
      </w:r>
    </w:p>
    <w:p>
      <w:pPr>
        <w:spacing w:after="0" w:line="1" w:lineRule="exact"/>
        <w:rPr>
          <w:rFonts w:ascii="Arial" w:cs="Arial" w:eastAsia="Arial" w:hAnsi="Arial"/>
          <w:sz w:val="21"/>
          <w:szCs w:val="21"/>
          <w:color w:val="auto"/>
          <w:vertAlign w:val="superscript"/>
        </w:rPr>
      </w:pPr>
    </w:p>
    <w:p>
      <w:pPr>
        <w:ind w:left="340" w:right="240" w:hanging="332"/>
        <w:spacing w:after="0" w:line="243" w:lineRule="auto"/>
        <w:tabs>
          <w:tab w:leader="none" w:pos="181"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1"/>
          <w:szCs w:val="21"/>
          <w:color w:val="auto"/>
          <w:vertAlign w:val="superscript"/>
        </w:rPr>
      </w:pPr>
    </w:p>
    <w:p>
      <w:pPr>
        <w:ind w:left="340" w:right="600" w:hanging="332"/>
        <w:spacing w:after="0" w:line="219" w:lineRule="auto"/>
        <w:tabs>
          <w:tab w:leader="none" w:pos="197"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Proceeds from the sale or maturity of our investment securities will vary from period to period based on the maturity dates of the investments we currently hold.</w:t>
      </w:r>
    </w:p>
    <w:p>
      <w:pPr>
        <w:spacing w:after="0" w:line="230"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While we can provide no assurances, we estimate that our capital expenditures in 2020 will be approximately $85.0 million to $90.0 million. We anticipate making additional investments in machinery and equipment in our manufacturing operations in Costa Rica, the U.S. and Mexico to support new and existing products, in infusion devices that are placed with customers outside the U.S., and in IT to benefit world-wide operations. Amounts of spending are estimates and actual spending may substantially differ from those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Proceeds from short-term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150,000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(1)</w:t>
            </w: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Payments on finance leases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withholding payments related to net share settlement of equity awards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5,704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(3)</w:t>
            </w:r>
          </w:p>
        </w:tc>
      </w:tr>
      <w:tr>
        <w:trPr>
          <w:trHeight w:val="263"/>
        </w:trPr>
        <w:tc>
          <w:tcPr>
            <w:tcW w:w="6520" w:type="dxa"/>
            <w:vAlign w:val="bottom"/>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144,122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158,453</w:t>
            </w:r>
          </w:p>
        </w:tc>
        <w:tc>
          <w:tcPr>
            <w:tcW w:w="380" w:type="dxa"/>
            <w:vAlign w:val="bottom"/>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During March 2020, as a result of market uncertainty caused by COVID-19, we borrowed $150.0 million under our revolving Credit Facility.</w:t>
      </w:r>
    </w:p>
    <w:p>
      <w:pPr>
        <w:spacing w:after="0" w:line="1" w:lineRule="exact"/>
        <w:rPr>
          <w:rFonts w:ascii="Arial" w:cs="Arial" w:eastAsia="Arial" w:hAnsi="Arial"/>
          <w:sz w:val="21"/>
          <w:szCs w:val="21"/>
          <w:color w:val="auto"/>
          <w:vertAlign w:val="superscript"/>
        </w:rPr>
      </w:pPr>
    </w:p>
    <w:p>
      <w:pPr>
        <w:ind w:left="340" w:right="520" w:hanging="332"/>
        <w:spacing w:after="0" w:line="219" w:lineRule="auto"/>
        <w:tabs>
          <w:tab w:leader="none" w:pos="197"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Proceeds from the exercise of stock options will vary from period to period based on the volume of options exercised and the exercise price of the specific options exercised.</w:t>
      </w:r>
    </w:p>
    <w:p>
      <w:pPr>
        <w:ind w:left="340" w:right="20" w:hanging="332"/>
        <w:spacing w:after="0" w:line="267" w:lineRule="auto"/>
        <w:tabs>
          <w:tab w:leader="none" w:pos="181"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During the six months ended June 30, 2020, our employees surrendered 65,392 shares of our common stock from vested restricted stock awards as consideration for approximately $12.6 million in minimum statutory withholding obligations paid on their behalf. During the six months ended June 30, 2019, our employees surrendered 78,108 shares of our common stock from vested restricted stock awards as consideration for approximately $18.3 million in minimum statutory withholding obligations paid on their behalf.</w:t>
      </w:r>
    </w:p>
    <w:p>
      <w:pPr>
        <w:spacing w:after="0" w:line="21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August 2019, our Board of Directors approved a share purchase plan to purchase up to $100.0 million of our common stock. This plan replaced our existing plan and has no expiration date. As of June 30, 2020, all of the $100 million available for purchase was remaining under the plan.</w:t>
      </w:r>
    </w:p>
    <w:p>
      <w:pPr>
        <w:spacing w:after="0" w:line="151" w:lineRule="exact"/>
        <w:rPr>
          <w:sz w:val="20"/>
          <w:szCs w:val="20"/>
          <w:color w:val="auto"/>
        </w:rPr>
      </w:pPr>
    </w:p>
    <w:p>
      <w:pPr>
        <w:jc w:val="both"/>
        <w:ind w:right="760" w:firstLine="648"/>
        <w:spacing w:after="0" w:line="259" w:lineRule="auto"/>
        <w:rPr>
          <w:sz w:val="20"/>
          <w:szCs w:val="20"/>
          <w:color w:val="auto"/>
        </w:rPr>
      </w:pPr>
      <w:r>
        <w:rPr>
          <w:rFonts w:ascii="Arial" w:cs="Arial" w:eastAsia="Arial" w:hAnsi="Arial"/>
          <w:sz w:val="18"/>
          <w:szCs w:val="18"/>
          <w:color w:val="auto"/>
        </w:rPr>
        <w:t>We have a substantial cash and investment security position generated from operations and from borrowings under our revolving Credit Facility.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2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cyclical fluctuations in our business that are more severe or longer than anticipated or if we fail 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achieve anticipated revenue and expense levels,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ind w:right="120" w:firstLine="357"/>
        <w:spacing w:after="0" w:line="291" w:lineRule="auto"/>
        <w:rPr>
          <w:sz w:val="20"/>
          <w:szCs w:val="20"/>
          <w:color w:val="auto"/>
        </w:rPr>
      </w:pPr>
      <w:r>
        <w:rPr>
          <w:rFonts w:ascii="Arial" w:cs="Arial" w:eastAsia="Arial" w:hAnsi="Arial"/>
          <w:sz w:val="16"/>
          <w:szCs w:val="16"/>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2022. During March 2020, as a precautionary measure in response to market uncertainty driven by the COVID-19 pandemic, we preemptively increased our liquidity by borrowing $150.0 million under our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3" w:lineRule="exact"/>
        <w:rPr>
          <w:sz w:val="20"/>
          <w:szCs w:val="20"/>
          <w:color w:val="auto"/>
        </w:rPr>
      </w:pPr>
    </w:p>
    <w:p>
      <w:pPr>
        <w:ind w:right="240" w:firstLine="357"/>
        <w:spacing w:after="0" w:line="260" w:lineRule="auto"/>
        <w:rPr>
          <w:sz w:val="20"/>
          <w:szCs w:val="20"/>
          <w:color w:val="auto"/>
        </w:rPr>
      </w:pPr>
      <w:r>
        <w:rPr>
          <w:rFonts w:ascii="Arial" w:cs="Arial" w:eastAsia="Arial" w:hAnsi="Arial"/>
          <w:sz w:val="18"/>
          <w:szCs w:val="18"/>
          <w:color w:val="auto"/>
        </w:rPr>
        <w:t>The Credit Facility contains certain negative financial covenants, including, Consolidated Total Leverage and Consolidated Fixed Charge Coverage Ratios.</w:t>
      </w:r>
    </w:p>
    <w:p>
      <w:pPr>
        <w:spacing w:after="0" w:line="185" w:lineRule="exact"/>
        <w:rPr>
          <w:sz w:val="20"/>
          <w:szCs w:val="20"/>
          <w:color w:val="auto"/>
        </w:rPr>
      </w:pPr>
    </w:p>
    <w:p>
      <w:pPr>
        <w:ind w:right="80" w:firstLine="357"/>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Fixed Charge Coverage Ratio is defined as the ratio of: (a) Consolidated Adjusted EBITDA less the sum of (i) capital expenditures,</w:t>
      </w:r>
    </w:p>
    <w:p>
      <w:pPr>
        <w:spacing w:after="0" w:line="46" w:lineRule="exact"/>
        <w:rPr>
          <w:sz w:val="20"/>
          <w:szCs w:val="20"/>
          <w:color w:val="auto"/>
        </w:rPr>
      </w:pPr>
    </w:p>
    <w:p>
      <w:pPr>
        <w:ind w:right="120" w:firstLine="8"/>
        <w:spacing w:after="0" w:line="255"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 compliance with all financial covenants as of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During 2019, we signed ten-year lease for a 610,806 square foot warehouse, which commenced during the first quarter of 2020. Over the ten-year lease term, lease payment will be approximately $21.9 million. There have been no other material changes to our contractual obligations disclosed in our Annual Report on Form 10-K for the fiscal year ended December 31, 2019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3" w:lineRule="exact"/>
        <w:rPr>
          <w:sz w:val="20"/>
          <w:szCs w:val="20"/>
          <w:color w:val="auto"/>
        </w:rPr>
      </w:pPr>
    </w:p>
    <w:p>
      <w:pPr>
        <w:ind w:left="1300" w:right="60" w:hanging="320"/>
        <w:spacing w:after="0" w:line="293"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1" w:lineRule="exact"/>
        <w:rPr>
          <w:rFonts w:ascii="Arial" w:cs="Arial" w:eastAsia="Arial" w:hAnsi="Arial"/>
          <w:sz w:val="16"/>
          <w:szCs w:val="16"/>
          <w:color w:val="auto"/>
        </w:rPr>
      </w:pPr>
    </w:p>
    <w:p>
      <w:pPr>
        <w:ind w:left="1300" w:hanging="320"/>
        <w:spacing w:after="0" w:line="268"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11" w:lineRule="exact"/>
        <w:rPr>
          <w:rFonts w:ascii="Arial" w:cs="Arial" w:eastAsia="Arial" w:hAnsi="Arial"/>
          <w:sz w:val="17"/>
          <w:szCs w:val="17"/>
          <w:color w:val="auto"/>
        </w:rPr>
      </w:pPr>
    </w:p>
    <w:p>
      <w:pPr>
        <w:ind w:left="1300" w:right="80" w:hanging="320"/>
        <w:spacing w:after="0" w:line="269" w:lineRule="auto"/>
        <w:tabs>
          <w:tab w:leader="none" w:pos="1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09" w:lineRule="exact"/>
        <w:rPr>
          <w:sz w:val="20"/>
          <w:szCs w:val="20"/>
          <w:color w:val="auto"/>
        </w:rPr>
      </w:pPr>
    </w:p>
    <w:p>
      <w:pPr>
        <w:ind w:right="240" w:firstLine="693"/>
        <w:spacing w:after="0" w:line="259" w:lineRule="auto"/>
        <w:rPr>
          <w:sz w:val="20"/>
          <w:szCs w:val="20"/>
          <w:color w:val="auto"/>
        </w:rPr>
      </w:pPr>
      <w:r>
        <w:rPr>
          <w:rFonts w:ascii="Arial" w:cs="Arial" w:eastAsia="Arial" w:hAnsi="Arial"/>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2019,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impacts of the COVID-19 pandemic on us, our business and on domestic and global economies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production problems;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and outbreak of disease or illness.</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We are exposed to interest rate changes primarily as a result of our borrowings under our Credit Facility used to increase liquidity as a precautionary measure in response to market uncertainty driven by COVID-19.</w:t>
      </w:r>
    </w:p>
    <w:p>
      <w:pPr>
        <w:spacing w:after="0" w:line="19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During March 2020, we drew down $150.0 million on our Credit Facility. Interest on the borrowed portion of the Credit Facility bears interest at our option, based on the Base Rate plus applicable margin or the LIBOR rate plus applicable margin, see further details in Part II, Item 8, of our 2019 Annual Report on Form 10-K. As a result of our Credit Facility, we are exposed to interest rate risk from changes in these interest rates. We use a sensitivity analysis to measure our interest risk exposure.</w:t>
      </w:r>
    </w:p>
    <w:p>
      <w:pPr>
        <w:spacing w:after="0" w:line="21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Based on our Credit Facility balance of $150.0 million at June 30, 2020 and assuming the use of the LIBOR rate, a 1% change in interest rates could potentially result in additional annual interest expense or savings of $1.5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have foreign currency exchange risk related to foreign-denominated cash, accounts receivable and accounts payable and accrued liabilities.</w:t>
      </w:r>
    </w:p>
    <w:p>
      <w:pPr>
        <w:spacing w:after="0" w:line="264"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In our European operations, our net Euro asset position at June 30, 2020 was approximately €50.8 million. A 10% change in the conversion of the Euro to the U.S. dollar for our cash, accounts receivable, accounts payable and accrued liabilities from the June 30, 2020 spot rate would impact our consolidated amounts on these balance sheet items by approximately $5.7 million, or 0.7% of these consolidated net assets. We expect that in the future, with the growth of our European distribution operations, net Euro denominated instruments will continue to increase. In our Canadian operations, our net Canadian dollar asset position at June 30, 2020 was approximately $32.8 million. A 10% change in the conversion of the Canadian dollar to the U.S. dollar for our cash, accounts receivable, accounts payable and accrued liabilities from the June 30, 2020 spot rate would impact our consolidated amounts on these balance sheet items by approximately $2.4 million, or 0.3% of these net assets. We currently do not hedge our Canadian dollar or Euro foreign currency exposures.</w:t>
      </w:r>
    </w:p>
    <w:p>
      <w:pPr>
        <w:spacing w:after="0" w:line="219" w:lineRule="exact"/>
        <w:rPr>
          <w:sz w:val="20"/>
          <w:szCs w:val="20"/>
          <w:color w:val="auto"/>
        </w:rPr>
      </w:pPr>
    </w:p>
    <w:p>
      <w:pPr>
        <w:ind w:right="460" w:firstLine="357"/>
        <w:spacing w:after="0" w:line="263"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2020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legal proceedings in which we are involved are discussed in Part I, Item 1. "Financial Statements" of this Form 10-Q in Note 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to the Condensed Consolidated Financial Statements,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COVID-19 pandemic has disrupted how we, our suppliers and our customers operate and the duration and extent to which this will impact our business, future results of operations, liquidity and overall financial performance remains uncertain.</w:t>
      </w:r>
    </w:p>
    <w:p>
      <w:pPr>
        <w:spacing w:after="0" w:line="197"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 and as a result, during the second quarter of 2020, we have experienced some disruption to our operations, most notably due to reduced demand for our disposable product portfolio.</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60" w:firstLine="350"/>
        <w:spacing w:after="0" w:line="248" w:lineRule="auto"/>
        <w:rPr>
          <w:sz w:val="20"/>
          <w:szCs w:val="20"/>
          <w:color w:val="auto"/>
        </w:rPr>
      </w:pPr>
      <w:r>
        <w:rPr>
          <w:rFonts w:ascii="Arial" w:cs="Arial" w:eastAsia="Arial" w:hAnsi="Arial"/>
          <w:sz w:val="18"/>
          <w:szCs w:val="18"/>
          <w:color w:val="auto"/>
        </w:rPr>
        <w:t>As a result of the COVID-19 pandemic, our non-essential offices and facilities, including our corporate headquarters remain closed to non-essential employees. With a large number of employees now working remotely there is a potential loss of productivity, which could negatively impact our future results.</w:t>
      </w:r>
    </w:p>
    <w:p>
      <w:pPr>
        <w:spacing w:after="0" w:line="209"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38" w:lineRule="exact"/>
        <w:rPr>
          <w:sz w:val="20"/>
          <w:szCs w:val="20"/>
          <w:color w:val="auto"/>
        </w:rPr>
      </w:pPr>
    </w:p>
    <w:p>
      <w:pPr>
        <w:jc w:val="both"/>
        <w:ind w:right="220" w:firstLine="357"/>
        <w:spacing w:after="0" w:line="311" w:lineRule="auto"/>
        <w:rPr>
          <w:sz w:val="20"/>
          <w:szCs w:val="20"/>
          <w:color w:val="auto"/>
        </w:rPr>
      </w:pPr>
      <w:r>
        <w:rPr>
          <w:rFonts w:ascii="Arial" w:cs="Arial" w:eastAsia="Arial" w:hAnsi="Arial"/>
          <w:sz w:val="16"/>
          <w:szCs w:val="16"/>
          <w:color w:val="auto"/>
        </w:rPr>
        <w:t>While we anticipate that the foregoing measures are temporary, we cannot predict the specific duration for which these precautionary measures will stay in effect, and we may elect to take additional measures as the information available to us continues to develop. These actions, and any future actions we may take in response to the COVID-19 pandemic, could negatively impact our business, financial condition and results of operations.</w:t>
      </w:r>
    </w:p>
    <w:p>
      <w:pPr>
        <w:spacing w:after="0" w:line="176" w:lineRule="exact"/>
        <w:rPr>
          <w:sz w:val="20"/>
          <w:szCs w:val="20"/>
          <w:color w:val="auto"/>
        </w:rPr>
      </w:pPr>
    </w:p>
    <w:p>
      <w:pPr>
        <w:ind w:right="120" w:firstLine="350"/>
        <w:spacing w:after="0" w:line="272" w:lineRule="auto"/>
        <w:rPr>
          <w:sz w:val="20"/>
          <w:szCs w:val="20"/>
          <w:color w:val="auto"/>
        </w:rPr>
      </w:pPr>
      <w:r>
        <w:rPr>
          <w:rFonts w:ascii="Arial" w:cs="Arial" w:eastAsia="Arial" w:hAnsi="Arial"/>
          <w:sz w:val="17"/>
          <w:szCs w:val="17"/>
          <w:color w:val="auto"/>
        </w:rPr>
        <w:t>Additionally, the effect of the COVID-19 pandemic on our business will not be fully reflected in our results of operations and overall financial performance until future periods. The duration and extent of the impact on our business from the COVID-19 pandemic depends on future developments that cannot be fully predicted at this time, as such, the impact of the COVID-19 pandemic on our future results of operations and overall financial performance remain uncertain and cannot as yet be quantified. For example, a decline in the global economy could delay or significantly decrease purchases of our products in the future. Adverse economic and market conditions could also harm the parties with whom we do business, including our customers, distributors and suppliers. Additional factors that have contributed or may contribute to the adverse impact of the COVID-19 pandemic, on our business, results of operations, financial condition and liquidity include, without limitation, the following:</w:t>
      </w:r>
    </w:p>
    <w:p>
      <w:pPr>
        <w:spacing w:after="0" w:line="20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lost revenue or additional costs associated with either disruptions at our production and distribution facilities or interruptions in our supply chain;</w:t>
      </w:r>
    </w:p>
    <w:p>
      <w:pPr>
        <w:spacing w:after="0" w:line="46" w:lineRule="exact"/>
        <w:rPr>
          <w:rFonts w:ascii="Arial" w:cs="Arial" w:eastAsia="Arial" w:hAnsi="Arial"/>
          <w:sz w:val="16"/>
          <w:szCs w:val="16"/>
          <w:color w:val="auto"/>
        </w:rPr>
      </w:pPr>
    </w:p>
    <w:p>
      <w:pPr>
        <w:ind w:left="660" w:right="6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4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revenue and income due to 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travel and entertainment costs due to global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interest income on cash balances due to recent reductions in interest rates along with higher interest expense from borrowing $150.0 million under our Credit Facility.</w:t>
      </w:r>
    </w:p>
    <w:p>
      <w:pPr>
        <w:spacing w:after="0" w:line="21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 described in this ‘‘Risk Factors’’ section and elsewhere in this Quarterly Report on Form 10-Q for the quarter ended June 30, 2020 and many of the risks described under the caption ‘‘Risk Factors’’ and elsewhere in our Annual Report on Form 10-K for the year ended December 31, 2019,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financial condition or liquidity may not be representative of the future results of operations, financial condition, liquidity or other financial or operating results of us or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manufacture products may be materially adversely impacted by COVID-19.</w:t>
      </w:r>
    </w:p>
    <w:p>
      <w:pPr>
        <w:spacing w:after="0" w:line="252" w:lineRule="exact"/>
        <w:rPr>
          <w:sz w:val="20"/>
          <w:szCs w:val="20"/>
          <w:color w:val="auto"/>
        </w:rPr>
      </w:pPr>
    </w:p>
    <w:p>
      <w:pPr>
        <w:ind w:right="20" w:firstLine="357"/>
        <w:spacing w:after="0" w:line="296" w:lineRule="auto"/>
        <w:rPr>
          <w:sz w:val="20"/>
          <w:szCs w:val="20"/>
          <w:color w:val="auto"/>
        </w:rPr>
      </w:pPr>
      <w:r>
        <w:rPr>
          <w:rFonts w:ascii="Arial" w:cs="Arial" w:eastAsia="Arial" w:hAnsi="Arial"/>
          <w:sz w:val="16"/>
          <w:szCs w:val="16"/>
          <w:color w:val="auto"/>
        </w:rPr>
        <w:t>We manufacture out of four main facilities, Austin, Texas, Salt Lake City, Utah, Costa Rica and Mexico. If the manufacturing capabilities of any of these sites are impacted as a result of COVID-19, we may not be able to timely manufacture our products at the required levels or at all. A disruption at any of our manufacturing facilities could have a material, adverse effect on our business, results of operations, financial condition and cash flows. For example, the COVID-19 pandemic could have a substantial impact on our employees’ attendance and productivity due to a variety of factors, such as shelter-in-place orders, quarantines and short and long term illness, all of which could interrupt and delay the manufacture of our products.</w:t>
      </w:r>
    </w:p>
    <w:p>
      <w:pPr>
        <w:spacing w:after="0" w:line="188"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Our suppliers may experience financial difficulties or business disruptions that could negatively affect their operations and their ability to supply us with the raw materials and components required for our products. Any delay or shortages of raw materials or components from our suppliers could interrupt and delay the manufacturing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may be materially adversely impacted by COVID-19.</w:t>
      </w:r>
    </w:p>
    <w:p>
      <w:pPr>
        <w:spacing w:after="0" w:line="252" w:lineRule="exact"/>
        <w:rPr>
          <w:sz w:val="20"/>
          <w:szCs w:val="20"/>
          <w:color w:val="auto"/>
        </w:rPr>
      </w:pPr>
    </w:p>
    <w:p>
      <w:pPr>
        <w:ind w:right="40" w:firstLine="360"/>
        <w:spacing w:after="0" w:line="271" w:lineRule="auto"/>
        <w:rPr>
          <w:sz w:val="20"/>
          <w:szCs w:val="20"/>
          <w:color w:val="auto"/>
        </w:rPr>
      </w:pPr>
      <w:r>
        <w:rPr>
          <w:rFonts w:ascii="Arial" w:cs="Arial" w:eastAsia="Arial" w:hAnsi="Arial"/>
          <w:sz w:val="16"/>
          <w:szCs w:val="16"/>
          <w:color w:val="auto"/>
        </w:rPr>
        <w:t>Our non-essential offices and facilities remain closed to our non-essential employees, including our corporate headquarters, and a large number of employees continue to work remotely. In addition to this potentially hindering productivity, our sales force typically operates by meeting in person with customers to discuss our products. As many hospitals are currently restricting access to their facilities to essential personnel, this may negatively affect demand for our products by limiting the ability of our sales personnel to negotiate new and maintain existing contracts with customers. We may also experience significant reductions in demand for certain products as our health care customers re-prioritize the treatment of patients, delay elective procedures and shift resources and operations to fight COVID-19 and the complications it causes. For example, during the second quarter of 2020, we have experienced lower demand from hospital customers for our Infusion Consumables and IV Solutions due to COVID-19. Additionally, the COVID-19 pandemic will potentially adversely affect our distributors as they may not be able to maintain the current levels of sales. As such, the impacts of COVID-19 on our sales force and our distributors could have a material adverse effect on our business, results of operations, financial condition and cash flows.</w:t>
      </w:r>
    </w:p>
    <w:p>
      <w:pPr>
        <w:spacing w:after="0" w:line="1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COVID-19 pandemic has resulted in significant financial market and foreign currency volatility, which could adversely affect our earnings and cash flows.</w:t>
      </w:r>
    </w:p>
    <w:p>
      <w:pPr>
        <w:spacing w:after="0" w:line="197"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The COVID-19 pandemic has led to periods of significant volatility in financial markets and foreign currency exchange rates. Given that our financial results are reported in U.S. dollars, but our operations are conducted internationally, currency exchange rate changes can have a significant impact on our financial results. During the first half of 2020, we recognized $4.7 million in net foreign exchange losses in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debt financing.</w:t>
      </w:r>
    </w:p>
    <w:p>
      <w:pPr>
        <w:spacing w:after="0" w:line="252"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The credit agreement governing our Credit Facility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requiring us to maintain a specified consolidated total leverage ratio and a specified consolidated fixed charge coverage ratio. While we have not previously breached and are not currently in breach of these or any other covenants contained in our credit agreement, there can be no guarantee that we will not breach these covenants in the future.</w:t>
      </w:r>
    </w:p>
    <w:p>
      <w:pPr>
        <w:spacing w:after="0" w:line="219" w:lineRule="exact"/>
        <w:rPr>
          <w:sz w:val="20"/>
          <w:szCs w:val="20"/>
          <w:color w:val="auto"/>
        </w:rPr>
      </w:pPr>
    </w:p>
    <w:p>
      <w:pPr>
        <w:ind w:firstLine="350"/>
        <w:spacing w:after="0" w:line="275" w:lineRule="auto"/>
        <w:rPr>
          <w:sz w:val="20"/>
          <w:szCs w:val="20"/>
          <w:color w:val="auto"/>
        </w:rPr>
      </w:pPr>
      <w:r>
        <w:rPr>
          <w:rFonts w:ascii="Arial" w:cs="Arial" w:eastAsia="Arial" w:hAnsi="Arial"/>
          <w:sz w:val="17"/>
          <w:szCs w:val="17"/>
          <w:color w:val="auto"/>
        </w:rPr>
        <w:t>Additionally, our ability to comply with these covenants may be affected by events beyond our control, including the COVID-19 pandemic. A breach of any of these covenants could result in a default under the credit agreement, which could cause all of the outstanding indebtedness under our Credit Facility to become immediately due and payable.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Credit Facility may restrict our ability to pursue our business strategies.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2019, including the risks resulting from our foreign currency exchange rates, as well as the information contained in this Quarterly Report and our other reports and registration statements filed with the SEC.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our stock repurchasing activity during the second quarter of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part of a</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price paid</w:t>
            </w: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the program</w:t>
            </w:r>
            <w:r>
              <w:rPr>
                <w:rFonts w:ascii="Arial" w:cs="Arial" w:eastAsia="Arial" w:hAnsi="Arial"/>
                <w:sz w:val="9"/>
                <w:szCs w:val="9"/>
                <w:b w:val="1"/>
                <w:bCs w:val="1"/>
                <w:color w:val="auto"/>
                <w:w w:val="92"/>
              </w:rPr>
              <w:t>(1)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0401/2020 — 04/30/2020</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05/01/2020 — 05/31/2020</w:t>
            </w:r>
          </w:p>
        </w:tc>
        <w:tc>
          <w:tcPr>
            <w:tcW w:w="1420" w:type="dxa"/>
            <w:vAlign w:val="bottom"/>
          </w:tcPr>
          <w:p>
            <w:pPr>
              <w:ind w:left="1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06/01/2020 — 06/30/2020</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Second quarter of 2020 total</w:t>
            </w:r>
          </w:p>
        </w:tc>
        <w:tc>
          <w:tcPr>
            <w:tcW w:w="14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234"/>
              <w:spacing w:after="0"/>
              <w:rPr>
                <w:sz w:val="20"/>
                <w:szCs w:val="20"/>
                <w:color w:val="auto"/>
              </w:rPr>
            </w:pPr>
            <w:r>
              <w:rPr>
                <w:rFonts w:ascii="Arial" w:cs="Arial" w:eastAsia="Arial" w:hAnsi="Arial"/>
                <w:sz w:val="20"/>
                <w:szCs w:val="20"/>
                <w:color w:val="auto"/>
                <w:w w:val="8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20" w:hanging="332"/>
        <w:spacing w:after="0" w:line="279" w:lineRule="auto"/>
        <w:tabs>
          <w:tab w:leader="none" w:pos="175"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5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/s/ Brian M. Bonnell</w:t>
      </w:r>
      <w:r>
        <w:rPr>
          <w:sz w:val="20"/>
          <w:szCs w:val="20"/>
          <w:color w:val="auto"/>
        </w:rPr>
        <w:tab/>
      </w:r>
      <w:r>
        <w:rPr>
          <w:rFonts w:ascii="Arial" w:cs="Arial" w:eastAsia="Arial" w:hAnsi="Arial"/>
          <w:sz w:val="16"/>
          <w:szCs w:val="16"/>
          <w:color w:val="auto"/>
        </w:rPr>
        <w:t>Date: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M. Bonnell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auto"/>
        </w:rPr>
        <w:t>Exhibit Index</w:t>
      </w:r>
    </w:p>
    <w:p>
      <w:pPr>
        <w:spacing w:after="0" w:line="376"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r:id="rId61">
        <w:r>
          <w:rPr>
            <w:rFonts w:ascii="Arial" w:cs="Arial" w:eastAsia="Arial" w:hAnsi="Arial"/>
            <w:sz w:val="18"/>
            <w:szCs w:val="18"/>
            <w:u w:val="single" w:color="auto"/>
            <w:color w:val="0000FF"/>
          </w:rPr>
          <w:t>10.1</w:t>
        </w:r>
      </w:hyperlink>
    </w:p>
    <w:p>
      <w:pPr>
        <w:spacing w:after="0" w:line="27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7">
        <w:r>
          <w:rPr>
            <w:rFonts w:ascii="Arial" w:cs="Arial" w:eastAsia="Arial" w:hAnsi="Arial"/>
            <w:sz w:val="18"/>
            <w:szCs w:val="18"/>
            <w:u w:val="single" w:color="auto"/>
            <w:color w:val="0000FF"/>
          </w:rPr>
          <w:t>31.1</w:t>
        </w:r>
      </w:hyperlink>
    </w:p>
    <w:p>
      <w:pPr>
        <w:spacing w:after="0" w:line="117"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8">
        <w:r>
          <w:rPr>
            <w:rFonts w:ascii="Arial" w:cs="Arial" w:eastAsia="Arial" w:hAnsi="Arial"/>
            <w:sz w:val="18"/>
            <w:szCs w:val="18"/>
            <w:u w:val="single" w:color="auto"/>
            <w:color w:val="0000FF"/>
          </w:rPr>
          <w:t>31.2</w:t>
        </w:r>
      </w:hyperlink>
    </w:p>
    <w:p>
      <w:pPr>
        <w:spacing w:after="0" w:line="117"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9">
        <w:r>
          <w:rPr>
            <w:rFonts w:ascii="Arial" w:cs="Arial" w:eastAsia="Arial" w:hAnsi="Arial"/>
            <w:sz w:val="18"/>
            <w:szCs w:val="18"/>
            <w:u w:val="single" w:color="auto"/>
            <w:color w:val="0000FF"/>
          </w:rPr>
          <w:t>32.1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Retirement and Separation Agreement, dated as of February 27, 2020, by and between ICU Medical, Inc. and Scott Lamb.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Filed as an Exhibit to Registrant’s Current Report on Form 8-K filed February 28, 2020 and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62" w:lineRule="exact"/>
        <w:rPr>
          <w:sz w:val="20"/>
          <w:szCs w:val="20"/>
          <w:color w:val="auto"/>
        </w:rPr>
      </w:pPr>
    </w:p>
    <w:p>
      <w:pPr>
        <w:sectPr>
          <w:pgSz w:w="11900" w:h="16838" w:orient="portrait"/>
          <w:cols w:equalWidth="0" w:num="2">
            <w:col w:w="1240" w:space="720"/>
            <w:col w:w="9040"/>
          </w:cols>
          <w:pgMar w:left="320" w:top="891" w:right="579" w:bottom="1440" w:gutter="0" w:footer="0" w:header="0"/>
        </w:sectPr>
      </w:pPr>
    </w:p>
    <w:p>
      <w:pPr>
        <w:ind w:left="20"/>
        <w:spacing w:after="0"/>
        <w:tabs>
          <w:tab w:leader="none" w:pos="1940" w:val="left"/>
        </w:tabs>
        <w:rPr>
          <w:sz w:val="20"/>
          <w:szCs w:val="20"/>
          <w:color w:val="auto"/>
        </w:rPr>
      </w:pPr>
      <w:r>
        <w:rPr>
          <w:rFonts w:ascii="Arial" w:cs="Arial" w:eastAsia="Arial" w:hAnsi="Arial"/>
          <w:sz w:val="18"/>
          <w:szCs w:val="18"/>
          <w:color w:val="auto"/>
        </w:rPr>
        <w:t>Exhibit 101.INS</w:t>
      </w:r>
      <w:r>
        <w:rPr>
          <w:sz w:val="20"/>
          <w:szCs w:val="20"/>
          <w:color w:val="auto"/>
        </w:rPr>
        <w:tab/>
      </w:r>
      <w:r>
        <w:rPr>
          <w:rFonts w:ascii="Arial" w:cs="Arial" w:eastAsia="Arial" w:hAnsi="Arial"/>
          <w:sz w:val="16"/>
          <w:szCs w:val="16"/>
          <w:color w:val="auto"/>
        </w:rPr>
        <w:t>XBRL Instance Document - this instance document does not appear in the Interactive Data File because its XBRL tags are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embedded within the Inline XBRL document.</w:t>
      </w:r>
    </w:p>
    <w:p>
      <w:pPr>
        <w:spacing w:after="0" w:line="103"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101.SCH</w:t>
      </w:r>
      <w:r>
        <w:rPr>
          <w:sz w:val="20"/>
          <w:szCs w:val="20"/>
          <w:color w:val="auto"/>
        </w:rPr>
        <w:tab/>
      </w:r>
      <w:r>
        <w:rPr>
          <w:rFonts w:ascii="Arial" w:cs="Arial" w:eastAsia="Arial" w:hAnsi="Arial"/>
          <w:sz w:val="16"/>
          <w:szCs w:val="16"/>
          <w:color w:val="auto"/>
        </w:rPr>
        <w:t>XBRL Taxonomy Extension Schema Document</w:t>
      </w:r>
    </w:p>
    <w:p>
      <w:pPr>
        <w:spacing w:after="0" w:line="117"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101.CAL</w:t>
      </w:r>
      <w:r>
        <w:rPr>
          <w:sz w:val="20"/>
          <w:szCs w:val="20"/>
          <w:color w:val="auto"/>
        </w:rPr>
        <w:tab/>
      </w:r>
      <w:r>
        <w:rPr>
          <w:rFonts w:ascii="Arial" w:cs="Arial" w:eastAsia="Arial" w:hAnsi="Arial"/>
          <w:sz w:val="16"/>
          <w:szCs w:val="16"/>
          <w:color w:val="auto"/>
        </w:rPr>
        <w:t>XBRL Taxonomy Extension Calculation Linkbase Document</w:t>
      </w:r>
    </w:p>
    <w:p>
      <w:pPr>
        <w:spacing w:after="0" w:line="117"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101.DEF</w:t>
      </w:r>
      <w:r>
        <w:rPr>
          <w:sz w:val="20"/>
          <w:szCs w:val="20"/>
          <w:color w:val="auto"/>
        </w:rPr>
        <w:tab/>
      </w:r>
      <w:r>
        <w:rPr>
          <w:rFonts w:ascii="Arial" w:cs="Arial" w:eastAsia="Arial" w:hAnsi="Arial"/>
          <w:sz w:val="16"/>
          <w:szCs w:val="16"/>
          <w:color w:val="auto"/>
        </w:rPr>
        <w:t>XBRL Taxonomy Extension Definition Linkbase Document</w:t>
      </w:r>
    </w:p>
    <w:p>
      <w:pPr>
        <w:spacing w:after="0" w:line="117"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101.LAB</w:t>
      </w:r>
      <w:r>
        <w:rPr>
          <w:sz w:val="20"/>
          <w:szCs w:val="20"/>
          <w:color w:val="auto"/>
        </w:rPr>
        <w:tab/>
      </w:r>
      <w:r>
        <w:rPr>
          <w:rFonts w:ascii="Arial" w:cs="Arial" w:eastAsia="Arial" w:hAnsi="Arial"/>
          <w:sz w:val="16"/>
          <w:szCs w:val="16"/>
          <w:color w:val="auto"/>
        </w:rPr>
        <w:t>XBRL Taxonomy Extension Label Linkbase Document</w:t>
      </w:r>
    </w:p>
    <w:p>
      <w:pPr>
        <w:spacing w:after="0" w:line="117"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101.PRE</w:t>
      </w:r>
      <w:r>
        <w:rPr>
          <w:sz w:val="20"/>
          <w:szCs w:val="20"/>
          <w:color w:val="auto"/>
        </w:rPr>
        <w:tab/>
      </w:r>
      <w:r>
        <w:rPr>
          <w:rFonts w:ascii="Arial" w:cs="Arial" w:eastAsia="Arial" w:hAnsi="Arial"/>
          <w:sz w:val="16"/>
          <w:szCs w:val="16"/>
          <w:color w:val="auto"/>
        </w:rPr>
        <w:t>XBRL Taxonomy Extension Presentation Linkbase Document</w:t>
      </w:r>
    </w:p>
    <w:p>
      <w:pPr>
        <w:spacing w:after="0" w:line="117"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320" w:top="891" w:right="579" w:bottom="1440" w:gutter="0" w:footer="0" w:header="0"/>
          <w:type w:val="continuous"/>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52"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300" w:right="44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300" w:right="120" w:hanging="644"/>
        <w:spacing w:after="0" w:line="263" w:lineRule="auto"/>
        <w:tabs>
          <w:tab w:leader="none" w:pos="12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20" w:hanging="644"/>
        <w:spacing w:after="0" w:line="263"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300" w:right="140" w:hanging="644"/>
        <w:spacing w:after="0" w:line="263"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300" w:right="460" w:hanging="644"/>
        <w:spacing w:after="0" w:line="342"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80"/>
        <w:spacing w:after="0"/>
        <w:tabs>
          <w:tab w:leader="none" w:pos="574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M. Bonnell, certify that:</w:t>
      </w:r>
    </w:p>
    <w:p>
      <w:pPr>
        <w:spacing w:after="0" w:line="225" w:lineRule="exact"/>
        <w:rPr>
          <w:sz w:val="20"/>
          <w:szCs w:val="20"/>
          <w:color w:val="auto"/>
        </w:rPr>
      </w:pPr>
    </w:p>
    <w:p>
      <w:pPr>
        <w:ind w:left="1160" w:hanging="585"/>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52" w:lineRule="exact"/>
        <w:rPr>
          <w:rFonts w:ascii="Arial" w:cs="Arial" w:eastAsia="Arial" w:hAnsi="Arial"/>
          <w:sz w:val="18"/>
          <w:szCs w:val="18"/>
          <w:color w:val="auto"/>
        </w:rPr>
      </w:pPr>
    </w:p>
    <w:p>
      <w:pPr>
        <w:ind w:left="1140" w:right="100" w:hanging="565"/>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140" w:hanging="565"/>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140" w:right="80" w:hanging="565"/>
        <w:spacing w:after="0" w:line="263" w:lineRule="auto"/>
        <w:tabs>
          <w:tab w:leader="none" w:pos="11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565"/>
        <w:spacing w:after="0" w:line="263" w:lineRule="auto"/>
        <w:tabs>
          <w:tab w:leader="none" w:pos="11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565"/>
        <w:spacing w:after="0" w:line="263" w:lineRule="auto"/>
        <w:tabs>
          <w:tab w:leader="none" w:pos="11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140" w:right="300" w:hanging="565"/>
        <w:spacing w:after="0" w:line="263" w:lineRule="auto"/>
        <w:tabs>
          <w:tab w:leader="none" w:pos="1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140" w:right="620" w:hanging="565"/>
        <w:spacing w:after="0" w:line="342" w:lineRule="auto"/>
        <w:tabs>
          <w:tab w:leader="none" w:pos="11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565"/>
        <w:spacing w:after="0" w:line="277" w:lineRule="auto"/>
        <w:tabs>
          <w:tab w:leader="none" w:pos="11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80"/>
        <w:spacing w:after="0"/>
        <w:tabs>
          <w:tab w:leader="none" w:pos="53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31750</wp:posOffset>
            </wp:positionV>
            <wp:extent cx="35915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71151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2020 as filed with the Securities and Exchange Commission on the date hereof (the “Report”), I, Vivek Jain, Chief Executive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488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Vivek Jain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2020 as filed with the Securities and Exchange Commission on the date hereof (the “Report”), I, Brian M. Bonnell, Chief Financial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488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lowerRoman"/>
      <w:start w:val="2"/>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1" Type="http://schemas.openxmlformats.org/officeDocument/2006/relationships/hyperlink" Target="http://www.sec.gov/Archives/edgar/data/883984/000088398420000010/exhibit101slambretir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2020-08-10T15:40:46Z</dcterms:created>
  <dcterms:modified xsi:type="dcterms:W3CDTF">2020-08-10T15:40:46Z</dcterms:modified>
</cp:coreProperties>
</file>